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5323"/>
        <w:gridCol w:w="4174"/>
      </w:tblGrid>
      <w:tr w:rsidR="00F04681" w:rsidRPr="0049796C" w14:paraId="544B6D97" w14:textId="77777777" w:rsidTr="0049796C">
        <w:trPr>
          <w:trHeight w:val="851"/>
        </w:trPr>
        <w:tc>
          <w:tcPr>
            <w:tcW w:w="411" w:type="pct"/>
            <w:tcBorders>
              <w:bottom w:val="single" w:sz="8" w:space="0" w:color="auto"/>
            </w:tcBorders>
            <w:vAlign w:val="bottom"/>
          </w:tcPr>
          <w:p w14:paraId="4B016EF6" w14:textId="07539B39" w:rsidR="00F04681" w:rsidRPr="0049796C" w:rsidRDefault="00F04681" w:rsidP="00193690">
            <w:pPr>
              <w:spacing w:after="120"/>
              <w:rPr>
                <w:lang w:val="fr-FR"/>
              </w:rPr>
            </w:pPr>
            <w:bookmarkStart w:id="0" w:name="_Hlk137651738"/>
            <w:bookmarkStart w:id="1" w:name="_Toc462934071"/>
            <w:bookmarkStart w:id="2" w:name="_Toc480714127"/>
            <w:r w:rsidRPr="0049796C">
              <w:rPr>
                <w:noProof/>
                <w:lang w:val="fr-FR"/>
              </w:rPr>
              <w:drawing>
                <wp:inline distT="0" distB="0" distL="0" distR="0" wp14:anchorId="3C1D681D" wp14:editId="4F2FF042">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572" w:type="pct"/>
            <w:tcBorders>
              <w:bottom w:val="single" w:sz="8" w:space="0" w:color="auto"/>
            </w:tcBorders>
            <w:shd w:val="clear" w:color="auto" w:fill="auto"/>
            <w:tcFitText/>
            <w:vAlign w:val="bottom"/>
          </w:tcPr>
          <w:p w14:paraId="110ABFA4" w14:textId="0245CF4D" w:rsidR="00F04681" w:rsidRPr="0049796C" w:rsidRDefault="00810049" w:rsidP="00193690">
            <w:pPr>
              <w:spacing w:after="120"/>
              <w:rPr>
                <w:lang w:val="fr-FR"/>
              </w:rPr>
            </w:pPr>
            <w:r w:rsidRPr="0049796C">
              <w:rPr>
                <w:noProof/>
                <w:lang w:val="fr-FR" w:eastAsia="fr-FR"/>
              </w:rPr>
              <w:drawing>
                <wp:inline distT="0" distB="0" distL="0" distR="0" wp14:anchorId="4B2E7CF6" wp14:editId="517CC7DA">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017" w:type="pct"/>
            <w:tcBorders>
              <w:bottom w:val="single" w:sz="8" w:space="0" w:color="auto"/>
            </w:tcBorders>
            <w:vAlign w:val="bottom"/>
          </w:tcPr>
          <w:p w14:paraId="6466BC1C" w14:textId="25EECE02" w:rsidR="00F04681" w:rsidRPr="0049796C" w:rsidRDefault="00F04681" w:rsidP="00193690">
            <w:pPr>
              <w:spacing w:after="120"/>
              <w:ind w:left="2021"/>
              <w:jc w:val="right"/>
              <w:rPr>
                <w:szCs w:val="22"/>
                <w:lang w:val="fr-FR"/>
              </w:rPr>
            </w:pPr>
            <w:r w:rsidRPr="0049796C">
              <w:rPr>
                <w:sz w:val="40"/>
                <w:szCs w:val="40"/>
                <w:lang w:val="fr-FR"/>
              </w:rPr>
              <w:t>CBD</w:t>
            </w:r>
            <w:r w:rsidRPr="0049796C">
              <w:rPr>
                <w:szCs w:val="40"/>
                <w:lang w:val="fr-FR"/>
              </w:rPr>
              <w:t>/COP/16/</w:t>
            </w:r>
            <w:r w:rsidR="00927249" w:rsidRPr="0049796C">
              <w:rPr>
                <w:szCs w:val="40"/>
                <w:lang w:val="fr-FR"/>
              </w:rPr>
              <w:t>7</w:t>
            </w:r>
          </w:p>
        </w:tc>
      </w:tr>
      <w:tr w:rsidR="00F04681" w:rsidRPr="00945C13" w14:paraId="7C570F93" w14:textId="77777777" w:rsidTr="0049796C">
        <w:tc>
          <w:tcPr>
            <w:tcW w:w="2983" w:type="pct"/>
            <w:gridSpan w:val="2"/>
            <w:tcBorders>
              <w:top w:val="single" w:sz="8" w:space="0" w:color="auto"/>
              <w:bottom w:val="single" w:sz="12" w:space="0" w:color="auto"/>
            </w:tcBorders>
          </w:tcPr>
          <w:p w14:paraId="6CB81783" w14:textId="419B72A3" w:rsidR="00F04681" w:rsidRPr="0049796C" w:rsidRDefault="00932088" w:rsidP="00193690">
            <w:pPr>
              <w:pStyle w:val="Cornernotation"/>
              <w:suppressLineNumbers/>
              <w:suppressAutoHyphens/>
              <w:spacing w:before="120" w:after="120"/>
              <w:ind w:left="0" w:right="0" w:firstLine="0"/>
              <w:rPr>
                <w:lang w:val="fr-FR"/>
              </w:rPr>
            </w:pPr>
            <w:r w:rsidRPr="0049796C">
              <w:rPr>
                <w:noProof/>
                <w:lang w:val="fr-FR" w:eastAsia="fr-FR"/>
              </w:rPr>
              <w:drawing>
                <wp:inline distT="0" distB="0" distL="0" distR="0" wp14:anchorId="0389A897" wp14:editId="5315665F">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017" w:type="pct"/>
            <w:tcBorders>
              <w:top w:val="single" w:sz="8" w:space="0" w:color="auto"/>
              <w:bottom w:val="single" w:sz="12" w:space="0" w:color="auto"/>
            </w:tcBorders>
          </w:tcPr>
          <w:p w14:paraId="1BC35E1D" w14:textId="6E52126F" w:rsidR="00377E60" w:rsidRPr="00377E60" w:rsidRDefault="00377E60" w:rsidP="00377E60">
            <w:pPr>
              <w:ind w:left="1939"/>
              <w:rPr>
                <w:lang w:val="fr-FR"/>
              </w:rPr>
            </w:pPr>
            <w:r w:rsidRPr="00377E60">
              <w:rPr>
                <w:lang w:val="fr-FR"/>
              </w:rPr>
              <w:t>Distr.</w:t>
            </w:r>
            <w:r w:rsidR="00D54C99">
              <w:rPr>
                <w:lang w:val="fr-FR"/>
              </w:rPr>
              <w:t> :</w:t>
            </w:r>
            <w:r w:rsidRPr="00377E60">
              <w:rPr>
                <w:lang w:val="fr-FR"/>
              </w:rPr>
              <w:t xml:space="preserve"> Générale</w:t>
            </w:r>
          </w:p>
          <w:p w14:paraId="3CBB8622" w14:textId="4518FE8C" w:rsidR="00F04681" w:rsidRPr="0049796C" w:rsidRDefault="00A81B45" w:rsidP="00157815">
            <w:pPr>
              <w:ind w:left="1939"/>
              <w:rPr>
                <w:lang w:val="fr-FR"/>
              </w:rPr>
            </w:pPr>
            <w:r w:rsidRPr="0049796C">
              <w:rPr>
                <w:lang w:val="fr-FR"/>
              </w:rPr>
              <w:t>2</w:t>
            </w:r>
            <w:r w:rsidR="00D10896" w:rsidRPr="0049796C">
              <w:rPr>
                <w:lang w:val="fr-FR"/>
              </w:rPr>
              <w:t>2</w:t>
            </w:r>
            <w:r w:rsidR="00F04681" w:rsidRPr="0049796C">
              <w:rPr>
                <w:lang w:val="fr-FR"/>
              </w:rPr>
              <w:t xml:space="preserve"> </w:t>
            </w:r>
            <w:r w:rsidR="00377E60" w:rsidRPr="0049796C">
              <w:rPr>
                <w:lang w:val="fr-FR"/>
              </w:rPr>
              <w:t>septembre</w:t>
            </w:r>
            <w:r w:rsidR="00F04681" w:rsidRPr="0049796C">
              <w:rPr>
                <w:lang w:val="fr-FR"/>
              </w:rPr>
              <w:t xml:space="preserve"> 2024</w:t>
            </w:r>
          </w:p>
          <w:p w14:paraId="0115885E" w14:textId="77777777" w:rsidR="00F04681" w:rsidRPr="0049796C" w:rsidRDefault="00F04681" w:rsidP="00157815">
            <w:pPr>
              <w:ind w:left="1939"/>
              <w:rPr>
                <w:lang w:val="fr-FR"/>
              </w:rPr>
            </w:pPr>
          </w:p>
          <w:p w14:paraId="37297240" w14:textId="77777777" w:rsidR="006202CB" w:rsidRPr="006202CB" w:rsidRDefault="006202CB" w:rsidP="006202CB">
            <w:pPr>
              <w:ind w:left="1939"/>
              <w:rPr>
                <w:lang w:val="fr-FR"/>
              </w:rPr>
            </w:pPr>
            <w:r w:rsidRPr="006202CB">
              <w:rPr>
                <w:lang w:val="fr-FR"/>
              </w:rPr>
              <w:t>Français</w:t>
            </w:r>
          </w:p>
          <w:p w14:paraId="4C10DB63" w14:textId="7AA8D708" w:rsidR="006202CB" w:rsidRPr="006202CB" w:rsidRDefault="006202CB" w:rsidP="006202CB">
            <w:pPr>
              <w:ind w:left="1939"/>
              <w:rPr>
                <w:lang w:val="fr-FR"/>
              </w:rPr>
            </w:pPr>
            <w:r w:rsidRPr="006202CB">
              <w:rPr>
                <w:lang w:val="fr-FR"/>
              </w:rPr>
              <w:t>Original</w:t>
            </w:r>
            <w:r w:rsidR="00D54C99">
              <w:rPr>
                <w:lang w:val="fr-FR"/>
              </w:rPr>
              <w:t> :</w:t>
            </w:r>
            <w:r w:rsidRPr="006202CB">
              <w:rPr>
                <w:lang w:val="fr-FR"/>
              </w:rPr>
              <w:t xml:space="preserve"> Anglais</w:t>
            </w:r>
          </w:p>
          <w:p w14:paraId="252AF71E" w14:textId="77777777" w:rsidR="00F04681" w:rsidRPr="0049796C" w:rsidRDefault="00F04681" w:rsidP="00193690">
            <w:pPr>
              <w:rPr>
                <w:lang w:val="fr-FR"/>
              </w:rPr>
            </w:pPr>
          </w:p>
        </w:tc>
      </w:tr>
    </w:tbl>
    <w:p w14:paraId="16B43DE9" w14:textId="77777777" w:rsidR="0049796C" w:rsidRPr="0049796C" w:rsidRDefault="0049796C" w:rsidP="0049796C">
      <w:pPr>
        <w:pStyle w:val="Cornernotation"/>
        <w:rPr>
          <w:lang w:val="fr-FR"/>
        </w:rPr>
      </w:pPr>
      <w:r w:rsidRPr="0049796C">
        <w:rPr>
          <w:lang w:val="fr-FR"/>
        </w:rPr>
        <w:t xml:space="preserve">Conférence des Parties à la </w:t>
      </w:r>
    </w:p>
    <w:p w14:paraId="1BB7C553" w14:textId="77777777" w:rsidR="0049796C" w:rsidRPr="0049796C" w:rsidRDefault="0049796C" w:rsidP="0049796C">
      <w:pPr>
        <w:pStyle w:val="Cornernotation"/>
        <w:rPr>
          <w:bCs/>
          <w:sz w:val="22"/>
          <w:lang w:val="fr-FR"/>
        </w:rPr>
      </w:pPr>
      <w:r w:rsidRPr="0049796C">
        <w:rPr>
          <w:lang w:val="fr-FR"/>
        </w:rPr>
        <w:t xml:space="preserve">Convention sur la diversité biologique </w:t>
      </w:r>
    </w:p>
    <w:p w14:paraId="7419C509" w14:textId="77777777" w:rsidR="0049796C" w:rsidRPr="0049796C" w:rsidRDefault="0049796C" w:rsidP="0049796C">
      <w:pPr>
        <w:pStyle w:val="Venuedate"/>
        <w:rPr>
          <w:b/>
          <w:bCs w:val="0"/>
          <w:lang w:val="fr-FR"/>
        </w:rPr>
      </w:pPr>
      <w:r w:rsidRPr="0049796C">
        <w:rPr>
          <w:b/>
          <w:bCs w:val="0"/>
          <w:lang w:val="fr-FR"/>
        </w:rPr>
        <w:t>Seizième réunion</w:t>
      </w:r>
    </w:p>
    <w:p w14:paraId="1BA8D9D7" w14:textId="77777777" w:rsidR="0049796C" w:rsidRPr="0049796C" w:rsidRDefault="0049796C" w:rsidP="0049796C">
      <w:pPr>
        <w:pStyle w:val="Cornernotation-Item"/>
        <w:rPr>
          <w:b w:val="0"/>
          <w:lang w:val="fr-FR"/>
        </w:rPr>
      </w:pPr>
      <w:r w:rsidRPr="0049796C">
        <w:rPr>
          <w:b w:val="0"/>
          <w:lang w:val="fr-FR"/>
        </w:rPr>
        <w:t>Cali, Colombie, 21 octobre-1er novembre 2024</w:t>
      </w:r>
    </w:p>
    <w:p w14:paraId="700764DA" w14:textId="4A1CD80C" w:rsidR="00F04681" w:rsidRPr="0049796C" w:rsidRDefault="0049796C" w:rsidP="00193690">
      <w:pPr>
        <w:pStyle w:val="Cornernotation-Item"/>
        <w:rPr>
          <w:b w:val="0"/>
          <w:bCs w:val="0"/>
          <w:lang w:val="fr-FR"/>
        </w:rPr>
      </w:pPr>
      <w:r>
        <w:rPr>
          <w:b w:val="0"/>
          <w:bCs w:val="0"/>
          <w:lang w:val="fr-FR"/>
        </w:rPr>
        <w:t>Point</w:t>
      </w:r>
      <w:r w:rsidR="00F04681" w:rsidRPr="0049796C">
        <w:rPr>
          <w:b w:val="0"/>
          <w:bCs w:val="0"/>
          <w:lang w:val="fr-FR"/>
        </w:rPr>
        <w:t xml:space="preserve"> 11 </w:t>
      </w:r>
      <w:r>
        <w:rPr>
          <w:b w:val="0"/>
          <w:bCs w:val="0"/>
          <w:lang w:val="fr-FR"/>
        </w:rPr>
        <w:t>de l</w:t>
      </w:r>
      <w:r w:rsidR="00713487">
        <w:rPr>
          <w:b w:val="0"/>
          <w:bCs w:val="0"/>
          <w:lang w:val="fr-FR"/>
        </w:rPr>
        <w:t>’</w:t>
      </w:r>
      <w:r>
        <w:rPr>
          <w:b w:val="0"/>
          <w:bCs w:val="0"/>
          <w:lang w:val="fr-FR"/>
        </w:rPr>
        <w:t>ordre du jour provisoire</w:t>
      </w:r>
      <w:r w:rsidR="00F04681" w:rsidRPr="0049796C">
        <w:rPr>
          <w:rStyle w:val="FootnoteReference"/>
          <w:b w:val="0"/>
          <w:bCs w:val="0"/>
          <w:lang w:val="fr-FR"/>
        </w:rPr>
        <w:footnoteReference w:customMarkFollows="1" w:id="2"/>
        <w:t>*</w:t>
      </w:r>
    </w:p>
    <w:p w14:paraId="66B4FE0C" w14:textId="3A9036D0" w:rsidR="00F04681" w:rsidRPr="0049796C" w:rsidRDefault="00362D98" w:rsidP="00193690">
      <w:pPr>
        <w:pStyle w:val="Cornernotation-Item"/>
        <w:rPr>
          <w:lang w:val="fr-FR"/>
        </w:rPr>
      </w:pPr>
      <w:r w:rsidRPr="00362D98">
        <w:rPr>
          <w:lang w:val="fr-FR"/>
        </w:rPr>
        <w:t>Mobilisation des ressources et mécanisme de financement</w:t>
      </w:r>
    </w:p>
    <w:bookmarkEnd w:id="0"/>
    <w:p w14:paraId="48830021" w14:textId="4256031C" w:rsidR="00F04681" w:rsidRPr="0049796C" w:rsidRDefault="00945C13" w:rsidP="00927249">
      <w:pPr>
        <w:pStyle w:val="CBDTitle"/>
        <w:rPr>
          <w:lang w:val="fr-FR"/>
        </w:rPr>
      </w:pPr>
      <w:sdt>
        <w:sdtPr>
          <w:rPr>
            <w:lang w:val="fr-FR"/>
          </w:rPr>
          <w:alias w:val="Title"/>
          <w:tag w:val=""/>
          <w:id w:val="-1975355689"/>
          <w:placeholder>
            <w:docPart w:val="5C86D77FDE9647B397D2E1941A85FFF4"/>
          </w:placeholder>
          <w:dataBinding w:prefixMappings="xmlns:ns0='http://purl.org/dc/elements/1.1/' xmlns:ns1='http://schemas.openxmlformats.org/package/2006/metadata/core-properties' " w:xpath="/ns1:coreProperties[1]/ns0:title[1]" w:storeItemID="{6C3C8BC8-F283-45AE-878A-BAB7291924A1}"/>
          <w:text/>
        </w:sdtPr>
        <w:sdtEndPr/>
        <w:sdtContent>
          <w:r w:rsidR="00362D98" w:rsidRPr="00362D98">
            <w:rPr>
              <w:lang w:val="fr-FR"/>
            </w:rPr>
            <w:t>Rapport sur le sixième examen de l</w:t>
          </w:r>
          <w:r w:rsidR="00713487">
            <w:rPr>
              <w:lang w:val="fr-FR"/>
            </w:rPr>
            <w:t>’</w:t>
          </w:r>
          <w:r w:rsidR="00362D98" w:rsidRPr="00362D98">
            <w:rPr>
              <w:lang w:val="fr-FR"/>
            </w:rPr>
            <w:t>efficacité du mécanisme de financement</w:t>
          </w:r>
        </w:sdtContent>
      </w:sdt>
    </w:p>
    <w:p w14:paraId="64A8CFCC" w14:textId="694CB52C" w:rsidR="00F04681" w:rsidRPr="0049796C" w:rsidRDefault="00F04681" w:rsidP="00927249">
      <w:pPr>
        <w:pStyle w:val="CBDSubTitle"/>
        <w:rPr>
          <w:lang w:val="fr-FR"/>
        </w:rPr>
      </w:pPr>
      <w:r w:rsidRPr="0049796C">
        <w:rPr>
          <w:lang w:val="fr-FR"/>
        </w:rPr>
        <w:t xml:space="preserve">Note </w:t>
      </w:r>
      <w:r w:rsidR="00B80AFC">
        <w:rPr>
          <w:lang w:val="fr-FR"/>
        </w:rPr>
        <w:t>du</w:t>
      </w:r>
      <w:r w:rsidRPr="0049796C">
        <w:rPr>
          <w:lang w:val="fr-FR"/>
        </w:rPr>
        <w:t xml:space="preserve"> </w:t>
      </w:r>
      <w:r w:rsidR="00D852B1">
        <w:rPr>
          <w:lang w:val="fr-FR"/>
        </w:rPr>
        <w:t>Secrét</w:t>
      </w:r>
      <w:r w:rsidR="00B80AFC" w:rsidRPr="0049796C">
        <w:rPr>
          <w:lang w:val="fr-FR"/>
        </w:rPr>
        <w:t>ariat</w:t>
      </w:r>
    </w:p>
    <w:p w14:paraId="712C34A3" w14:textId="2D3592C1" w:rsidR="00234D0E" w:rsidRPr="0049796C" w:rsidRDefault="00973669" w:rsidP="009504DE">
      <w:pPr>
        <w:pStyle w:val="CBDH1"/>
        <w:rPr>
          <w:lang w:val="fr-FR"/>
        </w:rPr>
      </w:pPr>
      <w:r w:rsidRPr="0049796C">
        <w:rPr>
          <w:lang w:val="fr-FR"/>
        </w:rPr>
        <w:t>I.</w:t>
      </w:r>
      <w:r w:rsidRPr="0049796C">
        <w:rPr>
          <w:lang w:val="fr-FR"/>
        </w:rPr>
        <w:tab/>
      </w:r>
      <w:r w:rsidR="00234D0E" w:rsidRPr="0049796C">
        <w:rPr>
          <w:lang w:val="fr-FR"/>
        </w:rPr>
        <w:t>Introduction</w:t>
      </w:r>
    </w:p>
    <w:p w14:paraId="004D976E" w14:textId="32A3435D" w:rsidR="0066346B" w:rsidRPr="0049796C" w:rsidRDefault="0091022C" w:rsidP="0030765B">
      <w:pPr>
        <w:pStyle w:val="CBDNormalNumber"/>
        <w:rPr>
          <w:snapToGrid w:val="0"/>
          <w:lang w:val="fr-FR"/>
        </w:rPr>
      </w:pPr>
      <w:r w:rsidRPr="0091022C">
        <w:rPr>
          <w:lang w:val="fr-FR"/>
        </w:rPr>
        <w:t>Conformément aux dispositions du mandat du sixième examen de l</w:t>
      </w:r>
      <w:r w:rsidR="00713487">
        <w:rPr>
          <w:lang w:val="fr-FR"/>
        </w:rPr>
        <w:t>’</w:t>
      </w:r>
      <w:r w:rsidRPr="0091022C">
        <w:rPr>
          <w:lang w:val="fr-FR"/>
        </w:rPr>
        <w:t xml:space="preserve">efficacité du mécanisme financier établi dans le cadre de la Convention sur la diversité biologique, adopté par la Conférence des Parties dans sa décision </w:t>
      </w:r>
      <w:hyperlink r:id="rId14" w:history="1">
        <w:r w:rsidR="005051E4" w:rsidRPr="0049796C">
          <w:rPr>
            <w:rStyle w:val="Hyperlink"/>
            <w:snapToGrid w:val="0"/>
            <w:lang w:val="fr-FR"/>
          </w:rPr>
          <w:t>15/15</w:t>
        </w:r>
      </w:hyperlink>
      <w:r w:rsidR="00410751" w:rsidRPr="0049796C">
        <w:rPr>
          <w:snapToGrid w:val="0"/>
          <w:lang w:val="fr-FR"/>
        </w:rPr>
        <w:t xml:space="preserve"> </w:t>
      </w:r>
      <w:r w:rsidR="0027258D" w:rsidRPr="0049796C">
        <w:rPr>
          <w:snapToGrid w:val="0"/>
          <w:lang w:val="fr-FR"/>
        </w:rPr>
        <w:t>(</w:t>
      </w:r>
      <w:r w:rsidR="008F747C" w:rsidRPr="008F747C">
        <w:rPr>
          <w:snapToGrid w:val="0"/>
          <w:lang w:val="fr-FR"/>
        </w:rPr>
        <w:t xml:space="preserve">annexe IV, para. 5), le </w:t>
      </w:r>
      <w:r w:rsidR="00D852B1">
        <w:rPr>
          <w:snapToGrid w:val="0"/>
          <w:lang w:val="fr-FR"/>
        </w:rPr>
        <w:t>Secrét</w:t>
      </w:r>
      <w:r w:rsidR="008F747C" w:rsidRPr="008F747C">
        <w:rPr>
          <w:snapToGrid w:val="0"/>
          <w:lang w:val="fr-FR"/>
        </w:rPr>
        <w:t>ariat a engagé un évaluateur indépendant chevronné pour entreprendre le sixième examen de l</w:t>
      </w:r>
      <w:r w:rsidR="00713487">
        <w:rPr>
          <w:snapToGrid w:val="0"/>
          <w:lang w:val="fr-FR"/>
        </w:rPr>
        <w:t>’</w:t>
      </w:r>
      <w:r w:rsidR="008F747C" w:rsidRPr="008F747C">
        <w:rPr>
          <w:snapToGrid w:val="0"/>
          <w:lang w:val="fr-FR"/>
        </w:rPr>
        <w:t>efficacité du mécanisme financier de la Convention, conformément aux instructions pertinentes des Nations Unies pour le recrutement de consultants et de prestataires indépendants.</w:t>
      </w:r>
    </w:p>
    <w:p w14:paraId="08980689" w14:textId="1374431F" w:rsidR="00F04681" w:rsidRPr="0049796C" w:rsidRDefault="000C36EF" w:rsidP="00927249">
      <w:pPr>
        <w:pStyle w:val="CBDNormalNumber"/>
        <w:rPr>
          <w:snapToGrid w:val="0"/>
          <w:lang w:val="fr-FR"/>
        </w:rPr>
      </w:pPr>
      <w:r w:rsidRPr="000C36EF">
        <w:rPr>
          <w:snapToGrid w:val="0"/>
          <w:lang w:val="fr-FR"/>
        </w:rPr>
        <w:t>Le plan de mise en œuvre de l</w:t>
      </w:r>
      <w:r w:rsidR="00713487">
        <w:rPr>
          <w:snapToGrid w:val="0"/>
          <w:lang w:val="fr-FR"/>
        </w:rPr>
        <w:t>’</w:t>
      </w:r>
      <w:r w:rsidRPr="000C36EF">
        <w:rPr>
          <w:snapToGrid w:val="0"/>
          <w:lang w:val="fr-FR"/>
        </w:rPr>
        <w:t>examen préparé par l</w:t>
      </w:r>
      <w:r w:rsidR="00713487">
        <w:rPr>
          <w:snapToGrid w:val="0"/>
          <w:lang w:val="fr-FR"/>
        </w:rPr>
        <w:t>’</w:t>
      </w:r>
      <w:r w:rsidRPr="000C36EF">
        <w:rPr>
          <w:snapToGrid w:val="0"/>
          <w:lang w:val="fr-FR"/>
        </w:rPr>
        <w:t>évaluateur indépendant sur la base des objectifs, de la méthodologie et des critères contenus dans le mandat a été soumis à l</w:t>
      </w:r>
      <w:r w:rsidR="00713487">
        <w:rPr>
          <w:snapToGrid w:val="0"/>
          <w:lang w:val="fr-FR"/>
        </w:rPr>
        <w:t>’</w:t>
      </w:r>
      <w:r w:rsidRPr="000C36EF">
        <w:rPr>
          <w:snapToGrid w:val="0"/>
          <w:lang w:val="fr-FR"/>
        </w:rPr>
        <w:t xml:space="preserve">Organe subsidiaire de mise en œuvre lors de sa quatrième réunion (21-29 mai 2024), sous la cote </w:t>
      </w:r>
      <w:hyperlink r:id="rId15" w:history="1">
        <w:r w:rsidR="00800B5C" w:rsidRPr="0049796C">
          <w:rPr>
            <w:rStyle w:val="Hyperlink"/>
            <w:snapToGrid w:val="0"/>
            <w:szCs w:val="18"/>
            <w:lang w:val="fr-FR"/>
          </w:rPr>
          <w:t>CBD/SBI/4/INF/17</w:t>
        </w:r>
      </w:hyperlink>
      <w:r w:rsidR="008E647C" w:rsidRPr="0049796C">
        <w:rPr>
          <w:snapToGrid w:val="0"/>
          <w:lang w:val="fr-FR"/>
        </w:rPr>
        <w:t>.</w:t>
      </w:r>
    </w:p>
    <w:p w14:paraId="4B3F717D" w14:textId="7CB00994" w:rsidR="00F04681" w:rsidRPr="0049796C" w:rsidRDefault="00CA33BD" w:rsidP="0030765B">
      <w:pPr>
        <w:pStyle w:val="CBDNormalNumber"/>
        <w:rPr>
          <w:snapToGrid w:val="0"/>
          <w:lang w:val="fr-FR"/>
        </w:rPr>
      </w:pPr>
      <w:r w:rsidRPr="00CA33BD">
        <w:rPr>
          <w:snapToGrid w:val="0"/>
          <w:lang w:val="fr-FR"/>
        </w:rPr>
        <w:t>L</w:t>
      </w:r>
      <w:r w:rsidR="00713487">
        <w:rPr>
          <w:snapToGrid w:val="0"/>
          <w:lang w:val="fr-FR"/>
        </w:rPr>
        <w:t>’</w:t>
      </w:r>
      <w:r w:rsidRPr="00CA33BD">
        <w:rPr>
          <w:snapToGrid w:val="0"/>
          <w:lang w:val="fr-FR"/>
        </w:rPr>
        <w:t xml:space="preserve">évaluateur indépendant a soumis son projet de rapport de synthèse et ses recommandations aux </w:t>
      </w:r>
      <w:r w:rsidR="00D852B1">
        <w:rPr>
          <w:snapToGrid w:val="0"/>
          <w:lang w:val="fr-FR"/>
        </w:rPr>
        <w:t>Secrét</w:t>
      </w:r>
      <w:r w:rsidRPr="00CA33BD">
        <w:rPr>
          <w:snapToGrid w:val="0"/>
          <w:lang w:val="fr-FR"/>
        </w:rPr>
        <w:t>ariats de la Convention et du Fonds pour l</w:t>
      </w:r>
      <w:r w:rsidR="00713487">
        <w:rPr>
          <w:snapToGrid w:val="0"/>
          <w:lang w:val="fr-FR"/>
        </w:rPr>
        <w:t>’</w:t>
      </w:r>
      <w:r w:rsidRPr="00CA33BD">
        <w:rPr>
          <w:snapToGrid w:val="0"/>
          <w:lang w:val="fr-FR"/>
        </w:rPr>
        <w:t xml:space="preserve">environnement mondial, et a ensuite finalisé son rapport sur le sixième examen. Le </w:t>
      </w:r>
      <w:r w:rsidR="00D852B1">
        <w:rPr>
          <w:snapToGrid w:val="0"/>
          <w:lang w:val="fr-FR"/>
        </w:rPr>
        <w:t>Secrét</w:t>
      </w:r>
      <w:r w:rsidRPr="00CA33BD">
        <w:rPr>
          <w:snapToGrid w:val="0"/>
          <w:lang w:val="fr-FR"/>
        </w:rPr>
        <w:t>ariat a préparé ci-dessous les éléments d</w:t>
      </w:r>
      <w:r w:rsidR="00713487">
        <w:rPr>
          <w:snapToGrid w:val="0"/>
          <w:lang w:val="fr-FR"/>
        </w:rPr>
        <w:t>’</w:t>
      </w:r>
      <w:r w:rsidRPr="00CA33BD">
        <w:rPr>
          <w:snapToGrid w:val="0"/>
          <w:lang w:val="fr-FR"/>
        </w:rPr>
        <w:t>un projet de décision sur le sixième examen du mécanisme financier</w:t>
      </w:r>
      <w:r w:rsidR="00465388" w:rsidRPr="0049796C">
        <w:rPr>
          <w:snapToGrid w:val="0"/>
          <w:lang w:val="fr-FR"/>
        </w:rPr>
        <w:t>.</w:t>
      </w:r>
    </w:p>
    <w:p w14:paraId="5BF19955" w14:textId="7BAB497C" w:rsidR="00F04681" w:rsidRPr="0049796C" w:rsidRDefault="001E0BC4" w:rsidP="00927249">
      <w:pPr>
        <w:pStyle w:val="CBDNormalNumber"/>
        <w:rPr>
          <w:snapToGrid w:val="0"/>
          <w:lang w:val="fr-FR"/>
        </w:rPr>
      </w:pPr>
      <w:r w:rsidRPr="001E0BC4">
        <w:rPr>
          <w:snapToGrid w:val="0"/>
          <w:lang w:val="fr-FR"/>
        </w:rPr>
        <w:t>L</w:t>
      </w:r>
      <w:r w:rsidR="00713487">
        <w:rPr>
          <w:snapToGrid w:val="0"/>
          <w:lang w:val="fr-FR"/>
        </w:rPr>
        <w:t>’</w:t>
      </w:r>
      <w:r w:rsidRPr="001E0BC4">
        <w:rPr>
          <w:snapToGrid w:val="0"/>
          <w:lang w:val="fr-FR"/>
        </w:rPr>
        <w:t xml:space="preserve">annexe </w:t>
      </w:r>
      <w:r w:rsidR="001D0356">
        <w:rPr>
          <w:snapToGrid w:val="0"/>
          <w:lang w:val="fr-FR"/>
        </w:rPr>
        <w:t xml:space="preserve">à </w:t>
      </w:r>
      <w:r w:rsidR="001D0356" w:rsidRPr="001E0BC4">
        <w:rPr>
          <w:snapToGrid w:val="0"/>
          <w:lang w:val="fr-FR"/>
        </w:rPr>
        <w:t>la</w:t>
      </w:r>
      <w:r w:rsidRPr="001E0BC4">
        <w:rPr>
          <w:snapToGrid w:val="0"/>
          <w:lang w:val="fr-FR"/>
        </w:rPr>
        <w:t xml:space="preserve"> présente note contient le rapport de synthèse et les recommandations de l</w:t>
      </w:r>
      <w:r w:rsidR="00713487">
        <w:rPr>
          <w:snapToGrid w:val="0"/>
          <w:lang w:val="fr-FR"/>
        </w:rPr>
        <w:t>’</w:t>
      </w:r>
      <w:r w:rsidRPr="001E0BC4">
        <w:rPr>
          <w:snapToGrid w:val="0"/>
          <w:lang w:val="fr-FR"/>
        </w:rPr>
        <w:t>évaluateur indépendant sur le sixième examen de l</w:t>
      </w:r>
      <w:r w:rsidR="00713487">
        <w:rPr>
          <w:snapToGrid w:val="0"/>
          <w:lang w:val="fr-FR"/>
        </w:rPr>
        <w:t>’</w:t>
      </w:r>
      <w:r w:rsidRPr="001E0BC4">
        <w:rPr>
          <w:snapToGrid w:val="0"/>
          <w:lang w:val="fr-FR"/>
        </w:rPr>
        <w:t>efficacité du mécanisme financier.</w:t>
      </w:r>
      <w:r w:rsidR="00DE2872" w:rsidRPr="0049796C">
        <w:rPr>
          <w:rStyle w:val="FootnoteReference"/>
          <w:snapToGrid w:val="0"/>
          <w:lang w:val="fr-FR"/>
        </w:rPr>
        <w:footnoteReference w:id="3"/>
      </w:r>
      <w:r w:rsidR="00B16438" w:rsidRPr="0049796C">
        <w:rPr>
          <w:snapToGrid w:val="0"/>
          <w:lang w:val="fr-FR"/>
        </w:rPr>
        <w:t xml:space="preserve"> </w:t>
      </w:r>
      <w:r w:rsidRPr="001E0BC4">
        <w:rPr>
          <w:snapToGrid w:val="0"/>
          <w:lang w:val="fr-FR"/>
        </w:rPr>
        <w:t>Le rapport complet de l</w:t>
      </w:r>
      <w:r w:rsidR="00713487">
        <w:rPr>
          <w:snapToGrid w:val="0"/>
          <w:lang w:val="fr-FR"/>
        </w:rPr>
        <w:t>’</w:t>
      </w:r>
      <w:r w:rsidRPr="001E0BC4">
        <w:rPr>
          <w:snapToGrid w:val="0"/>
          <w:lang w:val="fr-FR"/>
        </w:rPr>
        <w:t xml:space="preserve">évaluateur indépendant sera disponible sous la cote </w:t>
      </w:r>
      <w:r w:rsidR="00B16438" w:rsidRPr="0049796C">
        <w:rPr>
          <w:snapToGrid w:val="0"/>
          <w:lang w:val="fr-FR"/>
        </w:rPr>
        <w:t>CBD/COP/16/INF/</w:t>
      </w:r>
      <w:r w:rsidR="009F0D40" w:rsidRPr="0049796C">
        <w:rPr>
          <w:snapToGrid w:val="0"/>
          <w:lang w:val="fr-FR"/>
        </w:rPr>
        <w:t>2</w:t>
      </w:r>
      <w:r w:rsidR="009620F2" w:rsidRPr="0049796C">
        <w:rPr>
          <w:snapToGrid w:val="0"/>
          <w:lang w:val="fr-FR"/>
        </w:rPr>
        <w:t>5</w:t>
      </w:r>
      <w:r w:rsidR="009F0D40" w:rsidRPr="0049796C">
        <w:rPr>
          <w:snapToGrid w:val="0"/>
          <w:lang w:val="fr-FR"/>
        </w:rPr>
        <w:t>.</w:t>
      </w:r>
      <w:r w:rsidR="00287BE7">
        <w:rPr>
          <w:snapToGrid w:val="0"/>
          <w:lang w:val="fr-FR"/>
        </w:rPr>
        <w:t xml:space="preserve"> </w:t>
      </w:r>
    </w:p>
    <w:p w14:paraId="775E69B5" w14:textId="3B51BAC2" w:rsidR="00234D0E" w:rsidRPr="0049796C" w:rsidRDefault="00973669" w:rsidP="009504DE">
      <w:pPr>
        <w:pStyle w:val="CBDH1"/>
        <w:rPr>
          <w:lang w:val="fr-FR"/>
        </w:rPr>
      </w:pPr>
      <w:r w:rsidRPr="0049796C">
        <w:rPr>
          <w:lang w:val="fr-FR"/>
        </w:rPr>
        <w:lastRenderedPageBreak/>
        <w:t>II.</w:t>
      </w:r>
      <w:r w:rsidRPr="0049796C">
        <w:rPr>
          <w:lang w:val="fr-FR"/>
        </w:rPr>
        <w:tab/>
      </w:r>
      <w:r w:rsidR="00A56E38" w:rsidRPr="00A56E38">
        <w:rPr>
          <w:lang w:val="fr-FR"/>
        </w:rPr>
        <w:t>Projets d</w:t>
      </w:r>
      <w:r w:rsidR="00713487">
        <w:rPr>
          <w:lang w:val="fr-FR"/>
        </w:rPr>
        <w:t>’</w:t>
      </w:r>
      <w:r w:rsidR="00A56E38" w:rsidRPr="00A56E38">
        <w:rPr>
          <w:lang w:val="fr-FR"/>
        </w:rPr>
        <w:t>éléments de décision</w:t>
      </w:r>
    </w:p>
    <w:p w14:paraId="1CBE8BA5" w14:textId="675F8DC7" w:rsidR="00555AEE" w:rsidRPr="0049796C" w:rsidRDefault="00392FC7" w:rsidP="009504DE">
      <w:pPr>
        <w:pStyle w:val="CBDNormalNumber"/>
        <w:keepNext/>
        <w:keepLines/>
        <w:rPr>
          <w:rFonts w:asciiTheme="majorBidi" w:eastAsiaTheme="minorHAnsi" w:hAnsiTheme="majorBidi" w:cstheme="majorBidi"/>
          <w:i/>
          <w:iCs/>
          <w:lang w:val="fr-FR"/>
        </w:rPr>
      </w:pPr>
      <w:r w:rsidRPr="00392FC7">
        <w:rPr>
          <w:snapToGrid w:val="0"/>
          <w:lang w:val="fr-FR"/>
        </w:rPr>
        <w:t>La Conférence des Parties pourrait souhaiter envisager d</w:t>
      </w:r>
      <w:r w:rsidR="00713487">
        <w:rPr>
          <w:snapToGrid w:val="0"/>
          <w:lang w:val="fr-FR"/>
        </w:rPr>
        <w:t>’</w:t>
      </w:r>
      <w:r w:rsidRPr="00392FC7">
        <w:rPr>
          <w:snapToGrid w:val="0"/>
          <w:lang w:val="fr-FR"/>
        </w:rPr>
        <w:t>ajouter au projet de décision figurant dans la recommandation 4/4 de l</w:t>
      </w:r>
      <w:r w:rsidR="00713487">
        <w:rPr>
          <w:snapToGrid w:val="0"/>
          <w:lang w:val="fr-FR"/>
        </w:rPr>
        <w:t>’</w:t>
      </w:r>
      <w:r w:rsidRPr="00392FC7">
        <w:rPr>
          <w:snapToGrid w:val="0"/>
          <w:lang w:val="fr-FR"/>
        </w:rPr>
        <w:t>Organe subsidiaire de mise en œuvre des éléments du type suivant</w:t>
      </w:r>
      <w:r w:rsidRPr="00392FC7">
        <w:rPr>
          <w:snapToGrid w:val="0"/>
          <w:vertAlign w:val="superscript"/>
          <w:lang w:val="fr-FR"/>
        </w:rPr>
        <w:footnoteReference w:id="4"/>
      </w:r>
      <w:r w:rsidR="00D54C99">
        <w:rPr>
          <w:snapToGrid w:val="0"/>
          <w:lang w:val="fr-FR"/>
        </w:rPr>
        <w:t> :</w:t>
      </w:r>
    </w:p>
    <w:p w14:paraId="5D0BF0AA" w14:textId="23367703" w:rsidR="00555AEE" w:rsidRPr="0049796C" w:rsidRDefault="00392FC7" w:rsidP="009504DE">
      <w:pPr>
        <w:pStyle w:val="CBDNormalNumber"/>
        <w:keepNext/>
        <w:keepLines/>
        <w:numPr>
          <w:ilvl w:val="0"/>
          <w:numId w:val="0"/>
        </w:numPr>
        <w:ind w:left="567" w:firstLine="567"/>
        <w:rPr>
          <w:rFonts w:asciiTheme="majorBidi" w:eastAsiaTheme="minorHAnsi" w:hAnsiTheme="majorBidi" w:cstheme="majorBidi"/>
          <w:i/>
          <w:iCs/>
          <w:lang w:val="fr-FR"/>
        </w:rPr>
      </w:pPr>
      <w:r w:rsidRPr="00392FC7">
        <w:rPr>
          <w:rFonts w:asciiTheme="majorBidi" w:eastAsiaTheme="minorHAnsi" w:hAnsiTheme="majorBidi" w:cstheme="majorBidi"/>
          <w:i/>
          <w:iCs/>
          <w:lang w:val="fr-FR"/>
        </w:rPr>
        <w:t>La Conférence des Parties</w:t>
      </w:r>
      <w:r w:rsidR="00555AEE" w:rsidRPr="0049796C">
        <w:rPr>
          <w:rFonts w:asciiTheme="majorBidi" w:eastAsiaTheme="minorHAnsi" w:hAnsiTheme="majorBidi" w:cstheme="majorBidi"/>
          <w:lang w:val="fr-FR"/>
        </w:rPr>
        <w:t>,</w:t>
      </w:r>
    </w:p>
    <w:p w14:paraId="2E1C8DB7" w14:textId="2472355D" w:rsidR="00555AEE" w:rsidRPr="0049796C" w:rsidRDefault="00F21BC2" w:rsidP="009504DE">
      <w:pPr>
        <w:pStyle w:val="CBDNormalNumber"/>
        <w:numPr>
          <w:ilvl w:val="0"/>
          <w:numId w:val="0"/>
        </w:numPr>
        <w:ind w:left="567" w:firstLine="567"/>
        <w:rPr>
          <w:rFonts w:asciiTheme="majorBidi" w:hAnsiTheme="majorBidi" w:cstheme="majorBidi"/>
          <w:lang w:val="fr-FR"/>
        </w:rPr>
      </w:pPr>
      <w:r w:rsidRPr="00F21BC2">
        <w:rPr>
          <w:rFonts w:asciiTheme="majorBidi" w:hAnsiTheme="majorBidi" w:cstheme="majorBidi"/>
          <w:i/>
          <w:iCs/>
          <w:lang w:val="fr-FR"/>
        </w:rPr>
        <w:t xml:space="preserve">Prenant note </w:t>
      </w:r>
      <w:r w:rsidRPr="00F21BC2">
        <w:rPr>
          <w:rFonts w:asciiTheme="majorBidi" w:hAnsiTheme="majorBidi" w:cstheme="majorBidi"/>
          <w:lang w:val="fr-FR"/>
        </w:rPr>
        <w:t>du rapport du Fonds pour l</w:t>
      </w:r>
      <w:r w:rsidR="00713487">
        <w:rPr>
          <w:rFonts w:asciiTheme="majorBidi" w:hAnsiTheme="majorBidi" w:cstheme="majorBidi"/>
          <w:lang w:val="fr-FR"/>
        </w:rPr>
        <w:t>’</w:t>
      </w:r>
      <w:r w:rsidRPr="00F21BC2">
        <w:rPr>
          <w:rFonts w:asciiTheme="majorBidi" w:hAnsiTheme="majorBidi" w:cstheme="majorBidi"/>
          <w:lang w:val="fr-FR"/>
        </w:rPr>
        <w:t>environnement mondial pour la seizième réunion de la Conférence des parties</w:t>
      </w:r>
      <w:r w:rsidR="00AB097E" w:rsidRPr="0049796C">
        <w:rPr>
          <w:rStyle w:val="FootnoteReference"/>
          <w:rFonts w:asciiTheme="majorBidi" w:hAnsiTheme="majorBidi" w:cstheme="majorBidi"/>
          <w:lang w:val="fr-FR"/>
        </w:rPr>
        <w:footnoteReference w:id="5"/>
      </w:r>
      <w:r w:rsidR="00555AEE" w:rsidRPr="0049796C">
        <w:rPr>
          <w:rFonts w:asciiTheme="majorBidi" w:hAnsiTheme="majorBidi" w:cstheme="majorBidi"/>
          <w:lang w:val="fr-FR"/>
        </w:rPr>
        <w:t xml:space="preserve"> </w:t>
      </w:r>
      <w:r w:rsidR="008B7CBD" w:rsidRPr="008B7CBD">
        <w:rPr>
          <w:rFonts w:asciiTheme="majorBidi" w:hAnsiTheme="majorBidi" w:cstheme="majorBidi"/>
          <w:lang w:val="fr-FR"/>
        </w:rPr>
        <w:t>et le rapport sur le sixième examen de l</w:t>
      </w:r>
      <w:r w:rsidR="00713487">
        <w:rPr>
          <w:rFonts w:asciiTheme="majorBidi" w:hAnsiTheme="majorBidi" w:cstheme="majorBidi"/>
          <w:lang w:val="fr-FR"/>
        </w:rPr>
        <w:t>’</w:t>
      </w:r>
      <w:r w:rsidR="008B7CBD" w:rsidRPr="008B7CBD">
        <w:rPr>
          <w:rFonts w:asciiTheme="majorBidi" w:hAnsiTheme="majorBidi" w:cstheme="majorBidi"/>
          <w:lang w:val="fr-FR"/>
        </w:rPr>
        <w:t>efficacité du mécanisme de financement de la Convention sur la diversité biologique</w:t>
      </w:r>
      <w:r w:rsidR="002352D9" w:rsidRPr="0049796C">
        <w:rPr>
          <w:rStyle w:val="FootnoteReference"/>
          <w:rFonts w:asciiTheme="majorBidi" w:eastAsiaTheme="minorHAnsi" w:hAnsiTheme="majorBidi" w:cstheme="majorBidi"/>
          <w:lang w:val="fr-FR"/>
        </w:rPr>
        <w:footnoteReference w:id="6"/>
      </w:r>
      <w:r w:rsidR="00555AEE" w:rsidRPr="0049796C">
        <w:rPr>
          <w:rFonts w:asciiTheme="majorBidi" w:hAnsiTheme="majorBidi" w:cstheme="majorBidi"/>
          <w:lang w:val="fr-FR"/>
        </w:rPr>
        <w:t xml:space="preserve"> </w:t>
      </w:r>
      <w:r w:rsidR="008B7CBD">
        <w:rPr>
          <w:rFonts w:asciiTheme="majorBidi" w:hAnsiTheme="majorBidi" w:cstheme="majorBidi"/>
          <w:lang w:val="fr-FR"/>
        </w:rPr>
        <w:t xml:space="preserve">et de ses </w:t>
      </w:r>
      <w:r w:rsidR="00555AEE" w:rsidRPr="0049796C">
        <w:rPr>
          <w:rFonts w:asciiTheme="majorBidi" w:hAnsiTheme="majorBidi" w:cstheme="majorBidi"/>
          <w:lang w:val="fr-FR"/>
        </w:rPr>
        <w:t>Protocol</w:t>
      </w:r>
      <w:r w:rsidR="008B7CBD">
        <w:rPr>
          <w:rFonts w:asciiTheme="majorBidi" w:hAnsiTheme="majorBidi" w:cstheme="majorBidi"/>
          <w:lang w:val="fr-FR"/>
        </w:rPr>
        <w:t>e</w:t>
      </w:r>
      <w:r w:rsidR="00555AEE" w:rsidRPr="0049796C">
        <w:rPr>
          <w:rFonts w:asciiTheme="majorBidi" w:hAnsiTheme="majorBidi" w:cstheme="majorBidi"/>
          <w:lang w:val="fr-FR"/>
        </w:rPr>
        <w:t>s,</w:t>
      </w:r>
      <w:r w:rsidR="00F35230" w:rsidRPr="0049796C">
        <w:rPr>
          <w:rStyle w:val="FootnoteReference"/>
          <w:rFonts w:asciiTheme="majorBidi" w:hAnsiTheme="majorBidi" w:cstheme="majorBidi"/>
          <w:lang w:val="fr-FR"/>
        </w:rPr>
        <w:footnoteReference w:id="7"/>
      </w:r>
    </w:p>
    <w:p w14:paraId="187564CC" w14:textId="3EF65048" w:rsidR="00555AEE" w:rsidRPr="0049796C" w:rsidRDefault="00BD1908" w:rsidP="009504DE">
      <w:pPr>
        <w:pStyle w:val="CBDNormalNumber"/>
        <w:numPr>
          <w:ilvl w:val="0"/>
          <w:numId w:val="0"/>
        </w:numPr>
        <w:ind w:left="567" w:firstLine="567"/>
        <w:rPr>
          <w:rFonts w:asciiTheme="majorBidi" w:eastAsiaTheme="minorHAnsi" w:hAnsiTheme="majorBidi" w:cstheme="majorBidi"/>
          <w:lang w:val="fr-FR"/>
        </w:rPr>
      </w:pPr>
      <w:r>
        <w:rPr>
          <w:rFonts w:asciiTheme="majorBidi" w:eastAsiaTheme="minorHAnsi" w:hAnsiTheme="majorBidi" w:cstheme="majorBidi"/>
          <w:i/>
          <w:iCs/>
          <w:lang w:val="fr-FR"/>
        </w:rPr>
        <w:t>Rappelant</w:t>
      </w:r>
      <w:r w:rsidR="00555AEE" w:rsidRPr="0049796C">
        <w:rPr>
          <w:rFonts w:asciiTheme="majorBidi" w:eastAsiaTheme="minorHAnsi" w:hAnsiTheme="majorBidi" w:cstheme="majorBidi"/>
          <w:lang w:val="fr-FR"/>
        </w:rPr>
        <w:t xml:space="preserve"> </w:t>
      </w:r>
      <w:r w:rsidR="00955300" w:rsidRPr="00955300">
        <w:rPr>
          <w:rFonts w:asciiTheme="majorBidi" w:eastAsiaTheme="minorHAnsi" w:hAnsiTheme="majorBidi" w:cstheme="majorBidi"/>
          <w:lang w:val="fr-FR"/>
        </w:rPr>
        <w:t>que le paragraphe 1 de l</w:t>
      </w:r>
      <w:r w:rsidR="00713487">
        <w:rPr>
          <w:rFonts w:asciiTheme="majorBidi" w:eastAsiaTheme="minorHAnsi" w:hAnsiTheme="majorBidi" w:cstheme="majorBidi"/>
          <w:lang w:val="fr-FR"/>
        </w:rPr>
        <w:t>’</w:t>
      </w:r>
      <w:r w:rsidR="00955300" w:rsidRPr="00955300">
        <w:rPr>
          <w:rFonts w:asciiTheme="majorBidi" w:eastAsiaTheme="minorHAnsi" w:hAnsiTheme="majorBidi" w:cstheme="majorBidi"/>
          <w:lang w:val="fr-FR"/>
        </w:rPr>
        <w:t>article 21 de la Convention prévoit que le mécanisme financier doit fonctionner dans le cadre d</w:t>
      </w:r>
      <w:r w:rsidR="00713487">
        <w:rPr>
          <w:rFonts w:asciiTheme="majorBidi" w:eastAsiaTheme="minorHAnsi" w:hAnsiTheme="majorBidi" w:cstheme="majorBidi"/>
          <w:lang w:val="fr-FR"/>
        </w:rPr>
        <w:t>’</w:t>
      </w:r>
      <w:r w:rsidR="00955300" w:rsidRPr="00955300">
        <w:rPr>
          <w:rFonts w:asciiTheme="majorBidi" w:eastAsiaTheme="minorHAnsi" w:hAnsiTheme="majorBidi" w:cstheme="majorBidi"/>
          <w:lang w:val="fr-FR"/>
        </w:rPr>
        <w:t>une gouvernance démocratique et transparente</w:t>
      </w:r>
      <w:r w:rsidR="00555AEE" w:rsidRPr="0049796C">
        <w:rPr>
          <w:rFonts w:asciiTheme="majorBidi" w:eastAsiaTheme="minorHAnsi" w:hAnsiTheme="majorBidi" w:cstheme="majorBidi"/>
          <w:lang w:val="fr-FR"/>
        </w:rPr>
        <w:t>,</w:t>
      </w:r>
    </w:p>
    <w:p w14:paraId="6AA8AC3D" w14:textId="6F477A19" w:rsidR="00555AEE" w:rsidRPr="00955300" w:rsidRDefault="00BD1908" w:rsidP="009504DE">
      <w:pPr>
        <w:pStyle w:val="CBDNormalNumber"/>
        <w:numPr>
          <w:ilvl w:val="0"/>
          <w:numId w:val="0"/>
        </w:numPr>
        <w:ind w:left="567" w:firstLine="567"/>
        <w:rPr>
          <w:rFonts w:asciiTheme="majorBidi" w:eastAsiaTheme="minorHAnsi" w:hAnsiTheme="majorBidi" w:cstheme="majorBidi"/>
          <w:lang w:val="fr-FR"/>
        </w:rPr>
      </w:pPr>
      <w:r w:rsidRPr="00BD1908">
        <w:rPr>
          <w:rFonts w:asciiTheme="majorBidi" w:eastAsiaTheme="minorHAnsi" w:hAnsiTheme="majorBidi" w:cstheme="majorBidi"/>
          <w:i/>
          <w:iCs/>
          <w:lang w:val="fr-FR"/>
        </w:rPr>
        <w:t xml:space="preserve">Rappelant </w:t>
      </w:r>
      <w:r>
        <w:rPr>
          <w:rFonts w:asciiTheme="majorBidi" w:eastAsiaTheme="minorHAnsi" w:hAnsiTheme="majorBidi" w:cstheme="majorBidi"/>
          <w:i/>
          <w:iCs/>
          <w:lang w:val="fr-FR"/>
        </w:rPr>
        <w:t>également</w:t>
      </w:r>
      <w:r w:rsidR="00955300">
        <w:rPr>
          <w:rFonts w:asciiTheme="majorBidi" w:eastAsiaTheme="minorHAnsi" w:hAnsiTheme="majorBidi" w:cstheme="majorBidi"/>
          <w:i/>
          <w:iCs/>
          <w:lang w:val="fr-FR"/>
        </w:rPr>
        <w:t xml:space="preserve"> </w:t>
      </w:r>
      <w:r w:rsidR="00955300" w:rsidRPr="00955300">
        <w:rPr>
          <w:rFonts w:asciiTheme="majorBidi" w:eastAsiaTheme="minorHAnsi" w:hAnsiTheme="majorBidi" w:cstheme="majorBidi"/>
          <w:lang w:val="fr-FR"/>
        </w:rPr>
        <w:t>que le paragraphe 3 de l</w:t>
      </w:r>
      <w:r w:rsidR="00713487">
        <w:rPr>
          <w:rFonts w:asciiTheme="majorBidi" w:eastAsiaTheme="minorHAnsi" w:hAnsiTheme="majorBidi" w:cstheme="majorBidi"/>
          <w:lang w:val="fr-FR"/>
        </w:rPr>
        <w:t>’</w:t>
      </w:r>
      <w:r w:rsidR="00955300" w:rsidRPr="00955300">
        <w:rPr>
          <w:rFonts w:asciiTheme="majorBidi" w:eastAsiaTheme="minorHAnsi" w:hAnsiTheme="majorBidi" w:cstheme="majorBidi"/>
          <w:lang w:val="fr-FR"/>
        </w:rPr>
        <w:t>article 20 de la Convention prévoit que les pays développés parties peuvent fournir des ressources financières liées à la mise en œuvre de la Convention par des voies bilatérales, régionales et autres voies multilatérales</w:t>
      </w:r>
    </w:p>
    <w:p w14:paraId="63E4A0F6" w14:textId="5C6A6E41" w:rsidR="00555AEE" w:rsidRPr="0049796C" w:rsidRDefault="001B6D0E" w:rsidP="009504DE">
      <w:pPr>
        <w:pStyle w:val="CBDNormalNumber"/>
        <w:numPr>
          <w:ilvl w:val="0"/>
          <w:numId w:val="0"/>
        </w:numPr>
        <w:ind w:left="567" w:firstLine="567"/>
        <w:rPr>
          <w:rFonts w:asciiTheme="majorBidi" w:eastAsiaTheme="minorHAnsi" w:hAnsiTheme="majorBidi" w:cstheme="majorBidi"/>
          <w:lang w:val="fr-FR"/>
        </w:rPr>
      </w:pPr>
      <w:r w:rsidRPr="001B6D0E">
        <w:rPr>
          <w:rFonts w:asciiTheme="majorBidi" w:eastAsiaTheme="minorHAnsi" w:hAnsiTheme="majorBidi" w:cstheme="majorBidi"/>
          <w:i/>
          <w:iCs/>
          <w:lang w:val="fr-FR"/>
        </w:rPr>
        <w:t xml:space="preserve">Prenant note avec gratitude </w:t>
      </w:r>
      <w:r w:rsidR="006B49C0" w:rsidRPr="006B49C0">
        <w:rPr>
          <w:rFonts w:asciiTheme="majorBidi" w:eastAsiaTheme="minorHAnsi" w:hAnsiTheme="majorBidi" w:cstheme="majorBidi"/>
          <w:lang w:val="fr-FR"/>
        </w:rPr>
        <w:t>des progrès significatifs accomplis par le Fonds pour l</w:t>
      </w:r>
      <w:r w:rsidR="00713487">
        <w:rPr>
          <w:rFonts w:asciiTheme="majorBidi" w:eastAsiaTheme="minorHAnsi" w:hAnsiTheme="majorBidi" w:cstheme="majorBidi"/>
          <w:lang w:val="fr-FR"/>
        </w:rPr>
        <w:t>’</w:t>
      </w:r>
      <w:r w:rsidR="006B49C0" w:rsidRPr="006B49C0">
        <w:rPr>
          <w:rFonts w:asciiTheme="majorBidi" w:eastAsiaTheme="minorHAnsi" w:hAnsiTheme="majorBidi" w:cstheme="majorBidi"/>
          <w:lang w:val="fr-FR"/>
        </w:rPr>
        <w:t xml:space="preserve">environnement mondial entre la sixième et </w:t>
      </w:r>
      <w:r w:rsidR="00B05690" w:rsidRPr="006B49C0">
        <w:rPr>
          <w:rFonts w:asciiTheme="majorBidi" w:eastAsiaTheme="minorHAnsi" w:hAnsiTheme="majorBidi" w:cstheme="majorBidi"/>
          <w:lang w:val="fr-FR"/>
        </w:rPr>
        <w:t>la huitième reconstitution</w:t>
      </w:r>
      <w:r w:rsidR="006B49C0" w:rsidRPr="006B49C0">
        <w:rPr>
          <w:rFonts w:asciiTheme="majorBidi" w:eastAsiaTheme="minorHAnsi" w:hAnsiTheme="majorBidi" w:cstheme="majorBidi"/>
          <w:lang w:val="fr-FR"/>
        </w:rPr>
        <w:t xml:space="preserve"> de son fonds d</w:t>
      </w:r>
      <w:r w:rsidR="00713487">
        <w:rPr>
          <w:rFonts w:asciiTheme="majorBidi" w:eastAsiaTheme="minorHAnsi" w:hAnsiTheme="majorBidi" w:cstheme="majorBidi"/>
          <w:lang w:val="fr-FR"/>
        </w:rPr>
        <w:t>’</w:t>
      </w:r>
      <w:r w:rsidR="006B49C0" w:rsidRPr="006B49C0">
        <w:rPr>
          <w:rFonts w:asciiTheme="majorBidi" w:eastAsiaTheme="minorHAnsi" w:hAnsiTheme="majorBidi" w:cstheme="majorBidi"/>
          <w:lang w:val="fr-FR"/>
        </w:rPr>
        <w:t>affectation spéciale pour se conformer aux orientations de la Conférence des Parties en ce qui concerne son rôle dans la mobilisation des ressources et l</w:t>
      </w:r>
      <w:r w:rsidR="00713487">
        <w:rPr>
          <w:rFonts w:asciiTheme="majorBidi" w:eastAsiaTheme="minorHAnsi" w:hAnsiTheme="majorBidi" w:cstheme="majorBidi"/>
          <w:lang w:val="fr-FR"/>
        </w:rPr>
        <w:t>’</w:t>
      </w:r>
      <w:r w:rsidR="006B49C0" w:rsidRPr="006B49C0">
        <w:rPr>
          <w:rFonts w:asciiTheme="majorBidi" w:eastAsiaTheme="minorHAnsi" w:hAnsiTheme="majorBidi" w:cstheme="majorBidi"/>
          <w:lang w:val="fr-FR"/>
        </w:rPr>
        <w:t>appui à la mise en œuvre d</w:t>
      </w:r>
      <w:r w:rsidR="00713487">
        <w:rPr>
          <w:rFonts w:asciiTheme="majorBidi" w:eastAsiaTheme="minorHAnsi" w:hAnsiTheme="majorBidi" w:cstheme="majorBidi"/>
          <w:lang w:val="fr-FR"/>
        </w:rPr>
        <w:t>’</w:t>
      </w:r>
      <w:r w:rsidR="006B49C0" w:rsidRPr="006B49C0">
        <w:rPr>
          <w:rFonts w:asciiTheme="majorBidi" w:eastAsiaTheme="minorHAnsi" w:hAnsiTheme="majorBidi" w:cstheme="majorBidi"/>
          <w:lang w:val="fr-FR"/>
        </w:rPr>
        <w:t>activités visant à atteindre les objectifs de la Convention, y compris ses politiques et ses procédures</w:t>
      </w:r>
      <w:r w:rsidR="00555AEE" w:rsidRPr="0049796C">
        <w:rPr>
          <w:rFonts w:asciiTheme="majorBidi" w:eastAsiaTheme="minorHAnsi" w:hAnsiTheme="majorBidi" w:cstheme="majorBidi"/>
          <w:lang w:val="fr-FR"/>
        </w:rPr>
        <w:t>,</w:t>
      </w:r>
    </w:p>
    <w:p w14:paraId="54FFE06C" w14:textId="3BBF86E8" w:rsidR="00555AEE" w:rsidRPr="0049796C" w:rsidRDefault="008939F5" w:rsidP="009504DE">
      <w:pPr>
        <w:pStyle w:val="CBDNormalNumber"/>
        <w:numPr>
          <w:ilvl w:val="0"/>
          <w:numId w:val="0"/>
        </w:numPr>
        <w:ind w:left="567" w:firstLine="567"/>
        <w:rPr>
          <w:rFonts w:asciiTheme="majorBidi" w:eastAsiaTheme="minorHAnsi" w:hAnsiTheme="majorBidi" w:cstheme="majorBidi"/>
          <w:lang w:val="fr-FR"/>
        </w:rPr>
      </w:pPr>
      <w:r>
        <w:rPr>
          <w:rFonts w:asciiTheme="majorBidi" w:eastAsiaTheme="minorHAnsi" w:hAnsiTheme="majorBidi" w:cstheme="majorBidi"/>
          <w:i/>
          <w:iCs/>
          <w:lang w:val="fr-FR"/>
        </w:rPr>
        <w:t xml:space="preserve">Prenant </w:t>
      </w:r>
      <w:proofErr w:type="gramStart"/>
      <w:r>
        <w:rPr>
          <w:rFonts w:asciiTheme="majorBidi" w:eastAsiaTheme="minorHAnsi" w:hAnsiTheme="majorBidi" w:cstheme="majorBidi"/>
          <w:i/>
          <w:iCs/>
          <w:lang w:val="fr-FR"/>
        </w:rPr>
        <w:t xml:space="preserve">note </w:t>
      </w:r>
      <w:r w:rsidR="00555AEE" w:rsidRPr="0049796C">
        <w:rPr>
          <w:rFonts w:asciiTheme="majorBidi" w:eastAsiaTheme="minorHAnsi" w:hAnsiTheme="majorBidi" w:cstheme="majorBidi"/>
          <w:lang w:val="fr-FR"/>
        </w:rPr>
        <w:t xml:space="preserve"> </w:t>
      </w:r>
      <w:r w:rsidR="009E3506" w:rsidRPr="009E3506">
        <w:rPr>
          <w:rFonts w:asciiTheme="majorBidi" w:eastAsiaTheme="minorHAnsi" w:hAnsiTheme="majorBidi" w:cstheme="majorBidi"/>
          <w:lang w:val="fr-FR"/>
        </w:rPr>
        <w:t>que</w:t>
      </w:r>
      <w:proofErr w:type="gramEnd"/>
      <w:r w:rsidR="009E3506" w:rsidRPr="009E3506">
        <w:rPr>
          <w:rFonts w:asciiTheme="majorBidi" w:eastAsiaTheme="minorHAnsi" w:hAnsiTheme="majorBidi" w:cstheme="majorBidi"/>
          <w:lang w:val="fr-FR"/>
        </w:rPr>
        <w:t xml:space="preserve"> l</w:t>
      </w:r>
      <w:r w:rsidR="00713487">
        <w:rPr>
          <w:rFonts w:asciiTheme="majorBidi" w:eastAsiaTheme="minorHAnsi" w:hAnsiTheme="majorBidi" w:cstheme="majorBidi"/>
          <w:lang w:val="fr-FR"/>
        </w:rPr>
        <w:t>’</w:t>
      </w:r>
      <w:r w:rsidR="009E3506" w:rsidRPr="009E3506">
        <w:rPr>
          <w:rFonts w:asciiTheme="majorBidi" w:eastAsiaTheme="minorHAnsi" w:hAnsiTheme="majorBidi" w:cstheme="majorBidi"/>
          <w:lang w:val="fr-FR"/>
        </w:rPr>
        <w:t>efficacité du Fonds pour l</w:t>
      </w:r>
      <w:r w:rsidR="00713487">
        <w:rPr>
          <w:rFonts w:asciiTheme="majorBidi" w:eastAsiaTheme="minorHAnsi" w:hAnsiTheme="majorBidi" w:cstheme="majorBidi"/>
          <w:lang w:val="fr-FR"/>
        </w:rPr>
        <w:t>’</w:t>
      </w:r>
      <w:r w:rsidR="009E3506" w:rsidRPr="009E3506">
        <w:rPr>
          <w:rFonts w:asciiTheme="majorBidi" w:eastAsiaTheme="minorHAnsi" w:hAnsiTheme="majorBidi" w:cstheme="majorBidi"/>
          <w:lang w:val="fr-FR"/>
        </w:rPr>
        <w:t>environnement mondial est limitée, entre autres, par les éléments suivants</w:t>
      </w:r>
      <w:r w:rsidR="00D54C99">
        <w:rPr>
          <w:rFonts w:asciiTheme="majorBidi" w:eastAsiaTheme="minorHAnsi" w:hAnsiTheme="majorBidi" w:cstheme="majorBidi"/>
          <w:lang w:val="fr-FR"/>
        </w:rPr>
        <w:t> :</w:t>
      </w:r>
    </w:p>
    <w:p w14:paraId="77516E04" w14:textId="0D0480AB" w:rsidR="00555AEE" w:rsidRPr="0049796C" w:rsidRDefault="004A3A97" w:rsidP="009504DE">
      <w:pPr>
        <w:pStyle w:val="CBDNormalNumber"/>
        <w:numPr>
          <w:ilvl w:val="0"/>
          <w:numId w:val="0"/>
        </w:numPr>
        <w:ind w:left="560" w:firstLine="574"/>
        <w:rPr>
          <w:rFonts w:asciiTheme="majorBidi" w:eastAsiaTheme="minorHAnsi" w:hAnsiTheme="majorBidi" w:cstheme="majorBidi"/>
          <w:lang w:val="fr-FR"/>
        </w:rPr>
      </w:pPr>
      <w:r w:rsidRPr="0049796C">
        <w:rPr>
          <w:rFonts w:asciiTheme="majorBidi" w:eastAsiaTheme="minorHAnsi" w:hAnsiTheme="majorBidi" w:cstheme="majorBidi"/>
          <w:lang w:val="fr-FR"/>
        </w:rPr>
        <w:t>a)</w:t>
      </w:r>
      <w:r w:rsidRPr="0049796C">
        <w:rPr>
          <w:rFonts w:asciiTheme="majorBidi" w:eastAsiaTheme="minorHAnsi" w:hAnsiTheme="majorBidi" w:cstheme="majorBidi"/>
          <w:lang w:val="fr-FR"/>
        </w:rPr>
        <w:tab/>
      </w:r>
      <w:r w:rsidR="00B05690" w:rsidRPr="00B05690">
        <w:rPr>
          <w:rFonts w:asciiTheme="majorBidi" w:eastAsiaTheme="minorHAnsi" w:hAnsiTheme="majorBidi" w:cstheme="majorBidi"/>
          <w:lang w:val="fr-FR"/>
        </w:rPr>
        <w:t>La disponibilité limitée des ressources financières des pays donateurs</w:t>
      </w:r>
      <w:r w:rsidR="00713487">
        <w:rPr>
          <w:rFonts w:asciiTheme="majorBidi" w:eastAsiaTheme="minorHAnsi" w:hAnsiTheme="majorBidi" w:cstheme="majorBidi"/>
          <w:lang w:val="fr-FR"/>
        </w:rPr>
        <w:t> ;</w:t>
      </w:r>
    </w:p>
    <w:p w14:paraId="09F6870B" w14:textId="7E64C1CC" w:rsidR="00555AEE" w:rsidRPr="0049796C" w:rsidRDefault="004A3A97" w:rsidP="009504DE">
      <w:pPr>
        <w:pStyle w:val="CBDNormalNumber"/>
        <w:numPr>
          <w:ilvl w:val="0"/>
          <w:numId w:val="0"/>
        </w:numPr>
        <w:ind w:left="560" w:firstLine="574"/>
        <w:rPr>
          <w:rFonts w:asciiTheme="majorBidi" w:eastAsiaTheme="minorHAnsi" w:hAnsiTheme="majorBidi" w:cstheme="majorBidi"/>
          <w:lang w:val="fr-FR"/>
        </w:rPr>
      </w:pPr>
      <w:r w:rsidRPr="0049796C">
        <w:rPr>
          <w:rFonts w:asciiTheme="majorBidi" w:eastAsiaTheme="minorHAnsi" w:hAnsiTheme="majorBidi" w:cstheme="majorBidi"/>
          <w:lang w:val="fr-FR"/>
        </w:rPr>
        <w:t>b)</w:t>
      </w:r>
      <w:r w:rsidRPr="0049796C">
        <w:rPr>
          <w:rFonts w:asciiTheme="majorBidi" w:eastAsiaTheme="minorHAnsi" w:hAnsiTheme="majorBidi" w:cstheme="majorBidi"/>
          <w:lang w:val="fr-FR"/>
        </w:rPr>
        <w:tab/>
      </w:r>
      <w:r w:rsidR="00D404BA" w:rsidRPr="00D404BA">
        <w:rPr>
          <w:rFonts w:asciiTheme="majorBidi" w:eastAsiaTheme="minorHAnsi" w:hAnsiTheme="majorBidi" w:cstheme="majorBidi"/>
          <w:lang w:val="fr-FR"/>
        </w:rPr>
        <w:t>Des orientations stratégiques limitées de la part de la Conférence des Parties, y compris l</w:t>
      </w:r>
      <w:r w:rsidR="00713487">
        <w:rPr>
          <w:rFonts w:asciiTheme="majorBidi" w:eastAsiaTheme="minorHAnsi" w:hAnsiTheme="majorBidi" w:cstheme="majorBidi"/>
          <w:lang w:val="fr-FR"/>
        </w:rPr>
        <w:t>’</w:t>
      </w:r>
      <w:r w:rsidR="00D404BA" w:rsidRPr="00D404BA">
        <w:rPr>
          <w:rFonts w:asciiTheme="majorBidi" w:eastAsiaTheme="minorHAnsi" w:hAnsiTheme="majorBidi" w:cstheme="majorBidi"/>
          <w:lang w:val="fr-FR"/>
        </w:rPr>
        <w:t>absence de hiérarchisation des domaines d</w:t>
      </w:r>
      <w:r w:rsidR="00713487">
        <w:rPr>
          <w:rFonts w:asciiTheme="majorBidi" w:eastAsiaTheme="minorHAnsi" w:hAnsiTheme="majorBidi" w:cstheme="majorBidi"/>
          <w:lang w:val="fr-FR"/>
        </w:rPr>
        <w:t>’</w:t>
      </w:r>
      <w:r w:rsidR="00D404BA" w:rsidRPr="00D404BA">
        <w:rPr>
          <w:rFonts w:asciiTheme="majorBidi" w:eastAsiaTheme="minorHAnsi" w:hAnsiTheme="majorBidi" w:cstheme="majorBidi"/>
          <w:lang w:val="fr-FR"/>
        </w:rPr>
        <w:t>intervention</w:t>
      </w:r>
      <w:r w:rsidR="00713487">
        <w:rPr>
          <w:rFonts w:asciiTheme="majorBidi" w:eastAsiaTheme="minorHAnsi" w:hAnsiTheme="majorBidi" w:cstheme="majorBidi"/>
          <w:lang w:val="fr-FR"/>
        </w:rPr>
        <w:t> ;</w:t>
      </w:r>
    </w:p>
    <w:p w14:paraId="51A76093" w14:textId="562EE397" w:rsidR="00555AEE" w:rsidRPr="0049796C" w:rsidRDefault="00671C1D" w:rsidP="009504DE">
      <w:pPr>
        <w:pStyle w:val="CBDNormalNumber"/>
        <w:numPr>
          <w:ilvl w:val="0"/>
          <w:numId w:val="0"/>
        </w:numPr>
        <w:ind w:left="560" w:firstLine="574"/>
        <w:rPr>
          <w:rFonts w:asciiTheme="majorBidi" w:eastAsiaTheme="minorHAnsi" w:hAnsiTheme="majorBidi" w:cstheme="majorBidi"/>
          <w:lang w:val="fr-FR"/>
        </w:rPr>
      </w:pPr>
      <w:r w:rsidRPr="0049796C">
        <w:rPr>
          <w:rFonts w:asciiTheme="majorBidi" w:eastAsiaTheme="minorHAnsi" w:hAnsiTheme="majorBidi" w:cstheme="majorBidi"/>
          <w:lang w:val="fr-FR"/>
        </w:rPr>
        <w:t>c)</w:t>
      </w:r>
      <w:r w:rsidRPr="0049796C">
        <w:rPr>
          <w:rFonts w:asciiTheme="majorBidi" w:eastAsiaTheme="minorHAnsi" w:hAnsiTheme="majorBidi" w:cstheme="majorBidi"/>
          <w:lang w:val="fr-FR"/>
        </w:rPr>
        <w:tab/>
      </w:r>
      <w:r w:rsidR="00140EA5" w:rsidRPr="00140EA5">
        <w:rPr>
          <w:rFonts w:asciiTheme="majorBidi" w:eastAsiaTheme="minorHAnsi" w:hAnsiTheme="majorBidi" w:cstheme="majorBidi"/>
          <w:lang w:val="fr-FR"/>
        </w:rPr>
        <w:t>Un sentiment d</w:t>
      </w:r>
      <w:r w:rsidR="00713487">
        <w:rPr>
          <w:rFonts w:asciiTheme="majorBidi" w:eastAsiaTheme="minorHAnsi" w:hAnsiTheme="majorBidi" w:cstheme="majorBidi"/>
          <w:lang w:val="fr-FR"/>
        </w:rPr>
        <w:t>’</w:t>
      </w:r>
      <w:r w:rsidR="00140EA5" w:rsidRPr="00140EA5">
        <w:rPr>
          <w:rFonts w:asciiTheme="majorBidi" w:eastAsiaTheme="minorHAnsi" w:hAnsiTheme="majorBidi" w:cstheme="majorBidi"/>
          <w:lang w:val="fr-FR"/>
        </w:rPr>
        <w:t>appropriation limité de la part des pays bénéficiaires au sein du système du Fonds pour l</w:t>
      </w:r>
      <w:r w:rsidR="00713487">
        <w:rPr>
          <w:rFonts w:asciiTheme="majorBidi" w:eastAsiaTheme="minorHAnsi" w:hAnsiTheme="majorBidi" w:cstheme="majorBidi"/>
          <w:lang w:val="fr-FR"/>
        </w:rPr>
        <w:t>’</w:t>
      </w:r>
      <w:r w:rsidR="00140EA5" w:rsidRPr="00140EA5">
        <w:rPr>
          <w:rFonts w:asciiTheme="majorBidi" w:eastAsiaTheme="minorHAnsi" w:hAnsiTheme="majorBidi" w:cstheme="majorBidi"/>
          <w:lang w:val="fr-FR"/>
        </w:rPr>
        <w:t>environnement mondial</w:t>
      </w:r>
      <w:r w:rsidR="00713487">
        <w:rPr>
          <w:rFonts w:asciiTheme="majorBidi" w:eastAsiaTheme="minorHAnsi" w:hAnsiTheme="majorBidi" w:cstheme="majorBidi"/>
          <w:lang w:val="fr-FR"/>
        </w:rPr>
        <w:t> ;</w:t>
      </w:r>
    </w:p>
    <w:p w14:paraId="1D30CE5B" w14:textId="623D37EF" w:rsidR="00555AEE" w:rsidRPr="0049796C" w:rsidRDefault="00140EA5" w:rsidP="009504DE">
      <w:pPr>
        <w:pStyle w:val="CBDNormalNumber"/>
        <w:numPr>
          <w:ilvl w:val="0"/>
          <w:numId w:val="0"/>
        </w:numPr>
        <w:ind w:left="567" w:firstLine="567"/>
        <w:rPr>
          <w:rFonts w:asciiTheme="majorBidi" w:eastAsiaTheme="minorHAnsi" w:hAnsiTheme="majorBidi" w:cstheme="majorBidi"/>
          <w:lang w:val="fr-FR"/>
        </w:rPr>
      </w:pPr>
      <w:r>
        <w:rPr>
          <w:rFonts w:asciiTheme="majorBidi" w:eastAsiaTheme="minorHAnsi" w:hAnsiTheme="majorBidi" w:cstheme="majorBidi"/>
          <w:i/>
          <w:iCs/>
          <w:lang w:val="fr-FR"/>
        </w:rPr>
        <w:t>Prenant note également</w:t>
      </w:r>
      <w:r w:rsidR="00B42A92" w:rsidRPr="0049796C">
        <w:rPr>
          <w:rFonts w:asciiTheme="majorBidi" w:eastAsiaTheme="minorHAnsi" w:hAnsiTheme="majorBidi" w:cstheme="majorBidi"/>
          <w:i/>
          <w:iCs/>
          <w:lang w:val="fr-FR"/>
        </w:rPr>
        <w:t xml:space="preserve"> </w:t>
      </w:r>
      <w:r w:rsidRPr="00140EA5">
        <w:rPr>
          <w:rFonts w:asciiTheme="majorBidi" w:eastAsiaTheme="minorHAnsi" w:hAnsiTheme="majorBidi" w:cstheme="majorBidi"/>
          <w:lang w:val="fr-FR"/>
        </w:rPr>
        <w:t>de</w:t>
      </w:r>
      <w:r>
        <w:rPr>
          <w:rFonts w:asciiTheme="majorBidi" w:eastAsiaTheme="minorHAnsi" w:hAnsiTheme="majorBidi" w:cstheme="majorBidi"/>
          <w:i/>
          <w:iCs/>
          <w:lang w:val="fr-FR"/>
        </w:rPr>
        <w:t xml:space="preserve"> </w:t>
      </w:r>
      <w:r w:rsidRPr="00140EA5">
        <w:rPr>
          <w:rFonts w:asciiTheme="majorBidi" w:eastAsiaTheme="minorHAnsi" w:hAnsiTheme="majorBidi" w:cstheme="majorBidi"/>
          <w:lang w:val="fr-FR"/>
        </w:rPr>
        <w:t xml:space="preserve">la mise en œuvre limitée de projets visant à soutenir le protocole de </w:t>
      </w:r>
      <w:r w:rsidR="001B118E" w:rsidRPr="00140EA5">
        <w:rPr>
          <w:rFonts w:asciiTheme="majorBidi" w:eastAsiaTheme="minorHAnsi" w:hAnsiTheme="majorBidi" w:cstheme="majorBidi"/>
          <w:lang w:val="fr-FR"/>
        </w:rPr>
        <w:t>Cartage</w:t>
      </w:r>
      <w:r w:rsidR="001B118E">
        <w:rPr>
          <w:rFonts w:asciiTheme="majorBidi" w:eastAsiaTheme="minorHAnsi" w:hAnsiTheme="majorBidi" w:cstheme="majorBidi"/>
          <w:lang w:val="fr-FR"/>
        </w:rPr>
        <w:t>na</w:t>
      </w:r>
      <w:r w:rsidRPr="00140EA5">
        <w:rPr>
          <w:rFonts w:asciiTheme="majorBidi" w:eastAsiaTheme="minorHAnsi" w:hAnsiTheme="majorBidi" w:cstheme="majorBidi"/>
          <w:lang w:val="fr-FR"/>
        </w:rPr>
        <w:t xml:space="preserve"> sur la biosécurité</w:t>
      </w:r>
      <w:r w:rsidRPr="00140EA5">
        <w:rPr>
          <w:rStyle w:val="FootnoteReference"/>
          <w:rFonts w:asciiTheme="majorBidi" w:eastAsiaTheme="minorHAnsi" w:hAnsiTheme="majorBidi" w:cstheme="majorBidi"/>
          <w:vertAlign w:val="baseline"/>
          <w:lang w:val="fr-FR"/>
        </w:rPr>
        <w:t xml:space="preserve"> </w:t>
      </w:r>
      <w:r w:rsidR="000B7D40" w:rsidRPr="0049796C">
        <w:rPr>
          <w:rStyle w:val="FootnoteReference"/>
          <w:rFonts w:asciiTheme="majorBidi" w:eastAsiaTheme="minorHAnsi" w:hAnsiTheme="majorBidi" w:cstheme="majorBidi"/>
          <w:lang w:val="fr-FR"/>
        </w:rPr>
        <w:footnoteReference w:id="8"/>
      </w:r>
      <w:r w:rsidR="000B7D40" w:rsidRPr="0049796C">
        <w:rPr>
          <w:rFonts w:asciiTheme="majorBidi" w:eastAsiaTheme="minorHAnsi" w:hAnsiTheme="majorBidi" w:cstheme="majorBidi"/>
          <w:lang w:val="fr-FR"/>
        </w:rPr>
        <w:t xml:space="preserve"> </w:t>
      </w:r>
      <w:r w:rsidR="00E8547A" w:rsidRPr="00E8547A">
        <w:rPr>
          <w:rFonts w:asciiTheme="majorBidi" w:eastAsiaTheme="minorHAnsi" w:hAnsiTheme="majorBidi" w:cstheme="majorBidi"/>
          <w:lang w:val="fr-FR"/>
        </w:rPr>
        <w:t>et du Protocole de Nagoya sur l</w:t>
      </w:r>
      <w:r w:rsidR="00713487">
        <w:rPr>
          <w:rFonts w:asciiTheme="majorBidi" w:eastAsiaTheme="minorHAnsi" w:hAnsiTheme="majorBidi" w:cstheme="majorBidi"/>
          <w:lang w:val="fr-FR"/>
        </w:rPr>
        <w:t>’</w:t>
      </w:r>
      <w:r w:rsidR="00E8547A" w:rsidRPr="00E8547A">
        <w:rPr>
          <w:rFonts w:asciiTheme="majorBidi" w:eastAsiaTheme="minorHAnsi" w:hAnsiTheme="majorBidi" w:cstheme="majorBidi"/>
          <w:lang w:val="fr-FR"/>
        </w:rPr>
        <w:t>accès aux ressources génétiques et le partage juste et équitable des avantages découlant de leur utilisation</w:t>
      </w:r>
      <w:r w:rsidR="00555AEE" w:rsidRPr="0049796C">
        <w:rPr>
          <w:rFonts w:asciiTheme="majorBidi" w:eastAsiaTheme="minorHAnsi" w:hAnsiTheme="majorBidi" w:cstheme="majorBidi"/>
          <w:lang w:val="fr-FR"/>
        </w:rPr>
        <w:t>,</w:t>
      </w:r>
      <w:r w:rsidR="0073447A" w:rsidRPr="0049796C">
        <w:rPr>
          <w:rStyle w:val="FootnoteReference"/>
          <w:rFonts w:asciiTheme="majorBidi" w:eastAsiaTheme="minorHAnsi" w:hAnsiTheme="majorBidi" w:cstheme="majorBidi"/>
          <w:lang w:val="fr-FR"/>
        </w:rPr>
        <w:footnoteReference w:id="9"/>
      </w:r>
    </w:p>
    <w:p w14:paraId="7469428F" w14:textId="16C3027F" w:rsidR="00555AEE" w:rsidRPr="0049796C" w:rsidRDefault="00E8547A" w:rsidP="009504DE">
      <w:pPr>
        <w:pStyle w:val="CBDNormalNumber"/>
        <w:numPr>
          <w:ilvl w:val="0"/>
          <w:numId w:val="0"/>
        </w:numPr>
        <w:ind w:left="567" w:firstLine="567"/>
        <w:rPr>
          <w:rFonts w:asciiTheme="majorBidi" w:eastAsiaTheme="minorHAnsi" w:hAnsiTheme="majorBidi" w:cstheme="majorBidi"/>
          <w:lang w:val="fr-FR"/>
        </w:rPr>
      </w:pPr>
      <w:r>
        <w:rPr>
          <w:rFonts w:asciiTheme="majorBidi" w:eastAsiaTheme="minorHAnsi" w:hAnsiTheme="majorBidi" w:cstheme="majorBidi"/>
          <w:i/>
          <w:iCs/>
          <w:lang w:val="fr-FR"/>
        </w:rPr>
        <w:t>Soulignant</w:t>
      </w:r>
      <w:r w:rsidR="00555AEE" w:rsidRPr="0049796C">
        <w:rPr>
          <w:rFonts w:asciiTheme="majorBidi" w:eastAsiaTheme="minorHAnsi" w:hAnsiTheme="majorBidi" w:cstheme="majorBidi"/>
          <w:lang w:val="fr-FR"/>
        </w:rPr>
        <w:t xml:space="preserve"> </w:t>
      </w:r>
      <w:r w:rsidRPr="00E8547A">
        <w:rPr>
          <w:rFonts w:asciiTheme="majorBidi" w:eastAsiaTheme="minorHAnsi" w:hAnsiTheme="majorBidi" w:cstheme="majorBidi"/>
          <w:lang w:val="fr-FR"/>
        </w:rPr>
        <w:t>la contribution des populations autochtones et des communautés locales à la mise en œuvre de la convention et se félicitant du soutien que leur apporte actuellement le Fonds pour l</w:t>
      </w:r>
      <w:r w:rsidR="00713487">
        <w:rPr>
          <w:rFonts w:asciiTheme="majorBidi" w:eastAsiaTheme="minorHAnsi" w:hAnsiTheme="majorBidi" w:cstheme="majorBidi"/>
          <w:lang w:val="fr-FR"/>
        </w:rPr>
        <w:t>’</w:t>
      </w:r>
      <w:r w:rsidRPr="00E8547A">
        <w:rPr>
          <w:rFonts w:asciiTheme="majorBidi" w:eastAsiaTheme="minorHAnsi" w:hAnsiTheme="majorBidi" w:cstheme="majorBidi"/>
          <w:lang w:val="fr-FR"/>
        </w:rPr>
        <w:t>environnement mondial</w:t>
      </w:r>
      <w:r w:rsidR="00555AEE" w:rsidRPr="0049796C">
        <w:rPr>
          <w:rFonts w:asciiTheme="majorBidi" w:eastAsiaTheme="minorHAnsi" w:hAnsiTheme="majorBidi" w:cstheme="majorBidi"/>
          <w:lang w:val="fr-FR"/>
        </w:rPr>
        <w:t>,</w:t>
      </w:r>
    </w:p>
    <w:p w14:paraId="052B6F6C" w14:textId="1416BF13" w:rsidR="00555AEE" w:rsidRPr="0049796C" w:rsidRDefault="00E8547A" w:rsidP="009504DE">
      <w:pPr>
        <w:pStyle w:val="CBDNormalNumber"/>
        <w:numPr>
          <w:ilvl w:val="0"/>
          <w:numId w:val="0"/>
        </w:numPr>
        <w:ind w:left="567" w:firstLine="567"/>
        <w:rPr>
          <w:rFonts w:asciiTheme="majorBidi" w:eastAsiaTheme="minorHAnsi" w:hAnsiTheme="majorBidi" w:cstheme="majorBidi"/>
          <w:lang w:val="fr-FR"/>
        </w:rPr>
      </w:pPr>
      <w:r>
        <w:rPr>
          <w:rFonts w:asciiTheme="majorBidi" w:eastAsiaTheme="minorHAnsi" w:hAnsiTheme="majorBidi" w:cstheme="majorBidi"/>
          <w:i/>
          <w:iCs/>
          <w:lang w:val="fr-FR"/>
        </w:rPr>
        <w:t>Reconnaissant</w:t>
      </w:r>
      <w:r w:rsidR="00555AEE" w:rsidRPr="0049796C">
        <w:rPr>
          <w:rFonts w:asciiTheme="majorBidi" w:eastAsiaTheme="minorHAnsi" w:hAnsiTheme="majorBidi" w:cstheme="majorBidi"/>
          <w:lang w:val="fr-FR"/>
        </w:rPr>
        <w:t xml:space="preserve"> </w:t>
      </w:r>
      <w:r w:rsidR="00DF0D5D" w:rsidRPr="00DF0D5D">
        <w:rPr>
          <w:rFonts w:asciiTheme="majorBidi" w:eastAsiaTheme="minorHAnsi" w:hAnsiTheme="majorBidi" w:cstheme="majorBidi"/>
          <w:lang w:val="fr-FR"/>
        </w:rPr>
        <w:t>l</w:t>
      </w:r>
      <w:r w:rsidR="00713487">
        <w:rPr>
          <w:rFonts w:asciiTheme="majorBidi" w:eastAsiaTheme="minorHAnsi" w:hAnsiTheme="majorBidi" w:cstheme="majorBidi"/>
          <w:lang w:val="fr-FR"/>
        </w:rPr>
        <w:t>’</w:t>
      </w:r>
      <w:r w:rsidR="00DF0D5D" w:rsidRPr="00DF0D5D">
        <w:rPr>
          <w:rFonts w:asciiTheme="majorBidi" w:eastAsiaTheme="minorHAnsi" w:hAnsiTheme="majorBidi" w:cstheme="majorBidi"/>
          <w:lang w:val="fr-FR"/>
        </w:rPr>
        <w:t>importance de déployer des efforts supplémentaires pour améliorer l</w:t>
      </w:r>
      <w:r w:rsidR="00713487">
        <w:rPr>
          <w:rFonts w:asciiTheme="majorBidi" w:eastAsiaTheme="minorHAnsi" w:hAnsiTheme="majorBidi" w:cstheme="majorBidi"/>
          <w:lang w:val="fr-FR"/>
        </w:rPr>
        <w:t>’</w:t>
      </w:r>
      <w:r w:rsidR="00DF0D5D" w:rsidRPr="00DF0D5D">
        <w:rPr>
          <w:rFonts w:asciiTheme="majorBidi" w:eastAsiaTheme="minorHAnsi" w:hAnsiTheme="majorBidi" w:cstheme="majorBidi"/>
          <w:lang w:val="fr-FR"/>
        </w:rPr>
        <w:t>orientation du mécanisme financier fournie par la Conférence des Parties et la nécessité de fournir une meilleure orientation au Fonds pour l</w:t>
      </w:r>
      <w:r w:rsidR="00713487">
        <w:rPr>
          <w:rFonts w:asciiTheme="majorBidi" w:eastAsiaTheme="minorHAnsi" w:hAnsiTheme="majorBidi" w:cstheme="majorBidi"/>
          <w:lang w:val="fr-FR"/>
        </w:rPr>
        <w:t>’</w:t>
      </w:r>
      <w:r w:rsidR="00DF0D5D" w:rsidRPr="00DF0D5D">
        <w:rPr>
          <w:rFonts w:asciiTheme="majorBidi" w:eastAsiaTheme="minorHAnsi" w:hAnsiTheme="majorBidi" w:cstheme="majorBidi"/>
          <w:lang w:val="fr-FR"/>
        </w:rPr>
        <w:t>environnement mondial,</w:t>
      </w:r>
      <w:r w:rsidR="00555AEE" w:rsidRPr="0049796C">
        <w:rPr>
          <w:rFonts w:asciiTheme="majorBidi" w:eastAsiaTheme="minorHAnsi" w:hAnsiTheme="majorBidi" w:cstheme="majorBidi"/>
          <w:lang w:val="fr-FR"/>
        </w:rPr>
        <w:t xml:space="preserve"> </w:t>
      </w:r>
    </w:p>
    <w:p w14:paraId="6E5E454B" w14:textId="5C6D5158" w:rsidR="00555AEE" w:rsidRPr="0049796C" w:rsidRDefault="00DF0D5D" w:rsidP="009504DE">
      <w:pPr>
        <w:pStyle w:val="CBDNormalNumber"/>
        <w:numPr>
          <w:ilvl w:val="0"/>
          <w:numId w:val="0"/>
        </w:numPr>
        <w:ind w:left="567" w:firstLine="567"/>
        <w:rPr>
          <w:rFonts w:asciiTheme="majorBidi" w:eastAsiaTheme="minorHAnsi" w:hAnsiTheme="majorBidi" w:cstheme="majorBidi"/>
          <w:lang w:val="fr-FR"/>
        </w:rPr>
      </w:pPr>
      <w:r w:rsidRPr="00DF0D5D">
        <w:rPr>
          <w:rFonts w:asciiTheme="majorBidi" w:eastAsiaTheme="minorHAnsi" w:hAnsiTheme="majorBidi" w:cstheme="majorBidi"/>
          <w:i/>
          <w:iCs/>
          <w:lang w:val="fr-FR"/>
        </w:rPr>
        <w:t xml:space="preserve">Reconnaissant </w:t>
      </w:r>
      <w:r w:rsidR="00947CB8" w:rsidRPr="00947CB8">
        <w:rPr>
          <w:rFonts w:asciiTheme="majorBidi" w:eastAsiaTheme="minorHAnsi" w:hAnsiTheme="majorBidi" w:cstheme="majorBidi"/>
          <w:lang w:val="fr-FR"/>
        </w:rPr>
        <w:t>q</w:t>
      </w:r>
      <w:r w:rsidR="00EC6C45" w:rsidRPr="00EC6C45">
        <w:rPr>
          <w:rFonts w:asciiTheme="majorBidi" w:eastAsiaTheme="minorHAnsi" w:hAnsiTheme="majorBidi" w:cstheme="majorBidi"/>
          <w:lang w:val="fr-FR"/>
        </w:rPr>
        <w:t>ue les ressources du mécanisme financier sont fournies de manière relativement prévisible par l</w:t>
      </w:r>
      <w:r w:rsidR="00713487">
        <w:rPr>
          <w:rFonts w:asciiTheme="majorBidi" w:eastAsiaTheme="minorHAnsi" w:hAnsiTheme="majorBidi" w:cstheme="majorBidi"/>
          <w:lang w:val="fr-FR"/>
        </w:rPr>
        <w:t>’</w:t>
      </w:r>
      <w:r w:rsidR="00EC6C45" w:rsidRPr="00EC6C45">
        <w:rPr>
          <w:rFonts w:asciiTheme="majorBidi" w:eastAsiaTheme="minorHAnsi" w:hAnsiTheme="majorBidi" w:cstheme="majorBidi"/>
          <w:lang w:val="fr-FR"/>
        </w:rPr>
        <w:t>intermédiaire du Fonds fiduciaire du Fonds pour l</w:t>
      </w:r>
      <w:r w:rsidR="00713487">
        <w:rPr>
          <w:rFonts w:asciiTheme="majorBidi" w:eastAsiaTheme="minorHAnsi" w:hAnsiTheme="majorBidi" w:cstheme="majorBidi"/>
          <w:lang w:val="fr-FR"/>
        </w:rPr>
        <w:t>’</w:t>
      </w:r>
      <w:r w:rsidR="00EC6C45" w:rsidRPr="00EC6C45">
        <w:rPr>
          <w:rFonts w:asciiTheme="majorBidi" w:eastAsiaTheme="minorHAnsi" w:hAnsiTheme="majorBidi" w:cstheme="majorBidi"/>
          <w:lang w:val="fr-FR"/>
        </w:rPr>
        <w:t>environnement mondial grâce à la mise en œuvre du système d</w:t>
      </w:r>
      <w:r w:rsidR="00713487">
        <w:rPr>
          <w:rFonts w:asciiTheme="majorBidi" w:eastAsiaTheme="minorHAnsi" w:hAnsiTheme="majorBidi" w:cstheme="majorBidi"/>
          <w:lang w:val="fr-FR"/>
        </w:rPr>
        <w:t>’</w:t>
      </w:r>
      <w:r w:rsidR="00EC6C45" w:rsidRPr="00EC6C45">
        <w:rPr>
          <w:rFonts w:asciiTheme="majorBidi" w:eastAsiaTheme="minorHAnsi" w:hAnsiTheme="majorBidi" w:cstheme="majorBidi"/>
          <w:lang w:val="fr-FR"/>
        </w:rPr>
        <w:t xml:space="preserve">allocation transparente des ressources, que des </w:t>
      </w:r>
      <w:r w:rsidR="00EC6C45" w:rsidRPr="00EC6C45">
        <w:rPr>
          <w:rFonts w:asciiTheme="majorBidi" w:eastAsiaTheme="minorHAnsi" w:hAnsiTheme="majorBidi" w:cstheme="majorBidi"/>
          <w:lang w:val="fr-FR"/>
        </w:rPr>
        <w:lastRenderedPageBreak/>
        <w:t>améliorations ont été apportées en ce qui concerne le versement en temps voulu des fonds aux pays admissibles et que la rationalisation du cycle des projets du Fonds pour l</w:t>
      </w:r>
      <w:r w:rsidR="00713487">
        <w:rPr>
          <w:rFonts w:asciiTheme="majorBidi" w:eastAsiaTheme="minorHAnsi" w:hAnsiTheme="majorBidi" w:cstheme="majorBidi"/>
          <w:lang w:val="fr-FR"/>
        </w:rPr>
        <w:t>’</w:t>
      </w:r>
      <w:r w:rsidR="00EC6C45" w:rsidRPr="00EC6C45">
        <w:rPr>
          <w:rFonts w:asciiTheme="majorBidi" w:eastAsiaTheme="minorHAnsi" w:hAnsiTheme="majorBidi" w:cstheme="majorBidi"/>
          <w:lang w:val="fr-FR"/>
        </w:rPr>
        <w:t>environnement mondial est également susceptible d</w:t>
      </w:r>
      <w:r w:rsidR="00713487">
        <w:rPr>
          <w:rFonts w:asciiTheme="majorBidi" w:eastAsiaTheme="minorHAnsi" w:hAnsiTheme="majorBidi" w:cstheme="majorBidi"/>
          <w:lang w:val="fr-FR"/>
        </w:rPr>
        <w:t>’</w:t>
      </w:r>
      <w:r w:rsidR="00EC6C45" w:rsidRPr="00EC6C45">
        <w:rPr>
          <w:rFonts w:asciiTheme="majorBidi" w:eastAsiaTheme="minorHAnsi" w:hAnsiTheme="majorBidi" w:cstheme="majorBidi"/>
          <w:lang w:val="fr-FR"/>
        </w:rPr>
        <w:t>avoir une incidence positive sur le versement en temps voulu des fonds,</w:t>
      </w:r>
    </w:p>
    <w:p w14:paraId="31953DE4" w14:textId="3D587093" w:rsidR="00555AEE" w:rsidRPr="0049796C" w:rsidRDefault="00EC6C45" w:rsidP="009504DE">
      <w:pPr>
        <w:pStyle w:val="CBDNormalNumber"/>
        <w:numPr>
          <w:ilvl w:val="0"/>
          <w:numId w:val="0"/>
        </w:numPr>
        <w:ind w:left="567" w:firstLine="567"/>
        <w:rPr>
          <w:rFonts w:asciiTheme="majorBidi" w:eastAsiaTheme="minorHAnsi" w:hAnsiTheme="majorBidi" w:cstheme="majorBidi"/>
          <w:lang w:val="fr-FR"/>
        </w:rPr>
      </w:pPr>
      <w:r>
        <w:rPr>
          <w:rFonts w:asciiTheme="majorBidi" w:eastAsiaTheme="minorHAnsi" w:hAnsiTheme="majorBidi" w:cstheme="majorBidi"/>
          <w:i/>
          <w:iCs/>
          <w:lang w:val="fr-FR"/>
        </w:rPr>
        <w:t>Reconnaissant également</w:t>
      </w:r>
      <w:r w:rsidR="00B42A92" w:rsidRPr="0049796C">
        <w:rPr>
          <w:rFonts w:asciiTheme="majorBidi" w:eastAsiaTheme="minorHAnsi" w:hAnsiTheme="majorBidi" w:cstheme="majorBidi"/>
          <w:i/>
          <w:iCs/>
          <w:lang w:val="fr-FR"/>
        </w:rPr>
        <w:t xml:space="preserve"> </w:t>
      </w:r>
      <w:r w:rsidR="00380F27" w:rsidRPr="00380F27">
        <w:rPr>
          <w:rFonts w:asciiTheme="majorBidi" w:eastAsiaTheme="minorHAnsi" w:hAnsiTheme="majorBidi" w:cstheme="majorBidi"/>
          <w:lang w:val="fr-FR"/>
        </w:rPr>
        <w:t>la nécessité de renforcer encore la direction, l</w:t>
      </w:r>
      <w:r w:rsidR="00713487">
        <w:rPr>
          <w:rFonts w:asciiTheme="majorBidi" w:eastAsiaTheme="minorHAnsi" w:hAnsiTheme="majorBidi" w:cstheme="majorBidi"/>
          <w:lang w:val="fr-FR"/>
        </w:rPr>
        <w:t>’</w:t>
      </w:r>
      <w:r w:rsidR="00380F27" w:rsidRPr="00380F27">
        <w:rPr>
          <w:rFonts w:asciiTheme="majorBidi" w:eastAsiaTheme="minorHAnsi" w:hAnsiTheme="majorBidi" w:cstheme="majorBidi"/>
          <w:lang w:val="fr-FR"/>
        </w:rPr>
        <w:t>appropriation et la responsabilité des pays en ce qui concerne les activités soutenues par le Fonds pour l</w:t>
      </w:r>
      <w:r w:rsidR="00713487">
        <w:rPr>
          <w:rFonts w:asciiTheme="majorBidi" w:eastAsiaTheme="minorHAnsi" w:hAnsiTheme="majorBidi" w:cstheme="majorBidi"/>
          <w:lang w:val="fr-FR"/>
        </w:rPr>
        <w:t>’</w:t>
      </w:r>
      <w:r w:rsidR="00380F27" w:rsidRPr="00380F27">
        <w:rPr>
          <w:rFonts w:asciiTheme="majorBidi" w:eastAsiaTheme="minorHAnsi" w:hAnsiTheme="majorBidi" w:cstheme="majorBidi"/>
          <w:lang w:val="fr-FR"/>
        </w:rPr>
        <w:t>environnement mondial</w:t>
      </w:r>
      <w:r w:rsidR="00B708C0" w:rsidRPr="0049796C">
        <w:rPr>
          <w:rFonts w:asciiTheme="majorBidi" w:hAnsiTheme="majorBidi" w:cstheme="majorBidi"/>
          <w:lang w:val="fr-FR"/>
        </w:rPr>
        <w:t>,</w:t>
      </w:r>
    </w:p>
    <w:p w14:paraId="45742008" w14:textId="5C29EA4F" w:rsidR="00555AEE" w:rsidRPr="0049796C" w:rsidRDefault="00EC6C45" w:rsidP="009504DE">
      <w:pPr>
        <w:pStyle w:val="CBDNormalNumber"/>
        <w:numPr>
          <w:ilvl w:val="0"/>
          <w:numId w:val="0"/>
        </w:numPr>
        <w:ind w:left="567" w:firstLine="567"/>
        <w:rPr>
          <w:rFonts w:asciiTheme="majorBidi" w:eastAsiaTheme="minorHAnsi" w:hAnsiTheme="majorBidi" w:cstheme="majorBidi"/>
          <w:lang w:val="fr-FR"/>
        </w:rPr>
      </w:pPr>
      <w:r w:rsidRPr="00EC6C45">
        <w:rPr>
          <w:rFonts w:asciiTheme="majorBidi" w:eastAsiaTheme="minorHAnsi" w:hAnsiTheme="majorBidi" w:cstheme="majorBidi"/>
          <w:i/>
          <w:iCs/>
          <w:lang w:val="fr-FR"/>
        </w:rPr>
        <w:t xml:space="preserve">Reconnaissant </w:t>
      </w:r>
      <w:r>
        <w:rPr>
          <w:rFonts w:asciiTheme="majorBidi" w:eastAsiaTheme="minorHAnsi" w:hAnsiTheme="majorBidi" w:cstheme="majorBidi"/>
          <w:i/>
          <w:iCs/>
          <w:lang w:val="fr-FR"/>
        </w:rPr>
        <w:t>en outre</w:t>
      </w:r>
      <w:r w:rsidR="00B42A92" w:rsidRPr="0049796C">
        <w:rPr>
          <w:rFonts w:asciiTheme="majorBidi" w:eastAsiaTheme="minorHAnsi" w:hAnsiTheme="majorBidi" w:cstheme="majorBidi"/>
          <w:i/>
          <w:iCs/>
          <w:lang w:val="fr-FR"/>
        </w:rPr>
        <w:t xml:space="preserve"> </w:t>
      </w:r>
      <w:r w:rsidR="00380F27" w:rsidRPr="00380F27">
        <w:rPr>
          <w:rFonts w:asciiTheme="majorBidi" w:eastAsiaTheme="minorHAnsi" w:hAnsiTheme="majorBidi" w:cstheme="majorBidi"/>
          <w:lang w:val="fr-FR"/>
        </w:rPr>
        <w:t>qu</w:t>
      </w:r>
      <w:r w:rsidR="00713487">
        <w:rPr>
          <w:rFonts w:asciiTheme="majorBidi" w:eastAsiaTheme="minorHAnsi" w:hAnsiTheme="majorBidi" w:cstheme="majorBidi"/>
          <w:lang w:val="fr-FR"/>
        </w:rPr>
        <w:t>’</w:t>
      </w:r>
      <w:r w:rsidR="00380F27" w:rsidRPr="00380F27">
        <w:rPr>
          <w:rFonts w:asciiTheme="majorBidi" w:eastAsiaTheme="minorHAnsi" w:hAnsiTheme="majorBidi" w:cstheme="majorBidi"/>
          <w:lang w:val="fr-FR"/>
        </w:rPr>
        <w:t>au fil des ans, le Fonds pour l</w:t>
      </w:r>
      <w:r w:rsidR="00713487">
        <w:rPr>
          <w:rFonts w:asciiTheme="majorBidi" w:eastAsiaTheme="minorHAnsi" w:hAnsiTheme="majorBidi" w:cstheme="majorBidi"/>
          <w:lang w:val="fr-FR"/>
        </w:rPr>
        <w:t>’</w:t>
      </w:r>
      <w:r w:rsidR="00380F27" w:rsidRPr="00380F27">
        <w:rPr>
          <w:rFonts w:asciiTheme="majorBidi" w:eastAsiaTheme="minorHAnsi" w:hAnsiTheme="majorBidi" w:cstheme="majorBidi"/>
          <w:lang w:val="fr-FR"/>
        </w:rPr>
        <w:t>environnement mondial a pris des mesures pour améliorer la qualité de ses rapports</w:t>
      </w:r>
      <w:r w:rsidR="00555AEE" w:rsidRPr="0049796C">
        <w:rPr>
          <w:rFonts w:asciiTheme="majorBidi" w:eastAsiaTheme="minorHAnsi" w:hAnsiTheme="majorBidi" w:cstheme="majorBidi"/>
          <w:lang w:val="fr-FR"/>
        </w:rPr>
        <w:t xml:space="preserve">, </w:t>
      </w:r>
    </w:p>
    <w:p w14:paraId="12FDA255" w14:textId="020F47DE" w:rsidR="00555AEE" w:rsidRPr="0049796C" w:rsidRDefault="00671C1D" w:rsidP="009504DE">
      <w:pPr>
        <w:pStyle w:val="CBDNormalNumber"/>
        <w:numPr>
          <w:ilvl w:val="0"/>
          <w:numId w:val="0"/>
        </w:numPr>
        <w:ind w:left="567" w:firstLine="567"/>
        <w:rPr>
          <w:rFonts w:asciiTheme="majorBidi" w:eastAsiaTheme="minorHAnsi" w:hAnsiTheme="majorBidi" w:cstheme="majorBidi"/>
          <w:lang w:val="fr-FR"/>
        </w:rPr>
      </w:pPr>
      <w:r w:rsidRPr="0049796C">
        <w:rPr>
          <w:rFonts w:asciiTheme="majorBidi" w:eastAsiaTheme="minorHAnsi" w:hAnsiTheme="majorBidi" w:cstheme="majorBidi"/>
          <w:lang w:val="fr-FR"/>
        </w:rPr>
        <w:t>1.</w:t>
      </w:r>
      <w:r w:rsidRPr="0049796C">
        <w:rPr>
          <w:rFonts w:asciiTheme="majorBidi" w:eastAsiaTheme="minorHAnsi" w:hAnsiTheme="majorBidi" w:cstheme="majorBidi"/>
          <w:i/>
          <w:iCs/>
          <w:lang w:val="fr-FR"/>
        </w:rPr>
        <w:tab/>
      </w:r>
      <w:r w:rsidR="00380F27" w:rsidRPr="0049796C">
        <w:rPr>
          <w:rFonts w:asciiTheme="majorBidi" w:eastAsiaTheme="minorHAnsi" w:hAnsiTheme="majorBidi" w:cstheme="majorBidi"/>
          <w:i/>
          <w:iCs/>
          <w:lang w:val="fr-FR"/>
        </w:rPr>
        <w:t>Décide</w:t>
      </w:r>
      <w:r w:rsidR="00555AEE" w:rsidRPr="0049796C">
        <w:rPr>
          <w:rFonts w:asciiTheme="majorBidi" w:eastAsiaTheme="minorHAnsi" w:hAnsiTheme="majorBidi" w:cstheme="majorBidi"/>
          <w:lang w:val="fr-FR"/>
        </w:rPr>
        <w:t xml:space="preserve"> </w:t>
      </w:r>
      <w:r w:rsidR="00606814" w:rsidRPr="00606814">
        <w:rPr>
          <w:rFonts w:asciiTheme="majorBidi" w:eastAsiaTheme="minorHAnsi" w:hAnsiTheme="majorBidi" w:cstheme="majorBidi"/>
          <w:lang w:val="fr-FR"/>
        </w:rPr>
        <w:t>de créer lors de sa dix-septième réunion</w:t>
      </w:r>
      <w:r w:rsidR="008F6169" w:rsidRPr="008F6169">
        <w:rPr>
          <w:rFonts w:asciiTheme="majorBidi" w:eastAsiaTheme="minorHAnsi" w:hAnsiTheme="majorBidi" w:cstheme="majorBidi"/>
          <w:lang w:val="fr-FR"/>
        </w:rPr>
        <w:t xml:space="preserve"> un comité permanent sur le mécanisme financier</w:t>
      </w:r>
      <w:r w:rsidR="00606814" w:rsidRPr="00606814">
        <w:rPr>
          <w:rFonts w:asciiTheme="majorBidi" w:eastAsiaTheme="minorHAnsi" w:hAnsiTheme="majorBidi" w:cstheme="majorBidi"/>
          <w:lang w:val="fr-FR"/>
        </w:rPr>
        <w:t xml:space="preserve"> en vue de renforcer l</w:t>
      </w:r>
      <w:r w:rsidR="00713487">
        <w:rPr>
          <w:rFonts w:asciiTheme="majorBidi" w:eastAsiaTheme="minorHAnsi" w:hAnsiTheme="majorBidi" w:cstheme="majorBidi"/>
          <w:lang w:val="fr-FR"/>
        </w:rPr>
        <w:t>’</w:t>
      </w:r>
      <w:r w:rsidR="00606814" w:rsidRPr="00606814">
        <w:rPr>
          <w:rFonts w:asciiTheme="majorBidi" w:eastAsiaTheme="minorHAnsi" w:hAnsiTheme="majorBidi" w:cstheme="majorBidi"/>
          <w:lang w:val="fr-FR"/>
        </w:rPr>
        <w:t xml:space="preserve">orientation stratégique donnée par la Conférence des parties au mécanisme financier, notamment en hiérarchisant </w:t>
      </w:r>
      <w:r w:rsidR="00BC074D">
        <w:rPr>
          <w:rFonts w:asciiTheme="majorBidi" w:eastAsiaTheme="minorHAnsi" w:hAnsiTheme="majorBidi" w:cstheme="majorBidi"/>
          <w:lang w:val="fr-FR"/>
        </w:rPr>
        <w:t>les</w:t>
      </w:r>
      <w:r w:rsidR="00606814" w:rsidRPr="00606814">
        <w:rPr>
          <w:rFonts w:asciiTheme="majorBidi" w:eastAsiaTheme="minorHAnsi" w:hAnsiTheme="majorBidi" w:cstheme="majorBidi"/>
          <w:lang w:val="fr-FR"/>
        </w:rPr>
        <w:t xml:space="preserve"> orientations </w:t>
      </w:r>
      <w:r w:rsidR="00BC074D">
        <w:rPr>
          <w:rFonts w:asciiTheme="majorBidi" w:eastAsiaTheme="minorHAnsi" w:hAnsiTheme="majorBidi" w:cstheme="majorBidi"/>
          <w:lang w:val="fr-FR"/>
        </w:rPr>
        <w:t xml:space="preserve">fournies par cette dernière </w:t>
      </w:r>
      <w:r w:rsidR="00606814" w:rsidRPr="00606814">
        <w:rPr>
          <w:rFonts w:asciiTheme="majorBidi" w:eastAsiaTheme="minorHAnsi" w:hAnsiTheme="majorBidi" w:cstheme="majorBidi"/>
          <w:lang w:val="fr-FR"/>
        </w:rPr>
        <w:t>et en élaborant des orientations qui soient plus faciles à mettre en œuvre et plus mesurables</w:t>
      </w:r>
      <w:r w:rsidR="00713487">
        <w:rPr>
          <w:rFonts w:asciiTheme="majorBidi" w:eastAsiaTheme="minorHAnsi" w:hAnsiTheme="majorBidi" w:cstheme="majorBidi"/>
          <w:lang w:val="fr-FR"/>
        </w:rPr>
        <w:t> ;</w:t>
      </w:r>
    </w:p>
    <w:p w14:paraId="27495F09" w14:textId="3DA9EB50" w:rsidR="00555AEE" w:rsidRPr="0049796C" w:rsidRDefault="00671C1D" w:rsidP="009504DE">
      <w:pPr>
        <w:pStyle w:val="CBDNormalNumber"/>
        <w:numPr>
          <w:ilvl w:val="0"/>
          <w:numId w:val="0"/>
        </w:numPr>
        <w:ind w:left="567" w:firstLine="567"/>
        <w:rPr>
          <w:rFonts w:asciiTheme="majorBidi" w:eastAsiaTheme="minorHAnsi" w:hAnsiTheme="majorBidi" w:cstheme="majorBidi"/>
          <w:lang w:val="fr-FR"/>
        </w:rPr>
      </w:pPr>
      <w:r w:rsidRPr="0049796C">
        <w:rPr>
          <w:rFonts w:asciiTheme="majorBidi" w:eastAsiaTheme="minorHAnsi" w:hAnsiTheme="majorBidi" w:cstheme="majorBidi"/>
          <w:lang w:val="fr-FR"/>
        </w:rPr>
        <w:t>2.</w:t>
      </w:r>
      <w:r w:rsidRPr="0049796C">
        <w:rPr>
          <w:rFonts w:asciiTheme="majorBidi" w:eastAsiaTheme="minorHAnsi" w:hAnsiTheme="majorBidi" w:cstheme="majorBidi"/>
          <w:i/>
          <w:iCs/>
          <w:lang w:val="fr-FR"/>
        </w:rPr>
        <w:tab/>
      </w:r>
      <w:r w:rsidR="00BC074D">
        <w:rPr>
          <w:rFonts w:asciiTheme="majorBidi" w:eastAsiaTheme="minorHAnsi" w:hAnsiTheme="majorBidi" w:cstheme="majorBidi"/>
          <w:i/>
          <w:iCs/>
          <w:lang w:val="fr-FR"/>
        </w:rPr>
        <w:t>Prie</w:t>
      </w:r>
      <w:r w:rsidR="00555AEE" w:rsidRPr="0049796C">
        <w:rPr>
          <w:rFonts w:asciiTheme="majorBidi" w:eastAsiaTheme="minorHAnsi" w:hAnsiTheme="majorBidi" w:cstheme="majorBidi"/>
          <w:lang w:val="fr-FR"/>
        </w:rPr>
        <w:t xml:space="preserve"> </w:t>
      </w:r>
      <w:r w:rsidR="0005571D" w:rsidRPr="0005571D">
        <w:rPr>
          <w:rFonts w:asciiTheme="majorBidi" w:eastAsiaTheme="minorHAnsi" w:hAnsiTheme="majorBidi" w:cstheme="majorBidi"/>
          <w:lang w:val="fr-FR"/>
        </w:rPr>
        <w:t>le Fonds pour l</w:t>
      </w:r>
      <w:r w:rsidR="00713487">
        <w:rPr>
          <w:rFonts w:asciiTheme="majorBidi" w:eastAsiaTheme="minorHAnsi" w:hAnsiTheme="majorBidi" w:cstheme="majorBidi"/>
          <w:lang w:val="fr-FR"/>
        </w:rPr>
        <w:t>’</w:t>
      </w:r>
      <w:r w:rsidR="0005571D" w:rsidRPr="0005571D">
        <w:rPr>
          <w:rFonts w:asciiTheme="majorBidi" w:eastAsiaTheme="minorHAnsi" w:hAnsiTheme="majorBidi" w:cstheme="majorBidi"/>
          <w:lang w:val="fr-FR"/>
        </w:rPr>
        <w:t>environnement mondial de redoubler d</w:t>
      </w:r>
      <w:r w:rsidR="00713487">
        <w:rPr>
          <w:rFonts w:asciiTheme="majorBidi" w:eastAsiaTheme="minorHAnsi" w:hAnsiTheme="majorBidi" w:cstheme="majorBidi"/>
          <w:lang w:val="fr-FR"/>
        </w:rPr>
        <w:t>’</w:t>
      </w:r>
      <w:r w:rsidR="0005571D" w:rsidRPr="0005571D">
        <w:rPr>
          <w:rFonts w:asciiTheme="majorBidi" w:eastAsiaTheme="minorHAnsi" w:hAnsiTheme="majorBidi" w:cstheme="majorBidi"/>
          <w:lang w:val="fr-FR"/>
        </w:rPr>
        <w:t xml:space="preserve">efforts pour mobiliser des ressources afin de soutenir la mise en œuvre de la Convention sur la diversité biologique, de ses protocoles et, en particulier, du Cadre mondial </w:t>
      </w:r>
      <w:r w:rsidR="0005571D">
        <w:rPr>
          <w:rFonts w:asciiTheme="majorBidi" w:eastAsiaTheme="minorHAnsi" w:hAnsiTheme="majorBidi" w:cstheme="majorBidi"/>
          <w:lang w:val="fr-FR"/>
        </w:rPr>
        <w:t>de la biodiversité</w:t>
      </w:r>
      <w:r w:rsidR="0005571D" w:rsidRPr="0005571D">
        <w:rPr>
          <w:rFonts w:asciiTheme="majorBidi" w:eastAsiaTheme="minorHAnsi" w:hAnsiTheme="majorBidi" w:cstheme="majorBidi"/>
          <w:lang w:val="fr-FR"/>
        </w:rPr>
        <w:t xml:space="preserve"> de Kunming-Montréal</w:t>
      </w:r>
      <w:r w:rsidR="00B708C0" w:rsidRPr="0049796C">
        <w:rPr>
          <w:rStyle w:val="FootnoteReference"/>
          <w:rFonts w:asciiTheme="majorBidi" w:eastAsiaTheme="minorHAnsi" w:hAnsiTheme="majorBidi" w:cstheme="majorBidi"/>
          <w:lang w:val="fr-FR"/>
        </w:rPr>
        <w:footnoteReference w:id="10"/>
      </w:r>
      <w:r w:rsidR="0005571D">
        <w:rPr>
          <w:rFonts w:asciiTheme="majorBidi" w:eastAsiaTheme="minorHAnsi" w:hAnsiTheme="majorBidi" w:cstheme="majorBidi"/>
          <w:lang w:val="fr-FR"/>
        </w:rPr>
        <w:t>,</w:t>
      </w:r>
      <w:r w:rsidR="00555AEE" w:rsidRPr="0049796C">
        <w:rPr>
          <w:rFonts w:asciiTheme="majorBidi" w:eastAsiaTheme="minorHAnsi" w:hAnsiTheme="majorBidi" w:cstheme="majorBidi"/>
          <w:lang w:val="fr-FR"/>
        </w:rPr>
        <w:t xml:space="preserve"> </w:t>
      </w:r>
      <w:r w:rsidR="007B2A28" w:rsidRPr="007B2A28">
        <w:rPr>
          <w:rFonts w:asciiTheme="majorBidi" w:eastAsiaTheme="minorHAnsi" w:hAnsiTheme="majorBidi" w:cstheme="majorBidi"/>
          <w:lang w:val="fr-FR"/>
        </w:rPr>
        <w:t>compris en mobilisant les contributions volontaires des parties, en particulier des pays développés Parties et des autres parties en mesure de contribuer, et d</w:t>
      </w:r>
      <w:r w:rsidR="00713487">
        <w:rPr>
          <w:rFonts w:asciiTheme="majorBidi" w:eastAsiaTheme="minorHAnsi" w:hAnsiTheme="majorBidi" w:cstheme="majorBidi"/>
          <w:lang w:val="fr-FR"/>
        </w:rPr>
        <w:t>’</w:t>
      </w:r>
      <w:r w:rsidR="007B2A28" w:rsidRPr="007B2A28">
        <w:rPr>
          <w:rFonts w:asciiTheme="majorBidi" w:eastAsiaTheme="minorHAnsi" w:hAnsiTheme="majorBidi" w:cstheme="majorBidi"/>
          <w:lang w:val="fr-FR"/>
        </w:rPr>
        <w:t>autres sources, telles que les banques multilatérales de développement, le secteur privé et les organisations philanthropiques, ainsi que par le biais d</w:t>
      </w:r>
      <w:r w:rsidR="00713487">
        <w:rPr>
          <w:rFonts w:asciiTheme="majorBidi" w:eastAsiaTheme="minorHAnsi" w:hAnsiTheme="majorBidi" w:cstheme="majorBidi"/>
          <w:lang w:val="fr-FR"/>
        </w:rPr>
        <w:t>’</w:t>
      </w:r>
      <w:r w:rsidR="007B2A28" w:rsidRPr="007B2A28">
        <w:rPr>
          <w:rFonts w:asciiTheme="majorBidi" w:eastAsiaTheme="minorHAnsi" w:hAnsiTheme="majorBidi" w:cstheme="majorBidi"/>
          <w:lang w:val="fr-FR"/>
        </w:rPr>
        <w:t>instruments de financement durable, afin d</w:t>
      </w:r>
      <w:r w:rsidR="00713487">
        <w:rPr>
          <w:rFonts w:asciiTheme="majorBidi" w:eastAsiaTheme="minorHAnsi" w:hAnsiTheme="majorBidi" w:cstheme="majorBidi"/>
          <w:lang w:val="fr-FR"/>
        </w:rPr>
        <w:t>’</w:t>
      </w:r>
      <w:r w:rsidR="007B2A28" w:rsidRPr="007B2A28">
        <w:rPr>
          <w:rFonts w:asciiTheme="majorBidi" w:eastAsiaTheme="minorHAnsi" w:hAnsiTheme="majorBidi" w:cstheme="majorBidi"/>
          <w:lang w:val="fr-FR"/>
        </w:rPr>
        <w:t>améliorer l</w:t>
      </w:r>
      <w:r w:rsidR="00713487">
        <w:rPr>
          <w:rFonts w:asciiTheme="majorBidi" w:eastAsiaTheme="minorHAnsi" w:hAnsiTheme="majorBidi" w:cstheme="majorBidi"/>
          <w:lang w:val="fr-FR"/>
        </w:rPr>
        <w:t>’</w:t>
      </w:r>
      <w:r w:rsidR="007B2A28" w:rsidRPr="007B2A28">
        <w:rPr>
          <w:rFonts w:asciiTheme="majorBidi" w:eastAsiaTheme="minorHAnsi" w:hAnsiTheme="majorBidi" w:cstheme="majorBidi"/>
          <w:lang w:val="fr-FR"/>
        </w:rPr>
        <w:t>adéquation des fonds et de combler le déficit de financement en faveur de la biodiversité</w:t>
      </w:r>
      <w:r w:rsidR="00713487">
        <w:rPr>
          <w:rFonts w:asciiTheme="majorBidi" w:eastAsiaTheme="minorHAnsi" w:hAnsiTheme="majorBidi" w:cstheme="majorBidi"/>
          <w:lang w:val="fr-FR"/>
        </w:rPr>
        <w:t> ;</w:t>
      </w:r>
    </w:p>
    <w:p w14:paraId="44CFB309" w14:textId="546286FA" w:rsidR="00555AEE" w:rsidRPr="0049796C" w:rsidRDefault="00671C1D" w:rsidP="009504DE">
      <w:pPr>
        <w:pStyle w:val="CBDNormalNumber"/>
        <w:numPr>
          <w:ilvl w:val="0"/>
          <w:numId w:val="0"/>
        </w:numPr>
        <w:ind w:left="567" w:firstLine="567"/>
        <w:rPr>
          <w:rFonts w:asciiTheme="majorBidi" w:eastAsiaTheme="minorHAnsi" w:hAnsiTheme="majorBidi" w:cstheme="majorBidi"/>
          <w:lang w:val="fr-FR"/>
        </w:rPr>
      </w:pPr>
      <w:r w:rsidRPr="0049796C">
        <w:rPr>
          <w:rFonts w:asciiTheme="majorBidi" w:eastAsiaTheme="minorHAnsi" w:hAnsiTheme="majorBidi" w:cstheme="majorBidi"/>
          <w:lang w:val="fr-FR"/>
        </w:rPr>
        <w:t>3</w:t>
      </w:r>
      <w:r w:rsidRPr="0049796C">
        <w:rPr>
          <w:rFonts w:asciiTheme="majorBidi" w:eastAsiaTheme="minorHAnsi" w:hAnsiTheme="majorBidi" w:cstheme="majorBidi"/>
          <w:i/>
          <w:iCs/>
          <w:lang w:val="fr-FR"/>
        </w:rPr>
        <w:t>.</w:t>
      </w:r>
      <w:r w:rsidRPr="0049796C">
        <w:rPr>
          <w:rFonts w:asciiTheme="majorBidi" w:eastAsiaTheme="minorHAnsi" w:hAnsiTheme="majorBidi" w:cstheme="majorBidi"/>
          <w:i/>
          <w:iCs/>
          <w:lang w:val="fr-FR"/>
        </w:rPr>
        <w:tab/>
      </w:r>
      <w:r w:rsidR="00B973E3">
        <w:rPr>
          <w:rFonts w:asciiTheme="majorBidi" w:eastAsiaTheme="minorHAnsi" w:hAnsiTheme="majorBidi" w:cstheme="majorBidi"/>
          <w:i/>
          <w:iCs/>
          <w:lang w:val="fr-FR"/>
        </w:rPr>
        <w:t xml:space="preserve">Prie également </w:t>
      </w:r>
      <w:r w:rsidR="00B973E3" w:rsidRPr="00B973E3">
        <w:rPr>
          <w:rFonts w:asciiTheme="majorBidi" w:eastAsiaTheme="minorHAnsi" w:hAnsiTheme="majorBidi" w:cstheme="majorBidi"/>
          <w:lang w:val="fr-FR"/>
        </w:rPr>
        <w:t>le Fonds pour l</w:t>
      </w:r>
      <w:r w:rsidR="00713487">
        <w:rPr>
          <w:rFonts w:asciiTheme="majorBidi" w:eastAsiaTheme="minorHAnsi" w:hAnsiTheme="majorBidi" w:cstheme="majorBidi"/>
          <w:lang w:val="fr-FR"/>
        </w:rPr>
        <w:t>’</w:t>
      </w:r>
      <w:r w:rsidR="00B973E3" w:rsidRPr="00B973E3">
        <w:rPr>
          <w:rFonts w:asciiTheme="majorBidi" w:eastAsiaTheme="minorHAnsi" w:hAnsiTheme="majorBidi" w:cstheme="majorBidi"/>
          <w:lang w:val="fr-FR"/>
        </w:rPr>
        <w:t>Environnement mondial</w:t>
      </w:r>
      <w:r w:rsidR="004A05CE">
        <w:rPr>
          <w:rFonts w:asciiTheme="majorBidi" w:eastAsiaTheme="minorHAnsi" w:hAnsiTheme="majorBidi" w:cstheme="majorBidi"/>
          <w:lang w:val="fr-FR"/>
        </w:rPr>
        <w:t xml:space="preserve"> </w:t>
      </w:r>
      <w:r w:rsidR="001917C6">
        <w:rPr>
          <w:rFonts w:asciiTheme="majorBidi" w:eastAsiaTheme="minorHAnsi" w:hAnsiTheme="majorBidi" w:cstheme="majorBidi"/>
          <w:lang w:val="fr-FR"/>
        </w:rPr>
        <w:t>de</w:t>
      </w:r>
      <w:r w:rsidR="00D54C99">
        <w:rPr>
          <w:rFonts w:asciiTheme="majorBidi" w:eastAsiaTheme="minorHAnsi" w:hAnsiTheme="majorBidi" w:cstheme="majorBidi"/>
          <w:lang w:val="fr-FR"/>
        </w:rPr>
        <w:t> :</w:t>
      </w:r>
    </w:p>
    <w:p w14:paraId="6F144725" w14:textId="3E8FF76F" w:rsidR="00555AEE" w:rsidRPr="0049796C" w:rsidRDefault="00671C1D" w:rsidP="009504DE">
      <w:pPr>
        <w:pStyle w:val="CBDNormalNumber"/>
        <w:numPr>
          <w:ilvl w:val="0"/>
          <w:numId w:val="0"/>
        </w:numPr>
        <w:ind w:left="567" w:firstLine="567"/>
        <w:rPr>
          <w:rFonts w:asciiTheme="majorBidi" w:eastAsiaTheme="minorHAnsi" w:hAnsiTheme="majorBidi" w:cstheme="majorBidi"/>
          <w:lang w:val="fr-FR"/>
        </w:rPr>
      </w:pPr>
      <w:r w:rsidRPr="0049796C">
        <w:rPr>
          <w:rFonts w:asciiTheme="majorBidi" w:eastAsiaTheme="minorHAnsi" w:hAnsiTheme="majorBidi" w:cstheme="majorBidi"/>
          <w:lang w:val="fr-FR"/>
        </w:rPr>
        <w:t>a)</w:t>
      </w:r>
      <w:r w:rsidRPr="0049796C">
        <w:rPr>
          <w:rFonts w:asciiTheme="majorBidi" w:eastAsiaTheme="minorHAnsi" w:hAnsiTheme="majorBidi" w:cstheme="majorBidi"/>
          <w:lang w:val="fr-FR"/>
        </w:rPr>
        <w:tab/>
      </w:r>
      <w:r w:rsidR="001917C6" w:rsidRPr="001917C6">
        <w:rPr>
          <w:rFonts w:asciiTheme="majorBidi" w:eastAsiaTheme="minorHAnsi" w:hAnsiTheme="majorBidi" w:cstheme="majorBidi"/>
          <w:lang w:val="fr-FR"/>
        </w:rPr>
        <w:t>Examiner plus avant la possibilité d</w:t>
      </w:r>
      <w:r w:rsidR="00713487">
        <w:rPr>
          <w:rFonts w:asciiTheme="majorBidi" w:eastAsiaTheme="minorHAnsi" w:hAnsiTheme="majorBidi" w:cstheme="majorBidi"/>
          <w:lang w:val="fr-FR"/>
        </w:rPr>
        <w:t>’</w:t>
      </w:r>
      <w:r w:rsidR="001917C6" w:rsidRPr="001917C6">
        <w:rPr>
          <w:rFonts w:asciiTheme="majorBidi" w:eastAsiaTheme="minorHAnsi" w:hAnsiTheme="majorBidi" w:cstheme="majorBidi"/>
          <w:lang w:val="fr-FR"/>
        </w:rPr>
        <w:t>accroître la flexibilité des processus de proposition de projet, y compris en ce qui concerne les exigences en matière de cofinancement, en particulier pour les pays les moins avancés et les petits États insulaires en développement</w:t>
      </w:r>
      <w:r w:rsidR="00713487">
        <w:rPr>
          <w:rFonts w:asciiTheme="majorBidi" w:eastAsiaTheme="minorHAnsi" w:hAnsiTheme="majorBidi" w:cstheme="majorBidi"/>
          <w:lang w:val="fr-FR"/>
        </w:rPr>
        <w:t> ;</w:t>
      </w:r>
    </w:p>
    <w:p w14:paraId="77FA3F57" w14:textId="0835E52E" w:rsidR="00555AEE" w:rsidRPr="0049796C" w:rsidRDefault="00671C1D" w:rsidP="009504DE">
      <w:pPr>
        <w:pStyle w:val="CBDNormalNumber"/>
        <w:numPr>
          <w:ilvl w:val="0"/>
          <w:numId w:val="0"/>
        </w:numPr>
        <w:ind w:left="567" w:firstLine="567"/>
        <w:rPr>
          <w:rFonts w:asciiTheme="majorBidi" w:eastAsiaTheme="minorHAnsi" w:hAnsiTheme="majorBidi" w:cstheme="majorBidi"/>
          <w:lang w:val="fr-FR"/>
        </w:rPr>
      </w:pPr>
      <w:r w:rsidRPr="0049796C">
        <w:rPr>
          <w:rFonts w:asciiTheme="majorBidi" w:hAnsiTheme="majorBidi" w:cstheme="majorBidi"/>
          <w:lang w:val="fr-FR"/>
        </w:rPr>
        <w:t>b)</w:t>
      </w:r>
      <w:r w:rsidRPr="0049796C">
        <w:rPr>
          <w:rFonts w:asciiTheme="majorBidi" w:hAnsiTheme="majorBidi" w:cstheme="majorBidi"/>
          <w:lang w:val="fr-FR"/>
        </w:rPr>
        <w:tab/>
      </w:r>
      <w:r w:rsidR="001917C6" w:rsidRPr="001917C6">
        <w:rPr>
          <w:rFonts w:asciiTheme="majorBidi" w:hAnsiTheme="majorBidi" w:cstheme="majorBidi"/>
          <w:lang w:val="fr-FR"/>
        </w:rPr>
        <w:t>Examiner la possibilité d</w:t>
      </w:r>
      <w:r w:rsidR="00713487">
        <w:rPr>
          <w:rFonts w:asciiTheme="majorBidi" w:hAnsiTheme="majorBidi" w:cstheme="majorBidi"/>
          <w:lang w:val="fr-FR"/>
        </w:rPr>
        <w:t>’</w:t>
      </w:r>
      <w:r w:rsidR="001917C6" w:rsidRPr="001917C6">
        <w:rPr>
          <w:rFonts w:asciiTheme="majorBidi" w:hAnsiTheme="majorBidi" w:cstheme="majorBidi"/>
          <w:lang w:val="fr-FR"/>
        </w:rPr>
        <w:t>accroître le soutien aux approches programmatiques durables et au développement des capacités</w:t>
      </w:r>
      <w:r w:rsidR="00713487">
        <w:rPr>
          <w:rFonts w:asciiTheme="majorBidi" w:hAnsiTheme="majorBidi" w:cstheme="majorBidi"/>
          <w:lang w:val="fr-FR"/>
        </w:rPr>
        <w:t> ;</w:t>
      </w:r>
    </w:p>
    <w:p w14:paraId="565CD1D5" w14:textId="2F827B93" w:rsidR="00555AEE" w:rsidRPr="0049796C" w:rsidRDefault="00671C1D" w:rsidP="009504DE">
      <w:pPr>
        <w:pStyle w:val="CBDNormalNumber"/>
        <w:numPr>
          <w:ilvl w:val="0"/>
          <w:numId w:val="0"/>
        </w:numPr>
        <w:ind w:left="567" w:firstLine="567"/>
        <w:rPr>
          <w:rFonts w:asciiTheme="majorBidi" w:eastAsiaTheme="minorHAnsi" w:hAnsiTheme="majorBidi" w:cstheme="majorBidi"/>
          <w:lang w:val="fr-FR"/>
        </w:rPr>
      </w:pPr>
      <w:r w:rsidRPr="0049796C">
        <w:rPr>
          <w:rFonts w:asciiTheme="majorBidi" w:eastAsiaTheme="minorHAnsi" w:hAnsiTheme="majorBidi" w:cstheme="majorBidi"/>
          <w:lang w:val="fr-FR"/>
        </w:rPr>
        <w:t>c)</w:t>
      </w:r>
      <w:r w:rsidRPr="0049796C">
        <w:rPr>
          <w:rFonts w:asciiTheme="majorBidi" w:eastAsiaTheme="minorHAnsi" w:hAnsiTheme="majorBidi" w:cstheme="majorBidi"/>
          <w:lang w:val="fr-FR"/>
        </w:rPr>
        <w:tab/>
      </w:r>
      <w:r w:rsidR="008F1AF8">
        <w:rPr>
          <w:rFonts w:asciiTheme="majorBidi" w:eastAsiaTheme="minorHAnsi" w:hAnsiTheme="majorBidi" w:cstheme="majorBidi"/>
          <w:lang w:val="fr-FR"/>
        </w:rPr>
        <w:t>R</w:t>
      </w:r>
      <w:r w:rsidR="008F1AF8" w:rsidRPr="008F1AF8">
        <w:rPr>
          <w:rFonts w:asciiTheme="majorBidi" w:eastAsiaTheme="minorHAnsi" w:hAnsiTheme="majorBidi" w:cstheme="majorBidi"/>
          <w:lang w:val="fr-FR"/>
        </w:rPr>
        <w:t>éexaminer le rôle et la nature de ses agences d</w:t>
      </w:r>
      <w:r w:rsidR="00713487">
        <w:rPr>
          <w:rFonts w:asciiTheme="majorBidi" w:eastAsiaTheme="minorHAnsi" w:hAnsiTheme="majorBidi" w:cstheme="majorBidi"/>
          <w:lang w:val="fr-FR"/>
        </w:rPr>
        <w:t>’</w:t>
      </w:r>
      <w:r w:rsidR="008F1AF8" w:rsidRPr="008F1AF8">
        <w:rPr>
          <w:rFonts w:asciiTheme="majorBidi" w:eastAsiaTheme="minorHAnsi" w:hAnsiTheme="majorBidi" w:cstheme="majorBidi"/>
          <w:lang w:val="fr-FR"/>
        </w:rPr>
        <w:t>exécution, en vue de promouvoir un engagement plus direct des entités nationales dans les pays en développement, et examiner l</w:t>
      </w:r>
      <w:r w:rsidR="00713487">
        <w:rPr>
          <w:rFonts w:asciiTheme="majorBidi" w:eastAsiaTheme="minorHAnsi" w:hAnsiTheme="majorBidi" w:cstheme="majorBidi"/>
          <w:lang w:val="fr-FR"/>
        </w:rPr>
        <w:t>’</w:t>
      </w:r>
      <w:r w:rsidR="008F1AF8" w:rsidRPr="008F1AF8">
        <w:rPr>
          <w:rFonts w:asciiTheme="majorBidi" w:eastAsiaTheme="minorHAnsi" w:hAnsiTheme="majorBidi" w:cstheme="majorBidi"/>
          <w:lang w:val="fr-FR"/>
        </w:rPr>
        <w:t>élargissement de la base des agences d</w:t>
      </w:r>
      <w:r w:rsidR="00713487">
        <w:rPr>
          <w:rFonts w:asciiTheme="majorBidi" w:eastAsiaTheme="minorHAnsi" w:hAnsiTheme="majorBidi" w:cstheme="majorBidi"/>
          <w:lang w:val="fr-FR"/>
        </w:rPr>
        <w:t>’</w:t>
      </w:r>
      <w:r w:rsidR="008F1AF8" w:rsidRPr="008F1AF8">
        <w:rPr>
          <w:rFonts w:asciiTheme="majorBidi" w:eastAsiaTheme="minorHAnsi" w:hAnsiTheme="majorBidi" w:cstheme="majorBidi"/>
          <w:lang w:val="fr-FR"/>
        </w:rPr>
        <w:t>exécution pour y inclure des entités nationales, sous-régionales et régionales supplémentaires</w:t>
      </w:r>
      <w:r w:rsidR="00713487" w:rsidRPr="00945C13">
        <w:rPr>
          <w:lang w:val="fr-CA"/>
        </w:rPr>
        <w:t> ;</w:t>
      </w:r>
    </w:p>
    <w:p w14:paraId="41EAC181" w14:textId="73171994" w:rsidR="00555AEE" w:rsidRPr="0049796C" w:rsidRDefault="00671C1D" w:rsidP="009504DE">
      <w:pPr>
        <w:pStyle w:val="CBDNormalNumber"/>
        <w:numPr>
          <w:ilvl w:val="0"/>
          <w:numId w:val="0"/>
        </w:numPr>
        <w:ind w:left="567" w:firstLine="567"/>
        <w:rPr>
          <w:rFonts w:asciiTheme="majorBidi" w:eastAsiaTheme="minorHAnsi" w:hAnsiTheme="majorBidi" w:cstheme="majorBidi"/>
          <w:lang w:val="fr-FR"/>
        </w:rPr>
      </w:pPr>
      <w:r w:rsidRPr="0049796C">
        <w:rPr>
          <w:rFonts w:asciiTheme="majorBidi" w:eastAsiaTheme="minorHAnsi" w:hAnsiTheme="majorBidi" w:cstheme="majorBidi"/>
          <w:lang w:val="fr-FR"/>
        </w:rPr>
        <w:t>d)</w:t>
      </w:r>
      <w:r w:rsidRPr="0049796C">
        <w:rPr>
          <w:rFonts w:asciiTheme="majorBidi" w:eastAsiaTheme="minorHAnsi" w:hAnsiTheme="majorBidi" w:cstheme="majorBidi"/>
          <w:lang w:val="fr-FR"/>
        </w:rPr>
        <w:tab/>
      </w:r>
      <w:r w:rsidR="00F048B8">
        <w:rPr>
          <w:rFonts w:asciiTheme="majorBidi" w:eastAsiaTheme="minorHAnsi" w:hAnsiTheme="majorBidi" w:cstheme="majorBidi"/>
          <w:lang w:val="fr-FR"/>
        </w:rPr>
        <w:t>P</w:t>
      </w:r>
      <w:r w:rsidR="008F1AF8" w:rsidRPr="008F1AF8">
        <w:rPr>
          <w:rFonts w:asciiTheme="majorBidi" w:eastAsiaTheme="minorHAnsi" w:hAnsiTheme="majorBidi" w:cstheme="majorBidi"/>
          <w:lang w:val="fr-FR"/>
        </w:rPr>
        <w:t>oursuivre l</w:t>
      </w:r>
      <w:r w:rsidR="00713487">
        <w:rPr>
          <w:rFonts w:asciiTheme="majorBidi" w:eastAsiaTheme="minorHAnsi" w:hAnsiTheme="majorBidi" w:cstheme="majorBidi"/>
          <w:lang w:val="fr-FR"/>
        </w:rPr>
        <w:t>’</w:t>
      </w:r>
      <w:r w:rsidR="008F1AF8" w:rsidRPr="008F1AF8">
        <w:rPr>
          <w:rFonts w:asciiTheme="majorBidi" w:eastAsiaTheme="minorHAnsi" w:hAnsiTheme="majorBidi" w:cstheme="majorBidi"/>
          <w:lang w:val="fr-FR"/>
        </w:rPr>
        <w:t>examen des modalités visant à renforcer l</w:t>
      </w:r>
      <w:r w:rsidR="00713487">
        <w:rPr>
          <w:rFonts w:asciiTheme="majorBidi" w:eastAsiaTheme="minorHAnsi" w:hAnsiTheme="majorBidi" w:cstheme="majorBidi"/>
          <w:lang w:val="fr-FR"/>
        </w:rPr>
        <w:t>’</w:t>
      </w:r>
      <w:r w:rsidR="008F1AF8" w:rsidRPr="008F1AF8">
        <w:rPr>
          <w:rFonts w:asciiTheme="majorBidi" w:eastAsiaTheme="minorHAnsi" w:hAnsiTheme="majorBidi" w:cstheme="majorBidi"/>
          <w:lang w:val="fr-FR"/>
        </w:rPr>
        <w:t>efficacité des processus de financement des activités menées dans le cadre du protocole de Cartagena sur la prévention des risques biotechnologiques et du protocole de Nagoya sur l</w:t>
      </w:r>
      <w:r w:rsidR="00713487">
        <w:rPr>
          <w:rFonts w:asciiTheme="majorBidi" w:eastAsiaTheme="minorHAnsi" w:hAnsiTheme="majorBidi" w:cstheme="majorBidi"/>
          <w:lang w:val="fr-FR"/>
        </w:rPr>
        <w:t>’</w:t>
      </w:r>
      <w:r w:rsidR="008F1AF8" w:rsidRPr="008F1AF8">
        <w:rPr>
          <w:rFonts w:asciiTheme="majorBidi" w:eastAsiaTheme="minorHAnsi" w:hAnsiTheme="majorBidi" w:cstheme="majorBidi"/>
          <w:lang w:val="fr-FR"/>
        </w:rPr>
        <w:t>accès aux ressources génétiques et le partage juste et équitable des avantages découlant de leur utilisation, et à encourager les pays à les mettre en œuvre, et examiner la création d</w:t>
      </w:r>
      <w:r w:rsidR="00713487">
        <w:rPr>
          <w:rFonts w:asciiTheme="majorBidi" w:eastAsiaTheme="minorHAnsi" w:hAnsiTheme="majorBidi" w:cstheme="majorBidi"/>
          <w:lang w:val="fr-FR"/>
        </w:rPr>
        <w:t>’</w:t>
      </w:r>
      <w:r w:rsidR="008F1AF8" w:rsidRPr="008F1AF8">
        <w:rPr>
          <w:rFonts w:asciiTheme="majorBidi" w:eastAsiaTheme="minorHAnsi" w:hAnsiTheme="majorBidi" w:cstheme="majorBidi"/>
          <w:lang w:val="fr-FR"/>
        </w:rPr>
        <w:t>un guichet autonome pour renforcer l</w:t>
      </w:r>
      <w:r w:rsidR="00713487">
        <w:rPr>
          <w:rFonts w:asciiTheme="majorBidi" w:eastAsiaTheme="minorHAnsi" w:hAnsiTheme="majorBidi" w:cstheme="majorBidi"/>
          <w:lang w:val="fr-FR"/>
        </w:rPr>
        <w:t>’</w:t>
      </w:r>
      <w:r w:rsidR="008F1AF8" w:rsidRPr="008F1AF8">
        <w:rPr>
          <w:rFonts w:asciiTheme="majorBidi" w:eastAsiaTheme="minorHAnsi" w:hAnsiTheme="majorBidi" w:cstheme="majorBidi"/>
          <w:lang w:val="fr-FR"/>
        </w:rPr>
        <w:t>application du protocole de Nagoya</w:t>
      </w:r>
      <w:r w:rsidR="00713487">
        <w:rPr>
          <w:rFonts w:asciiTheme="majorBidi" w:eastAsiaTheme="minorHAnsi" w:hAnsiTheme="majorBidi" w:cstheme="majorBidi"/>
          <w:lang w:val="fr-FR"/>
        </w:rPr>
        <w:t> ;</w:t>
      </w:r>
    </w:p>
    <w:p w14:paraId="660E45A2" w14:textId="2746C38C" w:rsidR="00555AEE" w:rsidRPr="0049796C" w:rsidRDefault="00671C1D" w:rsidP="009504DE">
      <w:pPr>
        <w:pStyle w:val="CBDNormalNumber"/>
        <w:numPr>
          <w:ilvl w:val="0"/>
          <w:numId w:val="0"/>
        </w:numPr>
        <w:ind w:left="567" w:firstLine="567"/>
        <w:rPr>
          <w:rFonts w:asciiTheme="majorBidi" w:eastAsiaTheme="minorHAnsi" w:hAnsiTheme="majorBidi" w:cstheme="majorBidi"/>
          <w:lang w:val="fr-FR"/>
        </w:rPr>
      </w:pPr>
      <w:r w:rsidRPr="0049796C">
        <w:rPr>
          <w:rFonts w:asciiTheme="majorBidi" w:eastAsiaTheme="minorHAnsi" w:hAnsiTheme="majorBidi" w:cstheme="majorBidi"/>
          <w:lang w:val="fr-FR"/>
        </w:rPr>
        <w:t>e)</w:t>
      </w:r>
      <w:r w:rsidRPr="0049796C">
        <w:rPr>
          <w:rFonts w:asciiTheme="majorBidi" w:eastAsiaTheme="minorHAnsi" w:hAnsiTheme="majorBidi" w:cstheme="majorBidi"/>
          <w:lang w:val="fr-FR"/>
        </w:rPr>
        <w:tab/>
      </w:r>
      <w:r w:rsidR="00433F2E" w:rsidRPr="00433F2E">
        <w:rPr>
          <w:rFonts w:asciiTheme="majorBidi" w:eastAsiaTheme="minorHAnsi" w:hAnsiTheme="majorBidi" w:cstheme="majorBidi"/>
          <w:lang w:val="fr-FR"/>
        </w:rPr>
        <w:t>Continuer à promouvoir le soutien aux populations autochtones et aux communautés locales, notamment en encourageant leur direction et leur partenariat dans les projets, en reconnaissant les connaissances autochtones comme base des activités soutenues par le Fonds pour l</w:t>
      </w:r>
      <w:r w:rsidR="00713487">
        <w:rPr>
          <w:rFonts w:asciiTheme="majorBidi" w:eastAsiaTheme="minorHAnsi" w:hAnsiTheme="majorBidi" w:cstheme="majorBidi"/>
          <w:lang w:val="fr-FR"/>
        </w:rPr>
        <w:t>’</w:t>
      </w:r>
      <w:r w:rsidR="00433F2E" w:rsidRPr="00433F2E">
        <w:rPr>
          <w:rFonts w:asciiTheme="majorBidi" w:eastAsiaTheme="minorHAnsi" w:hAnsiTheme="majorBidi" w:cstheme="majorBidi"/>
          <w:lang w:val="fr-FR"/>
        </w:rPr>
        <w:t>environnement mondial et en utilisant des indicateurs ciblés pour suivre les projets, et examiner la possibilité de fixer une cible de financement pour soutenir les priorités des populations autochtones et des communautés locales dans l</w:t>
      </w:r>
      <w:r w:rsidR="00713487">
        <w:rPr>
          <w:rFonts w:asciiTheme="majorBidi" w:eastAsiaTheme="minorHAnsi" w:hAnsiTheme="majorBidi" w:cstheme="majorBidi"/>
          <w:lang w:val="fr-FR"/>
        </w:rPr>
        <w:t>’</w:t>
      </w:r>
      <w:r w:rsidR="00433F2E" w:rsidRPr="00433F2E">
        <w:rPr>
          <w:rFonts w:asciiTheme="majorBidi" w:eastAsiaTheme="minorHAnsi" w:hAnsiTheme="majorBidi" w:cstheme="majorBidi"/>
          <w:lang w:val="fr-FR"/>
        </w:rPr>
        <w:t>ensemble du programme sur la biodiversité du Fonds fiduciaire pour l</w:t>
      </w:r>
      <w:r w:rsidR="00713487">
        <w:rPr>
          <w:rFonts w:asciiTheme="majorBidi" w:eastAsiaTheme="minorHAnsi" w:hAnsiTheme="majorBidi" w:cstheme="majorBidi"/>
          <w:lang w:val="fr-FR"/>
        </w:rPr>
        <w:t>’</w:t>
      </w:r>
      <w:r w:rsidR="00433F2E" w:rsidRPr="00433F2E">
        <w:rPr>
          <w:rFonts w:asciiTheme="majorBidi" w:eastAsiaTheme="minorHAnsi" w:hAnsiTheme="majorBidi" w:cstheme="majorBidi"/>
          <w:lang w:val="fr-FR"/>
        </w:rPr>
        <w:t>environnement mondial</w:t>
      </w:r>
      <w:r w:rsidR="00713487">
        <w:rPr>
          <w:rFonts w:asciiTheme="majorBidi" w:eastAsiaTheme="minorHAnsi" w:hAnsiTheme="majorBidi" w:cstheme="majorBidi"/>
          <w:lang w:val="fr-FR"/>
        </w:rPr>
        <w:t> ;</w:t>
      </w:r>
    </w:p>
    <w:p w14:paraId="4C92348A" w14:textId="04713648" w:rsidR="00555AEE" w:rsidRPr="0049796C" w:rsidRDefault="00671C1D" w:rsidP="009504DE">
      <w:pPr>
        <w:pStyle w:val="CBDNormalNumber"/>
        <w:numPr>
          <w:ilvl w:val="0"/>
          <w:numId w:val="0"/>
        </w:numPr>
        <w:ind w:left="567" w:firstLine="567"/>
        <w:rPr>
          <w:rFonts w:asciiTheme="majorBidi" w:eastAsiaTheme="minorHAnsi" w:hAnsiTheme="majorBidi" w:cstheme="majorBidi"/>
          <w:lang w:val="fr-FR"/>
        </w:rPr>
      </w:pPr>
      <w:r w:rsidRPr="0049796C">
        <w:rPr>
          <w:rFonts w:asciiTheme="majorBidi" w:eastAsiaTheme="minorHAnsi" w:hAnsiTheme="majorBidi" w:cstheme="majorBidi"/>
          <w:lang w:val="fr-FR"/>
        </w:rPr>
        <w:lastRenderedPageBreak/>
        <w:t>f)</w:t>
      </w:r>
      <w:r w:rsidRPr="0049796C">
        <w:rPr>
          <w:rFonts w:asciiTheme="majorBidi" w:eastAsiaTheme="minorHAnsi" w:hAnsiTheme="majorBidi" w:cstheme="majorBidi"/>
          <w:lang w:val="fr-FR"/>
        </w:rPr>
        <w:tab/>
      </w:r>
      <w:r w:rsidR="00037F6D" w:rsidRPr="00037F6D">
        <w:rPr>
          <w:rFonts w:asciiTheme="majorBidi" w:eastAsiaTheme="minorHAnsi" w:hAnsiTheme="majorBidi" w:cstheme="majorBidi"/>
          <w:lang w:val="fr-FR"/>
        </w:rPr>
        <w:t>Contribuer à la mise en œuvre de l</w:t>
      </w:r>
      <w:r w:rsidR="00713487">
        <w:rPr>
          <w:rFonts w:asciiTheme="majorBidi" w:eastAsiaTheme="minorHAnsi" w:hAnsiTheme="majorBidi" w:cstheme="majorBidi"/>
          <w:lang w:val="fr-FR"/>
        </w:rPr>
        <w:t>’</w:t>
      </w:r>
      <w:r w:rsidR="00037F6D" w:rsidRPr="00037F6D">
        <w:rPr>
          <w:rFonts w:asciiTheme="majorBidi" w:eastAsiaTheme="minorHAnsi" w:hAnsiTheme="majorBidi" w:cstheme="majorBidi"/>
          <w:lang w:val="fr-FR"/>
        </w:rPr>
        <w:t>approche pangouvernementale et de l</w:t>
      </w:r>
      <w:r w:rsidR="00713487">
        <w:rPr>
          <w:rFonts w:asciiTheme="majorBidi" w:eastAsiaTheme="minorHAnsi" w:hAnsiTheme="majorBidi" w:cstheme="majorBidi"/>
          <w:lang w:val="fr-FR"/>
        </w:rPr>
        <w:t>’</w:t>
      </w:r>
      <w:r w:rsidR="00037F6D" w:rsidRPr="00037F6D">
        <w:rPr>
          <w:rFonts w:asciiTheme="majorBidi" w:eastAsiaTheme="minorHAnsi" w:hAnsiTheme="majorBidi" w:cstheme="majorBidi"/>
          <w:lang w:val="fr-FR"/>
        </w:rPr>
        <w:t xml:space="preserve">approche </w:t>
      </w:r>
      <w:proofErr w:type="spellStart"/>
      <w:r w:rsidR="00A12EDE">
        <w:rPr>
          <w:rFonts w:asciiTheme="majorBidi" w:eastAsiaTheme="minorHAnsi" w:hAnsiTheme="majorBidi" w:cstheme="majorBidi"/>
          <w:lang w:val="fr-FR"/>
        </w:rPr>
        <w:t>pansociétale</w:t>
      </w:r>
      <w:proofErr w:type="spellEnd"/>
      <w:r w:rsidR="00A12EDE">
        <w:rPr>
          <w:rFonts w:asciiTheme="majorBidi" w:eastAsiaTheme="minorHAnsi" w:hAnsiTheme="majorBidi" w:cstheme="majorBidi"/>
          <w:lang w:val="fr-FR"/>
        </w:rPr>
        <w:t xml:space="preserve"> </w:t>
      </w:r>
      <w:r w:rsidR="00037F6D" w:rsidRPr="00037F6D">
        <w:rPr>
          <w:rFonts w:asciiTheme="majorBidi" w:eastAsiaTheme="minorHAnsi" w:hAnsiTheme="majorBidi" w:cstheme="majorBidi"/>
          <w:lang w:val="fr-FR"/>
        </w:rPr>
        <w:t>dans son ensemble pour le Cadre en continuant à renforcer l</w:t>
      </w:r>
      <w:r w:rsidR="00713487">
        <w:rPr>
          <w:rFonts w:asciiTheme="majorBidi" w:eastAsiaTheme="minorHAnsi" w:hAnsiTheme="majorBidi" w:cstheme="majorBidi"/>
          <w:lang w:val="fr-FR"/>
        </w:rPr>
        <w:t>’</w:t>
      </w:r>
      <w:r w:rsidR="00037F6D" w:rsidRPr="00037F6D">
        <w:rPr>
          <w:rFonts w:asciiTheme="majorBidi" w:eastAsiaTheme="minorHAnsi" w:hAnsiTheme="majorBidi" w:cstheme="majorBidi"/>
          <w:lang w:val="fr-FR"/>
        </w:rPr>
        <w:t>engagement effectif avec les organisations de la société civile, les femmes et les jeunes, les peuples autochtones et les communautés locales, le secteur privé, les organisations philanthropiques et de conservation et d</w:t>
      </w:r>
      <w:r w:rsidR="00713487">
        <w:rPr>
          <w:rFonts w:asciiTheme="majorBidi" w:eastAsiaTheme="minorHAnsi" w:hAnsiTheme="majorBidi" w:cstheme="majorBidi"/>
          <w:lang w:val="fr-FR"/>
        </w:rPr>
        <w:t>’</w:t>
      </w:r>
      <w:r w:rsidR="00037F6D" w:rsidRPr="00037F6D">
        <w:rPr>
          <w:rFonts w:asciiTheme="majorBidi" w:eastAsiaTheme="minorHAnsi" w:hAnsiTheme="majorBidi" w:cstheme="majorBidi"/>
          <w:lang w:val="fr-FR"/>
        </w:rPr>
        <w:t>autres groupes de parties prenantes importants</w:t>
      </w:r>
      <w:r w:rsidR="00713487">
        <w:rPr>
          <w:rFonts w:asciiTheme="majorBidi" w:eastAsiaTheme="minorHAnsi" w:hAnsiTheme="majorBidi" w:cstheme="majorBidi"/>
          <w:lang w:val="fr-FR"/>
        </w:rPr>
        <w:t> ;</w:t>
      </w:r>
    </w:p>
    <w:p w14:paraId="1FF6600F" w14:textId="704260C6" w:rsidR="00555AEE" w:rsidRPr="0049796C" w:rsidRDefault="00671C1D" w:rsidP="009504DE">
      <w:pPr>
        <w:pStyle w:val="CBDNormalNumber"/>
        <w:keepNext/>
        <w:numPr>
          <w:ilvl w:val="0"/>
          <w:numId w:val="0"/>
        </w:numPr>
        <w:tabs>
          <w:tab w:val="clear" w:pos="567"/>
        </w:tabs>
        <w:ind w:left="562" w:firstLine="562"/>
        <w:rPr>
          <w:rFonts w:asciiTheme="majorBidi" w:eastAsiaTheme="minorHAnsi" w:hAnsiTheme="majorBidi" w:cstheme="majorBidi"/>
          <w:lang w:val="fr-FR"/>
        </w:rPr>
      </w:pPr>
      <w:r w:rsidRPr="0049796C">
        <w:rPr>
          <w:rFonts w:asciiTheme="majorBidi" w:eastAsiaTheme="minorHAnsi" w:hAnsiTheme="majorBidi" w:cstheme="majorBidi"/>
          <w:lang w:val="fr-FR"/>
        </w:rPr>
        <w:t>4.</w:t>
      </w:r>
      <w:r w:rsidRPr="0049796C">
        <w:rPr>
          <w:rFonts w:asciiTheme="majorBidi" w:eastAsiaTheme="minorHAnsi" w:hAnsiTheme="majorBidi" w:cstheme="majorBidi"/>
          <w:i/>
          <w:iCs/>
          <w:lang w:val="fr-FR"/>
        </w:rPr>
        <w:tab/>
      </w:r>
      <w:r w:rsidR="00037F6D">
        <w:rPr>
          <w:rFonts w:asciiTheme="majorBidi" w:eastAsiaTheme="minorHAnsi" w:hAnsiTheme="majorBidi" w:cstheme="majorBidi"/>
          <w:i/>
          <w:iCs/>
          <w:lang w:val="fr-FR"/>
        </w:rPr>
        <w:t xml:space="preserve">Prie également </w:t>
      </w:r>
      <w:r w:rsidR="00037F6D">
        <w:rPr>
          <w:rFonts w:asciiTheme="majorBidi" w:eastAsiaTheme="minorHAnsi" w:hAnsiTheme="majorBidi" w:cstheme="majorBidi"/>
          <w:lang w:val="fr-FR"/>
        </w:rPr>
        <w:t xml:space="preserve">le Fonds </w:t>
      </w:r>
      <w:r w:rsidR="0093417D">
        <w:rPr>
          <w:rFonts w:asciiTheme="majorBidi" w:eastAsiaTheme="minorHAnsi" w:hAnsiTheme="majorBidi" w:cstheme="majorBidi"/>
          <w:lang w:val="fr-FR"/>
        </w:rPr>
        <w:t>pour l</w:t>
      </w:r>
      <w:r w:rsidR="00713487">
        <w:rPr>
          <w:rFonts w:asciiTheme="majorBidi" w:eastAsiaTheme="minorHAnsi" w:hAnsiTheme="majorBidi" w:cstheme="majorBidi"/>
          <w:lang w:val="fr-FR"/>
        </w:rPr>
        <w:t>’</w:t>
      </w:r>
      <w:r w:rsidR="0093417D">
        <w:rPr>
          <w:rFonts w:asciiTheme="majorBidi" w:eastAsiaTheme="minorHAnsi" w:hAnsiTheme="majorBidi" w:cstheme="majorBidi"/>
          <w:lang w:val="fr-FR"/>
        </w:rPr>
        <w:t>environnement</w:t>
      </w:r>
      <w:r w:rsidR="00037F6D">
        <w:rPr>
          <w:rFonts w:asciiTheme="majorBidi" w:eastAsiaTheme="minorHAnsi" w:hAnsiTheme="majorBidi" w:cstheme="majorBidi"/>
          <w:lang w:val="fr-FR"/>
        </w:rPr>
        <w:t xml:space="preserve"> mondial</w:t>
      </w:r>
      <w:r w:rsidR="0093417D">
        <w:rPr>
          <w:rFonts w:asciiTheme="majorBidi" w:eastAsiaTheme="minorHAnsi" w:hAnsiTheme="majorBidi" w:cstheme="majorBidi"/>
          <w:lang w:val="fr-FR"/>
        </w:rPr>
        <w:t xml:space="preserve"> de</w:t>
      </w:r>
      <w:r w:rsidR="00D54C99">
        <w:rPr>
          <w:rFonts w:asciiTheme="majorBidi" w:eastAsiaTheme="minorHAnsi" w:hAnsiTheme="majorBidi" w:cstheme="majorBidi"/>
          <w:lang w:val="fr-FR"/>
        </w:rPr>
        <w:t> :</w:t>
      </w:r>
    </w:p>
    <w:p w14:paraId="49CFF5B1" w14:textId="2A871420" w:rsidR="00555AEE" w:rsidRPr="0049796C" w:rsidRDefault="00671C1D" w:rsidP="009504DE">
      <w:pPr>
        <w:pStyle w:val="CBDNormalNumber"/>
        <w:numPr>
          <w:ilvl w:val="0"/>
          <w:numId w:val="0"/>
        </w:numPr>
        <w:tabs>
          <w:tab w:val="clear" w:pos="1134"/>
        </w:tabs>
        <w:ind w:left="567" w:firstLine="567"/>
        <w:rPr>
          <w:rFonts w:asciiTheme="majorBidi" w:eastAsiaTheme="minorHAnsi" w:hAnsiTheme="majorBidi" w:cstheme="majorBidi"/>
          <w:lang w:val="fr-FR"/>
        </w:rPr>
      </w:pPr>
      <w:r w:rsidRPr="0049796C">
        <w:rPr>
          <w:rFonts w:asciiTheme="majorBidi" w:eastAsiaTheme="minorHAnsi" w:hAnsiTheme="majorBidi" w:cstheme="majorBidi"/>
          <w:lang w:val="fr-FR"/>
        </w:rPr>
        <w:t>a)</w:t>
      </w:r>
      <w:r w:rsidRPr="0049796C">
        <w:rPr>
          <w:rFonts w:asciiTheme="majorBidi" w:eastAsiaTheme="minorHAnsi" w:hAnsiTheme="majorBidi" w:cstheme="majorBidi"/>
          <w:lang w:val="fr-FR"/>
        </w:rPr>
        <w:tab/>
      </w:r>
      <w:r w:rsidR="0093417D" w:rsidRPr="0093417D">
        <w:rPr>
          <w:rFonts w:asciiTheme="majorBidi" w:eastAsiaTheme="minorHAnsi" w:hAnsiTheme="majorBidi" w:cstheme="majorBidi"/>
          <w:lang w:val="fr-FR"/>
        </w:rPr>
        <w:t>Examiner la possibilité de lier les conclusions de la mise en œuvre dans le Cadre de mesure des résultats de la neuvième reconstitution de son fonds fiduciaire, les examens annuels de performance et les évaluations stratégiques par groupe de pays aux objectifs des accords multilatéraux sur l</w:t>
      </w:r>
      <w:r w:rsidR="00713487">
        <w:rPr>
          <w:rFonts w:asciiTheme="majorBidi" w:eastAsiaTheme="minorHAnsi" w:hAnsiTheme="majorBidi" w:cstheme="majorBidi"/>
          <w:lang w:val="fr-FR"/>
        </w:rPr>
        <w:t>’</w:t>
      </w:r>
      <w:r w:rsidR="0093417D" w:rsidRPr="0093417D">
        <w:rPr>
          <w:rFonts w:asciiTheme="majorBidi" w:eastAsiaTheme="minorHAnsi" w:hAnsiTheme="majorBidi" w:cstheme="majorBidi"/>
          <w:lang w:val="fr-FR"/>
        </w:rPr>
        <w:t>environnement, tels que ceux de la Convention</w:t>
      </w:r>
      <w:r w:rsidR="00713487">
        <w:rPr>
          <w:rFonts w:asciiTheme="majorBidi" w:eastAsiaTheme="minorHAnsi" w:hAnsiTheme="majorBidi" w:cstheme="majorBidi"/>
          <w:lang w:val="fr-FR"/>
        </w:rPr>
        <w:t> ;</w:t>
      </w:r>
    </w:p>
    <w:p w14:paraId="4A1163C3" w14:textId="66A0D9B7" w:rsidR="00555AEE" w:rsidRPr="0049796C" w:rsidRDefault="00671C1D" w:rsidP="009504DE">
      <w:pPr>
        <w:pStyle w:val="CBDNormalNumber"/>
        <w:numPr>
          <w:ilvl w:val="0"/>
          <w:numId w:val="0"/>
        </w:numPr>
        <w:tabs>
          <w:tab w:val="clear" w:pos="1134"/>
        </w:tabs>
        <w:ind w:left="567" w:firstLine="567"/>
        <w:rPr>
          <w:rFonts w:asciiTheme="majorBidi" w:eastAsiaTheme="minorHAnsi" w:hAnsiTheme="majorBidi" w:cstheme="majorBidi"/>
          <w:lang w:val="fr-FR"/>
        </w:rPr>
      </w:pPr>
      <w:r w:rsidRPr="0049796C">
        <w:rPr>
          <w:rFonts w:asciiTheme="majorBidi" w:eastAsiaTheme="minorHAnsi" w:hAnsiTheme="majorBidi" w:cstheme="majorBidi"/>
          <w:lang w:val="fr-FR"/>
        </w:rPr>
        <w:t>b)</w:t>
      </w:r>
      <w:r w:rsidRPr="0049796C">
        <w:rPr>
          <w:rFonts w:asciiTheme="majorBidi" w:eastAsiaTheme="minorHAnsi" w:hAnsiTheme="majorBidi" w:cstheme="majorBidi"/>
          <w:lang w:val="fr-FR"/>
        </w:rPr>
        <w:tab/>
      </w:r>
      <w:r w:rsidR="00AB2728">
        <w:rPr>
          <w:rFonts w:asciiTheme="majorBidi" w:eastAsiaTheme="minorHAnsi" w:hAnsiTheme="majorBidi" w:cstheme="majorBidi"/>
          <w:lang w:val="fr-FR"/>
        </w:rPr>
        <w:t>D</w:t>
      </w:r>
      <w:r w:rsidR="00AB2728" w:rsidRPr="00AB2728">
        <w:rPr>
          <w:rFonts w:asciiTheme="majorBidi" w:eastAsiaTheme="minorHAnsi" w:hAnsiTheme="majorBidi" w:cstheme="majorBidi"/>
          <w:lang w:val="fr-FR"/>
        </w:rPr>
        <w:t>éployer des efforts supplémentaires pour satisfaire à toutes ses obligations en matière de présentation de rapports et, à cet égard, inclure des informations sur les projets relatifs à la diversité biologique qu</w:t>
      </w:r>
      <w:r w:rsidR="00713487">
        <w:rPr>
          <w:rFonts w:asciiTheme="majorBidi" w:eastAsiaTheme="minorHAnsi" w:hAnsiTheme="majorBidi" w:cstheme="majorBidi"/>
          <w:lang w:val="fr-FR"/>
        </w:rPr>
        <w:t>’</w:t>
      </w:r>
      <w:r w:rsidR="00AB2728" w:rsidRPr="00AB2728">
        <w:rPr>
          <w:rFonts w:asciiTheme="majorBidi" w:eastAsiaTheme="minorHAnsi" w:hAnsiTheme="majorBidi" w:cstheme="majorBidi"/>
          <w:lang w:val="fr-FR"/>
        </w:rPr>
        <w:t>il finance en dehors de la Convention et sur sa réponse aux évaluations des besoins préparées par la Conférence des Parties dans le cadre du mémorandum d</w:t>
      </w:r>
      <w:r w:rsidR="00713487">
        <w:rPr>
          <w:rFonts w:asciiTheme="majorBidi" w:eastAsiaTheme="minorHAnsi" w:hAnsiTheme="majorBidi" w:cstheme="majorBidi"/>
          <w:lang w:val="fr-FR"/>
        </w:rPr>
        <w:t>’</w:t>
      </w:r>
      <w:r w:rsidR="00AB2728" w:rsidRPr="00AB2728">
        <w:rPr>
          <w:rFonts w:asciiTheme="majorBidi" w:eastAsiaTheme="minorHAnsi" w:hAnsiTheme="majorBidi" w:cstheme="majorBidi"/>
          <w:lang w:val="fr-FR"/>
        </w:rPr>
        <w:t>accord entre la Conférence des Parties et le Conseil du Fonds pour l</w:t>
      </w:r>
      <w:r w:rsidR="00713487">
        <w:rPr>
          <w:rFonts w:asciiTheme="majorBidi" w:eastAsiaTheme="minorHAnsi" w:hAnsiTheme="majorBidi" w:cstheme="majorBidi"/>
          <w:lang w:val="fr-FR"/>
        </w:rPr>
        <w:t>’</w:t>
      </w:r>
      <w:r w:rsidR="00AB2728" w:rsidRPr="00AB2728">
        <w:rPr>
          <w:rFonts w:asciiTheme="majorBidi" w:eastAsiaTheme="minorHAnsi" w:hAnsiTheme="majorBidi" w:cstheme="majorBidi"/>
          <w:lang w:val="fr-FR"/>
        </w:rPr>
        <w:t>environnement mondial</w:t>
      </w:r>
      <w:r w:rsidR="00410F96" w:rsidRPr="00410F96">
        <w:rPr>
          <w:rFonts w:asciiTheme="majorBidi" w:eastAsiaTheme="minorHAnsi" w:hAnsiTheme="majorBidi" w:cstheme="majorBidi"/>
          <w:vertAlign w:val="superscript"/>
        </w:rPr>
        <w:footnoteReference w:id="11"/>
      </w:r>
      <w:r w:rsidR="00AB2728" w:rsidRPr="00AB2728">
        <w:rPr>
          <w:rFonts w:asciiTheme="majorBidi" w:eastAsiaTheme="minorHAnsi" w:hAnsiTheme="majorBidi" w:cstheme="majorBidi"/>
          <w:lang w:val="fr-FR"/>
        </w:rPr>
        <w:t>, afin de permettre à la Conférence des Parties d</w:t>
      </w:r>
      <w:r w:rsidR="00713487">
        <w:rPr>
          <w:rFonts w:asciiTheme="majorBidi" w:eastAsiaTheme="minorHAnsi" w:hAnsiTheme="majorBidi" w:cstheme="majorBidi"/>
          <w:lang w:val="fr-FR"/>
        </w:rPr>
        <w:t>’</w:t>
      </w:r>
      <w:r w:rsidR="00AB2728" w:rsidRPr="00AB2728">
        <w:rPr>
          <w:rFonts w:asciiTheme="majorBidi" w:eastAsiaTheme="minorHAnsi" w:hAnsiTheme="majorBidi" w:cstheme="majorBidi"/>
          <w:lang w:val="fr-FR"/>
        </w:rPr>
        <w:t>améliorer la qualité de ses orientations</w:t>
      </w:r>
      <w:r w:rsidR="00713487">
        <w:rPr>
          <w:rFonts w:asciiTheme="majorBidi" w:eastAsiaTheme="minorHAnsi" w:hAnsiTheme="majorBidi" w:cstheme="majorBidi"/>
          <w:lang w:val="fr-FR"/>
        </w:rPr>
        <w:t> ;</w:t>
      </w:r>
    </w:p>
    <w:p w14:paraId="182D0F3A" w14:textId="7A0C0327" w:rsidR="00555AEE" w:rsidRPr="0049796C" w:rsidRDefault="00A10BB9" w:rsidP="009504DE">
      <w:pPr>
        <w:pStyle w:val="CBDNormalNumber"/>
        <w:numPr>
          <w:ilvl w:val="0"/>
          <w:numId w:val="0"/>
        </w:numPr>
        <w:ind w:left="567" w:firstLine="567"/>
        <w:rPr>
          <w:rFonts w:asciiTheme="majorBidi" w:eastAsiaTheme="minorHAnsi" w:hAnsiTheme="majorBidi" w:cstheme="majorBidi"/>
          <w:lang w:val="fr-FR"/>
        </w:rPr>
      </w:pPr>
      <w:r w:rsidRPr="0049796C">
        <w:rPr>
          <w:rFonts w:asciiTheme="majorBidi" w:eastAsiaTheme="minorHAnsi" w:hAnsiTheme="majorBidi" w:cstheme="majorBidi"/>
          <w:lang w:val="fr-FR"/>
        </w:rPr>
        <w:t>5.</w:t>
      </w:r>
      <w:r w:rsidRPr="0049796C">
        <w:rPr>
          <w:rFonts w:asciiTheme="majorBidi" w:eastAsiaTheme="minorHAnsi" w:hAnsiTheme="majorBidi" w:cstheme="majorBidi"/>
          <w:i/>
          <w:iCs/>
          <w:lang w:val="fr-FR"/>
        </w:rPr>
        <w:tab/>
      </w:r>
      <w:r w:rsidR="00EA1FC7">
        <w:rPr>
          <w:rFonts w:asciiTheme="majorBidi" w:eastAsiaTheme="minorHAnsi" w:hAnsiTheme="majorBidi" w:cstheme="majorBidi"/>
          <w:i/>
          <w:iCs/>
          <w:lang w:val="fr-FR"/>
        </w:rPr>
        <w:t>Prie</w:t>
      </w:r>
      <w:r w:rsidR="00555AEE" w:rsidRPr="0049796C">
        <w:rPr>
          <w:rFonts w:asciiTheme="majorBidi" w:eastAsiaTheme="minorHAnsi" w:hAnsiTheme="majorBidi" w:cstheme="majorBidi"/>
          <w:lang w:val="fr-FR"/>
        </w:rPr>
        <w:t xml:space="preserve"> </w:t>
      </w:r>
      <w:r w:rsidR="00EB0C50" w:rsidRPr="00EB0C50">
        <w:rPr>
          <w:rFonts w:asciiTheme="majorBidi" w:eastAsiaTheme="minorHAnsi" w:hAnsiTheme="majorBidi" w:cstheme="majorBidi"/>
          <w:lang w:val="fr-FR"/>
        </w:rPr>
        <w:t>le Conseil du Fonds pour l</w:t>
      </w:r>
      <w:r w:rsidR="00713487">
        <w:rPr>
          <w:rFonts w:asciiTheme="majorBidi" w:eastAsiaTheme="minorHAnsi" w:hAnsiTheme="majorBidi" w:cstheme="majorBidi"/>
          <w:lang w:val="fr-FR"/>
        </w:rPr>
        <w:t>’</w:t>
      </w:r>
      <w:r w:rsidR="00EB0C50" w:rsidRPr="00EB0C50">
        <w:rPr>
          <w:rFonts w:asciiTheme="majorBidi" w:eastAsiaTheme="minorHAnsi" w:hAnsiTheme="majorBidi" w:cstheme="majorBidi"/>
          <w:lang w:val="fr-FR"/>
        </w:rPr>
        <w:t>environnement mondial d</w:t>
      </w:r>
      <w:r w:rsidR="00713487">
        <w:rPr>
          <w:rFonts w:asciiTheme="majorBidi" w:eastAsiaTheme="minorHAnsi" w:hAnsiTheme="majorBidi" w:cstheme="majorBidi"/>
          <w:lang w:val="fr-FR"/>
        </w:rPr>
        <w:t>’</w:t>
      </w:r>
      <w:r w:rsidR="00EB0C50" w:rsidRPr="00EB0C50">
        <w:rPr>
          <w:rFonts w:asciiTheme="majorBidi" w:eastAsiaTheme="minorHAnsi" w:hAnsiTheme="majorBidi" w:cstheme="majorBidi"/>
          <w:lang w:val="fr-FR"/>
        </w:rPr>
        <w:t>étudier des moyens d</w:t>
      </w:r>
      <w:r w:rsidR="00713487">
        <w:rPr>
          <w:rFonts w:asciiTheme="majorBidi" w:eastAsiaTheme="minorHAnsi" w:hAnsiTheme="majorBidi" w:cstheme="majorBidi"/>
          <w:lang w:val="fr-FR"/>
        </w:rPr>
        <w:t>’</w:t>
      </w:r>
      <w:r w:rsidR="00EB0C50" w:rsidRPr="00EB0C50">
        <w:rPr>
          <w:rFonts w:asciiTheme="majorBidi" w:eastAsiaTheme="minorHAnsi" w:hAnsiTheme="majorBidi" w:cstheme="majorBidi"/>
          <w:lang w:val="fr-FR"/>
        </w:rPr>
        <w:t>améliorer la représentation géographique équitable au sein de ses circonscriptions et entre celles-ci, en prenant également en considération le niveau de biodiversité des pays, et de veiller à ce que les populations autochtones et les communautés locales, y compris les femmes et les jeunes, participent véritablement à l</w:t>
      </w:r>
      <w:r w:rsidR="00713487">
        <w:rPr>
          <w:rFonts w:asciiTheme="majorBidi" w:eastAsiaTheme="minorHAnsi" w:hAnsiTheme="majorBidi" w:cstheme="majorBidi"/>
          <w:lang w:val="fr-FR"/>
        </w:rPr>
        <w:t>’</w:t>
      </w:r>
      <w:r w:rsidR="00EB0C50" w:rsidRPr="00EB0C50">
        <w:rPr>
          <w:rFonts w:asciiTheme="majorBidi" w:eastAsiaTheme="minorHAnsi" w:hAnsiTheme="majorBidi" w:cstheme="majorBidi"/>
          <w:lang w:val="fr-FR"/>
        </w:rPr>
        <w:t>élaboration des politiques, compte tenu de leur contribution à la conservation et à l</w:t>
      </w:r>
      <w:r w:rsidR="00713487">
        <w:rPr>
          <w:rFonts w:asciiTheme="majorBidi" w:eastAsiaTheme="minorHAnsi" w:hAnsiTheme="majorBidi" w:cstheme="majorBidi"/>
          <w:lang w:val="fr-FR"/>
        </w:rPr>
        <w:t>’</w:t>
      </w:r>
      <w:r w:rsidR="00EB0C50" w:rsidRPr="00EB0C50">
        <w:rPr>
          <w:rFonts w:asciiTheme="majorBidi" w:eastAsiaTheme="minorHAnsi" w:hAnsiTheme="majorBidi" w:cstheme="majorBidi"/>
          <w:lang w:val="fr-FR"/>
        </w:rPr>
        <w:t>utilisation durable de la biodiversité</w:t>
      </w:r>
      <w:r w:rsidR="00713487">
        <w:rPr>
          <w:rFonts w:asciiTheme="majorBidi" w:eastAsiaTheme="minorHAnsi" w:hAnsiTheme="majorBidi" w:cstheme="majorBidi"/>
          <w:lang w:val="fr-FR"/>
        </w:rPr>
        <w:t> ;</w:t>
      </w:r>
      <w:r w:rsidR="00555AEE" w:rsidRPr="0049796C">
        <w:rPr>
          <w:rFonts w:asciiTheme="majorBidi" w:eastAsiaTheme="minorHAnsi" w:hAnsiTheme="majorBidi" w:cstheme="majorBidi"/>
          <w:lang w:val="fr-FR"/>
        </w:rPr>
        <w:t xml:space="preserve"> </w:t>
      </w:r>
    </w:p>
    <w:p w14:paraId="13ADE051" w14:textId="63B2441A" w:rsidR="00555AEE" w:rsidRPr="0049796C" w:rsidRDefault="00A10BB9" w:rsidP="009504DE">
      <w:pPr>
        <w:pStyle w:val="CBDNormalNumber"/>
        <w:numPr>
          <w:ilvl w:val="0"/>
          <w:numId w:val="0"/>
        </w:numPr>
        <w:ind w:left="567" w:firstLine="567"/>
        <w:rPr>
          <w:rFonts w:asciiTheme="majorBidi" w:eastAsiaTheme="minorHAnsi" w:hAnsiTheme="majorBidi" w:cstheme="majorBidi"/>
          <w:lang w:val="fr-FR"/>
        </w:rPr>
      </w:pPr>
      <w:r w:rsidRPr="0049796C">
        <w:rPr>
          <w:rFonts w:asciiTheme="majorBidi" w:eastAsiaTheme="minorHAnsi" w:hAnsiTheme="majorBidi" w:cstheme="majorBidi"/>
          <w:lang w:val="fr-FR"/>
        </w:rPr>
        <w:t>6.</w:t>
      </w:r>
      <w:r w:rsidRPr="0049796C">
        <w:rPr>
          <w:rFonts w:asciiTheme="majorBidi" w:eastAsiaTheme="minorHAnsi" w:hAnsiTheme="majorBidi" w:cstheme="majorBidi"/>
          <w:i/>
          <w:iCs/>
          <w:lang w:val="fr-FR"/>
        </w:rPr>
        <w:tab/>
      </w:r>
      <w:r w:rsidR="00555AEE" w:rsidRPr="0049796C">
        <w:rPr>
          <w:rFonts w:asciiTheme="majorBidi" w:eastAsiaTheme="minorHAnsi" w:hAnsiTheme="majorBidi" w:cstheme="majorBidi"/>
          <w:i/>
          <w:iCs/>
          <w:lang w:val="fr-FR"/>
        </w:rPr>
        <w:t>Invite</w:t>
      </w:r>
      <w:r w:rsidR="00555AEE" w:rsidRPr="0049796C">
        <w:rPr>
          <w:rFonts w:asciiTheme="majorBidi" w:eastAsiaTheme="minorHAnsi" w:hAnsiTheme="majorBidi" w:cstheme="majorBidi"/>
          <w:lang w:val="fr-FR"/>
        </w:rPr>
        <w:t xml:space="preserve"> </w:t>
      </w:r>
      <w:r w:rsidR="005B4D5D" w:rsidRPr="005B4D5D">
        <w:rPr>
          <w:rFonts w:asciiTheme="majorBidi" w:eastAsiaTheme="minorHAnsi" w:hAnsiTheme="majorBidi" w:cstheme="majorBidi"/>
          <w:lang w:val="fr-FR"/>
        </w:rPr>
        <w:t>l</w:t>
      </w:r>
      <w:r w:rsidR="00713487">
        <w:rPr>
          <w:rFonts w:asciiTheme="majorBidi" w:eastAsiaTheme="minorHAnsi" w:hAnsiTheme="majorBidi" w:cstheme="majorBidi"/>
          <w:lang w:val="fr-FR"/>
        </w:rPr>
        <w:t>’</w:t>
      </w:r>
      <w:r w:rsidR="005B4D5D" w:rsidRPr="005B4D5D">
        <w:rPr>
          <w:rFonts w:asciiTheme="majorBidi" w:eastAsiaTheme="minorHAnsi" w:hAnsiTheme="majorBidi" w:cstheme="majorBidi"/>
          <w:lang w:val="fr-FR"/>
        </w:rPr>
        <w:t>Assemblée du Fonds pour l</w:t>
      </w:r>
      <w:r w:rsidR="00713487">
        <w:rPr>
          <w:rFonts w:asciiTheme="majorBidi" w:eastAsiaTheme="minorHAnsi" w:hAnsiTheme="majorBidi" w:cstheme="majorBidi"/>
          <w:lang w:val="fr-FR"/>
        </w:rPr>
        <w:t>’</w:t>
      </w:r>
      <w:r w:rsidR="005B4D5D" w:rsidRPr="005B4D5D">
        <w:rPr>
          <w:rFonts w:asciiTheme="majorBidi" w:eastAsiaTheme="minorHAnsi" w:hAnsiTheme="majorBidi" w:cstheme="majorBidi"/>
          <w:lang w:val="fr-FR"/>
        </w:rPr>
        <w:t>environnement mondial, dans le cadre de la neuvième reconstitution du Fonds d</w:t>
      </w:r>
      <w:r w:rsidR="00713487">
        <w:rPr>
          <w:rFonts w:asciiTheme="majorBidi" w:eastAsiaTheme="minorHAnsi" w:hAnsiTheme="majorBidi" w:cstheme="majorBidi"/>
          <w:lang w:val="fr-FR"/>
        </w:rPr>
        <w:t>’</w:t>
      </w:r>
      <w:r w:rsidR="005B4D5D" w:rsidRPr="005B4D5D">
        <w:rPr>
          <w:rFonts w:asciiTheme="majorBidi" w:eastAsiaTheme="minorHAnsi" w:hAnsiTheme="majorBidi" w:cstheme="majorBidi"/>
          <w:lang w:val="fr-FR"/>
        </w:rPr>
        <w:t>affectation spéciale du Fonds pour l</w:t>
      </w:r>
      <w:r w:rsidR="00713487">
        <w:rPr>
          <w:rFonts w:asciiTheme="majorBidi" w:eastAsiaTheme="minorHAnsi" w:hAnsiTheme="majorBidi" w:cstheme="majorBidi"/>
          <w:lang w:val="fr-FR"/>
        </w:rPr>
        <w:t>’</w:t>
      </w:r>
      <w:r w:rsidR="005B4D5D" w:rsidRPr="005B4D5D">
        <w:rPr>
          <w:rFonts w:asciiTheme="majorBidi" w:eastAsiaTheme="minorHAnsi" w:hAnsiTheme="majorBidi" w:cstheme="majorBidi"/>
          <w:lang w:val="fr-FR"/>
        </w:rPr>
        <w:t>environnement mondial, à examiner les réformes à apporter à sa gouvernance, en vue d</w:t>
      </w:r>
      <w:r w:rsidR="00713487">
        <w:rPr>
          <w:rFonts w:asciiTheme="majorBidi" w:eastAsiaTheme="minorHAnsi" w:hAnsiTheme="majorBidi" w:cstheme="majorBidi"/>
          <w:lang w:val="fr-FR"/>
        </w:rPr>
        <w:t>’</w:t>
      </w:r>
      <w:r w:rsidR="005B4D5D" w:rsidRPr="005B4D5D">
        <w:rPr>
          <w:rFonts w:asciiTheme="majorBidi" w:eastAsiaTheme="minorHAnsi" w:hAnsiTheme="majorBidi" w:cstheme="majorBidi"/>
          <w:lang w:val="fr-FR"/>
        </w:rPr>
        <w:t>améliorer l</w:t>
      </w:r>
      <w:r w:rsidR="00713487">
        <w:rPr>
          <w:rFonts w:asciiTheme="majorBidi" w:eastAsiaTheme="minorHAnsi" w:hAnsiTheme="majorBidi" w:cstheme="majorBidi"/>
          <w:lang w:val="fr-FR"/>
        </w:rPr>
        <w:t>’</w:t>
      </w:r>
      <w:r w:rsidR="005B4D5D" w:rsidRPr="005B4D5D">
        <w:rPr>
          <w:rFonts w:asciiTheme="majorBidi" w:eastAsiaTheme="minorHAnsi" w:hAnsiTheme="majorBidi" w:cstheme="majorBidi"/>
          <w:lang w:val="fr-FR"/>
        </w:rPr>
        <w:t>équilibre entre les pays en développement et les pays développés, en prenant également en considération le niveau de biodiversité des pays, et à garantir la participation significative à l</w:t>
      </w:r>
      <w:r w:rsidR="00713487">
        <w:rPr>
          <w:rFonts w:asciiTheme="majorBidi" w:eastAsiaTheme="minorHAnsi" w:hAnsiTheme="majorBidi" w:cstheme="majorBidi"/>
          <w:lang w:val="fr-FR"/>
        </w:rPr>
        <w:t>’</w:t>
      </w:r>
      <w:r w:rsidR="005B4D5D" w:rsidRPr="005B4D5D">
        <w:rPr>
          <w:rFonts w:asciiTheme="majorBidi" w:eastAsiaTheme="minorHAnsi" w:hAnsiTheme="majorBidi" w:cstheme="majorBidi"/>
          <w:lang w:val="fr-FR"/>
        </w:rPr>
        <w:t>élaboration des politiques des peuples autochtones et des communautés locales, y compris les femmes et les jeunes parmi eux, compte tenu de leur contribution à la conservation et à l</w:t>
      </w:r>
      <w:r w:rsidR="00713487">
        <w:rPr>
          <w:rFonts w:asciiTheme="majorBidi" w:eastAsiaTheme="minorHAnsi" w:hAnsiTheme="majorBidi" w:cstheme="majorBidi"/>
          <w:lang w:val="fr-FR"/>
        </w:rPr>
        <w:t>’</w:t>
      </w:r>
      <w:r w:rsidR="005B4D5D" w:rsidRPr="005B4D5D">
        <w:rPr>
          <w:rFonts w:asciiTheme="majorBidi" w:eastAsiaTheme="minorHAnsi" w:hAnsiTheme="majorBidi" w:cstheme="majorBidi"/>
          <w:lang w:val="fr-FR"/>
        </w:rPr>
        <w:t>utilisation durable de la biodiversité</w:t>
      </w:r>
      <w:r w:rsidR="00713487">
        <w:rPr>
          <w:rFonts w:asciiTheme="majorBidi" w:eastAsiaTheme="minorHAnsi" w:hAnsiTheme="majorBidi" w:cstheme="majorBidi"/>
          <w:lang w:val="fr-FR"/>
        </w:rPr>
        <w:t> ;</w:t>
      </w:r>
      <w:r w:rsidR="00555AEE" w:rsidRPr="0049796C">
        <w:rPr>
          <w:rFonts w:asciiTheme="majorBidi" w:eastAsiaTheme="minorHAnsi" w:hAnsiTheme="majorBidi" w:cstheme="majorBidi"/>
          <w:lang w:val="fr-FR"/>
        </w:rPr>
        <w:t xml:space="preserve"> </w:t>
      </w:r>
    </w:p>
    <w:p w14:paraId="10833867" w14:textId="43248A2F" w:rsidR="00555AEE" w:rsidRPr="0049796C" w:rsidRDefault="00A10BB9" w:rsidP="009504DE">
      <w:pPr>
        <w:pStyle w:val="CBDNormalNumber"/>
        <w:numPr>
          <w:ilvl w:val="0"/>
          <w:numId w:val="0"/>
        </w:numPr>
        <w:ind w:left="567" w:firstLine="567"/>
        <w:rPr>
          <w:rFonts w:asciiTheme="majorBidi" w:eastAsiaTheme="minorHAnsi" w:hAnsiTheme="majorBidi" w:cstheme="majorBidi"/>
          <w:lang w:val="fr-FR"/>
        </w:rPr>
      </w:pPr>
      <w:r w:rsidRPr="0049796C">
        <w:rPr>
          <w:rFonts w:asciiTheme="majorBidi" w:eastAsiaTheme="minorHAnsi" w:hAnsiTheme="majorBidi" w:cstheme="majorBidi"/>
          <w:lang w:val="fr-FR"/>
        </w:rPr>
        <w:t>7.</w:t>
      </w:r>
      <w:r w:rsidRPr="0049796C">
        <w:rPr>
          <w:rFonts w:asciiTheme="majorBidi" w:eastAsiaTheme="minorHAnsi" w:hAnsiTheme="majorBidi" w:cstheme="majorBidi"/>
          <w:i/>
          <w:iCs/>
          <w:lang w:val="fr-FR"/>
        </w:rPr>
        <w:tab/>
      </w:r>
      <w:r w:rsidR="0007468A">
        <w:rPr>
          <w:rFonts w:asciiTheme="majorBidi" w:eastAsiaTheme="minorHAnsi" w:hAnsiTheme="majorBidi" w:cstheme="majorBidi"/>
          <w:i/>
          <w:iCs/>
          <w:lang w:val="fr-FR"/>
        </w:rPr>
        <w:t>Prie</w:t>
      </w:r>
      <w:r w:rsidR="00555AEE" w:rsidRPr="0049796C">
        <w:rPr>
          <w:rFonts w:asciiTheme="majorBidi" w:eastAsiaTheme="minorHAnsi" w:hAnsiTheme="majorBidi" w:cstheme="majorBidi"/>
          <w:lang w:val="fr-FR"/>
        </w:rPr>
        <w:t xml:space="preserve"> </w:t>
      </w:r>
      <w:r w:rsidR="0007468A" w:rsidRPr="0007468A">
        <w:rPr>
          <w:rFonts w:asciiTheme="majorBidi" w:eastAsiaTheme="minorHAnsi" w:hAnsiTheme="majorBidi" w:cstheme="majorBidi"/>
          <w:lang w:val="fr-FR"/>
        </w:rPr>
        <w:t>l</w:t>
      </w:r>
      <w:r w:rsidR="00713487">
        <w:rPr>
          <w:rFonts w:asciiTheme="majorBidi" w:eastAsiaTheme="minorHAnsi" w:hAnsiTheme="majorBidi" w:cstheme="majorBidi"/>
          <w:lang w:val="fr-FR"/>
        </w:rPr>
        <w:t>’</w:t>
      </w:r>
      <w:r w:rsidR="0007468A" w:rsidRPr="0007468A">
        <w:rPr>
          <w:rFonts w:asciiTheme="majorBidi" w:eastAsiaTheme="minorHAnsi" w:hAnsiTheme="majorBidi" w:cstheme="majorBidi"/>
          <w:lang w:val="fr-FR"/>
        </w:rPr>
        <w:t>Organe subsidiaire chargé de l</w:t>
      </w:r>
      <w:r w:rsidR="00713487">
        <w:rPr>
          <w:rFonts w:asciiTheme="majorBidi" w:eastAsiaTheme="minorHAnsi" w:hAnsiTheme="majorBidi" w:cstheme="majorBidi"/>
          <w:lang w:val="fr-FR"/>
        </w:rPr>
        <w:t>’</w:t>
      </w:r>
      <w:r w:rsidR="0007468A" w:rsidRPr="0007468A">
        <w:rPr>
          <w:rFonts w:asciiTheme="majorBidi" w:eastAsiaTheme="minorHAnsi" w:hAnsiTheme="majorBidi" w:cstheme="majorBidi"/>
          <w:lang w:val="fr-FR"/>
        </w:rPr>
        <w:t>application à élaborer un projet de mandat pour le comité permanent visé au paragraphe 1 ci-dessus sur la base d</w:t>
      </w:r>
      <w:r w:rsidR="00713487">
        <w:rPr>
          <w:rFonts w:asciiTheme="majorBidi" w:eastAsiaTheme="minorHAnsi" w:hAnsiTheme="majorBidi" w:cstheme="majorBidi"/>
          <w:lang w:val="fr-FR"/>
        </w:rPr>
        <w:t>’</w:t>
      </w:r>
      <w:r w:rsidR="0007468A" w:rsidRPr="0007468A">
        <w:rPr>
          <w:rFonts w:asciiTheme="majorBidi" w:eastAsiaTheme="minorHAnsi" w:hAnsiTheme="majorBidi" w:cstheme="majorBidi"/>
          <w:lang w:val="fr-FR"/>
        </w:rPr>
        <w:t xml:space="preserve">un projet préparé par le </w:t>
      </w:r>
      <w:r w:rsidR="00D852B1">
        <w:rPr>
          <w:rFonts w:asciiTheme="majorBidi" w:eastAsiaTheme="minorHAnsi" w:hAnsiTheme="majorBidi" w:cstheme="majorBidi"/>
          <w:lang w:val="fr-FR"/>
        </w:rPr>
        <w:t>Secrét</w:t>
      </w:r>
      <w:r w:rsidR="0007468A" w:rsidRPr="0007468A">
        <w:rPr>
          <w:rFonts w:asciiTheme="majorBidi" w:eastAsiaTheme="minorHAnsi" w:hAnsiTheme="majorBidi" w:cstheme="majorBidi"/>
          <w:lang w:val="fr-FR"/>
        </w:rPr>
        <w:t>ariat,</w:t>
      </w:r>
    </w:p>
    <w:p w14:paraId="15178B02" w14:textId="0C3BB78A" w:rsidR="00555AEE" w:rsidRPr="0049796C" w:rsidRDefault="00A10BB9" w:rsidP="009504DE">
      <w:pPr>
        <w:pStyle w:val="CBDNormalNumber"/>
        <w:numPr>
          <w:ilvl w:val="0"/>
          <w:numId w:val="0"/>
        </w:numPr>
        <w:ind w:left="567" w:firstLine="567"/>
        <w:rPr>
          <w:rFonts w:asciiTheme="majorBidi" w:eastAsiaTheme="minorHAnsi" w:hAnsiTheme="majorBidi" w:cstheme="majorBidi"/>
          <w:lang w:val="fr-FR"/>
        </w:rPr>
      </w:pPr>
      <w:r w:rsidRPr="0049796C">
        <w:rPr>
          <w:rFonts w:asciiTheme="majorBidi" w:eastAsiaTheme="minorHAnsi" w:hAnsiTheme="majorBidi" w:cstheme="majorBidi"/>
          <w:lang w:val="fr-FR"/>
        </w:rPr>
        <w:t>8.</w:t>
      </w:r>
      <w:r w:rsidRPr="0049796C">
        <w:rPr>
          <w:rFonts w:asciiTheme="majorBidi" w:eastAsiaTheme="minorHAnsi" w:hAnsiTheme="majorBidi" w:cstheme="majorBidi"/>
          <w:i/>
          <w:iCs/>
          <w:lang w:val="fr-FR"/>
        </w:rPr>
        <w:tab/>
      </w:r>
      <w:r w:rsidR="0007468A">
        <w:rPr>
          <w:rFonts w:asciiTheme="majorBidi" w:eastAsiaTheme="minorHAnsi" w:hAnsiTheme="majorBidi" w:cstheme="majorBidi"/>
          <w:i/>
          <w:iCs/>
          <w:lang w:val="fr-FR"/>
        </w:rPr>
        <w:t>Prie</w:t>
      </w:r>
      <w:r w:rsidR="00555AEE" w:rsidRPr="0049796C">
        <w:rPr>
          <w:rFonts w:asciiTheme="majorBidi" w:eastAsiaTheme="minorHAnsi" w:hAnsiTheme="majorBidi" w:cstheme="majorBidi"/>
          <w:lang w:val="fr-FR"/>
        </w:rPr>
        <w:t xml:space="preserve"> </w:t>
      </w:r>
      <w:r w:rsidR="009860C4">
        <w:rPr>
          <w:rFonts w:asciiTheme="majorBidi" w:eastAsiaTheme="minorHAnsi" w:hAnsiTheme="majorBidi" w:cstheme="majorBidi"/>
          <w:lang w:val="fr-FR"/>
        </w:rPr>
        <w:t xml:space="preserve">la </w:t>
      </w:r>
      <w:r w:rsidR="00D852B1">
        <w:rPr>
          <w:rFonts w:asciiTheme="majorBidi" w:eastAsiaTheme="minorHAnsi" w:hAnsiTheme="majorBidi" w:cstheme="majorBidi"/>
          <w:lang w:val="fr-FR"/>
        </w:rPr>
        <w:t>Secrét</w:t>
      </w:r>
      <w:r w:rsidR="009860C4">
        <w:rPr>
          <w:rFonts w:asciiTheme="majorBidi" w:eastAsiaTheme="minorHAnsi" w:hAnsiTheme="majorBidi" w:cstheme="majorBidi"/>
          <w:lang w:val="fr-FR"/>
        </w:rPr>
        <w:t>aire exécutive</w:t>
      </w:r>
      <w:r w:rsidR="002B4C87" w:rsidRPr="002B4C87">
        <w:rPr>
          <w:rFonts w:asciiTheme="majorBidi" w:eastAsiaTheme="minorHAnsi" w:hAnsiTheme="majorBidi" w:cstheme="majorBidi"/>
          <w:lang w:val="fr-FR"/>
        </w:rPr>
        <w:t>, en consultation avec le directeur général du Fonds pour l</w:t>
      </w:r>
      <w:r w:rsidR="00713487">
        <w:rPr>
          <w:rFonts w:asciiTheme="majorBidi" w:eastAsiaTheme="minorHAnsi" w:hAnsiTheme="majorBidi" w:cstheme="majorBidi"/>
          <w:lang w:val="fr-FR"/>
        </w:rPr>
        <w:t>’</w:t>
      </w:r>
      <w:r w:rsidR="002B4C87" w:rsidRPr="002B4C87">
        <w:rPr>
          <w:rFonts w:asciiTheme="majorBidi" w:eastAsiaTheme="minorHAnsi" w:hAnsiTheme="majorBidi" w:cstheme="majorBidi"/>
          <w:lang w:val="fr-FR"/>
        </w:rPr>
        <w:t xml:space="preserve">environnement mondial, à assurer la liaison avec le </w:t>
      </w:r>
      <w:r w:rsidR="00D852B1">
        <w:rPr>
          <w:rFonts w:asciiTheme="majorBidi" w:eastAsiaTheme="minorHAnsi" w:hAnsiTheme="majorBidi" w:cstheme="majorBidi"/>
          <w:lang w:val="fr-FR"/>
        </w:rPr>
        <w:t>Secrét</w:t>
      </w:r>
      <w:r w:rsidR="002B4C87" w:rsidRPr="002B4C87">
        <w:rPr>
          <w:rFonts w:asciiTheme="majorBidi" w:eastAsiaTheme="minorHAnsi" w:hAnsiTheme="majorBidi" w:cstheme="majorBidi"/>
          <w:lang w:val="fr-FR"/>
        </w:rPr>
        <w:t>ariat du Fonds vert pour le climat, en vue de renforcer la collaboration et le soutien en faveur de la Convention</w:t>
      </w:r>
      <w:r w:rsidR="00713487">
        <w:rPr>
          <w:rFonts w:asciiTheme="majorBidi" w:eastAsiaTheme="minorHAnsi" w:hAnsiTheme="majorBidi" w:cstheme="majorBidi"/>
          <w:lang w:val="fr-FR"/>
        </w:rPr>
        <w:t> ;</w:t>
      </w:r>
    </w:p>
    <w:p w14:paraId="765AF822" w14:textId="158DD000" w:rsidR="00F04681" w:rsidRPr="0049796C" w:rsidRDefault="00A10BB9" w:rsidP="009504DE">
      <w:pPr>
        <w:pStyle w:val="CBDNormalNumber"/>
        <w:numPr>
          <w:ilvl w:val="0"/>
          <w:numId w:val="0"/>
        </w:numPr>
        <w:ind w:left="567" w:firstLine="567"/>
        <w:rPr>
          <w:lang w:val="fr-FR"/>
        </w:rPr>
      </w:pPr>
      <w:r w:rsidRPr="0049796C">
        <w:rPr>
          <w:rFonts w:asciiTheme="majorBidi" w:eastAsiaTheme="minorHAnsi" w:hAnsiTheme="majorBidi" w:cstheme="majorBidi"/>
          <w:lang w:val="fr-FR"/>
        </w:rPr>
        <w:t>9.</w:t>
      </w:r>
      <w:r w:rsidRPr="0049796C">
        <w:rPr>
          <w:rFonts w:asciiTheme="majorBidi" w:eastAsiaTheme="minorHAnsi" w:hAnsiTheme="majorBidi" w:cstheme="majorBidi"/>
          <w:i/>
          <w:iCs/>
          <w:lang w:val="fr-FR"/>
        </w:rPr>
        <w:tab/>
      </w:r>
      <w:r w:rsidR="00C36421">
        <w:rPr>
          <w:rFonts w:asciiTheme="majorBidi" w:eastAsiaTheme="minorHAnsi" w:hAnsiTheme="majorBidi" w:cstheme="majorBidi"/>
          <w:i/>
          <w:iCs/>
          <w:lang w:val="fr-FR"/>
        </w:rPr>
        <w:t>Prie</w:t>
      </w:r>
      <w:r w:rsidR="00872409" w:rsidRPr="0049796C">
        <w:rPr>
          <w:rFonts w:asciiTheme="majorBidi" w:eastAsiaTheme="minorHAnsi" w:hAnsiTheme="majorBidi" w:cstheme="majorBidi"/>
          <w:i/>
          <w:iCs/>
          <w:lang w:val="fr-FR"/>
        </w:rPr>
        <w:t xml:space="preserve"> </w:t>
      </w:r>
      <w:r w:rsidR="00C36421">
        <w:rPr>
          <w:rFonts w:asciiTheme="majorBidi" w:eastAsiaTheme="minorHAnsi" w:hAnsiTheme="majorBidi" w:cstheme="majorBidi"/>
          <w:i/>
          <w:iCs/>
          <w:lang w:val="fr-FR"/>
        </w:rPr>
        <w:t xml:space="preserve">également </w:t>
      </w:r>
      <w:r w:rsidR="009860C4">
        <w:rPr>
          <w:rFonts w:asciiTheme="majorBidi" w:eastAsiaTheme="minorHAnsi" w:hAnsiTheme="majorBidi" w:cstheme="majorBidi"/>
          <w:lang w:val="fr-FR"/>
        </w:rPr>
        <w:t xml:space="preserve">la </w:t>
      </w:r>
      <w:r w:rsidR="00D852B1">
        <w:rPr>
          <w:rFonts w:asciiTheme="majorBidi" w:eastAsiaTheme="minorHAnsi" w:hAnsiTheme="majorBidi" w:cstheme="majorBidi"/>
          <w:lang w:val="fr-FR"/>
        </w:rPr>
        <w:t>Secrét</w:t>
      </w:r>
      <w:r w:rsidR="009860C4">
        <w:rPr>
          <w:rFonts w:asciiTheme="majorBidi" w:eastAsiaTheme="minorHAnsi" w:hAnsiTheme="majorBidi" w:cstheme="majorBidi"/>
          <w:lang w:val="fr-FR"/>
        </w:rPr>
        <w:t>aire exécutive</w:t>
      </w:r>
      <w:r w:rsidR="00C36421" w:rsidRPr="00C36421">
        <w:rPr>
          <w:rFonts w:asciiTheme="majorBidi" w:eastAsiaTheme="minorHAnsi" w:hAnsiTheme="majorBidi" w:cstheme="majorBidi"/>
          <w:lang w:val="fr-FR"/>
        </w:rPr>
        <w:t xml:space="preserve"> d</w:t>
      </w:r>
      <w:r w:rsidR="00713487">
        <w:rPr>
          <w:rFonts w:asciiTheme="majorBidi" w:eastAsiaTheme="minorHAnsi" w:hAnsiTheme="majorBidi" w:cstheme="majorBidi"/>
          <w:lang w:val="fr-FR"/>
        </w:rPr>
        <w:t>’</w:t>
      </w:r>
      <w:r w:rsidR="00C36421" w:rsidRPr="00C36421">
        <w:rPr>
          <w:rFonts w:asciiTheme="majorBidi" w:eastAsiaTheme="minorHAnsi" w:hAnsiTheme="majorBidi" w:cstheme="majorBidi"/>
          <w:lang w:val="fr-FR"/>
        </w:rPr>
        <w:t>élaborer un projet de mandat pour le comité permanent visé au paragraphe 1 ci-dessus, en tenant compte de l</w:t>
      </w:r>
      <w:r w:rsidR="00713487">
        <w:rPr>
          <w:rFonts w:asciiTheme="majorBidi" w:eastAsiaTheme="minorHAnsi" w:hAnsiTheme="majorBidi" w:cstheme="majorBidi"/>
          <w:lang w:val="fr-FR"/>
        </w:rPr>
        <w:t>’</w:t>
      </w:r>
      <w:r w:rsidR="00C36421" w:rsidRPr="00C36421">
        <w:rPr>
          <w:rFonts w:asciiTheme="majorBidi" w:eastAsiaTheme="minorHAnsi" w:hAnsiTheme="majorBidi" w:cstheme="majorBidi"/>
          <w:lang w:val="fr-FR"/>
        </w:rPr>
        <w:t>expérience du Comité permanent des finances de la Convention-cadre des Nations Unies sur les changements climatiques</w:t>
      </w:r>
      <w:r w:rsidR="00A04EFF" w:rsidRPr="0049796C">
        <w:rPr>
          <w:rStyle w:val="FootnoteReference"/>
          <w:rFonts w:asciiTheme="majorBidi" w:eastAsiaTheme="minorHAnsi" w:hAnsiTheme="majorBidi" w:cstheme="majorBidi"/>
          <w:lang w:val="fr-FR"/>
        </w:rPr>
        <w:footnoteReference w:id="12"/>
      </w:r>
      <w:r w:rsidR="00C36421">
        <w:rPr>
          <w:rFonts w:asciiTheme="majorBidi" w:eastAsiaTheme="minorHAnsi" w:hAnsiTheme="majorBidi" w:cstheme="majorBidi"/>
          <w:lang w:val="fr-FR"/>
        </w:rPr>
        <w:t>.</w:t>
      </w:r>
    </w:p>
    <w:p w14:paraId="696F48C2" w14:textId="0CD8ADEE" w:rsidR="009E42BC" w:rsidRPr="0049796C" w:rsidRDefault="009E42BC">
      <w:pPr>
        <w:spacing w:before="240" w:after="240"/>
        <w:rPr>
          <w:lang w:val="fr-FR"/>
        </w:rPr>
      </w:pPr>
      <w:r w:rsidRPr="0049796C">
        <w:rPr>
          <w:lang w:val="fr-FR"/>
        </w:rPr>
        <w:br w:type="page"/>
      </w:r>
    </w:p>
    <w:p w14:paraId="56B460A7" w14:textId="28694DBE" w:rsidR="00234D0E" w:rsidRPr="0049796C" w:rsidRDefault="00234D0E" w:rsidP="009504DE">
      <w:pPr>
        <w:pStyle w:val="CBDAnnex"/>
        <w:rPr>
          <w:lang w:val="fr-FR"/>
        </w:rPr>
      </w:pPr>
      <w:r w:rsidRPr="0049796C">
        <w:rPr>
          <w:lang w:val="fr-FR"/>
        </w:rPr>
        <w:lastRenderedPageBreak/>
        <w:t>Annex</w:t>
      </w:r>
      <w:r w:rsidR="00441938">
        <w:rPr>
          <w:lang w:val="fr-FR"/>
        </w:rPr>
        <w:t>e</w:t>
      </w:r>
    </w:p>
    <w:p w14:paraId="06FE4F35" w14:textId="379BC95A" w:rsidR="00FA2137" w:rsidRPr="0049796C" w:rsidRDefault="00441938" w:rsidP="009504DE">
      <w:pPr>
        <w:pStyle w:val="CBDTitle"/>
        <w:rPr>
          <w:lang w:val="fr-FR"/>
        </w:rPr>
      </w:pPr>
      <w:r w:rsidRPr="00441938">
        <w:rPr>
          <w:lang w:val="fr-FR"/>
        </w:rPr>
        <w:t>Rapport de synthèse et recommandations de l</w:t>
      </w:r>
      <w:r w:rsidR="00713487">
        <w:rPr>
          <w:lang w:val="fr-FR"/>
        </w:rPr>
        <w:t>’</w:t>
      </w:r>
      <w:r w:rsidRPr="00441938">
        <w:rPr>
          <w:lang w:val="fr-FR"/>
        </w:rPr>
        <w:t>évaluateur indépendant pour le sixième examen quadriennal de l</w:t>
      </w:r>
      <w:r w:rsidR="00713487">
        <w:rPr>
          <w:lang w:val="fr-FR"/>
        </w:rPr>
        <w:t>’</w:t>
      </w:r>
      <w:r w:rsidRPr="00441938">
        <w:rPr>
          <w:lang w:val="fr-FR"/>
        </w:rPr>
        <w:t>efficacité du mécanisme financier de la convention sur la diversité biologique</w:t>
      </w:r>
    </w:p>
    <w:p w14:paraId="3BCB2F21" w14:textId="162E96CC" w:rsidR="00FA2137" w:rsidRPr="0049796C" w:rsidRDefault="00B14026" w:rsidP="009504DE">
      <w:pPr>
        <w:pStyle w:val="CBDH1"/>
        <w:rPr>
          <w:bCs/>
          <w:smallCaps/>
          <w:lang w:val="fr-FR"/>
        </w:rPr>
      </w:pPr>
      <w:bookmarkStart w:id="3" w:name="_Toc177047023"/>
      <w:r w:rsidRPr="0049796C">
        <w:rPr>
          <w:lang w:val="fr-FR"/>
        </w:rPr>
        <w:t>I.</w:t>
      </w:r>
      <w:r w:rsidRPr="0049796C">
        <w:rPr>
          <w:lang w:val="fr-FR"/>
        </w:rPr>
        <w:tab/>
      </w:r>
      <w:r w:rsidR="00FA2137" w:rsidRPr="0049796C">
        <w:rPr>
          <w:lang w:val="fr-FR"/>
        </w:rPr>
        <w:t>Introduction</w:t>
      </w:r>
      <w:bookmarkEnd w:id="3"/>
      <w:r w:rsidR="00FA2137" w:rsidRPr="0049796C">
        <w:rPr>
          <w:lang w:val="fr-FR"/>
        </w:rPr>
        <w:t xml:space="preserve"> </w:t>
      </w:r>
    </w:p>
    <w:p w14:paraId="7CDBDBFA" w14:textId="37B37480" w:rsidR="00FA2137" w:rsidRPr="0049796C" w:rsidRDefault="00215C6D" w:rsidP="00362D98">
      <w:pPr>
        <w:pStyle w:val="CBDNormalNumber"/>
        <w:numPr>
          <w:ilvl w:val="0"/>
          <w:numId w:val="9"/>
        </w:numPr>
        <w:rPr>
          <w:sz w:val="23"/>
          <w:szCs w:val="23"/>
          <w:lang w:val="fr-FR"/>
        </w:rPr>
      </w:pPr>
      <w:r w:rsidRPr="00215C6D">
        <w:rPr>
          <w:rFonts w:eastAsia="Times New Roman"/>
          <w:snapToGrid w:val="0"/>
          <w:kern w:val="22"/>
          <w:lang w:val="fr-FR"/>
        </w:rPr>
        <w:t>Conformément au paragraphe 3 de l</w:t>
      </w:r>
      <w:r w:rsidR="00713487">
        <w:rPr>
          <w:rFonts w:eastAsia="Times New Roman"/>
          <w:snapToGrid w:val="0"/>
          <w:kern w:val="22"/>
          <w:lang w:val="fr-FR"/>
        </w:rPr>
        <w:t>’</w:t>
      </w:r>
      <w:r w:rsidRPr="00215C6D">
        <w:rPr>
          <w:rFonts w:eastAsia="Times New Roman"/>
          <w:snapToGrid w:val="0"/>
          <w:kern w:val="22"/>
          <w:lang w:val="fr-FR"/>
        </w:rPr>
        <w:t>article 21, et en s</w:t>
      </w:r>
      <w:r w:rsidR="00713487">
        <w:rPr>
          <w:rFonts w:eastAsia="Times New Roman"/>
          <w:snapToGrid w:val="0"/>
          <w:kern w:val="22"/>
          <w:lang w:val="fr-FR"/>
        </w:rPr>
        <w:t>’</w:t>
      </w:r>
      <w:r w:rsidRPr="00215C6D">
        <w:rPr>
          <w:rFonts w:eastAsia="Times New Roman"/>
          <w:snapToGrid w:val="0"/>
          <w:kern w:val="22"/>
          <w:lang w:val="fr-FR"/>
        </w:rPr>
        <w:t>appuyant sur l</w:t>
      </w:r>
      <w:r w:rsidR="00713487">
        <w:rPr>
          <w:rFonts w:eastAsia="Times New Roman"/>
          <w:snapToGrid w:val="0"/>
          <w:kern w:val="22"/>
          <w:lang w:val="fr-FR"/>
        </w:rPr>
        <w:t>’</w:t>
      </w:r>
      <w:r w:rsidRPr="00215C6D">
        <w:rPr>
          <w:rFonts w:eastAsia="Times New Roman"/>
          <w:snapToGrid w:val="0"/>
          <w:kern w:val="22"/>
          <w:lang w:val="fr-FR"/>
        </w:rPr>
        <w:t>expérience des cinq derniers examens, la Conférence des Parties entreprendra son sixième examen de l</w:t>
      </w:r>
      <w:r w:rsidR="00713487">
        <w:rPr>
          <w:rFonts w:eastAsia="Times New Roman"/>
          <w:snapToGrid w:val="0"/>
          <w:kern w:val="22"/>
          <w:lang w:val="fr-FR"/>
        </w:rPr>
        <w:t>’</w:t>
      </w:r>
      <w:r w:rsidRPr="00215C6D">
        <w:rPr>
          <w:rFonts w:eastAsia="Times New Roman"/>
          <w:snapToGrid w:val="0"/>
          <w:kern w:val="22"/>
          <w:lang w:val="fr-FR"/>
        </w:rPr>
        <w:t>efficacité du mécanisme financier à sa seizième réunion et prendra les mesures voulues pour améliorer l</w:t>
      </w:r>
      <w:r w:rsidR="00713487">
        <w:rPr>
          <w:rFonts w:eastAsia="Times New Roman"/>
          <w:snapToGrid w:val="0"/>
          <w:kern w:val="22"/>
          <w:lang w:val="fr-FR"/>
        </w:rPr>
        <w:t>’</w:t>
      </w:r>
      <w:r w:rsidRPr="00215C6D">
        <w:rPr>
          <w:rFonts w:eastAsia="Times New Roman"/>
          <w:snapToGrid w:val="0"/>
          <w:kern w:val="22"/>
          <w:lang w:val="fr-FR"/>
        </w:rPr>
        <w:t>efficacité du mécanisme selon que de besoin</w:t>
      </w:r>
      <w:r w:rsidR="00FA2137" w:rsidRPr="0049796C">
        <w:rPr>
          <w:sz w:val="23"/>
          <w:szCs w:val="23"/>
          <w:lang w:val="fr-FR"/>
        </w:rPr>
        <w:t>.</w:t>
      </w:r>
    </w:p>
    <w:p w14:paraId="1993019B" w14:textId="232D4EDA" w:rsidR="00FA2137" w:rsidRPr="0049796C" w:rsidRDefault="00CC5EF3" w:rsidP="00362D98">
      <w:pPr>
        <w:pStyle w:val="CBDNormalNumber"/>
        <w:numPr>
          <w:ilvl w:val="0"/>
          <w:numId w:val="9"/>
        </w:numPr>
        <w:rPr>
          <w:sz w:val="23"/>
          <w:szCs w:val="23"/>
          <w:lang w:val="fr-FR"/>
        </w:rPr>
      </w:pPr>
      <w:r w:rsidRPr="00CC5EF3">
        <w:rPr>
          <w:sz w:val="23"/>
          <w:szCs w:val="23"/>
          <w:lang w:val="fr-FR"/>
        </w:rPr>
        <w:t>Sous l</w:t>
      </w:r>
      <w:r w:rsidR="00713487">
        <w:rPr>
          <w:sz w:val="23"/>
          <w:szCs w:val="23"/>
          <w:lang w:val="fr-FR"/>
        </w:rPr>
        <w:t>’</w:t>
      </w:r>
      <w:r w:rsidRPr="00CC5EF3">
        <w:rPr>
          <w:sz w:val="23"/>
          <w:szCs w:val="23"/>
          <w:lang w:val="fr-FR"/>
        </w:rPr>
        <w:t xml:space="preserve">autorité de la COP, </w:t>
      </w:r>
      <w:r w:rsidR="009860C4">
        <w:rPr>
          <w:sz w:val="23"/>
          <w:szCs w:val="23"/>
          <w:lang w:val="fr-FR"/>
        </w:rPr>
        <w:t xml:space="preserve">la </w:t>
      </w:r>
      <w:r w:rsidR="00D852B1">
        <w:rPr>
          <w:sz w:val="23"/>
          <w:szCs w:val="23"/>
          <w:lang w:val="fr-FR"/>
        </w:rPr>
        <w:t>Secrét</w:t>
      </w:r>
      <w:r w:rsidR="009860C4">
        <w:rPr>
          <w:sz w:val="23"/>
          <w:szCs w:val="23"/>
          <w:lang w:val="fr-FR"/>
        </w:rPr>
        <w:t>aire exécutive</w:t>
      </w:r>
      <w:r w:rsidRPr="00CC5EF3">
        <w:rPr>
          <w:sz w:val="23"/>
          <w:szCs w:val="23"/>
          <w:lang w:val="fr-FR"/>
        </w:rPr>
        <w:t xml:space="preserve"> passera un contrat avec un évaluateur indépendant expérimenté pour préparer un rapport destiné à éclairer l</w:t>
      </w:r>
      <w:r w:rsidR="00713487">
        <w:rPr>
          <w:sz w:val="23"/>
          <w:szCs w:val="23"/>
          <w:lang w:val="fr-FR"/>
        </w:rPr>
        <w:t>’</w:t>
      </w:r>
      <w:r w:rsidRPr="00CC5EF3">
        <w:rPr>
          <w:sz w:val="23"/>
          <w:szCs w:val="23"/>
          <w:lang w:val="fr-FR"/>
        </w:rPr>
        <w:t>examen</w:t>
      </w:r>
      <w:r w:rsidR="00FA2137" w:rsidRPr="0049796C">
        <w:rPr>
          <w:sz w:val="23"/>
          <w:szCs w:val="23"/>
          <w:lang w:val="fr-FR"/>
        </w:rPr>
        <w:t>.</w:t>
      </w:r>
    </w:p>
    <w:p w14:paraId="27F64E0A" w14:textId="7D615240" w:rsidR="00FA2137" w:rsidRPr="0049796C" w:rsidRDefault="00B4362B" w:rsidP="00362D98">
      <w:pPr>
        <w:pStyle w:val="CBDNormalNumber"/>
        <w:numPr>
          <w:ilvl w:val="0"/>
          <w:numId w:val="9"/>
        </w:numPr>
        <w:rPr>
          <w:sz w:val="23"/>
          <w:szCs w:val="23"/>
          <w:lang w:val="fr-FR"/>
        </w:rPr>
      </w:pPr>
      <w:r w:rsidRPr="00B4362B">
        <w:rPr>
          <w:sz w:val="23"/>
          <w:szCs w:val="23"/>
          <w:lang w:val="fr-FR"/>
        </w:rPr>
        <w:t>L</w:t>
      </w:r>
      <w:r w:rsidR="00713487">
        <w:rPr>
          <w:sz w:val="23"/>
          <w:szCs w:val="23"/>
          <w:lang w:val="fr-FR"/>
        </w:rPr>
        <w:t>’</w:t>
      </w:r>
      <w:r w:rsidRPr="00B4362B">
        <w:rPr>
          <w:sz w:val="23"/>
          <w:szCs w:val="23"/>
          <w:lang w:val="fr-FR"/>
        </w:rPr>
        <w:t xml:space="preserve">évaluateur indépendant a été désigné en mars 2024 par le </w:t>
      </w:r>
      <w:r w:rsidR="00D852B1">
        <w:rPr>
          <w:sz w:val="23"/>
          <w:szCs w:val="23"/>
          <w:lang w:val="fr-FR"/>
        </w:rPr>
        <w:t>Secrét</w:t>
      </w:r>
      <w:r w:rsidRPr="00B4362B">
        <w:rPr>
          <w:sz w:val="23"/>
          <w:szCs w:val="23"/>
          <w:lang w:val="fr-FR"/>
        </w:rPr>
        <w:t>ariat de la Convention sur la diversité biologique (CDB) pour établir un rapport de synthèse assorti de recommandations (Rapport) à l</w:t>
      </w:r>
      <w:r w:rsidR="00713487">
        <w:rPr>
          <w:sz w:val="23"/>
          <w:szCs w:val="23"/>
          <w:lang w:val="fr-FR"/>
        </w:rPr>
        <w:t>’</w:t>
      </w:r>
      <w:r w:rsidRPr="00B4362B">
        <w:rPr>
          <w:sz w:val="23"/>
          <w:szCs w:val="23"/>
          <w:lang w:val="fr-FR"/>
        </w:rPr>
        <w:t>appui du sixième examen quadriennal (Examen) de l</w:t>
      </w:r>
      <w:r w:rsidR="00713487">
        <w:rPr>
          <w:sz w:val="23"/>
          <w:szCs w:val="23"/>
          <w:lang w:val="fr-FR"/>
        </w:rPr>
        <w:t>’</w:t>
      </w:r>
      <w:r w:rsidRPr="00B4362B">
        <w:rPr>
          <w:sz w:val="23"/>
          <w:szCs w:val="23"/>
          <w:lang w:val="fr-FR"/>
        </w:rPr>
        <w:t>efficacité du mécanisme financier, géré par le Fonds pour l</w:t>
      </w:r>
      <w:r w:rsidR="00713487">
        <w:rPr>
          <w:sz w:val="23"/>
          <w:szCs w:val="23"/>
          <w:lang w:val="fr-FR"/>
        </w:rPr>
        <w:t>’</w:t>
      </w:r>
      <w:r w:rsidRPr="00B4362B">
        <w:rPr>
          <w:sz w:val="23"/>
          <w:szCs w:val="23"/>
          <w:lang w:val="fr-FR"/>
        </w:rPr>
        <w:t>environnement mondial (FEM) de manière continue et provisoire, selon le mandat indiqué dans la décision 15/15, annexe IV, de la quinzième réunion de la Conférence des Parties.</w:t>
      </w:r>
    </w:p>
    <w:p w14:paraId="2F1C8DC1" w14:textId="08C73DCD" w:rsidR="00FA2137" w:rsidRPr="0049796C" w:rsidRDefault="00F729C0" w:rsidP="00362D98">
      <w:pPr>
        <w:pStyle w:val="CBDNormalNumber"/>
        <w:numPr>
          <w:ilvl w:val="0"/>
          <w:numId w:val="9"/>
        </w:numPr>
        <w:rPr>
          <w:sz w:val="23"/>
          <w:szCs w:val="23"/>
          <w:lang w:val="fr-FR"/>
        </w:rPr>
      </w:pPr>
      <w:r w:rsidRPr="00F729C0">
        <w:rPr>
          <w:sz w:val="23"/>
          <w:szCs w:val="23"/>
          <w:lang w:val="fr-FR"/>
        </w:rPr>
        <w:t>Le présent rapport a examiné les activités du FEM pour la période allant du 1er juillet 2017 au 30 juin 2024 à l</w:t>
      </w:r>
      <w:r w:rsidR="00713487">
        <w:rPr>
          <w:sz w:val="23"/>
          <w:szCs w:val="23"/>
          <w:lang w:val="fr-FR"/>
        </w:rPr>
        <w:t>’</w:t>
      </w:r>
      <w:r w:rsidRPr="00F729C0">
        <w:rPr>
          <w:sz w:val="23"/>
          <w:szCs w:val="23"/>
          <w:lang w:val="fr-FR"/>
        </w:rPr>
        <w:t>aune des critères énoncés dans la Décision 15/15, ainsi que le contexte plus large du financement international de la biodiversité, afin d</w:t>
      </w:r>
      <w:r w:rsidR="00713487">
        <w:rPr>
          <w:sz w:val="23"/>
          <w:szCs w:val="23"/>
          <w:lang w:val="fr-FR"/>
        </w:rPr>
        <w:t>’</w:t>
      </w:r>
      <w:r w:rsidRPr="00F729C0">
        <w:rPr>
          <w:sz w:val="23"/>
          <w:szCs w:val="23"/>
          <w:lang w:val="fr-FR"/>
        </w:rPr>
        <w:t>étayer ses conclusions et recommandations. La période examinée s</w:t>
      </w:r>
      <w:r w:rsidR="00713487">
        <w:rPr>
          <w:sz w:val="23"/>
          <w:szCs w:val="23"/>
          <w:lang w:val="fr-FR"/>
        </w:rPr>
        <w:t>’</w:t>
      </w:r>
      <w:r w:rsidRPr="00F729C0">
        <w:rPr>
          <w:sz w:val="23"/>
          <w:szCs w:val="23"/>
          <w:lang w:val="fr-FR"/>
        </w:rPr>
        <w:t>étendait sur les neuf derniers mois de FEM-6, toute la période de FEM-7 et les 24 premiers mois de FEM-8. Le rapport a examiné les activités de l</w:t>
      </w:r>
      <w:r w:rsidR="00713487">
        <w:rPr>
          <w:sz w:val="23"/>
          <w:szCs w:val="23"/>
          <w:lang w:val="fr-FR"/>
        </w:rPr>
        <w:t>’</w:t>
      </w:r>
      <w:r w:rsidRPr="00F729C0">
        <w:rPr>
          <w:sz w:val="23"/>
          <w:szCs w:val="23"/>
          <w:lang w:val="fr-FR"/>
        </w:rPr>
        <w:t>ensemble du système du FEM, y compris celles des agences d</w:t>
      </w:r>
      <w:r w:rsidR="00713487">
        <w:rPr>
          <w:sz w:val="23"/>
          <w:szCs w:val="23"/>
          <w:lang w:val="fr-FR"/>
        </w:rPr>
        <w:t>’</w:t>
      </w:r>
      <w:r w:rsidRPr="00F729C0">
        <w:rPr>
          <w:sz w:val="23"/>
          <w:szCs w:val="23"/>
          <w:lang w:val="fr-FR"/>
        </w:rPr>
        <w:t>exécution</w:t>
      </w:r>
      <w:r w:rsidR="00FA2137" w:rsidRPr="0049796C">
        <w:rPr>
          <w:sz w:val="23"/>
          <w:szCs w:val="23"/>
          <w:lang w:val="fr-FR"/>
        </w:rPr>
        <w:t>.</w:t>
      </w:r>
    </w:p>
    <w:p w14:paraId="757700D3" w14:textId="06E84298" w:rsidR="00FA2137" w:rsidRPr="0049796C" w:rsidRDefault="006713B2" w:rsidP="00362D98">
      <w:pPr>
        <w:pStyle w:val="CBDNormalNumber"/>
        <w:numPr>
          <w:ilvl w:val="0"/>
          <w:numId w:val="9"/>
        </w:numPr>
        <w:rPr>
          <w:sz w:val="23"/>
          <w:szCs w:val="23"/>
          <w:lang w:val="fr-FR"/>
        </w:rPr>
      </w:pPr>
      <w:r w:rsidRPr="006713B2">
        <w:rPr>
          <w:sz w:val="23"/>
          <w:szCs w:val="23"/>
          <w:lang w:val="fr-FR"/>
        </w:rPr>
        <w:t>Au cours de la période examinée, des événements importants, tels que la création du Fonds du cadre mondial pour la biodiversité (Fonds GBF) et la création du Comité consultatif sur la mobilisation des ressources par la COP dans la décision 15/7, témoignent des efforts concertés déployés par les Parties et le FEM pour accroître le financement de la conservation de la biodiversité en vue de combler le déficit de financement de la biodiversité, estimé dans le Cadre mondial pour la biodiversité à 700 milliards de dollars par an entre 2023 et 2030.</w:t>
      </w:r>
      <w:r w:rsidR="00FA2137" w:rsidRPr="0049796C">
        <w:rPr>
          <w:sz w:val="23"/>
          <w:szCs w:val="23"/>
          <w:lang w:val="fr-FR"/>
        </w:rPr>
        <w:t xml:space="preserve"> </w:t>
      </w:r>
    </w:p>
    <w:p w14:paraId="71678514" w14:textId="75047E0D" w:rsidR="00FA2137" w:rsidRPr="0049796C" w:rsidRDefault="006713B2" w:rsidP="00362D98">
      <w:pPr>
        <w:pStyle w:val="CBDNormalNumber"/>
        <w:numPr>
          <w:ilvl w:val="0"/>
          <w:numId w:val="9"/>
        </w:numPr>
        <w:rPr>
          <w:sz w:val="23"/>
          <w:szCs w:val="23"/>
          <w:lang w:val="fr-FR"/>
        </w:rPr>
      </w:pPr>
      <w:r w:rsidRPr="006713B2">
        <w:rPr>
          <w:sz w:val="23"/>
          <w:szCs w:val="23"/>
          <w:lang w:val="fr-FR"/>
        </w:rPr>
        <w:t xml:space="preserve">Si le présent </w:t>
      </w:r>
      <w:r w:rsidR="0043451F">
        <w:rPr>
          <w:sz w:val="23"/>
          <w:szCs w:val="23"/>
          <w:lang w:val="fr-FR"/>
        </w:rPr>
        <w:t>r</w:t>
      </w:r>
      <w:r w:rsidRPr="006713B2">
        <w:rPr>
          <w:sz w:val="23"/>
          <w:szCs w:val="23"/>
          <w:lang w:val="fr-FR"/>
        </w:rPr>
        <w:t>apport conclut que le FEM a accompli des progrès notables entre les FEM</w:t>
      </w:r>
      <w:r w:rsidR="00FA10F0">
        <w:rPr>
          <w:sz w:val="23"/>
          <w:szCs w:val="23"/>
          <w:lang w:val="fr-FR"/>
        </w:rPr>
        <w:softHyphen/>
      </w:r>
      <w:r w:rsidRPr="006713B2">
        <w:rPr>
          <w:sz w:val="23"/>
          <w:szCs w:val="23"/>
          <w:lang w:val="fr-FR"/>
        </w:rPr>
        <w:t>6 et FEM</w:t>
      </w:r>
      <w:r w:rsidR="00FA10F0">
        <w:rPr>
          <w:sz w:val="23"/>
          <w:szCs w:val="23"/>
          <w:lang w:val="fr-FR"/>
        </w:rPr>
        <w:softHyphen/>
      </w:r>
      <w:r w:rsidRPr="006713B2">
        <w:rPr>
          <w:sz w:val="23"/>
          <w:szCs w:val="23"/>
          <w:lang w:val="fr-FR"/>
        </w:rPr>
        <w:t>8 dans les domaines examinés, des améliorations sont possibles et importantes pour renforcer le soutien à la réalisation des objectifs de la CDB. En particulier, le soutien aux pays les moins avancés (PMA) et aux petits États insulaires en développement (PEID), l</w:t>
      </w:r>
      <w:r w:rsidR="00713487">
        <w:rPr>
          <w:sz w:val="23"/>
          <w:szCs w:val="23"/>
          <w:lang w:val="fr-FR"/>
        </w:rPr>
        <w:t>’</w:t>
      </w:r>
      <w:r w:rsidRPr="006713B2">
        <w:rPr>
          <w:sz w:val="23"/>
          <w:szCs w:val="23"/>
          <w:lang w:val="fr-FR"/>
        </w:rPr>
        <w:t>amélioration de l</w:t>
      </w:r>
      <w:r w:rsidR="00713487">
        <w:rPr>
          <w:sz w:val="23"/>
          <w:szCs w:val="23"/>
          <w:lang w:val="fr-FR"/>
        </w:rPr>
        <w:t>’</w:t>
      </w:r>
      <w:r w:rsidRPr="006713B2">
        <w:rPr>
          <w:sz w:val="23"/>
          <w:szCs w:val="23"/>
          <w:lang w:val="fr-FR"/>
        </w:rPr>
        <w:t>appropriation ou de l</w:t>
      </w:r>
      <w:r w:rsidR="00713487">
        <w:rPr>
          <w:sz w:val="23"/>
          <w:szCs w:val="23"/>
          <w:lang w:val="fr-FR"/>
        </w:rPr>
        <w:t>’</w:t>
      </w:r>
      <w:r w:rsidRPr="006713B2">
        <w:rPr>
          <w:sz w:val="23"/>
          <w:szCs w:val="23"/>
          <w:lang w:val="fr-FR"/>
        </w:rPr>
        <w:t>impulsion des pays, l</w:t>
      </w:r>
      <w:r w:rsidR="00713487">
        <w:rPr>
          <w:sz w:val="23"/>
          <w:szCs w:val="23"/>
          <w:lang w:val="fr-FR"/>
        </w:rPr>
        <w:t>’</w:t>
      </w:r>
      <w:r w:rsidRPr="006713B2">
        <w:rPr>
          <w:sz w:val="23"/>
          <w:szCs w:val="23"/>
          <w:lang w:val="fr-FR"/>
        </w:rPr>
        <w:t>accès accru aux organisations dans les pays bénéficiaires et la participation accrue des peuples autochtones et des communautés locales</w:t>
      </w:r>
      <w:r w:rsidR="003306B9" w:rsidRPr="0049796C">
        <w:rPr>
          <w:sz w:val="23"/>
          <w:szCs w:val="23"/>
          <w:lang w:val="fr-FR"/>
        </w:rPr>
        <w:t>.</w:t>
      </w:r>
    </w:p>
    <w:p w14:paraId="2B6935CC" w14:textId="46BEA4BB" w:rsidR="00FA2137" w:rsidRPr="0049796C" w:rsidRDefault="00AF78BB" w:rsidP="00362D98">
      <w:pPr>
        <w:pStyle w:val="CBDNormalNumber"/>
        <w:numPr>
          <w:ilvl w:val="0"/>
          <w:numId w:val="9"/>
        </w:numPr>
        <w:rPr>
          <w:sz w:val="23"/>
          <w:szCs w:val="23"/>
          <w:lang w:val="fr-FR"/>
        </w:rPr>
      </w:pPr>
      <w:r w:rsidRPr="00AF78BB">
        <w:rPr>
          <w:sz w:val="23"/>
          <w:szCs w:val="23"/>
          <w:lang w:val="fr-FR"/>
        </w:rPr>
        <w:t xml:space="preserve">Le rapport se fonde essentiellement sur les réponses données par les Parties et le </w:t>
      </w:r>
      <w:r w:rsidR="00D852B1">
        <w:rPr>
          <w:sz w:val="23"/>
          <w:szCs w:val="23"/>
          <w:lang w:val="fr-FR"/>
        </w:rPr>
        <w:t>Secrét</w:t>
      </w:r>
      <w:r w:rsidRPr="00AF78BB">
        <w:rPr>
          <w:sz w:val="23"/>
          <w:szCs w:val="23"/>
          <w:lang w:val="fr-FR"/>
        </w:rPr>
        <w:t>ariat du FEM au questionnaire envoyé aux correspondants nationaux de la CDB et de ses Protocoles et du FEM. Le présent document constitue un résumé du rapport. Le rapport complet figure dans le document CBD/COP/16/INF/25.</w:t>
      </w:r>
    </w:p>
    <w:p w14:paraId="1CF4806F" w14:textId="74A5C5F7" w:rsidR="00D3578B" w:rsidRPr="0049796C" w:rsidRDefault="00222CD2" w:rsidP="00362D98">
      <w:pPr>
        <w:pStyle w:val="CBDNormalNumber"/>
        <w:numPr>
          <w:ilvl w:val="0"/>
          <w:numId w:val="9"/>
        </w:numPr>
        <w:rPr>
          <w:sz w:val="23"/>
          <w:szCs w:val="23"/>
          <w:lang w:val="fr-FR"/>
        </w:rPr>
      </w:pPr>
      <w:r w:rsidRPr="00222CD2">
        <w:rPr>
          <w:sz w:val="23"/>
          <w:szCs w:val="23"/>
          <w:lang w:val="fr-FR"/>
        </w:rPr>
        <w:t xml:space="preserve">Nous remercions le </w:t>
      </w:r>
      <w:r w:rsidR="00D852B1">
        <w:rPr>
          <w:sz w:val="23"/>
          <w:szCs w:val="23"/>
          <w:lang w:val="fr-FR"/>
        </w:rPr>
        <w:t>Secrét</w:t>
      </w:r>
      <w:r w:rsidRPr="00222CD2">
        <w:rPr>
          <w:sz w:val="23"/>
          <w:szCs w:val="23"/>
          <w:lang w:val="fr-FR"/>
        </w:rPr>
        <w:t>ariat du FEM pour le soutien qu</w:t>
      </w:r>
      <w:r w:rsidR="00713487">
        <w:rPr>
          <w:sz w:val="23"/>
          <w:szCs w:val="23"/>
          <w:lang w:val="fr-FR"/>
        </w:rPr>
        <w:t>’</w:t>
      </w:r>
      <w:r w:rsidRPr="00222CD2">
        <w:rPr>
          <w:sz w:val="23"/>
          <w:szCs w:val="23"/>
          <w:lang w:val="fr-FR"/>
        </w:rPr>
        <w:t>il a apporté à l</w:t>
      </w:r>
      <w:r w:rsidR="00713487">
        <w:rPr>
          <w:sz w:val="23"/>
          <w:szCs w:val="23"/>
          <w:lang w:val="fr-FR"/>
        </w:rPr>
        <w:t>’</w:t>
      </w:r>
      <w:r w:rsidRPr="00222CD2">
        <w:rPr>
          <w:sz w:val="23"/>
          <w:szCs w:val="23"/>
          <w:lang w:val="fr-FR"/>
        </w:rPr>
        <w:t>élaboration du présent rapport. Les recommandations formulées dans le rapport ont bénéficié de l</w:t>
      </w:r>
      <w:r w:rsidR="00713487">
        <w:rPr>
          <w:sz w:val="23"/>
          <w:szCs w:val="23"/>
          <w:lang w:val="fr-FR"/>
        </w:rPr>
        <w:t>’</w:t>
      </w:r>
      <w:r w:rsidRPr="00222CD2">
        <w:rPr>
          <w:sz w:val="23"/>
          <w:szCs w:val="23"/>
          <w:lang w:val="fr-FR"/>
        </w:rPr>
        <w:t xml:space="preserve">apport du </w:t>
      </w:r>
      <w:r w:rsidR="00D852B1">
        <w:rPr>
          <w:sz w:val="23"/>
          <w:szCs w:val="23"/>
          <w:lang w:val="fr-FR"/>
        </w:rPr>
        <w:t>Secrét</w:t>
      </w:r>
      <w:r w:rsidRPr="00222CD2">
        <w:rPr>
          <w:sz w:val="23"/>
          <w:szCs w:val="23"/>
          <w:lang w:val="fr-FR"/>
        </w:rPr>
        <w:t>ariat du FEM et sont largement soutenues par ce dernier, à quelques exceptions près.</w:t>
      </w:r>
    </w:p>
    <w:p w14:paraId="7E418B61" w14:textId="08B359F0" w:rsidR="00FA2137" w:rsidRPr="0049796C" w:rsidRDefault="00B47F84" w:rsidP="009504DE">
      <w:pPr>
        <w:pStyle w:val="CBDH1"/>
        <w:rPr>
          <w:bCs/>
          <w:smallCaps/>
          <w:lang w:val="fr-FR"/>
        </w:rPr>
      </w:pPr>
      <w:bookmarkStart w:id="4" w:name="_Toc177047024"/>
      <w:r w:rsidRPr="0049796C">
        <w:rPr>
          <w:lang w:val="fr-FR"/>
        </w:rPr>
        <w:lastRenderedPageBreak/>
        <w:t>II.</w:t>
      </w:r>
      <w:r w:rsidRPr="0049796C">
        <w:rPr>
          <w:lang w:val="fr-FR"/>
        </w:rPr>
        <w:tab/>
      </w:r>
      <w:bookmarkEnd w:id="4"/>
      <w:r w:rsidR="007D28EF" w:rsidRPr="007D28EF">
        <w:rPr>
          <w:lang w:val="fr-FR"/>
        </w:rPr>
        <w:t>Résumé des conclusions</w:t>
      </w:r>
    </w:p>
    <w:p w14:paraId="338CF1E3" w14:textId="134BAF35" w:rsidR="00FA2137" w:rsidRPr="0049796C" w:rsidRDefault="00E8476C" w:rsidP="00362D98">
      <w:pPr>
        <w:pStyle w:val="CBDNormalNumber"/>
        <w:numPr>
          <w:ilvl w:val="0"/>
          <w:numId w:val="9"/>
        </w:numPr>
        <w:rPr>
          <w:sz w:val="23"/>
          <w:szCs w:val="23"/>
          <w:lang w:val="fr-FR"/>
        </w:rPr>
      </w:pPr>
      <w:r w:rsidRPr="00E8476C">
        <w:rPr>
          <w:sz w:val="23"/>
          <w:szCs w:val="23"/>
          <w:lang w:val="fr-FR"/>
        </w:rPr>
        <w:t>Ce rapport a analysé l</w:t>
      </w:r>
      <w:r w:rsidR="00713487">
        <w:rPr>
          <w:sz w:val="23"/>
          <w:szCs w:val="23"/>
          <w:lang w:val="fr-FR"/>
        </w:rPr>
        <w:t>’</w:t>
      </w:r>
      <w:r w:rsidRPr="00E8476C">
        <w:rPr>
          <w:sz w:val="23"/>
          <w:szCs w:val="23"/>
          <w:lang w:val="fr-FR"/>
        </w:rPr>
        <w:t>efficacité du FEM en tant qu</w:t>
      </w:r>
      <w:r w:rsidR="00713487">
        <w:rPr>
          <w:sz w:val="23"/>
          <w:szCs w:val="23"/>
          <w:lang w:val="fr-FR"/>
        </w:rPr>
        <w:t>’</w:t>
      </w:r>
      <w:r w:rsidRPr="00E8476C">
        <w:rPr>
          <w:sz w:val="23"/>
          <w:szCs w:val="23"/>
          <w:lang w:val="fr-FR"/>
        </w:rPr>
        <w:t>organisation institutionnelle gérant le mécanisme financier dans quatre domaines principaux</w:t>
      </w:r>
      <w:r w:rsidR="00D54C99">
        <w:rPr>
          <w:sz w:val="23"/>
          <w:szCs w:val="23"/>
          <w:lang w:val="fr-FR"/>
        </w:rPr>
        <w:t> :</w:t>
      </w:r>
      <w:r w:rsidR="00FA2137" w:rsidRPr="0049796C">
        <w:rPr>
          <w:sz w:val="23"/>
          <w:szCs w:val="23"/>
          <w:lang w:val="fr-FR"/>
        </w:rPr>
        <w:t xml:space="preserve"> </w:t>
      </w:r>
    </w:p>
    <w:p w14:paraId="41286FCD" w14:textId="5EA4BF42" w:rsidR="00FA2137" w:rsidRPr="0049796C" w:rsidRDefault="00E8476C" w:rsidP="00362D98">
      <w:pPr>
        <w:pStyle w:val="ListParagraph"/>
        <w:numPr>
          <w:ilvl w:val="0"/>
          <w:numId w:val="8"/>
        </w:numPr>
        <w:spacing w:before="120" w:after="120"/>
        <w:rPr>
          <w:sz w:val="23"/>
          <w:szCs w:val="23"/>
          <w:lang w:val="fr-FR"/>
        </w:rPr>
      </w:pPr>
      <w:proofErr w:type="gramStart"/>
      <w:r w:rsidRPr="00E8476C">
        <w:rPr>
          <w:sz w:val="23"/>
          <w:szCs w:val="23"/>
          <w:lang w:val="fr-FR"/>
        </w:rPr>
        <w:t>sa</w:t>
      </w:r>
      <w:proofErr w:type="gramEnd"/>
      <w:r w:rsidRPr="00E8476C">
        <w:rPr>
          <w:sz w:val="23"/>
          <w:szCs w:val="23"/>
          <w:lang w:val="fr-FR"/>
        </w:rPr>
        <w:t xml:space="preserve"> conformité avec les orientations de la COP</w:t>
      </w:r>
      <w:r w:rsidR="00FA2137" w:rsidRPr="0049796C">
        <w:rPr>
          <w:sz w:val="23"/>
          <w:szCs w:val="23"/>
          <w:lang w:val="fr-FR"/>
        </w:rPr>
        <w:t xml:space="preserve">; </w:t>
      </w:r>
    </w:p>
    <w:p w14:paraId="4755D940" w14:textId="1D2949DF" w:rsidR="00FA2137" w:rsidRPr="0049796C" w:rsidRDefault="00E8476C" w:rsidP="00362D98">
      <w:pPr>
        <w:pStyle w:val="ListParagraph"/>
        <w:numPr>
          <w:ilvl w:val="0"/>
          <w:numId w:val="8"/>
        </w:numPr>
        <w:spacing w:before="120" w:after="120"/>
        <w:rPr>
          <w:sz w:val="23"/>
          <w:szCs w:val="23"/>
          <w:lang w:val="fr-FR"/>
        </w:rPr>
      </w:pPr>
      <w:proofErr w:type="gramStart"/>
      <w:r w:rsidRPr="00E8476C">
        <w:rPr>
          <w:sz w:val="23"/>
          <w:szCs w:val="23"/>
          <w:lang w:val="fr-FR"/>
        </w:rPr>
        <w:t>son</w:t>
      </w:r>
      <w:proofErr w:type="gramEnd"/>
      <w:r w:rsidRPr="00E8476C">
        <w:rPr>
          <w:sz w:val="23"/>
          <w:szCs w:val="23"/>
          <w:lang w:val="fr-FR"/>
        </w:rPr>
        <w:t xml:space="preserve"> rôle dans la mobilisation des ressources, à savoir</w:t>
      </w:r>
      <w:r w:rsidR="00D54C99">
        <w:rPr>
          <w:sz w:val="23"/>
          <w:szCs w:val="23"/>
          <w:lang w:val="fr-FR"/>
        </w:rPr>
        <w:t> :</w:t>
      </w:r>
    </w:p>
    <w:p w14:paraId="437C348E" w14:textId="735267AE" w:rsidR="00FA2137" w:rsidRPr="0049796C" w:rsidRDefault="00426832" w:rsidP="00362D98">
      <w:pPr>
        <w:pStyle w:val="ListParagraph"/>
        <w:numPr>
          <w:ilvl w:val="1"/>
          <w:numId w:val="8"/>
        </w:numPr>
        <w:spacing w:before="120" w:after="120"/>
        <w:rPr>
          <w:sz w:val="23"/>
          <w:szCs w:val="23"/>
          <w:lang w:val="fr-FR"/>
        </w:rPr>
      </w:pPr>
      <w:proofErr w:type="gramStart"/>
      <w:r w:rsidRPr="00426832">
        <w:rPr>
          <w:sz w:val="23"/>
          <w:szCs w:val="23"/>
          <w:lang w:val="fr-FR"/>
        </w:rPr>
        <w:t>la</w:t>
      </w:r>
      <w:proofErr w:type="gramEnd"/>
      <w:r w:rsidRPr="00426832">
        <w:rPr>
          <w:sz w:val="23"/>
          <w:szCs w:val="23"/>
          <w:lang w:val="fr-FR"/>
        </w:rPr>
        <w:t xml:space="preserve"> fourniture et la mobilisation de ressources opportunes, prévisibles et adéquates</w:t>
      </w:r>
      <w:r w:rsidR="00713487">
        <w:rPr>
          <w:sz w:val="23"/>
          <w:szCs w:val="23"/>
          <w:lang w:val="fr-FR"/>
        </w:rPr>
        <w:t> ;</w:t>
      </w:r>
    </w:p>
    <w:p w14:paraId="0EF9104B" w14:textId="7EC7A6DF" w:rsidR="00FA2137" w:rsidRPr="0049796C" w:rsidRDefault="00426832" w:rsidP="00362D98">
      <w:pPr>
        <w:pStyle w:val="ListParagraph"/>
        <w:numPr>
          <w:ilvl w:val="1"/>
          <w:numId w:val="8"/>
        </w:numPr>
        <w:spacing w:before="120" w:after="120"/>
        <w:rPr>
          <w:sz w:val="23"/>
          <w:szCs w:val="23"/>
          <w:lang w:val="fr-FR"/>
        </w:rPr>
      </w:pPr>
      <w:proofErr w:type="gramStart"/>
      <w:r w:rsidRPr="00426832">
        <w:rPr>
          <w:sz w:val="23"/>
          <w:szCs w:val="23"/>
          <w:lang w:val="fr-FR"/>
        </w:rPr>
        <w:t>la</w:t>
      </w:r>
      <w:proofErr w:type="gramEnd"/>
      <w:r w:rsidRPr="00426832">
        <w:rPr>
          <w:sz w:val="23"/>
          <w:szCs w:val="23"/>
          <w:lang w:val="fr-FR"/>
        </w:rPr>
        <w:t xml:space="preserve"> mobilisation de fonds nouveaux et supplémentaires</w:t>
      </w:r>
      <w:r w:rsidR="00713487">
        <w:rPr>
          <w:sz w:val="23"/>
          <w:szCs w:val="23"/>
          <w:lang w:val="fr-FR"/>
        </w:rPr>
        <w:t> ;</w:t>
      </w:r>
      <w:r w:rsidR="00FA2137" w:rsidRPr="0049796C">
        <w:rPr>
          <w:sz w:val="23"/>
          <w:szCs w:val="23"/>
          <w:lang w:val="fr-FR"/>
        </w:rPr>
        <w:t xml:space="preserve"> </w:t>
      </w:r>
    </w:p>
    <w:p w14:paraId="03F2C585" w14:textId="2B811A20" w:rsidR="00FA2137" w:rsidRPr="0049796C" w:rsidRDefault="00FA2137" w:rsidP="00362D98">
      <w:pPr>
        <w:pStyle w:val="ListParagraph"/>
        <w:numPr>
          <w:ilvl w:val="0"/>
          <w:numId w:val="8"/>
        </w:numPr>
        <w:spacing w:before="120" w:after="120"/>
        <w:rPr>
          <w:sz w:val="23"/>
          <w:szCs w:val="23"/>
          <w:lang w:val="fr-FR"/>
        </w:rPr>
      </w:pPr>
      <w:r w:rsidRPr="0049796C">
        <w:rPr>
          <w:sz w:val="23"/>
          <w:szCs w:val="23"/>
          <w:lang w:val="fr-FR"/>
        </w:rPr>
        <w:t xml:space="preserve"> </w:t>
      </w:r>
      <w:proofErr w:type="gramStart"/>
      <w:r w:rsidR="00426832" w:rsidRPr="00426832">
        <w:rPr>
          <w:sz w:val="23"/>
          <w:szCs w:val="23"/>
          <w:lang w:val="fr-FR"/>
        </w:rPr>
        <w:t>l</w:t>
      </w:r>
      <w:r w:rsidR="00713487">
        <w:rPr>
          <w:sz w:val="23"/>
          <w:szCs w:val="23"/>
          <w:lang w:val="fr-FR"/>
        </w:rPr>
        <w:t>’</w:t>
      </w:r>
      <w:r w:rsidR="00426832" w:rsidRPr="00426832">
        <w:rPr>
          <w:sz w:val="23"/>
          <w:szCs w:val="23"/>
          <w:lang w:val="fr-FR"/>
        </w:rPr>
        <w:t>efficacité</w:t>
      </w:r>
      <w:proofErr w:type="gramEnd"/>
      <w:r w:rsidR="00426832" w:rsidRPr="00426832">
        <w:rPr>
          <w:sz w:val="23"/>
          <w:szCs w:val="23"/>
          <w:lang w:val="fr-FR"/>
        </w:rPr>
        <w:t xml:space="preserve"> et l</w:t>
      </w:r>
      <w:r w:rsidR="00713487">
        <w:rPr>
          <w:sz w:val="23"/>
          <w:szCs w:val="23"/>
          <w:lang w:val="fr-FR"/>
        </w:rPr>
        <w:t>’</w:t>
      </w:r>
      <w:r w:rsidR="00426832" w:rsidRPr="00426832">
        <w:rPr>
          <w:sz w:val="23"/>
          <w:szCs w:val="23"/>
          <w:lang w:val="fr-FR"/>
        </w:rPr>
        <w:t>efficience du FEM dans les domaines suivants</w:t>
      </w:r>
      <w:r w:rsidR="00D54C99">
        <w:rPr>
          <w:sz w:val="23"/>
          <w:szCs w:val="23"/>
          <w:lang w:val="fr-FR"/>
        </w:rPr>
        <w:t> :</w:t>
      </w:r>
    </w:p>
    <w:p w14:paraId="1390429B" w14:textId="020A3336" w:rsidR="00FA2137" w:rsidRPr="0049796C" w:rsidRDefault="003F1668" w:rsidP="00362D98">
      <w:pPr>
        <w:pStyle w:val="ListParagraph"/>
        <w:numPr>
          <w:ilvl w:val="1"/>
          <w:numId w:val="8"/>
        </w:numPr>
        <w:spacing w:before="120" w:after="120"/>
        <w:rPr>
          <w:sz w:val="23"/>
          <w:szCs w:val="23"/>
          <w:lang w:val="fr-FR"/>
        </w:rPr>
      </w:pPr>
      <w:r>
        <w:rPr>
          <w:sz w:val="23"/>
          <w:szCs w:val="23"/>
          <w:lang w:val="fr-FR"/>
        </w:rPr>
        <w:t xml:space="preserve">Catalyser et renforcer </w:t>
      </w:r>
      <w:r w:rsidR="00E65AE4" w:rsidRPr="00E65AE4">
        <w:rPr>
          <w:sz w:val="23"/>
          <w:szCs w:val="23"/>
          <w:lang w:val="fr-FR"/>
        </w:rPr>
        <w:t>des mesures nationales de mise en œuvre en vue d</w:t>
      </w:r>
      <w:r w:rsidR="00713487">
        <w:rPr>
          <w:sz w:val="23"/>
          <w:szCs w:val="23"/>
          <w:lang w:val="fr-FR"/>
        </w:rPr>
        <w:t>’</w:t>
      </w:r>
      <w:r w:rsidR="00E65AE4" w:rsidRPr="00E65AE4">
        <w:rPr>
          <w:sz w:val="23"/>
          <w:szCs w:val="23"/>
          <w:lang w:val="fr-FR"/>
        </w:rPr>
        <w:t>atteindre les objectifs et cibles mondiaux en matière de biodiversité, y compris ceux qui sont liés aux protocoles</w:t>
      </w:r>
      <w:r w:rsidR="00713487">
        <w:rPr>
          <w:sz w:val="23"/>
          <w:szCs w:val="23"/>
          <w:lang w:val="fr-FR"/>
        </w:rPr>
        <w:t> ;</w:t>
      </w:r>
    </w:p>
    <w:p w14:paraId="2057EC22" w14:textId="03A1FDBC" w:rsidR="00FA2137" w:rsidRPr="0049796C" w:rsidRDefault="003F1668" w:rsidP="00362D98">
      <w:pPr>
        <w:pStyle w:val="ListParagraph"/>
        <w:numPr>
          <w:ilvl w:val="1"/>
          <w:numId w:val="8"/>
        </w:numPr>
        <w:spacing w:before="120" w:after="120"/>
        <w:rPr>
          <w:sz w:val="23"/>
          <w:szCs w:val="23"/>
          <w:lang w:val="fr-FR"/>
        </w:rPr>
      </w:pPr>
      <w:proofErr w:type="gramStart"/>
      <w:r w:rsidRPr="003F1668">
        <w:rPr>
          <w:sz w:val="23"/>
          <w:szCs w:val="23"/>
          <w:lang w:val="fr-FR"/>
        </w:rPr>
        <w:t>soutenir</w:t>
      </w:r>
      <w:proofErr w:type="gramEnd"/>
      <w:r w:rsidRPr="003F1668">
        <w:rPr>
          <w:sz w:val="23"/>
          <w:szCs w:val="23"/>
          <w:lang w:val="fr-FR"/>
        </w:rPr>
        <w:t xml:space="preserve"> la mise en œuvre des ODD qui contribuent à la réalisation des objectifs de la C</w:t>
      </w:r>
      <w:r w:rsidR="000F671C">
        <w:rPr>
          <w:sz w:val="23"/>
          <w:szCs w:val="23"/>
          <w:lang w:val="fr-FR"/>
        </w:rPr>
        <w:t>onvention</w:t>
      </w:r>
      <w:r w:rsidR="00713487">
        <w:rPr>
          <w:sz w:val="23"/>
          <w:szCs w:val="23"/>
          <w:lang w:val="fr-FR"/>
        </w:rPr>
        <w:t> ;</w:t>
      </w:r>
    </w:p>
    <w:p w14:paraId="680A9430" w14:textId="4157EB9B" w:rsidR="00FA2137" w:rsidRPr="0049796C" w:rsidRDefault="006D645A" w:rsidP="00362D98">
      <w:pPr>
        <w:pStyle w:val="ListParagraph"/>
        <w:numPr>
          <w:ilvl w:val="1"/>
          <w:numId w:val="8"/>
        </w:numPr>
        <w:spacing w:before="120" w:after="120"/>
        <w:rPr>
          <w:sz w:val="23"/>
          <w:szCs w:val="23"/>
          <w:lang w:val="fr-FR"/>
        </w:rPr>
      </w:pPr>
      <w:proofErr w:type="gramStart"/>
      <w:r w:rsidRPr="006D645A">
        <w:rPr>
          <w:sz w:val="23"/>
          <w:szCs w:val="23"/>
          <w:lang w:val="fr-FR"/>
        </w:rPr>
        <w:t>ses</w:t>
      </w:r>
      <w:proofErr w:type="gramEnd"/>
      <w:r w:rsidRPr="006D645A">
        <w:rPr>
          <w:sz w:val="23"/>
          <w:szCs w:val="23"/>
          <w:lang w:val="fr-FR"/>
        </w:rPr>
        <w:t xml:space="preserve"> processus et procédures de déploiement des ressources pour les programmes</w:t>
      </w:r>
      <w:r w:rsidR="00713487">
        <w:rPr>
          <w:sz w:val="23"/>
          <w:szCs w:val="23"/>
          <w:lang w:val="fr-FR"/>
        </w:rPr>
        <w:t> ;</w:t>
      </w:r>
    </w:p>
    <w:p w14:paraId="78E3EC58" w14:textId="710DAC71" w:rsidR="00FA2137" w:rsidRPr="0049796C" w:rsidRDefault="006D645A" w:rsidP="00362D98">
      <w:pPr>
        <w:pStyle w:val="ListParagraph"/>
        <w:numPr>
          <w:ilvl w:val="1"/>
          <w:numId w:val="8"/>
        </w:numPr>
        <w:spacing w:before="120" w:after="120"/>
        <w:rPr>
          <w:sz w:val="23"/>
          <w:szCs w:val="23"/>
          <w:lang w:val="fr-FR"/>
        </w:rPr>
      </w:pPr>
      <w:proofErr w:type="gramStart"/>
      <w:r w:rsidRPr="006D645A">
        <w:rPr>
          <w:sz w:val="23"/>
          <w:szCs w:val="23"/>
          <w:lang w:val="fr-FR"/>
        </w:rPr>
        <w:t>superviser</w:t>
      </w:r>
      <w:proofErr w:type="gramEnd"/>
      <w:r w:rsidRPr="006D645A">
        <w:rPr>
          <w:sz w:val="23"/>
          <w:szCs w:val="23"/>
          <w:lang w:val="fr-FR"/>
        </w:rPr>
        <w:t>, suivre et évaluer les activités financées par ses ressources</w:t>
      </w:r>
      <w:r w:rsidR="00FA2137" w:rsidRPr="0049796C">
        <w:rPr>
          <w:sz w:val="23"/>
          <w:szCs w:val="23"/>
          <w:lang w:val="fr-FR"/>
        </w:rPr>
        <w:t xml:space="preserve">; </w:t>
      </w:r>
    </w:p>
    <w:p w14:paraId="5AEEF649" w14:textId="27B7B46F" w:rsidR="00FA2137" w:rsidRPr="0049796C" w:rsidRDefault="006D645A" w:rsidP="00362D98">
      <w:pPr>
        <w:pStyle w:val="ListParagraph"/>
        <w:numPr>
          <w:ilvl w:val="1"/>
          <w:numId w:val="8"/>
        </w:numPr>
        <w:spacing w:before="120" w:after="120"/>
        <w:rPr>
          <w:sz w:val="23"/>
          <w:szCs w:val="23"/>
          <w:lang w:val="fr-FR"/>
        </w:rPr>
      </w:pPr>
      <w:proofErr w:type="gramStart"/>
      <w:r w:rsidRPr="006D645A">
        <w:rPr>
          <w:sz w:val="23"/>
          <w:szCs w:val="23"/>
          <w:lang w:val="fr-FR"/>
        </w:rPr>
        <w:t>soutenir</w:t>
      </w:r>
      <w:proofErr w:type="gramEnd"/>
      <w:r w:rsidRPr="006D645A">
        <w:rPr>
          <w:sz w:val="23"/>
          <w:szCs w:val="23"/>
          <w:lang w:val="fr-FR"/>
        </w:rPr>
        <w:t xml:space="preserve"> les objectifs de la CDB et de ses protocoles en synergie avec la mise en œuvre d</w:t>
      </w:r>
      <w:r w:rsidR="00713487">
        <w:rPr>
          <w:sz w:val="23"/>
          <w:szCs w:val="23"/>
          <w:lang w:val="fr-FR"/>
        </w:rPr>
        <w:t>’</w:t>
      </w:r>
      <w:r w:rsidRPr="006D645A">
        <w:rPr>
          <w:sz w:val="23"/>
          <w:szCs w:val="23"/>
          <w:lang w:val="fr-FR"/>
        </w:rPr>
        <w:t>autres AME pertinents, d</w:t>
      </w:r>
      <w:r w:rsidR="00713487">
        <w:rPr>
          <w:sz w:val="23"/>
          <w:szCs w:val="23"/>
          <w:lang w:val="fr-FR"/>
        </w:rPr>
        <w:t>’</w:t>
      </w:r>
      <w:r w:rsidRPr="006D645A">
        <w:rPr>
          <w:sz w:val="23"/>
          <w:szCs w:val="23"/>
          <w:lang w:val="fr-FR"/>
        </w:rPr>
        <w:t>une manière qui soit compatible avec leurs mandats respectifs</w:t>
      </w:r>
      <w:r w:rsidR="00713487">
        <w:rPr>
          <w:sz w:val="23"/>
          <w:szCs w:val="23"/>
          <w:lang w:val="fr-FR"/>
        </w:rPr>
        <w:t> ;</w:t>
      </w:r>
    </w:p>
    <w:p w14:paraId="1C6B3459" w14:textId="6BF434A7" w:rsidR="00FA2137" w:rsidRPr="0049796C" w:rsidRDefault="008F1B0B" w:rsidP="00362D98">
      <w:pPr>
        <w:pStyle w:val="ListParagraph"/>
        <w:numPr>
          <w:ilvl w:val="0"/>
          <w:numId w:val="8"/>
        </w:numPr>
        <w:spacing w:before="120" w:after="120"/>
        <w:rPr>
          <w:sz w:val="23"/>
          <w:szCs w:val="23"/>
          <w:lang w:val="fr-FR"/>
        </w:rPr>
      </w:pPr>
      <w:proofErr w:type="gramStart"/>
      <w:r w:rsidRPr="008F1B0B">
        <w:rPr>
          <w:sz w:val="23"/>
          <w:szCs w:val="23"/>
          <w:lang w:val="fr-FR"/>
        </w:rPr>
        <w:t>la</w:t>
      </w:r>
      <w:proofErr w:type="gramEnd"/>
      <w:r w:rsidRPr="008F1B0B">
        <w:rPr>
          <w:sz w:val="23"/>
          <w:szCs w:val="23"/>
          <w:lang w:val="fr-FR"/>
        </w:rPr>
        <w:t xml:space="preserve"> structure institutionnelle du FEM, avec un accent particulier sur</w:t>
      </w:r>
      <w:r w:rsidR="00D54C99">
        <w:rPr>
          <w:sz w:val="23"/>
          <w:szCs w:val="23"/>
          <w:lang w:val="fr-FR"/>
        </w:rPr>
        <w:t> :</w:t>
      </w:r>
    </w:p>
    <w:p w14:paraId="57C40E67" w14:textId="2A1514B5" w:rsidR="00FA2137" w:rsidRPr="0049796C" w:rsidRDefault="008F1B0B" w:rsidP="00362D98">
      <w:pPr>
        <w:pStyle w:val="ListParagraph"/>
        <w:numPr>
          <w:ilvl w:val="1"/>
          <w:numId w:val="8"/>
        </w:numPr>
        <w:spacing w:before="120" w:after="120"/>
        <w:rPr>
          <w:sz w:val="23"/>
          <w:szCs w:val="23"/>
          <w:lang w:val="fr-FR"/>
        </w:rPr>
      </w:pPr>
      <w:proofErr w:type="gramStart"/>
      <w:r w:rsidRPr="008F1B0B">
        <w:rPr>
          <w:sz w:val="23"/>
          <w:szCs w:val="23"/>
          <w:lang w:val="fr-FR"/>
        </w:rPr>
        <w:t>la</w:t>
      </w:r>
      <w:proofErr w:type="gramEnd"/>
      <w:r w:rsidRPr="008F1B0B">
        <w:rPr>
          <w:sz w:val="23"/>
          <w:szCs w:val="23"/>
          <w:lang w:val="fr-FR"/>
        </w:rPr>
        <w:t xml:space="preserve"> représentation au conseil du FEM</w:t>
      </w:r>
      <w:r w:rsidR="00713487">
        <w:rPr>
          <w:sz w:val="23"/>
          <w:szCs w:val="23"/>
          <w:lang w:val="fr-FR"/>
        </w:rPr>
        <w:t> ;</w:t>
      </w:r>
      <w:r w:rsidR="00FA2137" w:rsidRPr="0049796C">
        <w:rPr>
          <w:sz w:val="23"/>
          <w:szCs w:val="23"/>
          <w:lang w:val="fr-FR"/>
        </w:rPr>
        <w:t xml:space="preserve"> </w:t>
      </w:r>
    </w:p>
    <w:p w14:paraId="1769579E" w14:textId="6B71F50E" w:rsidR="00FA2137" w:rsidRPr="0049796C" w:rsidRDefault="008F1B0B" w:rsidP="00362D98">
      <w:pPr>
        <w:pStyle w:val="ListParagraph"/>
        <w:numPr>
          <w:ilvl w:val="1"/>
          <w:numId w:val="8"/>
        </w:numPr>
        <w:spacing w:before="120" w:after="120"/>
        <w:rPr>
          <w:sz w:val="23"/>
          <w:szCs w:val="23"/>
          <w:lang w:val="fr-FR"/>
        </w:rPr>
      </w:pPr>
      <w:proofErr w:type="gramStart"/>
      <w:r w:rsidRPr="008F1B0B">
        <w:rPr>
          <w:sz w:val="23"/>
          <w:szCs w:val="23"/>
          <w:lang w:val="fr-FR"/>
        </w:rPr>
        <w:t>l</w:t>
      </w:r>
      <w:r w:rsidR="00713487">
        <w:rPr>
          <w:sz w:val="23"/>
          <w:szCs w:val="23"/>
          <w:lang w:val="fr-FR"/>
        </w:rPr>
        <w:t>’</w:t>
      </w:r>
      <w:r w:rsidRPr="008F1B0B">
        <w:rPr>
          <w:sz w:val="23"/>
          <w:szCs w:val="23"/>
          <w:lang w:val="fr-FR"/>
        </w:rPr>
        <w:t>apprentissage</w:t>
      </w:r>
      <w:proofErr w:type="gramEnd"/>
      <w:r w:rsidRPr="008F1B0B">
        <w:rPr>
          <w:sz w:val="23"/>
          <w:szCs w:val="23"/>
          <w:lang w:val="fr-FR"/>
        </w:rPr>
        <w:t xml:space="preserve"> institutionnel et la gestion des connaissances</w:t>
      </w:r>
      <w:r w:rsidR="00CB130E" w:rsidRPr="0049796C">
        <w:rPr>
          <w:sz w:val="23"/>
          <w:szCs w:val="23"/>
          <w:lang w:val="fr-FR"/>
        </w:rPr>
        <w:t>;</w:t>
      </w:r>
    </w:p>
    <w:p w14:paraId="3F5305D7" w14:textId="057C5089" w:rsidR="00FA2137" w:rsidRPr="0049796C" w:rsidRDefault="00FA2137" w:rsidP="00362D98">
      <w:pPr>
        <w:pStyle w:val="ListParagraph"/>
        <w:numPr>
          <w:ilvl w:val="1"/>
          <w:numId w:val="8"/>
        </w:numPr>
        <w:spacing w:before="120" w:after="120"/>
        <w:rPr>
          <w:sz w:val="23"/>
          <w:szCs w:val="23"/>
          <w:lang w:val="fr-FR"/>
        </w:rPr>
      </w:pPr>
      <w:r w:rsidRPr="0049796C">
        <w:rPr>
          <w:sz w:val="23"/>
          <w:szCs w:val="23"/>
          <w:lang w:val="fr-FR"/>
        </w:rPr>
        <w:t xml:space="preserve"> </w:t>
      </w:r>
      <w:proofErr w:type="gramStart"/>
      <w:r w:rsidR="002E22D5" w:rsidRPr="002E22D5">
        <w:rPr>
          <w:sz w:val="23"/>
          <w:szCs w:val="23"/>
          <w:lang w:val="fr-FR"/>
        </w:rPr>
        <w:t>la</w:t>
      </w:r>
      <w:proofErr w:type="gramEnd"/>
      <w:r w:rsidR="002E22D5" w:rsidRPr="002E22D5">
        <w:rPr>
          <w:sz w:val="23"/>
          <w:szCs w:val="23"/>
          <w:lang w:val="fr-FR"/>
        </w:rPr>
        <w:t xml:space="preserve"> transparence dans l</w:t>
      </w:r>
      <w:r w:rsidR="00713487">
        <w:rPr>
          <w:sz w:val="23"/>
          <w:szCs w:val="23"/>
          <w:lang w:val="fr-FR"/>
        </w:rPr>
        <w:t>’</w:t>
      </w:r>
      <w:r w:rsidR="002E22D5" w:rsidRPr="002E22D5">
        <w:rPr>
          <w:sz w:val="23"/>
          <w:szCs w:val="23"/>
          <w:lang w:val="fr-FR"/>
        </w:rPr>
        <w:t>élaboration des politiques, l</w:t>
      </w:r>
      <w:r w:rsidR="00713487">
        <w:rPr>
          <w:sz w:val="23"/>
          <w:szCs w:val="23"/>
          <w:lang w:val="fr-FR"/>
        </w:rPr>
        <w:t>’</w:t>
      </w:r>
      <w:r w:rsidR="002E22D5" w:rsidRPr="002E22D5">
        <w:rPr>
          <w:sz w:val="23"/>
          <w:szCs w:val="23"/>
          <w:lang w:val="fr-FR"/>
        </w:rPr>
        <w:t>engagement des parties prenantes et la société civile</w:t>
      </w:r>
      <w:r w:rsidR="00713487">
        <w:rPr>
          <w:sz w:val="23"/>
          <w:szCs w:val="23"/>
          <w:lang w:val="fr-FR"/>
        </w:rPr>
        <w:t> ;</w:t>
      </w:r>
      <w:r w:rsidR="00CB130E" w:rsidRPr="0049796C">
        <w:rPr>
          <w:sz w:val="23"/>
          <w:szCs w:val="23"/>
          <w:lang w:val="fr-FR"/>
        </w:rPr>
        <w:t xml:space="preserve"> </w:t>
      </w:r>
    </w:p>
    <w:p w14:paraId="6F13E0D8" w14:textId="2CB1E93F" w:rsidR="00FA2137" w:rsidRPr="0049796C" w:rsidRDefault="002E22D5" w:rsidP="00362D98">
      <w:pPr>
        <w:pStyle w:val="ListParagraph"/>
        <w:numPr>
          <w:ilvl w:val="1"/>
          <w:numId w:val="8"/>
        </w:numPr>
        <w:spacing w:before="120" w:after="120"/>
        <w:rPr>
          <w:lang w:val="fr-FR"/>
        </w:rPr>
      </w:pPr>
      <w:proofErr w:type="gramStart"/>
      <w:r>
        <w:rPr>
          <w:sz w:val="23"/>
          <w:szCs w:val="23"/>
          <w:lang w:val="fr-FR"/>
        </w:rPr>
        <w:t>l</w:t>
      </w:r>
      <w:r w:rsidR="00713487">
        <w:rPr>
          <w:sz w:val="23"/>
          <w:szCs w:val="23"/>
          <w:lang w:val="fr-FR"/>
        </w:rPr>
        <w:t>’</w:t>
      </w:r>
      <w:r>
        <w:rPr>
          <w:sz w:val="23"/>
          <w:szCs w:val="23"/>
          <w:lang w:val="fr-FR"/>
        </w:rPr>
        <w:t>égalité</w:t>
      </w:r>
      <w:proofErr w:type="gramEnd"/>
      <w:r>
        <w:rPr>
          <w:sz w:val="23"/>
          <w:szCs w:val="23"/>
          <w:lang w:val="fr-FR"/>
        </w:rPr>
        <w:t xml:space="preserve"> entre les femmes et les hommes</w:t>
      </w:r>
      <w:r w:rsidR="00CB130E" w:rsidRPr="0049796C">
        <w:rPr>
          <w:sz w:val="23"/>
          <w:szCs w:val="23"/>
          <w:lang w:val="fr-FR"/>
        </w:rPr>
        <w:t>.</w:t>
      </w:r>
      <w:r w:rsidR="00FA2137" w:rsidRPr="0049796C">
        <w:rPr>
          <w:lang w:val="fr-FR"/>
        </w:rPr>
        <w:t xml:space="preserve"> </w:t>
      </w:r>
    </w:p>
    <w:p w14:paraId="68A5B334" w14:textId="039D6486" w:rsidR="00FA2137" w:rsidRPr="0049796C" w:rsidRDefault="007D28EF" w:rsidP="00555AEE">
      <w:pPr>
        <w:pStyle w:val="Heading2"/>
        <w:rPr>
          <w:rFonts w:ascii="Times New Roman" w:hAnsi="Times New Roman"/>
          <w:lang w:val="fr-FR"/>
        </w:rPr>
      </w:pPr>
      <w:r w:rsidRPr="007D28EF">
        <w:rPr>
          <w:rFonts w:ascii="Times New Roman" w:hAnsi="Times New Roman"/>
          <w:lang w:val="fr-FR"/>
        </w:rPr>
        <w:t>Conformité avec les orientations de la COP</w:t>
      </w:r>
      <w:r w:rsidR="00FA2137" w:rsidRPr="0049796C">
        <w:rPr>
          <w:rFonts w:ascii="Times New Roman" w:hAnsi="Times New Roman"/>
          <w:lang w:val="fr-FR"/>
        </w:rPr>
        <w:t xml:space="preserve"> </w:t>
      </w:r>
    </w:p>
    <w:p w14:paraId="37D8D218" w14:textId="7D5EB307" w:rsidR="00FA2137" w:rsidRPr="0049796C" w:rsidRDefault="00135E87" w:rsidP="00362D98">
      <w:pPr>
        <w:pStyle w:val="CBDNormalNumber"/>
        <w:numPr>
          <w:ilvl w:val="0"/>
          <w:numId w:val="9"/>
        </w:numPr>
        <w:rPr>
          <w:sz w:val="23"/>
          <w:szCs w:val="23"/>
          <w:lang w:val="fr-FR"/>
        </w:rPr>
      </w:pPr>
      <w:r w:rsidRPr="00135E87">
        <w:rPr>
          <w:sz w:val="23"/>
          <w:szCs w:val="23"/>
          <w:lang w:val="fr-FR"/>
        </w:rPr>
        <w:t>Les relations entre le FEM et la COP sont étayées par un protocole d</w:t>
      </w:r>
      <w:r w:rsidR="00713487">
        <w:rPr>
          <w:sz w:val="23"/>
          <w:szCs w:val="23"/>
          <w:lang w:val="fr-FR"/>
        </w:rPr>
        <w:t>’</w:t>
      </w:r>
      <w:r w:rsidRPr="00135E87">
        <w:rPr>
          <w:sz w:val="23"/>
          <w:szCs w:val="23"/>
          <w:lang w:val="fr-FR"/>
        </w:rPr>
        <w:t>accord et par l</w:t>
      </w:r>
      <w:r w:rsidR="00713487">
        <w:rPr>
          <w:sz w:val="23"/>
          <w:szCs w:val="23"/>
          <w:lang w:val="fr-FR"/>
        </w:rPr>
        <w:t>’</w:t>
      </w:r>
      <w:r w:rsidRPr="00135E87">
        <w:rPr>
          <w:sz w:val="23"/>
          <w:szCs w:val="23"/>
          <w:lang w:val="fr-FR"/>
        </w:rPr>
        <w:t>Instrument pour la restructuration du Fonds pour l</w:t>
      </w:r>
      <w:r w:rsidR="00713487">
        <w:rPr>
          <w:sz w:val="23"/>
          <w:szCs w:val="23"/>
          <w:lang w:val="fr-FR"/>
        </w:rPr>
        <w:t>’</w:t>
      </w:r>
      <w:r w:rsidRPr="00135E87">
        <w:rPr>
          <w:sz w:val="23"/>
          <w:szCs w:val="23"/>
          <w:lang w:val="fr-FR"/>
        </w:rPr>
        <w:t>environnement mondial (l</w:t>
      </w:r>
      <w:r w:rsidR="00713487">
        <w:rPr>
          <w:sz w:val="23"/>
          <w:szCs w:val="23"/>
          <w:lang w:val="fr-FR"/>
        </w:rPr>
        <w:t>’</w:t>
      </w:r>
      <w:r w:rsidRPr="00135E87">
        <w:rPr>
          <w:sz w:val="23"/>
          <w:szCs w:val="23"/>
          <w:lang w:val="fr-FR"/>
        </w:rPr>
        <w:t>Instrument). La présente section analyse la mise en œuvre du protocole d</w:t>
      </w:r>
      <w:r w:rsidR="00713487">
        <w:rPr>
          <w:sz w:val="23"/>
          <w:szCs w:val="23"/>
          <w:lang w:val="fr-FR"/>
        </w:rPr>
        <w:t>’</w:t>
      </w:r>
      <w:r w:rsidRPr="00135E87">
        <w:rPr>
          <w:sz w:val="23"/>
          <w:szCs w:val="23"/>
          <w:lang w:val="fr-FR"/>
        </w:rPr>
        <w:t>accord et de l</w:t>
      </w:r>
      <w:r w:rsidR="00713487">
        <w:rPr>
          <w:sz w:val="23"/>
          <w:szCs w:val="23"/>
          <w:lang w:val="fr-FR"/>
        </w:rPr>
        <w:t>’</w:t>
      </w:r>
      <w:r w:rsidRPr="00135E87">
        <w:rPr>
          <w:sz w:val="23"/>
          <w:szCs w:val="23"/>
          <w:lang w:val="fr-FR"/>
        </w:rPr>
        <w:t>instrument, ainsi que la conformité des activités du FEM avec les orientations de la COP.</w:t>
      </w:r>
      <w:r w:rsidR="00FA2137" w:rsidRPr="0049796C">
        <w:rPr>
          <w:sz w:val="23"/>
          <w:szCs w:val="23"/>
          <w:lang w:val="fr-FR"/>
        </w:rPr>
        <w:t xml:space="preserve"> </w:t>
      </w:r>
    </w:p>
    <w:p w14:paraId="1400B465" w14:textId="5FBED0BA" w:rsidR="00FA2137" w:rsidRPr="0049796C" w:rsidRDefault="00AA3566" w:rsidP="00362D98">
      <w:pPr>
        <w:pStyle w:val="CBDNormalNumber"/>
        <w:numPr>
          <w:ilvl w:val="0"/>
          <w:numId w:val="9"/>
        </w:numPr>
        <w:rPr>
          <w:sz w:val="23"/>
          <w:szCs w:val="23"/>
          <w:lang w:val="fr-FR"/>
        </w:rPr>
      </w:pPr>
      <w:r w:rsidRPr="00AA3566">
        <w:rPr>
          <w:sz w:val="23"/>
          <w:szCs w:val="23"/>
          <w:lang w:val="fr-FR"/>
        </w:rPr>
        <w:t>En ce qui concerne la mise en œuvre du protocole d</w:t>
      </w:r>
      <w:r w:rsidR="00713487">
        <w:rPr>
          <w:sz w:val="23"/>
          <w:szCs w:val="23"/>
          <w:lang w:val="fr-FR"/>
        </w:rPr>
        <w:t>’</w:t>
      </w:r>
      <w:r w:rsidRPr="00AA3566">
        <w:rPr>
          <w:sz w:val="23"/>
          <w:szCs w:val="23"/>
          <w:lang w:val="fr-FR"/>
        </w:rPr>
        <w:t>accord, la COP a largement suivi ses obligations en matière d</w:t>
      </w:r>
      <w:r w:rsidR="00713487">
        <w:rPr>
          <w:sz w:val="23"/>
          <w:szCs w:val="23"/>
          <w:lang w:val="fr-FR"/>
        </w:rPr>
        <w:t>’</w:t>
      </w:r>
      <w:r w:rsidRPr="00AA3566">
        <w:rPr>
          <w:sz w:val="23"/>
          <w:szCs w:val="23"/>
          <w:lang w:val="fr-FR"/>
        </w:rPr>
        <w:t>orientation. Il existe néanmoins des domaines susceptibles d</w:t>
      </w:r>
      <w:r w:rsidR="00713487">
        <w:rPr>
          <w:sz w:val="23"/>
          <w:szCs w:val="23"/>
          <w:lang w:val="fr-FR"/>
        </w:rPr>
        <w:t>’</w:t>
      </w:r>
      <w:r w:rsidRPr="00AA3566">
        <w:rPr>
          <w:sz w:val="23"/>
          <w:szCs w:val="23"/>
          <w:lang w:val="fr-FR"/>
        </w:rPr>
        <w:t>être améliorés. Une meilleure hiérarchisation stratégique des éléments sur lesquels le FEM devrait se concentrer est le principal domaine à améliorer. Par exemple, les orientations antérieures consolidées de la COP 15 tel qu</w:t>
      </w:r>
      <w:r w:rsidR="00713487">
        <w:rPr>
          <w:sz w:val="23"/>
          <w:szCs w:val="23"/>
          <w:lang w:val="fr-FR"/>
        </w:rPr>
        <w:t>’</w:t>
      </w:r>
      <w:r w:rsidRPr="00AA3566">
        <w:rPr>
          <w:sz w:val="23"/>
          <w:szCs w:val="23"/>
          <w:lang w:val="fr-FR"/>
        </w:rPr>
        <w:t>indiqué dans les articles de la CDB, ne les classent pas par ordre d</w:t>
      </w:r>
      <w:r w:rsidR="00713487">
        <w:rPr>
          <w:sz w:val="23"/>
          <w:szCs w:val="23"/>
          <w:lang w:val="fr-FR"/>
        </w:rPr>
        <w:t>’</w:t>
      </w:r>
      <w:r w:rsidRPr="00AA3566">
        <w:rPr>
          <w:sz w:val="23"/>
          <w:szCs w:val="23"/>
          <w:lang w:val="fr-FR"/>
        </w:rPr>
        <w:t>importance. Comme cela a été observé lors du quatrième examen, l</w:t>
      </w:r>
      <w:r w:rsidR="00713487">
        <w:rPr>
          <w:sz w:val="23"/>
          <w:szCs w:val="23"/>
          <w:lang w:val="fr-FR"/>
        </w:rPr>
        <w:t>’</w:t>
      </w:r>
      <w:r w:rsidRPr="00AA3566">
        <w:rPr>
          <w:sz w:val="23"/>
          <w:szCs w:val="23"/>
          <w:lang w:val="fr-FR"/>
        </w:rPr>
        <w:t>absence de hiérarchisation des priorités de la CDB risque de conclure à la fragmentation des ressources limitées du FEM et à l</w:t>
      </w:r>
      <w:r w:rsidR="00713487">
        <w:rPr>
          <w:sz w:val="23"/>
          <w:szCs w:val="23"/>
          <w:lang w:val="fr-FR"/>
        </w:rPr>
        <w:t>’</w:t>
      </w:r>
      <w:r w:rsidRPr="00AA3566">
        <w:rPr>
          <w:sz w:val="23"/>
          <w:szCs w:val="23"/>
          <w:lang w:val="fr-FR"/>
        </w:rPr>
        <w:t>obtention d</w:t>
      </w:r>
      <w:r w:rsidR="00713487">
        <w:rPr>
          <w:sz w:val="23"/>
          <w:szCs w:val="23"/>
          <w:lang w:val="fr-FR"/>
        </w:rPr>
        <w:t>’</w:t>
      </w:r>
      <w:r w:rsidRPr="00AA3566">
        <w:rPr>
          <w:sz w:val="23"/>
          <w:szCs w:val="23"/>
          <w:lang w:val="fr-FR"/>
        </w:rPr>
        <w:t>un impact limité dans de nombreux domaines, par opposition à un impact concentré dans quelques domaines. La COP de la CCNUCC a créé un Comité permanent des finances chargé i) d</w:t>
      </w:r>
      <w:r w:rsidR="00713487">
        <w:rPr>
          <w:sz w:val="23"/>
          <w:szCs w:val="23"/>
          <w:lang w:val="fr-FR"/>
        </w:rPr>
        <w:t>’</w:t>
      </w:r>
      <w:r w:rsidRPr="00AA3566">
        <w:rPr>
          <w:sz w:val="23"/>
          <w:szCs w:val="23"/>
          <w:lang w:val="fr-FR"/>
        </w:rPr>
        <w:t>améliorer la cohérence et la coordination du financement de la lutte contre le changement climatique, ii) de rationaliser le mécanisme financier, iii) de mobiliser des ressources financières et iv) de mesurer, de rapporter et de vérifier l</w:t>
      </w:r>
      <w:r w:rsidR="00713487">
        <w:rPr>
          <w:sz w:val="23"/>
          <w:szCs w:val="23"/>
          <w:lang w:val="fr-FR"/>
        </w:rPr>
        <w:t>’</w:t>
      </w:r>
      <w:r w:rsidRPr="00AA3566">
        <w:rPr>
          <w:sz w:val="23"/>
          <w:szCs w:val="23"/>
          <w:lang w:val="fr-FR"/>
        </w:rPr>
        <w:t xml:space="preserve">aide apportée aux pays en </w:t>
      </w:r>
      <w:r w:rsidRPr="00AA3566">
        <w:rPr>
          <w:sz w:val="23"/>
          <w:szCs w:val="23"/>
          <w:lang w:val="fr-FR"/>
        </w:rPr>
        <w:lastRenderedPageBreak/>
        <w:t>développement Parties. La COP de la CCNUCC examine que cela a permis d</w:t>
      </w:r>
      <w:r w:rsidR="00713487">
        <w:rPr>
          <w:sz w:val="23"/>
          <w:szCs w:val="23"/>
          <w:lang w:val="fr-FR"/>
        </w:rPr>
        <w:t>’</w:t>
      </w:r>
      <w:r w:rsidRPr="00AA3566">
        <w:rPr>
          <w:sz w:val="23"/>
          <w:szCs w:val="23"/>
          <w:lang w:val="fr-FR"/>
        </w:rPr>
        <w:t>améliorer la qualité des orientations. Un Comité similaire pour la CDB mérite d</w:t>
      </w:r>
      <w:r w:rsidR="00713487">
        <w:rPr>
          <w:sz w:val="23"/>
          <w:szCs w:val="23"/>
          <w:lang w:val="fr-FR"/>
        </w:rPr>
        <w:t>’</w:t>
      </w:r>
      <w:r w:rsidRPr="00AA3566">
        <w:rPr>
          <w:sz w:val="23"/>
          <w:szCs w:val="23"/>
          <w:lang w:val="fr-FR"/>
        </w:rPr>
        <w:t>être reconsidéré</w:t>
      </w:r>
      <w:r w:rsidR="000F30D8" w:rsidRPr="0049796C">
        <w:rPr>
          <w:rStyle w:val="FootnoteReference"/>
          <w:rFonts w:cs="Calibri"/>
          <w:sz w:val="23"/>
          <w:szCs w:val="23"/>
          <w:lang w:val="fr-FR"/>
        </w:rPr>
        <w:footnoteReference w:id="13"/>
      </w:r>
      <w:r>
        <w:rPr>
          <w:sz w:val="23"/>
          <w:szCs w:val="23"/>
          <w:lang w:val="fr-FR"/>
        </w:rPr>
        <w:t>.</w:t>
      </w:r>
      <w:r w:rsidR="00FA2137" w:rsidRPr="0049796C">
        <w:rPr>
          <w:rFonts w:cs="Calibri"/>
          <w:sz w:val="23"/>
          <w:szCs w:val="23"/>
          <w:lang w:val="fr-FR"/>
        </w:rPr>
        <w:t xml:space="preserve"> </w:t>
      </w:r>
    </w:p>
    <w:p w14:paraId="7A1539B7" w14:textId="48C2D28C" w:rsidR="00FA2137" w:rsidRPr="0049796C" w:rsidRDefault="00EA4CB0" w:rsidP="00362D98">
      <w:pPr>
        <w:pStyle w:val="CBDNormalNumber"/>
        <w:numPr>
          <w:ilvl w:val="0"/>
          <w:numId w:val="9"/>
        </w:numPr>
        <w:rPr>
          <w:sz w:val="23"/>
          <w:szCs w:val="23"/>
          <w:lang w:val="fr-FR"/>
        </w:rPr>
      </w:pPr>
      <w:r w:rsidRPr="00EA4CB0">
        <w:rPr>
          <w:sz w:val="23"/>
          <w:szCs w:val="23"/>
          <w:lang w:val="fr-FR"/>
        </w:rPr>
        <w:t>Le FEM s</w:t>
      </w:r>
      <w:r w:rsidR="00713487">
        <w:rPr>
          <w:sz w:val="23"/>
          <w:szCs w:val="23"/>
          <w:lang w:val="fr-FR"/>
        </w:rPr>
        <w:t>’</w:t>
      </w:r>
      <w:r w:rsidRPr="00EA4CB0">
        <w:rPr>
          <w:sz w:val="23"/>
          <w:szCs w:val="23"/>
          <w:lang w:val="fr-FR"/>
        </w:rPr>
        <w:t>est largement conformé aux orientations de la COP dans la mise en œuvre des buts et objectifs du domaine d</w:t>
      </w:r>
      <w:r w:rsidR="00713487">
        <w:rPr>
          <w:sz w:val="23"/>
          <w:szCs w:val="23"/>
          <w:lang w:val="fr-FR"/>
        </w:rPr>
        <w:t>’</w:t>
      </w:r>
      <w:r w:rsidRPr="00EA4CB0">
        <w:rPr>
          <w:sz w:val="23"/>
          <w:szCs w:val="23"/>
          <w:lang w:val="fr-FR"/>
        </w:rPr>
        <w:t>intervention « biodiversité ». L</w:t>
      </w:r>
      <w:r w:rsidR="00713487">
        <w:rPr>
          <w:sz w:val="23"/>
          <w:szCs w:val="23"/>
          <w:lang w:val="fr-FR"/>
        </w:rPr>
        <w:t>’</w:t>
      </w:r>
      <w:r w:rsidRPr="00EA4CB0">
        <w:rPr>
          <w:sz w:val="23"/>
          <w:szCs w:val="23"/>
          <w:lang w:val="fr-FR"/>
        </w:rPr>
        <w:t>un des aspects essentiels est le lancement rapide du Fonds pour la diversité biologique à la suite de la COP 15</w:t>
      </w:r>
      <w:r w:rsidR="00FA2137" w:rsidRPr="0049796C">
        <w:rPr>
          <w:sz w:val="23"/>
          <w:szCs w:val="23"/>
          <w:lang w:val="fr-FR"/>
        </w:rPr>
        <w:t xml:space="preserve">. </w:t>
      </w:r>
    </w:p>
    <w:p w14:paraId="1B541612" w14:textId="6ACB614A" w:rsidR="00FA2137" w:rsidRPr="0049796C" w:rsidRDefault="00114960" w:rsidP="00362D98">
      <w:pPr>
        <w:pStyle w:val="CBDNormalNumber"/>
        <w:numPr>
          <w:ilvl w:val="0"/>
          <w:numId w:val="9"/>
        </w:numPr>
        <w:rPr>
          <w:sz w:val="23"/>
          <w:szCs w:val="23"/>
          <w:lang w:val="fr-FR"/>
        </w:rPr>
      </w:pPr>
      <w:r w:rsidRPr="00114960">
        <w:rPr>
          <w:sz w:val="23"/>
          <w:szCs w:val="23"/>
          <w:lang w:val="fr-FR"/>
        </w:rPr>
        <w:t>Des efforts supplémentaires peuvent être consentis pour que les normes d</w:t>
      </w:r>
      <w:r w:rsidR="00713487">
        <w:rPr>
          <w:sz w:val="23"/>
          <w:szCs w:val="23"/>
          <w:lang w:val="fr-FR"/>
        </w:rPr>
        <w:t>’</w:t>
      </w:r>
      <w:r w:rsidRPr="00114960">
        <w:rPr>
          <w:sz w:val="23"/>
          <w:szCs w:val="23"/>
          <w:lang w:val="fr-FR"/>
        </w:rPr>
        <w:t>établissement des rapports soient conformes aux exigences du protocole d</w:t>
      </w:r>
      <w:r w:rsidR="00713487">
        <w:rPr>
          <w:sz w:val="23"/>
          <w:szCs w:val="23"/>
          <w:lang w:val="fr-FR"/>
        </w:rPr>
        <w:t>’</w:t>
      </w:r>
      <w:r w:rsidRPr="00114960">
        <w:rPr>
          <w:sz w:val="23"/>
          <w:szCs w:val="23"/>
          <w:lang w:val="fr-FR"/>
        </w:rPr>
        <w:t>accord. Il s</w:t>
      </w:r>
      <w:r w:rsidR="00713487">
        <w:rPr>
          <w:sz w:val="23"/>
          <w:szCs w:val="23"/>
          <w:lang w:val="fr-FR"/>
        </w:rPr>
        <w:t>’</w:t>
      </w:r>
      <w:r w:rsidRPr="00114960">
        <w:rPr>
          <w:sz w:val="23"/>
          <w:szCs w:val="23"/>
          <w:lang w:val="fr-FR"/>
        </w:rPr>
        <w:t>agit notamment d</w:t>
      </w:r>
      <w:r w:rsidR="00713487">
        <w:rPr>
          <w:sz w:val="23"/>
          <w:szCs w:val="23"/>
          <w:lang w:val="fr-FR"/>
        </w:rPr>
        <w:t>’</w:t>
      </w:r>
      <w:r w:rsidRPr="00114960">
        <w:rPr>
          <w:sz w:val="23"/>
          <w:szCs w:val="23"/>
          <w:lang w:val="fr-FR"/>
        </w:rPr>
        <w:t>informations sur les projets dans le domaine de la diversité biologique financés par le FEM en dehors de la CDB, et sur la manière dont le FEM a participé à l</w:t>
      </w:r>
      <w:r w:rsidR="00713487">
        <w:rPr>
          <w:sz w:val="23"/>
          <w:szCs w:val="23"/>
          <w:lang w:val="fr-FR"/>
        </w:rPr>
        <w:t>’</w:t>
      </w:r>
      <w:r w:rsidRPr="00114960">
        <w:rPr>
          <w:sz w:val="23"/>
          <w:szCs w:val="23"/>
          <w:lang w:val="fr-FR"/>
        </w:rPr>
        <w:t>évaluation des besoins par la COP, afin que cette dernière puisse élaborer des orientations plus efficaces</w:t>
      </w:r>
      <w:r w:rsidR="00FA2137" w:rsidRPr="0049796C">
        <w:rPr>
          <w:sz w:val="23"/>
          <w:szCs w:val="23"/>
          <w:lang w:val="fr-FR"/>
        </w:rPr>
        <w:t xml:space="preserve">. </w:t>
      </w:r>
    </w:p>
    <w:p w14:paraId="03DF7C4C" w14:textId="1E0C7A22" w:rsidR="00FA2137" w:rsidRPr="0049796C" w:rsidRDefault="007D28EF" w:rsidP="00555AEE">
      <w:pPr>
        <w:pStyle w:val="Heading2"/>
        <w:rPr>
          <w:rFonts w:ascii="Times New Roman" w:hAnsi="Times New Roman"/>
          <w:lang w:val="fr-FR"/>
        </w:rPr>
      </w:pPr>
      <w:bookmarkStart w:id="5" w:name="_Toc177047026"/>
      <w:r w:rsidRPr="0049796C">
        <w:rPr>
          <w:rFonts w:ascii="Times New Roman" w:hAnsi="Times New Roman"/>
          <w:lang w:val="fr-FR"/>
        </w:rPr>
        <w:t>Rôle</w:t>
      </w:r>
      <w:r w:rsidR="008655E7" w:rsidRPr="0049796C">
        <w:rPr>
          <w:rFonts w:ascii="Times New Roman" w:hAnsi="Times New Roman"/>
          <w:lang w:val="fr-FR"/>
        </w:rPr>
        <w:t xml:space="preserve"> </w:t>
      </w:r>
      <w:r>
        <w:rPr>
          <w:rFonts w:ascii="Times New Roman" w:hAnsi="Times New Roman"/>
          <w:lang w:val="fr-FR"/>
        </w:rPr>
        <w:t xml:space="preserve">dans la mobilisation des </w:t>
      </w:r>
      <w:r w:rsidR="008655E7" w:rsidRPr="0049796C">
        <w:rPr>
          <w:rFonts w:ascii="Times New Roman" w:hAnsi="Times New Roman"/>
          <w:lang w:val="fr-FR"/>
        </w:rPr>
        <w:t>r</w:t>
      </w:r>
      <w:r w:rsidR="00FA2137" w:rsidRPr="0049796C">
        <w:rPr>
          <w:rFonts w:ascii="Times New Roman" w:hAnsi="Times New Roman"/>
          <w:lang w:val="fr-FR"/>
        </w:rPr>
        <w:t>es</w:t>
      </w:r>
      <w:r>
        <w:rPr>
          <w:rFonts w:ascii="Times New Roman" w:hAnsi="Times New Roman"/>
          <w:lang w:val="fr-FR"/>
        </w:rPr>
        <w:t>s</w:t>
      </w:r>
      <w:r w:rsidR="00FA2137" w:rsidRPr="0049796C">
        <w:rPr>
          <w:rFonts w:ascii="Times New Roman" w:hAnsi="Times New Roman"/>
          <w:lang w:val="fr-FR"/>
        </w:rPr>
        <w:t>ource</w:t>
      </w:r>
      <w:r>
        <w:rPr>
          <w:rFonts w:ascii="Times New Roman" w:hAnsi="Times New Roman"/>
          <w:lang w:val="fr-FR"/>
        </w:rPr>
        <w:t>s</w:t>
      </w:r>
      <w:bookmarkEnd w:id="5"/>
    </w:p>
    <w:p w14:paraId="2FB0153A" w14:textId="1326E75E" w:rsidR="00FA2137" w:rsidRPr="0049796C" w:rsidRDefault="00A86FA5" w:rsidP="00362D98">
      <w:pPr>
        <w:pStyle w:val="CBDNormalNumber"/>
        <w:numPr>
          <w:ilvl w:val="0"/>
          <w:numId w:val="9"/>
        </w:numPr>
        <w:rPr>
          <w:sz w:val="23"/>
          <w:szCs w:val="23"/>
          <w:lang w:val="fr-FR"/>
        </w:rPr>
      </w:pPr>
      <w:r w:rsidRPr="00A86FA5">
        <w:rPr>
          <w:sz w:val="23"/>
          <w:szCs w:val="23"/>
          <w:lang w:val="fr-FR"/>
        </w:rPr>
        <w:t>La section consacrée à la mobilisation des ressources analyse l</w:t>
      </w:r>
      <w:r w:rsidR="00713487">
        <w:rPr>
          <w:sz w:val="23"/>
          <w:szCs w:val="23"/>
          <w:lang w:val="fr-FR"/>
        </w:rPr>
        <w:t>’</w:t>
      </w:r>
      <w:r w:rsidRPr="00A86FA5">
        <w:rPr>
          <w:sz w:val="23"/>
          <w:szCs w:val="23"/>
          <w:lang w:val="fr-FR"/>
        </w:rPr>
        <w:t>efficacité du FEM à i) fournir et mobiliser des ressources financières pour permettre à toutes les Parties bénéficiaires de faire face à l</w:t>
      </w:r>
      <w:r w:rsidR="00713487">
        <w:rPr>
          <w:sz w:val="23"/>
          <w:szCs w:val="23"/>
          <w:lang w:val="fr-FR"/>
        </w:rPr>
        <w:t>’</w:t>
      </w:r>
      <w:r w:rsidRPr="00A86FA5">
        <w:rPr>
          <w:sz w:val="23"/>
          <w:szCs w:val="23"/>
          <w:lang w:val="fr-FR"/>
        </w:rPr>
        <w:t>intégralité des surcoûts convenus de la mise en œuvre des mesures, en gardant à l</w:t>
      </w:r>
      <w:r w:rsidR="00713487">
        <w:rPr>
          <w:sz w:val="23"/>
          <w:szCs w:val="23"/>
          <w:lang w:val="fr-FR"/>
        </w:rPr>
        <w:t>’</w:t>
      </w:r>
      <w:r w:rsidRPr="00A86FA5">
        <w:rPr>
          <w:sz w:val="23"/>
          <w:szCs w:val="23"/>
          <w:lang w:val="fr-FR"/>
        </w:rPr>
        <w:t>esprit la nécessité de disposer de fonds prévisibles, opportuns et suffisants</w:t>
      </w:r>
      <w:r w:rsidR="00713487">
        <w:rPr>
          <w:sz w:val="23"/>
          <w:szCs w:val="23"/>
          <w:lang w:val="fr-FR"/>
        </w:rPr>
        <w:t> ;</w:t>
      </w:r>
      <w:r w:rsidRPr="00A86FA5">
        <w:rPr>
          <w:sz w:val="23"/>
          <w:szCs w:val="23"/>
          <w:lang w:val="fr-FR"/>
        </w:rPr>
        <w:t xml:space="preserve"> et ii) mobiliser des financements nouveaux et supplémentaires.</w:t>
      </w:r>
      <w:r w:rsidR="00FA2137" w:rsidRPr="0049796C">
        <w:rPr>
          <w:sz w:val="23"/>
          <w:szCs w:val="23"/>
          <w:lang w:val="fr-FR"/>
        </w:rPr>
        <w:t xml:space="preserve"> </w:t>
      </w:r>
    </w:p>
    <w:p w14:paraId="112B0C98" w14:textId="6E3B4EE8" w:rsidR="00FA2137" w:rsidRPr="0049796C" w:rsidRDefault="00CA5983" w:rsidP="00362D98">
      <w:pPr>
        <w:pStyle w:val="CBDNormalNumber"/>
        <w:numPr>
          <w:ilvl w:val="0"/>
          <w:numId w:val="9"/>
        </w:numPr>
        <w:rPr>
          <w:sz w:val="23"/>
          <w:szCs w:val="23"/>
          <w:lang w:val="fr-FR"/>
        </w:rPr>
      </w:pPr>
      <w:r>
        <w:rPr>
          <w:sz w:val="23"/>
          <w:szCs w:val="23"/>
          <w:lang w:val="fr-FR"/>
        </w:rPr>
        <w:t>L</w:t>
      </w:r>
      <w:r w:rsidRPr="00CA5983">
        <w:rPr>
          <w:sz w:val="23"/>
          <w:szCs w:val="23"/>
          <w:lang w:val="fr-FR"/>
        </w:rPr>
        <w:t>es ressources du mécanisme financier sont fournies de manière relativement prévisible grâce à la mise en œuvre du système d</w:t>
      </w:r>
      <w:r w:rsidR="00713487">
        <w:rPr>
          <w:sz w:val="23"/>
          <w:szCs w:val="23"/>
          <w:lang w:val="fr-FR"/>
        </w:rPr>
        <w:t>’</w:t>
      </w:r>
      <w:r w:rsidRPr="00CA5983">
        <w:rPr>
          <w:sz w:val="23"/>
          <w:szCs w:val="23"/>
          <w:lang w:val="fr-FR"/>
        </w:rPr>
        <w:t>allocation transparente des ressources (STAR). Il est trop tôt pour savoir si le fait de ne pas appliquer l</w:t>
      </w:r>
      <w:r w:rsidR="00713487">
        <w:rPr>
          <w:sz w:val="23"/>
          <w:szCs w:val="23"/>
          <w:lang w:val="fr-FR"/>
        </w:rPr>
        <w:t>’</w:t>
      </w:r>
      <w:r w:rsidRPr="00CA5983">
        <w:rPr>
          <w:sz w:val="23"/>
          <w:szCs w:val="23"/>
          <w:lang w:val="fr-FR"/>
        </w:rPr>
        <w:t>allocation STAR au GBFF affectera la prévisibilité de ce mécanisme</w:t>
      </w:r>
      <w:r w:rsidR="00FA2137" w:rsidRPr="0049796C">
        <w:rPr>
          <w:sz w:val="23"/>
          <w:szCs w:val="23"/>
          <w:lang w:val="fr-FR"/>
        </w:rPr>
        <w:t>.</w:t>
      </w:r>
    </w:p>
    <w:p w14:paraId="3B8ED160" w14:textId="79455784" w:rsidR="00FA2137" w:rsidRPr="0049796C" w:rsidRDefault="00FB5B3E" w:rsidP="00362D98">
      <w:pPr>
        <w:pStyle w:val="CBDNormalNumber"/>
        <w:numPr>
          <w:ilvl w:val="0"/>
          <w:numId w:val="9"/>
        </w:numPr>
        <w:rPr>
          <w:sz w:val="23"/>
          <w:szCs w:val="23"/>
          <w:lang w:val="fr-FR"/>
        </w:rPr>
      </w:pPr>
      <w:r w:rsidRPr="00FB5B3E">
        <w:rPr>
          <w:sz w:val="23"/>
          <w:szCs w:val="23"/>
          <w:lang w:val="fr-FR"/>
        </w:rPr>
        <w:t>Des améliorations sont à noter en ce qui concerne le versement des fonds aux pays admissibles dans les délais impartis. Entre le FEM-6 et le FEM-8, le domaine d</w:t>
      </w:r>
      <w:r w:rsidR="00713487">
        <w:rPr>
          <w:sz w:val="23"/>
          <w:szCs w:val="23"/>
          <w:lang w:val="fr-FR"/>
        </w:rPr>
        <w:t>’</w:t>
      </w:r>
      <w:r w:rsidRPr="00FB5B3E">
        <w:rPr>
          <w:sz w:val="23"/>
          <w:szCs w:val="23"/>
          <w:lang w:val="fr-FR"/>
        </w:rPr>
        <w:t>intervention biodiversité a reçu entre 29,2 % et 36 % des ressources totales du domaine d</w:t>
      </w:r>
      <w:r w:rsidR="00713487">
        <w:rPr>
          <w:sz w:val="23"/>
          <w:szCs w:val="23"/>
          <w:lang w:val="fr-FR"/>
        </w:rPr>
        <w:t>’</w:t>
      </w:r>
      <w:r w:rsidRPr="00FB5B3E">
        <w:rPr>
          <w:sz w:val="23"/>
          <w:szCs w:val="23"/>
          <w:lang w:val="fr-FR"/>
        </w:rPr>
        <w:t>intervention. En chiffres absolus, les ressources totales allouées au domaine d</w:t>
      </w:r>
      <w:r w:rsidR="00713487">
        <w:rPr>
          <w:sz w:val="23"/>
          <w:szCs w:val="23"/>
          <w:lang w:val="fr-FR"/>
        </w:rPr>
        <w:t>’</w:t>
      </w:r>
      <w:r w:rsidRPr="00FB5B3E">
        <w:rPr>
          <w:sz w:val="23"/>
          <w:szCs w:val="23"/>
          <w:lang w:val="fr-FR"/>
        </w:rPr>
        <w:t>intervention biodiversité ont également eu tendance à augmenter avec les autres domaines d</w:t>
      </w:r>
      <w:r w:rsidR="00713487">
        <w:rPr>
          <w:sz w:val="23"/>
          <w:szCs w:val="23"/>
          <w:lang w:val="fr-FR"/>
        </w:rPr>
        <w:t>’</w:t>
      </w:r>
      <w:r w:rsidRPr="00FB5B3E">
        <w:rPr>
          <w:sz w:val="23"/>
          <w:szCs w:val="23"/>
          <w:lang w:val="fr-FR"/>
        </w:rPr>
        <w:t>intervention, à l</w:t>
      </w:r>
      <w:r w:rsidR="00713487">
        <w:rPr>
          <w:sz w:val="23"/>
          <w:szCs w:val="23"/>
          <w:lang w:val="fr-FR"/>
        </w:rPr>
        <w:t>’</w:t>
      </w:r>
      <w:r w:rsidRPr="00FB5B3E">
        <w:rPr>
          <w:sz w:val="23"/>
          <w:szCs w:val="23"/>
          <w:lang w:val="fr-FR"/>
        </w:rPr>
        <w:t>exception du changement climatique, qui a connu une baisse en termes de proportion et de valeur du financement depuis le FEM-5.</w:t>
      </w:r>
    </w:p>
    <w:p w14:paraId="71032584" w14:textId="3EB74C74" w:rsidR="00FA2137" w:rsidRPr="0049796C" w:rsidRDefault="00FB5B3E" w:rsidP="00362D98">
      <w:pPr>
        <w:pStyle w:val="CBDNormalNumber"/>
        <w:numPr>
          <w:ilvl w:val="0"/>
          <w:numId w:val="9"/>
        </w:numPr>
        <w:rPr>
          <w:sz w:val="23"/>
          <w:szCs w:val="23"/>
          <w:lang w:val="fr-FR"/>
        </w:rPr>
      </w:pPr>
      <w:r w:rsidRPr="00FB5B3E">
        <w:rPr>
          <w:sz w:val="23"/>
          <w:szCs w:val="23"/>
          <w:lang w:val="fr-FR"/>
        </w:rPr>
        <w:t xml:space="preserve">Le FEM est en train de rationaliser son cycle de projet, ce qui aura probablement </w:t>
      </w:r>
      <w:r w:rsidR="00B02141">
        <w:rPr>
          <w:sz w:val="23"/>
          <w:szCs w:val="23"/>
          <w:lang w:val="fr-FR"/>
        </w:rPr>
        <w:t>des incidences</w:t>
      </w:r>
      <w:r w:rsidRPr="00FB5B3E">
        <w:rPr>
          <w:sz w:val="23"/>
          <w:szCs w:val="23"/>
          <w:lang w:val="fr-FR"/>
        </w:rPr>
        <w:t xml:space="preserve"> positi</w:t>
      </w:r>
      <w:r w:rsidR="00B02141">
        <w:rPr>
          <w:sz w:val="23"/>
          <w:szCs w:val="23"/>
          <w:lang w:val="fr-FR"/>
        </w:rPr>
        <w:t>ves</w:t>
      </w:r>
      <w:r w:rsidRPr="00FB5B3E">
        <w:rPr>
          <w:sz w:val="23"/>
          <w:szCs w:val="23"/>
          <w:lang w:val="fr-FR"/>
        </w:rPr>
        <w:t xml:space="preserve"> sur les délais prescrits pour le décaissement des fonds</w:t>
      </w:r>
      <w:r w:rsidR="00FA2137" w:rsidRPr="0049796C">
        <w:rPr>
          <w:sz w:val="23"/>
          <w:szCs w:val="23"/>
          <w:lang w:val="fr-FR"/>
        </w:rPr>
        <w:t>.</w:t>
      </w:r>
    </w:p>
    <w:p w14:paraId="20C32A66" w14:textId="393A038E" w:rsidR="00FA2137" w:rsidRPr="0049796C" w:rsidRDefault="00AD573C" w:rsidP="00362D98">
      <w:pPr>
        <w:pStyle w:val="CBDNormalNumber"/>
        <w:numPr>
          <w:ilvl w:val="0"/>
          <w:numId w:val="9"/>
        </w:numPr>
        <w:rPr>
          <w:rFonts w:eastAsia="Times New Roman"/>
          <w:snapToGrid w:val="0"/>
          <w:kern w:val="22"/>
          <w:lang w:val="fr-FR"/>
        </w:rPr>
      </w:pPr>
      <w:r w:rsidRPr="00AD573C">
        <w:rPr>
          <w:sz w:val="23"/>
          <w:szCs w:val="23"/>
          <w:lang w:val="fr-FR"/>
        </w:rPr>
        <w:t>En ce qui concerne la mobilisation de ressources financières nouvelles et additionnelles, l</w:t>
      </w:r>
      <w:r w:rsidR="00713487">
        <w:rPr>
          <w:sz w:val="23"/>
          <w:szCs w:val="23"/>
          <w:lang w:val="fr-FR"/>
        </w:rPr>
        <w:t>’</w:t>
      </w:r>
      <w:r w:rsidRPr="00AD573C">
        <w:rPr>
          <w:sz w:val="23"/>
          <w:szCs w:val="23"/>
          <w:lang w:val="fr-FR"/>
        </w:rPr>
        <w:t>article 21.1 de la CBD encourage les contributions volontaires à la fourniture de ressources financières aux pays en développement de la part des pays développés Parties, d</w:t>
      </w:r>
      <w:r w:rsidR="00713487">
        <w:rPr>
          <w:sz w:val="23"/>
          <w:szCs w:val="23"/>
          <w:lang w:val="fr-FR"/>
        </w:rPr>
        <w:t>’</w:t>
      </w:r>
      <w:r w:rsidRPr="00AD573C">
        <w:rPr>
          <w:sz w:val="23"/>
          <w:szCs w:val="23"/>
          <w:lang w:val="fr-FR"/>
        </w:rPr>
        <w:t>autres pays et d</w:t>
      </w:r>
      <w:r w:rsidR="00713487">
        <w:rPr>
          <w:sz w:val="23"/>
          <w:szCs w:val="23"/>
          <w:lang w:val="fr-FR"/>
        </w:rPr>
        <w:t>’</w:t>
      </w:r>
      <w:r w:rsidRPr="00AD573C">
        <w:rPr>
          <w:sz w:val="23"/>
          <w:szCs w:val="23"/>
          <w:lang w:val="fr-FR"/>
        </w:rPr>
        <w:t>autres sources. La nécessité de catalyser des financements supplémentaires a été soulignée à chaque COP depuis la COP11.</w:t>
      </w:r>
    </w:p>
    <w:p w14:paraId="7A3E3ED4" w14:textId="73823B85" w:rsidR="00FA2137" w:rsidRPr="0049796C" w:rsidRDefault="005241CA" w:rsidP="00362D98">
      <w:pPr>
        <w:pStyle w:val="CBDNormalNumber"/>
        <w:numPr>
          <w:ilvl w:val="0"/>
          <w:numId w:val="9"/>
        </w:numPr>
        <w:rPr>
          <w:rFonts w:eastAsia="Times New Roman"/>
          <w:snapToGrid w:val="0"/>
          <w:kern w:val="22"/>
          <w:lang w:val="fr-FR"/>
        </w:rPr>
      </w:pPr>
      <w:r w:rsidRPr="005241CA">
        <w:rPr>
          <w:rFonts w:eastAsia="Times New Roman"/>
          <w:snapToGrid w:val="0"/>
          <w:kern w:val="22"/>
          <w:lang w:val="fr-FR"/>
        </w:rPr>
        <w:t>En ce qui concerne le FEM, le cofinancement est une importante et principale source de financement supplémentaire qui permet d</w:t>
      </w:r>
      <w:r w:rsidR="00713487">
        <w:rPr>
          <w:rFonts w:eastAsia="Times New Roman"/>
          <w:snapToGrid w:val="0"/>
          <w:kern w:val="22"/>
          <w:lang w:val="fr-FR"/>
        </w:rPr>
        <w:t>’</w:t>
      </w:r>
      <w:r w:rsidRPr="005241CA">
        <w:rPr>
          <w:rFonts w:eastAsia="Times New Roman"/>
          <w:snapToGrid w:val="0"/>
          <w:kern w:val="22"/>
          <w:lang w:val="fr-FR"/>
        </w:rPr>
        <w:t>accroître les ressources destinées aux activités financées</w:t>
      </w:r>
      <w:r w:rsidR="00D54C99">
        <w:rPr>
          <w:rFonts w:eastAsia="Times New Roman"/>
          <w:snapToGrid w:val="0"/>
          <w:kern w:val="22"/>
          <w:lang w:val="fr-FR"/>
        </w:rPr>
        <w:t> :</w:t>
      </w:r>
      <w:r w:rsidRPr="005241CA">
        <w:rPr>
          <w:rFonts w:eastAsia="Times New Roman"/>
          <w:snapToGrid w:val="0"/>
          <w:kern w:val="22"/>
          <w:lang w:val="fr-FR"/>
        </w:rPr>
        <w:t xml:space="preserve"> il est obligatoire pour tous les projets de grande envergure, les projets de taille moyenne et les programmes financés par le FEM. Entre FEM-6 et FEM-8, le ratio entre le dollar du FEM et le cofinancement est passé de 6,30 dollars mobilisés pour chaque dollar investi à 8,2 dollars </w:t>
      </w:r>
      <w:r>
        <w:rPr>
          <w:rFonts w:eastAsia="Times New Roman"/>
          <w:snapToGrid w:val="0"/>
          <w:kern w:val="22"/>
          <w:lang w:val="fr-FR"/>
        </w:rPr>
        <w:t xml:space="preserve">dans </w:t>
      </w:r>
      <w:r w:rsidRPr="005241CA">
        <w:rPr>
          <w:rFonts w:eastAsia="Times New Roman"/>
          <w:snapToGrid w:val="0"/>
          <w:kern w:val="22"/>
          <w:lang w:val="fr-FR"/>
        </w:rPr>
        <w:t>le domaine d</w:t>
      </w:r>
      <w:r w:rsidR="00713487">
        <w:rPr>
          <w:rFonts w:eastAsia="Times New Roman"/>
          <w:snapToGrid w:val="0"/>
          <w:kern w:val="22"/>
          <w:lang w:val="fr-FR"/>
        </w:rPr>
        <w:t>’</w:t>
      </w:r>
      <w:r w:rsidRPr="005241CA">
        <w:rPr>
          <w:rFonts w:eastAsia="Times New Roman"/>
          <w:snapToGrid w:val="0"/>
          <w:kern w:val="22"/>
          <w:lang w:val="fr-FR"/>
        </w:rPr>
        <w:t>intervention de la biodiversité</w:t>
      </w:r>
      <w:r w:rsidR="00FA2137" w:rsidRPr="0049796C">
        <w:rPr>
          <w:rFonts w:eastAsia="Times New Roman"/>
          <w:snapToGrid w:val="0"/>
          <w:kern w:val="22"/>
          <w:lang w:val="fr-FR"/>
        </w:rPr>
        <w:t xml:space="preserve">. </w:t>
      </w:r>
    </w:p>
    <w:p w14:paraId="50A586CC" w14:textId="4C1E9D39" w:rsidR="00CB130E" w:rsidRPr="0049796C" w:rsidRDefault="005E3B4C" w:rsidP="00362D98">
      <w:pPr>
        <w:pStyle w:val="CBDNormalNumber"/>
        <w:numPr>
          <w:ilvl w:val="0"/>
          <w:numId w:val="9"/>
        </w:numPr>
        <w:rPr>
          <w:rFonts w:eastAsia="Times New Roman"/>
          <w:snapToGrid w:val="0"/>
          <w:kern w:val="22"/>
          <w:lang w:val="fr-FR"/>
        </w:rPr>
      </w:pPr>
      <w:r w:rsidRPr="005E3B4C">
        <w:rPr>
          <w:rFonts w:eastAsia="Times New Roman"/>
          <w:snapToGrid w:val="0"/>
          <w:kern w:val="22"/>
          <w:lang w:val="fr-FR"/>
        </w:rPr>
        <w:t xml:space="preserve">Par le biais de divers projets et programmes, le Fonds vert pour le climat (FVC) apporte un financement considérable qui contribue aussi directement à la mise en œuvre de la Convention. Sur </w:t>
      </w:r>
      <w:r w:rsidRPr="005E3B4C">
        <w:rPr>
          <w:rFonts w:eastAsia="Times New Roman"/>
          <w:snapToGrid w:val="0"/>
          <w:kern w:val="22"/>
          <w:lang w:val="fr-FR"/>
        </w:rPr>
        <w:lastRenderedPageBreak/>
        <w:t>ses 270 projets, plus de 100 projets avec un investissement de plus de 5 milliards de dollars US de fonds du FVC et 7 milliards de dollars étasuniens de cofinancement soutiennent des activités qui mettent également en œuvre la Convention. Leurs principales activités habilitantes - le programme de préparation et d</w:t>
      </w:r>
      <w:r w:rsidR="00713487">
        <w:rPr>
          <w:rFonts w:eastAsia="Times New Roman"/>
          <w:snapToGrid w:val="0"/>
          <w:kern w:val="22"/>
          <w:lang w:val="fr-FR"/>
        </w:rPr>
        <w:t>’</w:t>
      </w:r>
      <w:r w:rsidRPr="005E3B4C">
        <w:rPr>
          <w:rFonts w:eastAsia="Times New Roman"/>
          <w:snapToGrid w:val="0"/>
          <w:kern w:val="22"/>
          <w:lang w:val="fr-FR"/>
        </w:rPr>
        <w:t>élaboration - fourniront jusqu</w:t>
      </w:r>
      <w:r w:rsidR="00713487">
        <w:rPr>
          <w:rFonts w:eastAsia="Times New Roman"/>
          <w:snapToGrid w:val="0"/>
          <w:kern w:val="22"/>
          <w:lang w:val="fr-FR"/>
        </w:rPr>
        <w:t>’</w:t>
      </w:r>
      <w:r w:rsidRPr="005E3B4C">
        <w:rPr>
          <w:rFonts w:eastAsia="Times New Roman"/>
          <w:snapToGrid w:val="0"/>
          <w:kern w:val="22"/>
          <w:lang w:val="fr-FR"/>
        </w:rPr>
        <w:t>à 600 millions $US à plus de 140 pays au cours des quatre prochaines années qui, en raison de la nature interconnectée des objectifs de la Convention et de la CCNUCC, pourraient également soutenir la mise en œuvre de la CBD et des SPANB en tant que contribution à la lutte contre le changement climatique. Ils comptent plus de 130 entités accréditées et plus de 100 organisations supplémentaires en cours d</w:t>
      </w:r>
      <w:r w:rsidR="00713487">
        <w:rPr>
          <w:rFonts w:eastAsia="Times New Roman"/>
          <w:snapToGrid w:val="0"/>
          <w:kern w:val="22"/>
          <w:lang w:val="fr-FR"/>
        </w:rPr>
        <w:t>’</w:t>
      </w:r>
      <w:r w:rsidRPr="005E3B4C">
        <w:rPr>
          <w:rFonts w:eastAsia="Times New Roman"/>
          <w:snapToGrid w:val="0"/>
          <w:kern w:val="22"/>
          <w:lang w:val="fr-FR"/>
        </w:rPr>
        <w:t>accréditation, ce qui permet de tirer des enseignements importants pour l</w:t>
      </w:r>
      <w:r w:rsidR="00713487">
        <w:rPr>
          <w:rFonts w:eastAsia="Times New Roman"/>
          <w:snapToGrid w:val="0"/>
          <w:kern w:val="22"/>
          <w:lang w:val="fr-FR"/>
        </w:rPr>
        <w:t>’</w:t>
      </w:r>
      <w:r w:rsidRPr="005E3B4C">
        <w:rPr>
          <w:rFonts w:eastAsia="Times New Roman"/>
          <w:snapToGrid w:val="0"/>
          <w:kern w:val="22"/>
          <w:lang w:val="fr-FR"/>
        </w:rPr>
        <w:t>accès au mécanisme de financement et au FEM. L</w:t>
      </w:r>
      <w:r w:rsidR="00713487">
        <w:rPr>
          <w:rFonts w:eastAsia="Times New Roman"/>
          <w:snapToGrid w:val="0"/>
          <w:kern w:val="22"/>
          <w:lang w:val="fr-FR"/>
        </w:rPr>
        <w:t>’</w:t>
      </w:r>
      <w:r w:rsidRPr="005E3B4C">
        <w:rPr>
          <w:rFonts w:eastAsia="Times New Roman"/>
          <w:snapToGrid w:val="0"/>
          <w:kern w:val="22"/>
          <w:lang w:val="fr-FR"/>
        </w:rPr>
        <w:t>article 20.3 prévoit que les Parties peuvent fournir des ressources financières liées à la mise en œuvre de la présente Convention par d</w:t>
      </w:r>
      <w:r w:rsidR="00713487">
        <w:rPr>
          <w:rFonts w:eastAsia="Times New Roman"/>
          <w:snapToGrid w:val="0"/>
          <w:kern w:val="22"/>
          <w:lang w:val="fr-FR"/>
        </w:rPr>
        <w:t>’</w:t>
      </w:r>
      <w:r w:rsidRPr="005E3B4C">
        <w:rPr>
          <w:rFonts w:eastAsia="Times New Roman"/>
          <w:snapToGrid w:val="0"/>
          <w:kern w:val="22"/>
          <w:lang w:val="fr-FR"/>
        </w:rPr>
        <w:t>autres voies multilatérales. Il convient donc d</w:t>
      </w:r>
      <w:r w:rsidR="00713487">
        <w:rPr>
          <w:rFonts w:eastAsia="Times New Roman"/>
          <w:snapToGrid w:val="0"/>
          <w:kern w:val="22"/>
          <w:lang w:val="fr-FR"/>
        </w:rPr>
        <w:t>’</w:t>
      </w:r>
      <w:r w:rsidRPr="005E3B4C">
        <w:rPr>
          <w:rFonts w:eastAsia="Times New Roman"/>
          <w:snapToGrid w:val="0"/>
          <w:kern w:val="22"/>
          <w:lang w:val="fr-FR"/>
        </w:rPr>
        <w:t>étudier avec le Fonds vert pour le climat les moyens de mieux collaborer afin que son soutien à la biodiversité et à la mise en œuvre de la Convention puisse être mieux pris en compte dans les travaux du mécanisme financier.</w:t>
      </w:r>
    </w:p>
    <w:p w14:paraId="40FD3890" w14:textId="13878FB4" w:rsidR="00FA2137" w:rsidRPr="0049796C" w:rsidRDefault="00FC1BA4" w:rsidP="00362D98">
      <w:pPr>
        <w:pStyle w:val="CBDNormalNumber"/>
        <w:numPr>
          <w:ilvl w:val="0"/>
          <w:numId w:val="9"/>
        </w:numPr>
        <w:rPr>
          <w:sz w:val="23"/>
          <w:szCs w:val="23"/>
          <w:lang w:val="fr-FR"/>
        </w:rPr>
      </w:pPr>
      <w:r>
        <w:rPr>
          <w:rFonts w:eastAsia="Times New Roman"/>
          <w:snapToGrid w:val="0"/>
          <w:kern w:val="22"/>
          <w:lang w:val="fr-FR"/>
        </w:rPr>
        <w:t>L</w:t>
      </w:r>
      <w:r w:rsidRPr="00FC1BA4">
        <w:rPr>
          <w:rFonts w:eastAsia="Times New Roman"/>
          <w:snapToGrid w:val="0"/>
          <w:kern w:val="22"/>
          <w:lang w:val="fr-FR"/>
        </w:rPr>
        <w:t>es progrès restent à faire pour s</w:t>
      </w:r>
      <w:r w:rsidR="00713487">
        <w:rPr>
          <w:rFonts w:eastAsia="Times New Roman"/>
          <w:snapToGrid w:val="0"/>
          <w:kern w:val="22"/>
          <w:lang w:val="fr-FR"/>
        </w:rPr>
        <w:t>’</w:t>
      </w:r>
      <w:r w:rsidRPr="00FC1BA4">
        <w:rPr>
          <w:rFonts w:eastAsia="Times New Roman"/>
          <w:snapToGrid w:val="0"/>
          <w:kern w:val="22"/>
          <w:lang w:val="fr-FR"/>
        </w:rPr>
        <w:t>assurer que les fonds sont versés en temps voulu et pour améliorer l</w:t>
      </w:r>
      <w:r w:rsidR="00713487">
        <w:rPr>
          <w:rFonts w:eastAsia="Times New Roman"/>
          <w:snapToGrid w:val="0"/>
          <w:kern w:val="22"/>
          <w:lang w:val="fr-FR"/>
        </w:rPr>
        <w:t>’</w:t>
      </w:r>
      <w:r w:rsidRPr="00FC1BA4">
        <w:rPr>
          <w:rFonts w:eastAsia="Times New Roman"/>
          <w:snapToGrid w:val="0"/>
          <w:kern w:val="22"/>
          <w:lang w:val="fr-FR"/>
        </w:rPr>
        <w:t>adéquation des fonds en encourageant les contributions volontaires des Parties concernées et en explorant d</w:t>
      </w:r>
      <w:r w:rsidR="00713487">
        <w:rPr>
          <w:rFonts w:eastAsia="Times New Roman"/>
          <w:snapToGrid w:val="0"/>
          <w:kern w:val="22"/>
          <w:lang w:val="fr-FR"/>
        </w:rPr>
        <w:t>’</w:t>
      </w:r>
      <w:r w:rsidRPr="00FC1BA4">
        <w:rPr>
          <w:rFonts w:eastAsia="Times New Roman"/>
          <w:snapToGrid w:val="0"/>
          <w:kern w:val="22"/>
          <w:lang w:val="fr-FR"/>
        </w:rPr>
        <w:t>autres sources de financement afin de combler le déficit de financement de la biodiversité, notamment par le biais du secteur privé et de la philanthropie. À ce jour, en ce qui concerne les investissements réels par opposition aux investissements en nature mobilisés à titre de cofinancement, les fonds du secteur privé sont inférieurs à ceux des agences du FEM et des gouvernements bénéficiaires.</w:t>
      </w:r>
    </w:p>
    <w:p w14:paraId="4D6FB55E" w14:textId="6287967F" w:rsidR="00FA2137" w:rsidRPr="0049796C" w:rsidRDefault="0054169D" w:rsidP="00362D98">
      <w:pPr>
        <w:pStyle w:val="CBDNormalNumber"/>
        <w:numPr>
          <w:ilvl w:val="0"/>
          <w:numId w:val="9"/>
        </w:numPr>
        <w:rPr>
          <w:sz w:val="23"/>
          <w:szCs w:val="23"/>
          <w:lang w:val="fr-FR"/>
        </w:rPr>
      </w:pPr>
      <w:r w:rsidRPr="0054169D">
        <w:rPr>
          <w:sz w:val="23"/>
          <w:szCs w:val="23"/>
          <w:lang w:val="fr-FR"/>
        </w:rPr>
        <w:t>La nécessité de mobiliser des fonds provenant d</w:t>
      </w:r>
      <w:r w:rsidR="00713487">
        <w:rPr>
          <w:sz w:val="23"/>
          <w:szCs w:val="23"/>
          <w:lang w:val="fr-FR"/>
        </w:rPr>
        <w:t>’</w:t>
      </w:r>
      <w:r w:rsidRPr="0054169D">
        <w:rPr>
          <w:sz w:val="23"/>
          <w:szCs w:val="23"/>
          <w:lang w:val="fr-FR"/>
        </w:rPr>
        <w:t>autres sources est d</w:t>
      </w:r>
      <w:r w:rsidR="00713487">
        <w:rPr>
          <w:sz w:val="23"/>
          <w:szCs w:val="23"/>
          <w:lang w:val="fr-FR"/>
        </w:rPr>
        <w:t>’</w:t>
      </w:r>
      <w:r w:rsidRPr="0054169D">
        <w:rPr>
          <w:sz w:val="23"/>
          <w:szCs w:val="23"/>
          <w:lang w:val="fr-FR"/>
        </w:rPr>
        <w:t xml:space="preserve">autant plus importante que les domaines qui nécessitent davantage de ressources, tels que les </w:t>
      </w:r>
      <w:r w:rsidR="00877AF9">
        <w:rPr>
          <w:sz w:val="23"/>
          <w:szCs w:val="23"/>
          <w:lang w:val="fr-FR"/>
        </w:rPr>
        <w:t>pays les moins avancés et les petits États insulaires en développement</w:t>
      </w:r>
      <w:r w:rsidRPr="0054169D">
        <w:rPr>
          <w:sz w:val="23"/>
          <w:szCs w:val="23"/>
          <w:lang w:val="fr-FR"/>
        </w:rPr>
        <w:t>, génèrent des volumes de financement plus faibles</w:t>
      </w:r>
      <w:r w:rsidR="00FA2137" w:rsidRPr="0049796C">
        <w:rPr>
          <w:sz w:val="23"/>
          <w:szCs w:val="23"/>
          <w:lang w:val="fr-FR"/>
        </w:rPr>
        <w:t>.</w:t>
      </w:r>
    </w:p>
    <w:p w14:paraId="518DB4CF" w14:textId="334158CD" w:rsidR="00FA2137" w:rsidRPr="0049796C" w:rsidRDefault="001B1B5A" w:rsidP="00555AEE">
      <w:pPr>
        <w:pStyle w:val="Caption"/>
        <w:keepNext/>
        <w:spacing w:before="120"/>
        <w:rPr>
          <w:color w:val="auto"/>
          <w:sz w:val="23"/>
          <w:szCs w:val="23"/>
          <w:lang w:val="fr-FR"/>
        </w:rPr>
      </w:pPr>
      <w:r>
        <w:rPr>
          <w:color w:val="auto"/>
          <w:sz w:val="23"/>
          <w:szCs w:val="23"/>
          <w:lang w:val="fr-FR"/>
        </w:rPr>
        <w:t>Cofinancement par phase du FEM</w:t>
      </w:r>
    </w:p>
    <w:tbl>
      <w:tblPr>
        <w:tblStyle w:val="TableGrid"/>
        <w:tblW w:w="0" w:type="auto"/>
        <w:tblLook w:val="04A0" w:firstRow="1" w:lastRow="0" w:firstColumn="1" w:lastColumn="0" w:noHBand="0" w:noVBand="1"/>
      </w:tblPr>
      <w:tblGrid>
        <w:gridCol w:w="4106"/>
        <w:gridCol w:w="1843"/>
        <w:gridCol w:w="1701"/>
        <w:gridCol w:w="1700"/>
      </w:tblGrid>
      <w:tr w:rsidR="00FA2137" w:rsidRPr="0049796C" w14:paraId="60DACF53" w14:textId="77777777" w:rsidTr="008D3670">
        <w:tc>
          <w:tcPr>
            <w:tcW w:w="4106" w:type="dxa"/>
          </w:tcPr>
          <w:p w14:paraId="445E44FD" w14:textId="77777777" w:rsidR="00FA2137" w:rsidRPr="0049796C" w:rsidRDefault="00FA2137" w:rsidP="00555AEE">
            <w:pPr>
              <w:spacing w:before="120" w:after="120"/>
              <w:rPr>
                <w:i/>
                <w:iCs/>
                <w:sz w:val="23"/>
                <w:szCs w:val="23"/>
                <w:lang w:val="fr-FR"/>
              </w:rPr>
            </w:pPr>
          </w:p>
        </w:tc>
        <w:tc>
          <w:tcPr>
            <w:tcW w:w="1843" w:type="dxa"/>
          </w:tcPr>
          <w:p w14:paraId="6F8964F1" w14:textId="77777777" w:rsidR="00FA2137" w:rsidRPr="0049796C" w:rsidRDefault="00FA2137" w:rsidP="00555AEE">
            <w:pPr>
              <w:spacing w:before="120" w:after="120"/>
              <w:jc w:val="center"/>
              <w:rPr>
                <w:i/>
                <w:iCs/>
                <w:sz w:val="23"/>
                <w:szCs w:val="23"/>
                <w:lang w:val="fr-FR"/>
              </w:rPr>
            </w:pPr>
            <w:r w:rsidRPr="0049796C">
              <w:rPr>
                <w:i/>
                <w:iCs/>
                <w:sz w:val="23"/>
                <w:szCs w:val="23"/>
                <w:lang w:val="fr-FR"/>
              </w:rPr>
              <w:t>GEF-6</w:t>
            </w:r>
          </w:p>
        </w:tc>
        <w:tc>
          <w:tcPr>
            <w:tcW w:w="1701" w:type="dxa"/>
          </w:tcPr>
          <w:p w14:paraId="04F252E3" w14:textId="77777777" w:rsidR="00FA2137" w:rsidRPr="0049796C" w:rsidRDefault="00FA2137" w:rsidP="00555AEE">
            <w:pPr>
              <w:spacing w:before="120" w:after="120"/>
              <w:jc w:val="center"/>
              <w:rPr>
                <w:i/>
                <w:iCs/>
                <w:sz w:val="23"/>
                <w:szCs w:val="23"/>
                <w:lang w:val="fr-FR"/>
              </w:rPr>
            </w:pPr>
            <w:r w:rsidRPr="0049796C">
              <w:rPr>
                <w:i/>
                <w:iCs/>
                <w:sz w:val="23"/>
                <w:szCs w:val="23"/>
                <w:lang w:val="fr-FR"/>
              </w:rPr>
              <w:t>GEF-7</w:t>
            </w:r>
          </w:p>
        </w:tc>
        <w:tc>
          <w:tcPr>
            <w:tcW w:w="1700" w:type="dxa"/>
          </w:tcPr>
          <w:p w14:paraId="5F628024" w14:textId="77777777" w:rsidR="00FA2137" w:rsidRPr="0049796C" w:rsidRDefault="00FA2137" w:rsidP="00555AEE">
            <w:pPr>
              <w:spacing w:before="120" w:after="120"/>
              <w:jc w:val="center"/>
              <w:rPr>
                <w:i/>
                <w:iCs/>
                <w:sz w:val="23"/>
                <w:szCs w:val="23"/>
                <w:lang w:val="fr-FR"/>
              </w:rPr>
            </w:pPr>
            <w:r w:rsidRPr="0049796C">
              <w:rPr>
                <w:i/>
                <w:iCs/>
                <w:sz w:val="23"/>
                <w:szCs w:val="23"/>
                <w:lang w:val="fr-FR"/>
              </w:rPr>
              <w:t>GEF-8</w:t>
            </w:r>
          </w:p>
        </w:tc>
      </w:tr>
      <w:tr w:rsidR="00FA2137" w:rsidRPr="0049796C" w14:paraId="0A488514" w14:textId="77777777" w:rsidTr="008D3670">
        <w:tc>
          <w:tcPr>
            <w:tcW w:w="4106" w:type="dxa"/>
          </w:tcPr>
          <w:p w14:paraId="455092B8" w14:textId="7CD86934" w:rsidR="00FA2137" w:rsidRPr="0049796C" w:rsidRDefault="00DA52D7" w:rsidP="00555AEE">
            <w:pPr>
              <w:spacing w:before="120" w:after="120"/>
              <w:rPr>
                <w:b/>
                <w:bCs/>
                <w:sz w:val="23"/>
                <w:szCs w:val="23"/>
                <w:lang w:val="fr-FR"/>
              </w:rPr>
            </w:pPr>
            <w:r>
              <w:rPr>
                <w:b/>
                <w:bCs/>
                <w:sz w:val="23"/>
                <w:szCs w:val="23"/>
                <w:lang w:val="fr-FR"/>
              </w:rPr>
              <w:t xml:space="preserve">Taux de cofinancement global </w:t>
            </w:r>
            <w:r w:rsidR="00FA2137" w:rsidRPr="0049796C">
              <w:rPr>
                <w:b/>
                <w:bCs/>
                <w:sz w:val="23"/>
                <w:szCs w:val="23"/>
                <w:lang w:val="fr-FR"/>
              </w:rPr>
              <w:t>(</w:t>
            </w:r>
            <w:proofErr w:type="gramStart"/>
            <w:r w:rsidR="00FA2137" w:rsidRPr="0049796C">
              <w:rPr>
                <w:b/>
                <w:bCs/>
                <w:sz w:val="23"/>
                <w:szCs w:val="23"/>
                <w:lang w:val="fr-FR"/>
              </w:rPr>
              <w:t>X:</w:t>
            </w:r>
            <w:proofErr w:type="gramEnd"/>
            <w:r w:rsidR="00FA2137" w:rsidRPr="0049796C">
              <w:rPr>
                <w:b/>
                <w:bCs/>
                <w:sz w:val="23"/>
                <w:szCs w:val="23"/>
                <w:lang w:val="fr-FR"/>
              </w:rPr>
              <w:t xml:space="preserve">1) </w:t>
            </w:r>
          </w:p>
        </w:tc>
        <w:tc>
          <w:tcPr>
            <w:tcW w:w="1843" w:type="dxa"/>
          </w:tcPr>
          <w:p w14:paraId="3F198871" w14:textId="77777777" w:rsidR="00FA2137" w:rsidRPr="0049796C" w:rsidRDefault="00FA2137" w:rsidP="00555AEE">
            <w:pPr>
              <w:spacing w:before="120" w:after="120"/>
              <w:ind w:right="790"/>
              <w:jc w:val="right"/>
              <w:rPr>
                <w:sz w:val="23"/>
                <w:szCs w:val="23"/>
                <w:lang w:val="fr-FR"/>
              </w:rPr>
            </w:pPr>
            <w:r w:rsidRPr="0049796C">
              <w:rPr>
                <w:sz w:val="23"/>
                <w:szCs w:val="23"/>
                <w:lang w:val="fr-FR"/>
              </w:rPr>
              <w:t>7.7</w:t>
            </w:r>
          </w:p>
        </w:tc>
        <w:tc>
          <w:tcPr>
            <w:tcW w:w="1701" w:type="dxa"/>
          </w:tcPr>
          <w:p w14:paraId="51942A98" w14:textId="77777777" w:rsidR="00FA2137" w:rsidRPr="0049796C" w:rsidRDefault="00FA2137" w:rsidP="00555AEE">
            <w:pPr>
              <w:spacing w:before="120" w:after="120"/>
              <w:ind w:right="790"/>
              <w:jc w:val="right"/>
              <w:rPr>
                <w:sz w:val="23"/>
                <w:szCs w:val="23"/>
                <w:lang w:val="fr-FR"/>
              </w:rPr>
            </w:pPr>
            <w:r w:rsidRPr="0049796C">
              <w:rPr>
                <w:sz w:val="23"/>
                <w:szCs w:val="23"/>
                <w:lang w:val="fr-FR"/>
              </w:rPr>
              <w:t>7.4</w:t>
            </w:r>
          </w:p>
        </w:tc>
        <w:tc>
          <w:tcPr>
            <w:tcW w:w="1700" w:type="dxa"/>
          </w:tcPr>
          <w:p w14:paraId="3C32F75D" w14:textId="77777777" w:rsidR="00FA2137" w:rsidRPr="0049796C" w:rsidRDefault="00FA2137" w:rsidP="00555AEE">
            <w:pPr>
              <w:spacing w:before="120" w:after="120"/>
              <w:ind w:right="790"/>
              <w:jc w:val="right"/>
              <w:rPr>
                <w:sz w:val="23"/>
                <w:szCs w:val="23"/>
                <w:lang w:val="fr-FR"/>
              </w:rPr>
            </w:pPr>
            <w:r w:rsidRPr="0049796C">
              <w:rPr>
                <w:sz w:val="23"/>
                <w:szCs w:val="23"/>
                <w:lang w:val="fr-FR"/>
              </w:rPr>
              <w:t>8.3</w:t>
            </w:r>
          </w:p>
        </w:tc>
      </w:tr>
      <w:tr w:rsidR="00FA2137" w:rsidRPr="0049796C" w14:paraId="1B09CE92" w14:textId="77777777" w:rsidTr="008D3670">
        <w:tc>
          <w:tcPr>
            <w:tcW w:w="4106" w:type="dxa"/>
          </w:tcPr>
          <w:p w14:paraId="1B25FF06" w14:textId="11F264E6" w:rsidR="00FA2137" w:rsidRPr="0049796C" w:rsidRDefault="008D3670" w:rsidP="00555AEE">
            <w:pPr>
              <w:spacing w:before="120" w:after="120"/>
              <w:rPr>
                <w:b/>
                <w:bCs/>
                <w:sz w:val="23"/>
                <w:szCs w:val="23"/>
                <w:lang w:val="fr-FR"/>
              </w:rPr>
            </w:pPr>
            <w:r w:rsidRPr="008D3670">
              <w:rPr>
                <w:b/>
                <w:bCs/>
                <w:sz w:val="23"/>
                <w:szCs w:val="23"/>
                <w:lang w:val="fr-FR"/>
              </w:rPr>
              <w:t>Taux de cofinancement pour le domaine d</w:t>
            </w:r>
            <w:r w:rsidR="00713487">
              <w:rPr>
                <w:b/>
                <w:bCs/>
                <w:sz w:val="23"/>
                <w:szCs w:val="23"/>
                <w:lang w:val="fr-FR"/>
              </w:rPr>
              <w:t>’</w:t>
            </w:r>
            <w:r w:rsidRPr="008D3670">
              <w:rPr>
                <w:b/>
                <w:bCs/>
                <w:sz w:val="23"/>
                <w:szCs w:val="23"/>
                <w:lang w:val="fr-FR"/>
              </w:rPr>
              <w:t>intervention «</w:t>
            </w:r>
            <w:r>
              <w:rPr>
                <w:b/>
                <w:bCs/>
                <w:sz w:val="23"/>
                <w:szCs w:val="23"/>
                <w:lang w:val="fr-FR"/>
              </w:rPr>
              <w:t> </w:t>
            </w:r>
            <w:r w:rsidRPr="008D3670">
              <w:rPr>
                <w:b/>
                <w:bCs/>
                <w:sz w:val="23"/>
                <w:szCs w:val="23"/>
                <w:lang w:val="fr-FR"/>
              </w:rPr>
              <w:t>biodiversité</w:t>
            </w:r>
            <w:r>
              <w:rPr>
                <w:b/>
                <w:bCs/>
                <w:sz w:val="23"/>
                <w:szCs w:val="23"/>
                <w:lang w:val="fr-FR"/>
              </w:rPr>
              <w:t> »</w:t>
            </w:r>
          </w:p>
        </w:tc>
        <w:tc>
          <w:tcPr>
            <w:tcW w:w="1843" w:type="dxa"/>
          </w:tcPr>
          <w:p w14:paraId="1BB549D8" w14:textId="77777777" w:rsidR="00FA2137" w:rsidRPr="0049796C" w:rsidRDefault="00FA2137" w:rsidP="00555AEE">
            <w:pPr>
              <w:spacing w:before="120" w:after="120"/>
              <w:ind w:right="790"/>
              <w:jc w:val="right"/>
              <w:rPr>
                <w:sz w:val="23"/>
                <w:szCs w:val="23"/>
                <w:lang w:val="fr-FR"/>
              </w:rPr>
            </w:pPr>
            <w:r w:rsidRPr="0049796C">
              <w:rPr>
                <w:sz w:val="23"/>
                <w:szCs w:val="23"/>
                <w:lang w:val="fr-FR"/>
              </w:rPr>
              <w:t>6.3</w:t>
            </w:r>
          </w:p>
        </w:tc>
        <w:tc>
          <w:tcPr>
            <w:tcW w:w="1701" w:type="dxa"/>
          </w:tcPr>
          <w:p w14:paraId="14DEB3F2" w14:textId="77777777" w:rsidR="00FA2137" w:rsidRPr="0049796C" w:rsidRDefault="00FA2137" w:rsidP="00555AEE">
            <w:pPr>
              <w:spacing w:before="120" w:after="120"/>
              <w:ind w:right="790"/>
              <w:jc w:val="right"/>
              <w:rPr>
                <w:sz w:val="23"/>
                <w:szCs w:val="23"/>
                <w:lang w:val="fr-FR"/>
              </w:rPr>
            </w:pPr>
            <w:r w:rsidRPr="0049796C">
              <w:rPr>
                <w:sz w:val="23"/>
                <w:szCs w:val="23"/>
                <w:lang w:val="fr-FR"/>
              </w:rPr>
              <w:t>7.9</w:t>
            </w:r>
          </w:p>
        </w:tc>
        <w:tc>
          <w:tcPr>
            <w:tcW w:w="1700" w:type="dxa"/>
          </w:tcPr>
          <w:p w14:paraId="3EAA018A" w14:textId="77777777" w:rsidR="00FA2137" w:rsidRPr="0049796C" w:rsidRDefault="00FA2137" w:rsidP="00555AEE">
            <w:pPr>
              <w:spacing w:before="120" w:after="120"/>
              <w:ind w:right="790"/>
              <w:jc w:val="right"/>
              <w:rPr>
                <w:sz w:val="23"/>
                <w:szCs w:val="23"/>
                <w:lang w:val="fr-FR"/>
              </w:rPr>
            </w:pPr>
            <w:r w:rsidRPr="0049796C">
              <w:rPr>
                <w:sz w:val="23"/>
                <w:szCs w:val="23"/>
                <w:lang w:val="fr-FR"/>
              </w:rPr>
              <w:t>8.2</w:t>
            </w:r>
          </w:p>
        </w:tc>
      </w:tr>
    </w:tbl>
    <w:p w14:paraId="62467CCC" w14:textId="34E72CE4" w:rsidR="00FA2137" w:rsidRPr="0049796C" w:rsidRDefault="00FA2137" w:rsidP="00555AEE">
      <w:pPr>
        <w:spacing w:before="120" w:after="120"/>
        <w:rPr>
          <w:i/>
          <w:iCs/>
          <w:sz w:val="23"/>
          <w:szCs w:val="23"/>
          <w:lang w:val="fr-FR"/>
        </w:rPr>
      </w:pPr>
      <w:r w:rsidRPr="0049796C">
        <w:rPr>
          <w:i/>
          <w:iCs/>
          <w:sz w:val="23"/>
          <w:szCs w:val="23"/>
          <w:lang w:val="fr-FR"/>
        </w:rPr>
        <w:t>Source</w:t>
      </w:r>
      <w:r w:rsidR="00D54C99">
        <w:rPr>
          <w:i/>
          <w:iCs/>
          <w:sz w:val="23"/>
          <w:szCs w:val="23"/>
          <w:lang w:val="fr-FR"/>
        </w:rPr>
        <w:t> :</w:t>
      </w:r>
      <w:r w:rsidRPr="0049796C">
        <w:rPr>
          <w:i/>
          <w:iCs/>
          <w:sz w:val="23"/>
          <w:szCs w:val="23"/>
          <w:lang w:val="fr-FR"/>
        </w:rPr>
        <w:t xml:space="preserve"> </w:t>
      </w:r>
      <w:r w:rsidR="00C21B2B">
        <w:rPr>
          <w:i/>
          <w:iCs/>
          <w:sz w:val="23"/>
          <w:szCs w:val="23"/>
          <w:lang w:val="fr-FR"/>
        </w:rPr>
        <w:t>p</w:t>
      </w:r>
      <w:r w:rsidR="00A36D64" w:rsidRPr="00A36D64">
        <w:rPr>
          <w:i/>
          <w:iCs/>
          <w:sz w:val="23"/>
          <w:szCs w:val="23"/>
          <w:lang w:val="fr-FR"/>
        </w:rPr>
        <w:t xml:space="preserve">ortail du FEM en date du </w:t>
      </w:r>
      <w:r w:rsidRPr="0049796C">
        <w:rPr>
          <w:i/>
          <w:iCs/>
          <w:sz w:val="23"/>
          <w:szCs w:val="23"/>
          <w:lang w:val="fr-FR"/>
        </w:rPr>
        <w:t xml:space="preserve">24 </w:t>
      </w:r>
      <w:r w:rsidR="00A36D64">
        <w:rPr>
          <w:i/>
          <w:iCs/>
          <w:sz w:val="23"/>
          <w:szCs w:val="23"/>
          <w:lang w:val="fr-FR"/>
        </w:rPr>
        <w:t>juin</w:t>
      </w:r>
      <w:r w:rsidRPr="0049796C">
        <w:rPr>
          <w:i/>
          <w:iCs/>
          <w:sz w:val="23"/>
          <w:szCs w:val="23"/>
          <w:lang w:val="fr-FR"/>
        </w:rPr>
        <w:t xml:space="preserve"> 2024</w:t>
      </w:r>
    </w:p>
    <w:p w14:paraId="452E7C12" w14:textId="3D7993AA" w:rsidR="00FA2137" w:rsidRPr="0049796C" w:rsidRDefault="00AF62B4" w:rsidP="00362D98">
      <w:pPr>
        <w:pStyle w:val="CBDNormalNumber"/>
        <w:numPr>
          <w:ilvl w:val="0"/>
          <w:numId w:val="9"/>
        </w:numPr>
        <w:rPr>
          <w:sz w:val="23"/>
          <w:szCs w:val="23"/>
          <w:lang w:val="fr-FR"/>
        </w:rPr>
      </w:pPr>
      <w:r w:rsidRPr="00AF62B4">
        <w:rPr>
          <w:sz w:val="23"/>
          <w:szCs w:val="23"/>
          <w:lang w:val="fr-FR"/>
        </w:rPr>
        <w:t>23.</w:t>
      </w:r>
      <w:r w:rsidRPr="00AF62B4">
        <w:rPr>
          <w:sz w:val="23"/>
          <w:szCs w:val="23"/>
          <w:lang w:val="fr-FR"/>
        </w:rPr>
        <w:tab/>
        <w:t>Le FEM joue un rôle crucial dans l</w:t>
      </w:r>
      <w:r w:rsidR="00713487">
        <w:rPr>
          <w:sz w:val="23"/>
          <w:szCs w:val="23"/>
          <w:lang w:val="fr-FR"/>
        </w:rPr>
        <w:t>’</w:t>
      </w:r>
      <w:r w:rsidRPr="00AF62B4">
        <w:rPr>
          <w:sz w:val="23"/>
          <w:szCs w:val="23"/>
          <w:lang w:val="fr-FR"/>
        </w:rPr>
        <w:t>élaboration de la voie à suivre pour atteindre la cible 19 du Cadre mondial pour la biodiversité en termes de mobilisation des ressources. En particulier, l</w:t>
      </w:r>
      <w:r w:rsidR="00713487">
        <w:rPr>
          <w:sz w:val="23"/>
          <w:szCs w:val="23"/>
          <w:lang w:val="fr-FR"/>
        </w:rPr>
        <w:t>’</w:t>
      </w:r>
      <w:r w:rsidRPr="00AF62B4">
        <w:rPr>
          <w:sz w:val="23"/>
          <w:szCs w:val="23"/>
          <w:lang w:val="fr-FR"/>
        </w:rPr>
        <w:t>objectif trois de la stratégie du domaine d</w:t>
      </w:r>
      <w:r w:rsidR="00713487">
        <w:rPr>
          <w:sz w:val="23"/>
          <w:szCs w:val="23"/>
          <w:lang w:val="fr-FR"/>
        </w:rPr>
        <w:t>’</w:t>
      </w:r>
      <w:r w:rsidRPr="00AF62B4">
        <w:rPr>
          <w:sz w:val="23"/>
          <w:szCs w:val="23"/>
          <w:lang w:val="fr-FR"/>
        </w:rPr>
        <w:t>intervention Biodiversité du FEM-8 vise à accroître la mobilisation des ressources nationales en faveur de la biodiversité et aide les pays à élaborer des plans de financement de la biodiversité, et le quatrième domaine d</w:t>
      </w:r>
      <w:r w:rsidR="00713487">
        <w:rPr>
          <w:sz w:val="23"/>
          <w:szCs w:val="23"/>
          <w:lang w:val="fr-FR"/>
        </w:rPr>
        <w:t>’</w:t>
      </w:r>
      <w:r w:rsidRPr="00AF62B4">
        <w:rPr>
          <w:sz w:val="23"/>
          <w:szCs w:val="23"/>
          <w:lang w:val="fr-FR"/>
        </w:rPr>
        <w:t>intervention du Fonds du FEM, qui porte notamment sur la cible 19, vise, entre autres, à catalyser et à diversifier les sources de financement. Cependant, au 8 février 2024, seuls des pays ont contribué au Fonds du FEM, ce qui met en évidence le besoin continu de catalyser des sources nouvelles et supplémentaires de financement pour la biodiversité. En outre, malgré une contribution encourageante d</w:t>
      </w:r>
      <w:r w:rsidR="00713487">
        <w:rPr>
          <w:sz w:val="23"/>
          <w:szCs w:val="23"/>
          <w:lang w:val="fr-FR"/>
        </w:rPr>
        <w:t>’</w:t>
      </w:r>
      <w:r w:rsidRPr="00AF62B4">
        <w:rPr>
          <w:sz w:val="23"/>
          <w:szCs w:val="23"/>
          <w:lang w:val="fr-FR"/>
        </w:rPr>
        <w:t>un donateur (le Canada) en août 2023, les autres contributions ont été peu nombreuses et généralement faibles</w:t>
      </w:r>
      <w:r w:rsidR="00994FB7" w:rsidRPr="0049796C">
        <w:rPr>
          <w:sz w:val="23"/>
          <w:szCs w:val="23"/>
          <w:lang w:val="fr-FR"/>
        </w:rPr>
        <w:t>.</w:t>
      </w:r>
    </w:p>
    <w:p w14:paraId="235A8FD7" w14:textId="6CB47E50" w:rsidR="00FA2137" w:rsidRPr="0049796C" w:rsidRDefault="00992E1D" w:rsidP="00555AEE">
      <w:pPr>
        <w:pStyle w:val="Heading2"/>
        <w:rPr>
          <w:rFonts w:ascii="Times New Roman" w:hAnsi="Times New Roman"/>
          <w:lang w:val="fr-FR"/>
        </w:rPr>
      </w:pPr>
      <w:r w:rsidRPr="00992E1D">
        <w:rPr>
          <w:rFonts w:ascii="Times New Roman" w:hAnsi="Times New Roman"/>
          <w:lang w:val="fr-FR"/>
        </w:rPr>
        <w:lastRenderedPageBreak/>
        <w:t>Efficacité et efficience des activités financées par le FEM</w:t>
      </w:r>
      <w:r w:rsidR="00FA2137" w:rsidRPr="0049796C">
        <w:rPr>
          <w:rFonts w:ascii="Times New Roman" w:hAnsi="Times New Roman"/>
          <w:lang w:val="fr-FR"/>
        </w:rPr>
        <w:t xml:space="preserve"> </w:t>
      </w:r>
    </w:p>
    <w:p w14:paraId="644CE1A7" w14:textId="158E8842" w:rsidR="00FA2137" w:rsidRPr="0049796C" w:rsidRDefault="00992E1D" w:rsidP="00555AEE">
      <w:pPr>
        <w:pStyle w:val="Heading3"/>
        <w:rPr>
          <w:i/>
          <w:lang w:val="fr-FR"/>
        </w:rPr>
      </w:pPr>
      <w:r w:rsidRPr="00992E1D">
        <w:rPr>
          <w:lang w:val="fr-FR"/>
        </w:rPr>
        <w:t>Renforcer les mesures nationales de mise en œuvre</w:t>
      </w:r>
    </w:p>
    <w:p w14:paraId="7479A67F" w14:textId="7F7CBBC6" w:rsidR="00FA2137" w:rsidRPr="0049796C" w:rsidRDefault="0075465D" w:rsidP="00362D98">
      <w:pPr>
        <w:pStyle w:val="CBDNormalNumber"/>
        <w:numPr>
          <w:ilvl w:val="0"/>
          <w:numId w:val="9"/>
        </w:numPr>
        <w:rPr>
          <w:sz w:val="23"/>
          <w:szCs w:val="23"/>
          <w:lang w:val="fr-FR"/>
        </w:rPr>
      </w:pPr>
      <w:r w:rsidRPr="0075465D">
        <w:rPr>
          <w:sz w:val="23"/>
          <w:szCs w:val="23"/>
          <w:lang w:val="fr-FR"/>
        </w:rPr>
        <w:t>D</w:t>
      </w:r>
      <w:r w:rsidR="00713487">
        <w:rPr>
          <w:sz w:val="23"/>
          <w:szCs w:val="23"/>
          <w:lang w:val="fr-FR"/>
        </w:rPr>
        <w:t>’</w:t>
      </w:r>
      <w:r w:rsidRPr="0075465D">
        <w:rPr>
          <w:sz w:val="23"/>
          <w:szCs w:val="23"/>
          <w:lang w:val="fr-FR"/>
        </w:rPr>
        <w:t>une manière générale, le FEM est efficace pour catalyser et renforcer les mesures nationales d</w:t>
      </w:r>
      <w:r w:rsidR="00713487">
        <w:rPr>
          <w:sz w:val="23"/>
          <w:szCs w:val="23"/>
          <w:lang w:val="fr-FR"/>
        </w:rPr>
        <w:t>’</w:t>
      </w:r>
      <w:r w:rsidRPr="0075465D">
        <w:rPr>
          <w:sz w:val="23"/>
          <w:szCs w:val="23"/>
          <w:lang w:val="fr-FR"/>
        </w:rPr>
        <w:t>application en vue de la réalisation des objectifs de la Convention. Les indicateurs du FEM-7 sont plus ambitieux dans divers secteurs de la préservation de la biodiversité et de l</w:t>
      </w:r>
      <w:r w:rsidR="00713487">
        <w:rPr>
          <w:sz w:val="23"/>
          <w:szCs w:val="23"/>
          <w:lang w:val="fr-FR"/>
        </w:rPr>
        <w:t>’</w:t>
      </w:r>
      <w:r w:rsidRPr="0075465D">
        <w:rPr>
          <w:sz w:val="23"/>
          <w:szCs w:val="23"/>
          <w:lang w:val="fr-FR"/>
        </w:rPr>
        <w:t>utilisation durable des ressources, sauf en ce qui concerne les pêcheries surexploitées à l</w:t>
      </w:r>
      <w:r w:rsidR="00713487">
        <w:rPr>
          <w:sz w:val="23"/>
          <w:szCs w:val="23"/>
          <w:lang w:val="fr-FR"/>
        </w:rPr>
        <w:t>’</w:t>
      </w:r>
      <w:r w:rsidRPr="0075465D">
        <w:rPr>
          <w:sz w:val="23"/>
          <w:szCs w:val="23"/>
          <w:lang w:val="fr-FR"/>
        </w:rPr>
        <w:t>échelle mondiale, dont la cible a été réduite à 13 % par rapport à la cible précédente de 20 %. Pour le FEM-8, à mi-parcours, les cibles relatives aux indicateurs de base tels que la création ou l</w:t>
      </w:r>
      <w:r w:rsidR="00713487">
        <w:rPr>
          <w:sz w:val="23"/>
          <w:szCs w:val="23"/>
          <w:lang w:val="fr-FR"/>
        </w:rPr>
        <w:t>’</w:t>
      </w:r>
      <w:r w:rsidRPr="0075465D">
        <w:rPr>
          <w:sz w:val="23"/>
          <w:szCs w:val="23"/>
          <w:lang w:val="fr-FR"/>
        </w:rPr>
        <w:t>amélioration de la gestion des aires marines protégées ont été atteintes, tandis que d</w:t>
      </w:r>
      <w:r w:rsidR="00713487">
        <w:rPr>
          <w:sz w:val="23"/>
          <w:szCs w:val="23"/>
          <w:lang w:val="fr-FR"/>
        </w:rPr>
        <w:t>’</w:t>
      </w:r>
      <w:r w:rsidRPr="0075465D">
        <w:rPr>
          <w:sz w:val="23"/>
          <w:szCs w:val="23"/>
          <w:lang w:val="fr-FR"/>
        </w:rPr>
        <w:t>autres cibles, telles que les émissions de gaz à effet de serre atténuées et les superficies de terres et d</w:t>
      </w:r>
      <w:r w:rsidR="00713487">
        <w:rPr>
          <w:sz w:val="23"/>
          <w:szCs w:val="23"/>
          <w:lang w:val="fr-FR"/>
        </w:rPr>
        <w:t>’</w:t>
      </w:r>
      <w:r w:rsidRPr="0075465D">
        <w:rPr>
          <w:sz w:val="23"/>
          <w:szCs w:val="23"/>
          <w:lang w:val="fr-FR"/>
        </w:rPr>
        <w:t>écosystèmes en cours de restauration, sont proches de l</w:t>
      </w:r>
      <w:r w:rsidR="00713487">
        <w:rPr>
          <w:sz w:val="23"/>
          <w:szCs w:val="23"/>
          <w:lang w:val="fr-FR"/>
        </w:rPr>
        <w:t>’</w:t>
      </w:r>
      <w:r w:rsidRPr="0075465D">
        <w:rPr>
          <w:sz w:val="23"/>
          <w:szCs w:val="23"/>
          <w:lang w:val="fr-FR"/>
        </w:rPr>
        <w:t>achèvement</w:t>
      </w:r>
      <w:r w:rsidR="00FA2137" w:rsidRPr="0049796C">
        <w:rPr>
          <w:sz w:val="23"/>
          <w:szCs w:val="23"/>
          <w:lang w:val="fr-FR"/>
        </w:rPr>
        <w:t>.</w:t>
      </w:r>
    </w:p>
    <w:p w14:paraId="79F54660" w14:textId="1285F003" w:rsidR="00FA2137" w:rsidRPr="0049796C" w:rsidRDefault="00125C30" w:rsidP="00362D98">
      <w:pPr>
        <w:pStyle w:val="CBDNormalNumber"/>
        <w:numPr>
          <w:ilvl w:val="0"/>
          <w:numId w:val="9"/>
        </w:numPr>
        <w:rPr>
          <w:sz w:val="23"/>
          <w:szCs w:val="23"/>
          <w:lang w:val="fr-FR"/>
        </w:rPr>
      </w:pPr>
      <w:r w:rsidRPr="00125C30">
        <w:rPr>
          <w:sz w:val="23"/>
          <w:szCs w:val="23"/>
          <w:lang w:val="fr-FR"/>
        </w:rPr>
        <w:t>Toutefois, des améliorations sont possibles en ce qui concerne le renforcement des capacités locales et des infrastructures des petits États insulaires en développement et des PMA pour assurer la viabilité à long terme des projets. Pour les PMA, 72 % des projets ont été jugés satisfaisants en termes de conclusions, soit moins que les 80 % du portefeuille global du FEM. 46 % des projets dans les PMA ont été classés dans la catégorie des projets susceptibles d</w:t>
      </w:r>
      <w:r w:rsidR="00713487">
        <w:rPr>
          <w:sz w:val="23"/>
          <w:szCs w:val="23"/>
          <w:lang w:val="fr-FR"/>
        </w:rPr>
        <w:t>’</w:t>
      </w:r>
      <w:r w:rsidRPr="00125C30">
        <w:rPr>
          <w:sz w:val="23"/>
          <w:szCs w:val="23"/>
          <w:lang w:val="fr-FR"/>
        </w:rPr>
        <w:t>avoir des conclusions durables, ce qui est inférieur au pourcentage de 63 % enregistré pour l</w:t>
      </w:r>
      <w:r w:rsidR="00713487">
        <w:rPr>
          <w:sz w:val="23"/>
          <w:szCs w:val="23"/>
          <w:lang w:val="fr-FR"/>
        </w:rPr>
        <w:t>’</w:t>
      </w:r>
      <w:r w:rsidRPr="00125C30">
        <w:rPr>
          <w:sz w:val="23"/>
          <w:szCs w:val="23"/>
          <w:lang w:val="fr-FR"/>
        </w:rPr>
        <w:t>ensemble du portefeuille du FEM. Ces ratios inférieurs à la moyenne sont préoccupants compte tenu de l</w:t>
      </w:r>
      <w:r w:rsidR="00713487">
        <w:rPr>
          <w:sz w:val="23"/>
          <w:szCs w:val="23"/>
          <w:lang w:val="fr-FR"/>
        </w:rPr>
        <w:t>’</w:t>
      </w:r>
      <w:r w:rsidRPr="00125C30">
        <w:rPr>
          <w:sz w:val="23"/>
          <w:szCs w:val="23"/>
          <w:lang w:val="fr-FR"/>
        </w:rPr>
        <w:t>engagement long et intensif du FEM dans les PMA et de l</w:t>
      </w:r>
      <w:r w:rsidR="00713487">
        <w:rPr>
          <w:sz w:val="23"/>
          <w:szCs w:val="23"/>
          <w:lang w:val="fr-FR"/>
        </w:rPr>
        <w:t>’</w:t>
      </w:r>
      <w:r w:rsidRPr="00125C30">
        <w:rPr>
          <w:sz w:val="23"/>
          <w:szCs w:val="23"/>
          <w:lang w:val="fr-FR"/>
        </w:rPr>
        <w:t>importance de nombre d</w:t>
      </w:r>
      <w:r w:rsidR="00713487">
        <w:rPr>
          <w:sz w:val="23"/>
          <w:szCs w:val="23"/>
          <w:lang w:val="fr-FR"/>
        </w:rPr>
        <w:t>’</w:t>
      </w:r>
      <w:r w:rsidRPr="00125C30">
        <w:rPr>
          <w:sz w:val="23"/>
          <w:szCs w:val="23"/>
          <w:lang w:val="fr-FR"/>
        </w:rPr>
        <w:t>entre eux en tant que points chauds de la biodiversité. Pour les petits états insulaires, en 2018, 61,40 % des 44 projets de biodiversité ont obtenu des notes probables en matière de durabilité et 81,80 % ont eu une conclusion satisfaisante.</w:t>
      </w:r>
    </w:p>
    <w:p w14:paraId="5199D4F9" w14:textId="692836A1" w:rsidR="00FA2137" w:rsidRPr="0049796C" w:rsidRDefault="00BC5905" w:rsidP="00362D98">
      <w:pPr>
        <w:pStyle w:val="CBDNormalNumber"/>
        <w:numPr>
          <w:ilvl w:val="0"/>
          <w:numId w:val="9"/>
        </w:numPr>
        <w:rPr>
          <w:sz w:val="23"/>
          <w:szCs w:val="23"/>
          <w:lang w:val="fr-FR"/>
        </w:rPr>
      </w:pPr>
      <w:r w:rsidRPr="00BC5905">
        <w:rPr>
          <w:sz w:val="23"/>
          <w:szCs w:val="23"/>
          <w:lang w:val="fr-FR"/>
        </w:rPr>
        <w:t>Il se dégage un soutien croissant en faveur de l</w:t>
      </w:r>
      <w:r w:rsidR="00713487">
        <w:rPr>
          <w:sz w:val="23"/>
          <w:szCs w:val="23"/>
          <w:lang w:val="fr-FR"/>
        </w:rPr>
        <w:t>’</w:t>
      </w:r>
      <w:r w:rsidRPr="00BC5905">
        <w:rPr>
          <w:sz w:val="23"/>
          <w:szCs w:val="23"/>
          <w:lang w:val="fr-FR"/>
        </w:rPr>
        <w:t>amélioration de l</w:t>
      </w:r>
      <w:r w:rsidR="00713487">
        <w:rPr>
          <w:sz w:val="23"/>
          <w:szCs w:val="23"/>
          <w:lang w:val="fr-FR"/>
        </w:rPr>
        <w:t>’</w:t>
      </w:r>
      <w:r w:rsidRPr="00BC5905">
        <w:rPr>
          <w:sz w:val="23"/>
          <w:szCs w:val="23"/>
          <w:lang w:val="fr-FR"/>
        </w:rPr>
        <w:t>accès direct aux ressources, en particulier pour les peuples autochtones et les communautés locales, afin d</w:t>
      </w:r>
      <w:r w:rsidR="00713487">
        <w:rPr>
          <w:sz w:val="23"/>
          <w:szCs w:val="23"/>
          <w:lang w:val="fr-FR"/>
        </w:rPr>
        <w:t>’</w:t>
      </w:r>
      <w:r w:rsidRPr="00BC5905">
        <w:rPr>
          <w:sz w:val="23"/>
          <w:szCs w:val="23"/>
          <w:lang w:val="fr-FR"/>
        </w:rPr>
        <w:t>améliorer les résultats de la politique en matière de biodiversité. Le programme de petites subventions du PNUD soutient cette proposition. Les fonds récemment créés, tels que le fonds du FEM, le GCF et le fonds de la CCNUCC pour la réponse aux pertes et dommages, mettent davantage l</w:t>
      </w:r>
      <w:r w:rsidR="00713487">
        <w:rPr>
          <w:sz w:val="23"/>
          <w:szCs w:val="23"/>
          <w:lang w:val="fr-FR"/>
        </w:rPr>
        <w:t>’</w:t>
      </w:r>
      <w:r w:rsidRPr="00BC5905">
        <w:rPr>
          <w:sz w:val="23"/>
          <w:szCs w:val="23"/>
          <w:lang w:val="fr-FR"/>
        </w:rPr>
        <w:t>accent sur l</w:t>
      </w:r>
      <w:r w:rsidR="00713487">
        <w:rPr>
          <w:sz w:val="23"/>
          <w:szCs w:val="23"/>
          <w:lang w:val="fr-FR"/>
        </w:rPr>
        <w:t>’</w:t>
      </w:r>
      <w:r w:rsidRPr="00BC5905">
        <w:rPr>
          <w:sz w:val="23"/>
          <w:szCs w:val="23"/>
          <w:lang w:val="fr-FR"/>
        </w:rPr>
        <w:t xml:space="preserve">accès intentionnel ou direct que les fonds antérieurs. Le </w:t>
      </w:r>
      <w:r w:rsidR="00D852B1">
        <w:rPr>
          <w:sz w:val="23"/>
          <w:szCs w:val="23"/>
          <w:lang w:val="fr-FR"/>
        </w:rPr>
        <w:t>Secrét</w:t>
      </w:r>
      <w:r w:rsidRPr="00BC5905">
        <w:rPr>
          <w:sz w:val="23"/>
          <w:szCs w:val="23"/>
          <w:lang w:val="fr-FR"/>
        </w:rPr>
        <w:t>ariat du FEM, qui coordonne la formulation et supervise la mise en œuvre des activités du programme conformément au programme de travail conjoint, et les Agents d</w:t>
      </w:r>
      <w:r w:rsidR="00713487">
        <w:rPr>
          <w:sz w:val="23"/>
          <w:szCs w:val="23"/>
          <w:lang w:val="fr-FR"/>
        </w:rPr>
        <w:t>’</w:t>
      </w:r>
      <w:r w:rsidRPr="00BC5905">
        <w:rPr>
          <w:sz w:val="23"/>
          <w:szCs w:val="23"/>
          <w:lang w:val="fr-FR"/>
        </w:rPr>
        <w:t>exécution du FEM, qui aident les pays à identifier et à préparer les propositions de projets et supervisent ensuite l</w:t>
      </w:r>
      <w:r w:rsidR="00713487">
        <w:rPr>
          <w:sz w:val="23"/>
          <w:szCs w:val="23"/>
          <w:lang w:val="fr-FR"/>
        </w:rPr>
        <w:t>’</w:t>
      </w:r>
      <w:r w:rsidRPr="00BC5905">
        <w:rPr>
          <w:sz w:val="23"/>
          <w:szCs w:val="23"/>
          <w:lang w:val="fr-FR"/>
        </w:rPr>
        <w:t>exécution des projets sur le terrain, jouent un rôle important dans la détermination de l</w:t>
      </w:r>
      <w:r w:rsidR="00713487">
        <w:rPr>
          <w:sz w:val="23"/>
          <w:szCs w:val="23"/>
          <w:lang w:val="fr-FR"/>
        </w:rPr>
        <w:t>’</w:t>
      </w:r>
      <w:r w:rsidRPr="00BC5905">
        <w:rPr>
          <w:sz w:val="23"/>
          <w:szCs w:val="23"/>
          <w:lang w:val="fr-FR"/>
        </w:rPr>
        <w:t>orientation des projets en réserve et, par conséquent, des priorités nationales mises en œuvre. Il faut redoubler d</w:t>
      </w:r>
      <w:r w:rsidR="00713487">
        <w:rPr>
          <w:sz w:val="23"/>
          <w:szCs w:val="23"/>
          <w:lang w:val="fr-FR"/>
        </w:rPr>
        <w:t>’</w:t>
      </w:r>
      <w:r w:rsidRPr="00BC5905">
        <w:rPr>
          <w:sz w:val="23"/>
          <w:szCs w:val="23"/>
          <w:lang w:val="fr-FR"/>
        </w:rPr>
        <w:t>efforts pour que les projets et les programmes soient véritablement pilotés, pris en charge et dirigés par les pays, ce qui implique des approches plus programmatiques, des propositions plus étroitement liées aux SPANB et aux orientations de la COP, un développement des capacités des pays bénéficiaires et la possibilité pour un plus grand nombre d</w:t>
      </w:r>
      <w:r w:rsidR="00713487">
        <w:rPr>
          <w:sz w:val="23"/>
          <w:szCs w:val="23"/>
          <w:lang w:val="fr-FR"/>
        </w:rPr>
        <w:t>’</w:t>
      </w:r>
      <w:r w:rsidRPr="00BC5905">
        <w:rPr>
          <w:sz w:val="23"/>
          <w:szCs w:val="23"/>
          <w:lang w:val="fr-FR"/>
        </w:rPr>
        <w:t>organisations basées dans les pays en développement de participer plus directement aux activités du FEM. En fin de compte, le développement des capacités de toutes les Parties éligibles, en particulier les PMA et les petits états insulaires, est important pour le développement durable à long terme.</w:t>
      </w:r>
      <w:r w:rsidR="00F77467">
        <w:rPr>
          <w:sz w:val="23"/>
          <w:szCs w:val="23"/>
          <w:lang w:val="fr-FR"/>
        </w:rPr>
        <w:t xml:space="preserve"> </w:t>
      </w:r>
    </w:p>
    <w:p w14:paraId="158C374A" w14:textId="62527C04" w:rsidR="00FA2137" w:rsidRPr="0049796C" w:rsidRDefault="00FE44CE" w:rsidP="00362D98">
      <w:pPr>
        <w:pStyle w:val="CBDNormalNumber"/>
        <w:numPr>
          <w:ilvl w:val="0"/>
          <w:numId w:val="9"/>
        </w:numPr>
        <w:rPr>
          <w:sz w:val="23"/>
          <w:szCs w:val="23"/>
          <w:lang w:val="fr-FR"/>
        </w:rPr>
      </w:pPr>
      <w:r w:rsidRPr="00FE44CE">
        <w:rPr>
          <w:sz w:val="23"/>
          <w:szCs w:val="23"/>
          <w:lang w:val="fr-FR"/>
        </w:rPr>
        <w:t>En ce qui concerne le Protocole de Nagoya, le retour d</w:t>
      </w:r>
      <w:r w:rsidR="00713487">
        <w:rPr>
          <w:sz w:val="23"/>
          <w:szCs w:val="23"/>
          <w:lang w:val="fr-FR"/>
        </w:rPr>
        <w:t>’</w:t>
      </w:r>
      <w:r w:rsidRPr="00FE44CE">
        <w:rPr>
          <w:sz w:val="23"/>
          <w:szCs w:val="23"/>
          <w:lang w:val="fr-FR"/>
        </w:rPr>
        <w:t>information sur l</w:t>
      </w:r>
      <w:r w:rsidR="00713487">
        <w:rPr>
          <w:sz w:val="23"/>
          <w:szCs w:val="23"/>
          <w:lang w:val="fr-FR"/>
        </w:rPr>
        <w:t>’</w:t>
      </w:r>
      <w:r w:rsidRPr="00FE44CE">
        <w:rPr>
          <w:sz w:val="23"/>
          <w:szCs w:val="23"/>
          <w:lang w:val="fr-FR"/>
        </w:rPr>
        <w:t>efficience et l</w:t>
      </w:r>
      <w:r w:rsidR="00713487">
        <w:rPr>
          <w:sz w:val="23"/>
          <w:szCs w:val="23"/>
          <w:lang w:val="fr-FR"/>
        </w:rPr>
        <w:t>’</w:t>
      </w:r>
      <w:r w:rsidRPr="00FE44CE">
        <w:rPr>
          <w:sz w:val="23"/>
          <w:szCs w:val="23"/>
          <w:lang w:val="fr-FR"/>
        </w:rPr>
        <w:t>efficacité du FEM est mitigé. Il a notamment été indiqué que i) le décaissement des fonds était long et ii) les décaissements n</w:t>
      </w:r>
      <w:r w:rsidR="00713487">
        <w:rPr>
          <w:sz w:val="23"/>
          <w:szCs w:val="23"/>
          <w:lang w:val="fr-FR"/>
        </w:rPr>
        <w:t>’</w:t>
      </w:r>
      <w:r w:rsidRPr="00FE44CE">
        <w:rPr>
          <w:sz w:val="23"/>
          <w:szCs w:val="23"/>
          <w:lang w:val="fr-FR"/>
        </w:rPr>
        <w:t>étaient pas liés à la date limite de présentation des rapports pertinents. En ce qui concerne la collaboration régionale en vue d</w:t>
      </w:r>
      <w:r w:rsidR="00713487">
        <w:rPr>
          <w:sz w:val="23"/>
          <w:szCs w:val="23"/>
          <w:lang w:val="fr-FR"/>
        </w:rPr>
        <w:t>’</w:t>
      </w:r>
      <w:r w:rsidRPr="00FE44CE">
        <w:rPr>
          <w:sz w:val="23"/>
          <w:szCs w:val="23"/>
          <w:lang w:val="fr-FR"/>
        </w:rPr>
        <w:t>atteindre les objectifs du Protocole, les principaux obstacles mis en évidence sont le manque d</w:t>
      </w:r>
      <w:r w:rsidR="00713487">
        <w:rPr>
          <w:sz w:val="23"/>
          <w:szCs w:val="23"/>
          <w:lang w:val="fr-FR"/>
        </w:rPr>
        <w:t>’</w:t>
      </w:r>
      <w:r w:rsidRPr="00FE44CE">
        <w:rPr>
          <w:sz w:val="23"/>
          <w:szCs w:val="23"/>
          <w:lang w:val="fr-FR"/>
        </w:rPr>
        <w:t>homogénéité. Il s</w:t>
      </w:r>
      <w:r w:rsidR="00713487">
        <w:rPr>
          <w:sz w:val="23"/>
          <w:szCs w:val="23"/>
          <w:lang w:val="fr-FR"/>
        </w:rPr>
        <w:t>’</w:t>
      </w:r>
      <w:r w:rsidRPr="00FE44CE">
        <w:rPr>
          <w:sz w:val="23"/>
          <w:szCs w:val="23"/>
          <w:lang w:val="fr-FR"/>
        </w:rPr>
        <w:t xml:space="preserve">agit </w:t>
      </w:r>
      <w:r w:rsidRPr="00FE44CE">
        <w:rPr>
          <w:sz w:val="23"/>
          <w:szCs w:val="23"/>
          <w:lang w:val="fr-FR"/>
        </w:rPr>
        <w:lastRenderedPageBreak/>
        <w:t>notamment i) de priorités divergentes</w:t>
      </w:r>
      <w:r w:rsidR="00713487">
        <w:rPr>
          <w:sz w:val="23"/>
          <w:szCs w:val="23"/>
          <w:lang w:val="fr-FR"/>
        </w:rPr>
        <w:t> ;</w:t>
      </w:r>
      <w:r w:rsidRPr="00FE44CE">
        <w:rPr>
          <w:sz w:val="23"/>
          <w:szCs w:val="23"/>
          <w:lang w:val="fr-FR"/>
        </w:rPr>
        <w:t xml:space="preserve"> ii) de l</w:t>
      </w:r>
      <w:r w:rsidR="00713487">
        <w:rPr>
          <w:sz w:val="23"/>
          <w:szCs w:val="23"/>
          <w:lang w:val="fr-FR"/>
        </w:rPr>
        <w:t>’</w:t>
      </w:r>
      <w:r w:rsidRPr="00FE44CE">
        <w:rPr>
          <w:sz w:val="23"/>
          <w:szCs w:val="23"/>
          <w:lang w:val="fr-FR"/>
        </w:rPr>
        <w:t>absence de cadre juridique</w:t>
      </w:r>
      <w:r w:rsidR="00713487">
        <w:rPr>
          <w:sz w:val="23"/>
          <w:szCs w:val="23"/>
          <w:lang w:val="fr-FR"/>
        </w:rPr>
        <w:t> ;</w:t>
      </w:r>
      <w:r w:rsidRPr="00FE44CE">
        <w:rPr>
          <w:sz w:val="23"/>
          <w:szCs w:val="23"/>
          <w:lang w:val="fr-FR"/>
        </w:rPr>
        <w:t xml:space="preserve"> iii) de l</w:t>
      </w:r>
      <w:r w:rsidR="00713487">
        <w:rPr>
          <w:sz w:val="23"/>
          <w:szCs w:val="23"/>
          <w:lang w:val="fr-FR"/>
        </w:rPr>
        <w:t>’</w:t>
      </w:r>
      <w:r w:rsidRPr="00FE44CE">
        <w:rPr>
          <w:sz w:val="23"/>
          <w:szCs w:val="23"/>
          <w:lang w:val="fr-FR"/>
        </w:rPr>
        <w:t>inégalité des capacités techniques, administratives et financières.</w:t>
      </w:r>
    </w:p>
    <w:p w14:paraId="3F31DBC3" w14:textId="3F4B7D7C" w:rsidR="00FA2137" w:rsidRPr="0049796C" w:rsidRDefault="00683350" w:rsidP="00362D98">
      <w:pPr>
        <w:pStyle w:val="CBDNormalNumber"/>
        <w:numPr>
          <w:ilvl w:val="0"/>
          <w:numId w:val="9"/>
        </w:numPr>
        <w:rPr>
          <w:sz w:val="23"/>
          <w:szCs w:val="23"/>
          <w:lang w:val="fr-FR"/>
        </w:rPr>
      </w:pPr>
      <w:r w:rsidRPr="00683350">
        <w:rPr>
          <w:sz w:val="23"/>
          <w:szCs w:val="23"/>
          <w:lang w:val="fr-FR"/>
        </w:rPr>
        <w:t>En ce qui concerne le Protocole de Cartagena, les principaux commentaires portaient sur le calendrier de décaissement des fonds, le manque d</w:t>
      </w:r>
      <w:r w:rsidR="00713487">
        <w:rPr>
          <w:sz w:val="23"/>
          <w:szCs w:val="23"/>
          <w:lang w:val="fr-FR"/>
        </w:rPr>
        <w:t>’</w:t>
      </w:r>
      <w:r w:rsidRPr="00683350">
        <w:rPr>
          <w:sz w:val="23"/>
          <w:szCs w:val="23"/>
          <w:lang w:val="fr-FR"/>
        </w:rPr>
        <w:t>accent mis sur les questions de biosécurité dans les orientations de programmation et l</w:t>
      </w:r>
      <w:r w:rsidR="00713487">
        <w:rPr>
          <w:sz w:val="23"/>
          <w:szCs w:val="23"/>
          <w:lang w:val="fr-FR"/>
        </w:rPr>
        <w:t>’</w:t>
      </w:r>
      <w:r w:rsidRPr="00683350">
        <w:rPr>
          <w:sz w:val="23"/>
          <w:szCs w:val="23"/>
          <w:lang w:val="fr-FR"/>
        </w:rPr>
        <w:t>absence d</w:t>
      </w:r>
      <w:r w:rsidR="00713487">
        <w:rPr>
          <w:sz w:val="23"/>
          <w:szCs w:val="23"/>
          <w:lang w:val="fr-FR"/>
        </w:rPr>
        <w:t>’</w:t>
      </w:r>
      <w:r w:rsidRPr="00683350">
        <w:rPr>
          <w:sz w:val="23"/>
          <w:szCs w:val="23"/>
          <w:lang w:val="fr-FR"/>
        </w:rPr>
        <w:t>un guichet de financement spécifique pour le Protocole. Les pays en développement qui ont répondu à la question de la création d</w:t>
      </w:r>
      <w:r w:rsidR="00713487">
        <w:rPr>
          <w:sz w:val="23"/>
          <w:szCs w:val="23"/>
          <w:lang w:val="fr-FR"/>
        </w:rPr>
        <w:t>’</w:t>
      </w:r>
      <w:r w:rsidRPr="00683350">
        <w:rPr>
          <w:sz w:val="23"/>
          <w:szCs w:val="23"/>
          <w:lang w:val="fr-FR"/>
        </w:rPr>
        <w:t xml:space="preserve">un guichet autonome pour la prévention des risques biotechnologiques </w:t>
      </w:r>
      <w:r w:rsidR="005669DC">
        <w:rPr>
          <w:sz w:val="23"/>
          <w:szCs w:val="23"/>
          <w:lang w:val="fr-FR"/>
        </w:rPr>
        <w:t>y ont apporté leur soutien de manière unanime</w:t>
      </w:r>
      <w:r w:rsidR="00FA2137" w:rsidRPr="0049796C">
        <w:rPr>
          <w:sz w:val="23"/>
          <w:szCs w:val="23"/>
          <w:lang w:val="fr-FR"/>
        </w:rPr>
        <w:t xml:space="preserve">. </w:t>
      </w:r>
    </w:p>
    <w:p w14:paraId="76C8A56C" w14:textId="2FF561C0" w:rsidR="00FA2137" w:rsidRPr="0049796C" w:rsidRDefault="006B3379" w:rsidP="00555AEE">
      <w:pPr>
        <w:pStyle w:val="Heading3"/>
        <w:rPr>
          <w:i/>
          <w:lang w:val="fr-FR"/>
        </w:rPr>
      </w:pPr>
      <w:r>
        <w:rPr>
          <w:lang w:val="fr-FR"/>
        </w:rPr>
        <w:t>S</w:t>
      </w:r>
      <w:r w:rsidRPr="006B3379">
        <w:rPr>
          <w:lang w:val="fr-FR"/>
        </w:rPr>
        <w:t>outenir la mise en œuvre des ODD</w:t>
      </w:r>
    </w:p>
    <w:p w14:paraId="0A7F1B6C" w14:textId="7AC05CED" w:rsidR="00FA2137" w:rsidRPr="0049796C" w:rsidRDefault="00E42C32" w:rsidP="00362D98">
      <w:pPr>
        <w:pStyle w:val="CBDNormalNumber"/>
        <w:numPr>
          <w:ilvl w:val="0"/>
          <w:numId w:val="9"/>
        </w:numPr>
        <w:rPr>
          <w:rFonts w:eastAsia="Arial Unicode MS" w:cs="Calibri"/>
          <w:iCs/>
          <w:kern w:val="22"/>
          <w:sz w:val="23"/>
          <w:szCs w:val="23"/>
          <w:u w:color="000000"/>
          <w:lang w:val="fr-FR"/>
        </w:rPr>
      </w:pPr>
      <w:r w:rsidRPr="00E42C32">
        <w:rPr>
          <w:sz w:val="23"/>
          <w:szCs w:val="23"/>
          <w:lang w:val="fr-FR"/>
        </w:rPr>
        <w:t>Pour ce qui est des liens entre les ODD et les objectifs de la CBD, tant la COP que le FEM reconnaissent que la biodiversité joue un rôle central et économique pour assurer la réalisation des ODD. La majorité des Parties estime que le FEM contribue à la mise en œuvre des ODD.</w:t>
      </w:r>
      <w:r w:rsidR="00FA2137" w:rsidRPr="0049796C">
        <w:rPr>
          <w:rFonts w:eastAsia="Arial Unicode MS" w:cs="Calibri"/>
          <w:iCs/>
          <w:kern w:val="22"/>
          <w:sz w:val="23"/>
          <w:szCs w:val="23"/>
          <w:u w:color="000000"/>
          <w:lang w:val="fr-FR"/>
        </w:rPr>
        <w:t xml:space="preserve"> </w:t>
      </w:r>
    </w:p>
    <w:p w14:paraId="494BA306" w14:textId="26031C8C" w:rsidR="00FA2137" w:rsidRPr="0049796C" w:rsidRDefault="00FA2137" w:rsidP="00555AEE">
      <w:pPr>
        <w:pStyle w:val="Heading3"/>
        <w:rPr>
          <w:i/>
          <w:lang w:val="fr-FR"/>
        </w:rPr>
      </w:pPr>
      <w:bookmarkStart w:id="6" w:name="_Toc177047030"/>
      <w:r w:rsidRPr="0049796C">
        <w:rPr>
          <w:lang w:val="fr-FR"/>
        </w:rPr>
        <w:t>Process</w:t>
      </w:r>
      <w:r w:rsidR="00E42C32">
        <w:rPr>
          <w:lang w:val="fr-FR"/>
        </w:rPr>
        <w:t>u</w:t>
      </w:r>
      <w:r w:rsidRPr="0049796C">
        <w:rPr>
          <w:lang w:val="fr-FR"/>
        </w:rPr>
        <w:t xml:space="preserve">s </w:t>
      </w:r>
      <w:r w:rsidR="00E42C32">
        <w:rPr>
          <w:lang w:val="fr-FR"/>
        </w:rPr>
        <w:t xml:space="preserve">et </w:t>
      </w:r>
      <w:bookmarkEnd w:id="6"/>
      <w:r w:rsidR="00E42C32" w:rsidRPr="0049796C">
        <w:rPr>
          <w:lang w:val="fr-FR"/>
        </w:rPr>
        <w:t>procédures</w:t>
      </w:r>
      <w:r w:rsidRPr="0049796C">
        <w:rPr>
          <w:lang w:val="fr-FR"/>
        </w:rPr>
        <w:t xml:space="preserve"> </w:t>
      </w:r>
    </w:p>
    <w:p w14:paraId="75B9FE22" w14:textId="0B30F576" w:rsidR="00FA2137" w:rsidRPr="0049796C" w:rsidRDefault="00617FCD" w:rsidP="00362D98">
      <w:pPr>
        <w:pStyle w:val="CBDNormalNumber"/>
        <w:numPr>
          <w:ilvl w:val="0"/>
          <w:numId w:val="9"/>
        </w:numPr>
        <w:rPr>
          <w:sz w:val="23"/>
          <w:szCs w:val="23"/>
          <w:lang w:val="fr-FR"/>
        </w:rPr>
      </w:pPr>
      <w:r w:rsidRPr="00617FCD">
        <w:rPr>
          <w:sz w:val="23"/>
          <w:szCs w:val="23"/>
          <w:lang w:val="fr-FR"/>
        </w:rPr>
        <w:t>Les processus et procédures de décaissement des fonds dépendent en grande partie du type de projets concernés. Les projets de grande envergure sont des projets de plus de 2 millions $US et maintenant de 5 millions $US et sont soumis à un processus d</w:t>
      </w:r>
      <w:r w:rsidR="00713487">
        <w:rPr>
          <w:sz w:val="23"/>
          <w:szCs w:val="23"/>
          <w:lang w:val="fr-FR"/>
        </w:rPr>
        <w:t>’</w:t>
      </w:r>
      <w:r w:rsidRPr="00617FCD">
        <w:rPr>
          <w:sz w:val="23"/>
          <w:szCs w:val="23"/>
          <w:lang w:val="fr-FR"/>
        </w:rPr>
        <w:t>approbation en deux étapes, tandis que les projets de taille moyenne sont des projets inférieurs ou équivalents à 2 millions $US et maintenant à 5 millions $US et ne requièrent qu</w:t>
      </w:r>
      <w:r w:rsidR="00713487">
        <w:rPr>
          <w:sz w:val="23"/>
          <w:szCs w:val="23"/>
          <w:lang w:val="fr-FR"/>
        </w:rPr>
        <w:t>’</w:t>
      </w:r>
      <w:r w:rsidRPr="00617FCD">
        <w:rPr>
          <w:sz w:val="23"/>
          <w:szCs w:val="23"/>
          <w:lang w:val="fr-FR"/>
        </w:rPr>
        <w:t>une seule étape. Les activités habilitantes sont des projets pour la préparation d</w:t>
      </w:r>
      <w:r w:rsidR="00713487">
        <w:rPr>
          <w:sz w:val="23"/>
          <w:szCs w:val="23"/>
          <w:lang w:val="fr-FR"/>
        </w:rPr>
        <w:t>’</w:t>
      </w:r>
      <w:r w:rsidRPr="00617FCD">
        <w:rPr>
          <w:sz w:val="23"/>
          <w:szCs w:val="23"/>
          <w:lang w:val="fr-FR"/>
        </w:rPr>
        <w:t>un plan, d</w:t>
      </w:r>
      <w:r w:rsidR="00713487">
        <w:rPr>
          <w:sz w:val="23"/>
          <w:szCs w:val="23"/>
          <w:lang w:val="fr-FR"/>
        </w:rPr>
        <w:t>’</w:t>
      </w:r>
      <w:r w:rsidRPr="00617FCD">
        <w:rPr>
          <w:sz w:val="23"/>
          <w:szCs w:val="23"/>
          <w:lang w:val="fr-FR"/>
        </w:rPr>
        <w:t>une stratégie ou d</w:t>
      </w:r>
      <w:r w:rsidR="00713487">
        <w:rPr>
          <w:sz w:val="23"/>
          <w:szCs w:val="23"/>
          <w:lang w:val="fr-FR"/>
        </w:rPr>
        <w:t>’</w:t>
      </w:r>
      <w:r w:rsidRPr="00617FCD">
        <w:rPr>
          <w:sz w:val="23"/>
          <w:szCs w:val="23"/>
          <w:lang w:val="fr-FR"/>
        </w:rPr>
        <w:t>un rapport visant à remplir les engagements pris dans le cadre d</w:t>
      </w:r>
      <w:r w:rsidR="00713487">
        <w:rPr>
          <w:sz w:val="23"/>
          <w:szCs w:val="23"/>
          <w:lang w:val="fr-FR"/>
        </w:rPr>
        <w:t>’</w:t>
      </w:r>
      <w:r w:rsidRPr="00617FCD">
        <w:rPr>
          <w:sz w:val="23"/>
          <w:szCs w:val="23"/>
          <w:lang w:val="fr-FR"/>
        </w:rPr>
        <w:t>une convention. Le délai moyen pour les projets complets, les projets de taille moyenne et les activités habilitantes entre la soumission d</w:t>
      </w:r>
      <w:r w:rsidR="00713487">
        <w:rPr>
          <w:sz w:val="23"/>
          <w:szCs w:val="23"/>
          <w:lang w:val="fr-FR"/>
        </w:rPr>
        <w:t>’</w:t>
      </w:r>
      <w:r w:rsidRPr="00617FCD">
        <w:rPr>
          <w:sz w:val="23"/>
          <w:szCs w:val="23"/>
          <w:lang w:val="fr-FR"/>
        </w:rPr>
        <w:t>un formulaire d</w:t>
      </w:r>
      <w:r w:rsidR="00713487">
        <w:rPr>
          <w:sz w:val="23"/>
          <w:szCs w:val="23"/>
          <w:lang w:val="fr-FR"/>
        </w:rPr>
        <w:t>’</w:t>
      </w:r>
      <w:r w:rsidRPr="00617FCD">
        <w:rPr>
          <w:sz w:val="23"/>
          <w:szCs w:val="23"/>
          <w:lang w:val="fr-FR"/>
        </w:rPr>
        <w:t>identification de projet et le premier décaissement d</w:t>
      </w:r>
      <w:r w:rsidR="00713487">
        <w:rPr>
          <w:sz w:val="23"/>
          <w:szCs w:val="23"/>
          <w:lang w:val="fr-FR"/>
        </w:rPr>
        <w:t>’</w:t>
      </w:r>
      <w:r w:rsidRPr="00617FCD">
        <w:rPr>
          <w:sz w:val="23"/>
          <w:szCs w:val="23"/>
          <w:lang w:val="fr-FR"/>
        </w:rPr>
        <w:t>une agence a augmenté entre l</w:t>
      </w:r>
      <w:r w:rsidR="00713487">
        <w:rPr>
          <w:sz w:val="23"/>
          <w:szCs w:val="23"/>
          <w:lang w:val="fr-FR"/>
        </w:rPr>
        <w:t>’</w:t>
      </w:r>
      <w:r w:rsidRPr="00617FCD">
        <w:rPr>
          <w:sz w:val="23"/>
          <w:szCs w:val="23"/>
          <w:lang w:val="fr-FR"/>
        </w:rPr>
        <w:t>exercice 15 et l</w:t>
      </w:r>
      <w:r w:rsidR="00713487">
        <w:rPr>
          <w:sz w:val="23"/>
          <w:szCs w:val="23"/>
          <w:lang w:val="fr-FR"/>
        </w:rPr>
        <w:t>’</w:t>
      </w:r>
      <w:r w:rsidRPr="00617FCD">
        <w:rPr>
          <w:sz w:val="23"/>
          <w:szCs w:val="23"/>
          <w:lang w:val="fr-FR"/>
        </w:rPr>
        <w:t>exercice 24</w:t>
      </w:r>
      <w:r w:rsidR="00FA2137" w:rsidRPr="0049796C">
        <w:rPr>
          <w:sz w:val="23"/>
          <w:szCs w:val="23"/>
          <w:lang w:val="fr-FR"/>
        </w:rPr>
        <w:t>.</w:t>
      </w:r>
    </w:p>
    <w:p w14:paraId="7B576033" w14:textId="302C4236" w:rsidR="00FA2137" w:rsidRPr="0049796C" w:rsidRDefault="008D0797" w:rsidP="00362D98">
      <w:pPr>
        <w:pStyle w:val="CBDNormalNumber"/>
        <w:numPr>
          <w:ilvl w:val="0"/>
          <w:numId w:val="9"/>
        </w:numPr>
        <w:rPr>
          <w:sz w:val="23"/>
          <w:szCs w:val="23"/>
          <w:lang w:val="fr-FR"/>
        </w:rPr>
      </w:pPr>
      <w:r w:rsidRPr="008D0797">
        <w:rPr>
          <w:sz w:val="23"/>
          <w:szCs w:val="23"/>
          <w:lang w:val="fr-FR"/>
        </w:rPr>
        <w:t>Le taux de décaissement est resté constant entre 18 % et 25 %, ce qui montre que les fonds sont décaissés relativement rapidement une fois qu</w:t>
      </w:r>
      <w:r w:rsidR="00713487">
        <w:rPr>
          <w:sz w:val="23"/>
          <w:szCs w:val="23"/>
          <w:lang w:val="fr-FR"/>
        </w:rPr>
        <w:t>’</w:t>
      </w:r>
      <w:r w:rsidRPr="008D0797">
        <w:rPr>
          <w:sz w:val="23"/>
          <w:szCs w:val="23"/>
          <w:lang w:val="fr-FR"/>
        </w:rPr>
        <w:t>un projet est mis en œuvre</w:t>
      </w:r>
      <w:r w:rsidR="00FA2137" w:rsidRPr="0049796C">
        <w:rPr>
          <w:sz w:val="23"/>
          <w:szCs w:val="23"/>
          <w:lang w:val="fr-FR"/>
        </w:rPr>
        <w:t xml:space="preserve">. </w:t>
      </w:r>
    </w:p>
    <w:p w14:paraId="62127C7C" w14:textId="7FE1C4CD" w:rsidR="00FA2137" w:rsidRPr="0049796C" w:rsidRDefault="008D0797" w:rsidP="00362D98">
      <w:pPr>
        <w:pStyle w:val="CBDNormalNumber"/>
        <w:numPr>
          <w:ilvl w:val="0"/>
          <w:numId w:val="9"/>
        </w:numPr>
        <w:rPr>
          <w:sz w:val="23"/>
          <w:szCs w:val="23"/>
          <w:lang w:val="fr-FR"/>
        </w:rPr>
      </w:pPr>
      <w:r w:rsidRPr="008D0797">
        <w:rPr>
          <w:sz w:val="23"/>
          <w:szCs w:val="23"/>
          <w:lang w:val="fr-FR"/>
        </w:rPr>
        <w:t>Le FEM rationalise actuellement les cycles de projet. Dans FEM-8, tous les modèles de projet ont été rationalisés et harmonisés entre le Fonds pour les pays les moins avancés, le Fonds spécial pour les changements climatiques et la Caisse du FEM, et la programmation STAR a bénéficié d</w:t>
      </w:r>
      <w:r w:rsidR="00713487">
        <w:rPr>
          <w:sz w:val="23"/>
          <w:szCs w:val="23"/>
          <w:lang w:val="fr-FR"/>
        </w:rPr>
        <w:t>’</w:t>
      </w:r>
      <w:r w:rsidRPr="008D0797">
        <w:rPr>
          <w:sz w:val="23"/>
          <w:szCs w:val="23"/>
          <w:lang w:val="fr-FR"/>
        </w:rPr>
        <w:t>une souplesse totale. En février 2024, le Conseil du FEM a relevé le plafond des PAC à 5 millions de dollars US. D</w:t>
      </w:r>
      <w:r w:rsidR="00713487">
        <w:rPr>
          <w:sz w:val="23"/>
          <w:szCs w:val="23"/>
          <w:lang w:val="fr-FR"/>
        </w:rPr>
        <w:t>’</w:t>
      </w:r>
      <w:r w:rsidRPr="008D0797">
        <w:rPr>
          <w:sz w:val="23"/>
          <w:szCs w:val="23"/>
          <w:lang w:val="fr-FR"/>
        </w:rPr>
        <w:t>autres mesures sont à l</w:t>
      </w:r>
      <w:r w:rsidR="00713487">
        <w:rPr>
          <w:sz w:val="23"/>
          <w:szCs w:val="23"/>
          <w:lang w:val="fr-FR"/>
        </w:rPr>
        <w:t>’</w:t>
      </w:r>
      <w:r w:rsidRPr="008D0797">
        <w:rPr>
          <w:sz w:val="23"/>
          <w:szCs w:val="23"/>
          <w:lang w:val="fr-FR"/>
        </w:rPr>
        <w:t xml:space="preserve">étude aux niveaux du partenariat du FEM, du </w:t>
      </w:r>
      <w:r w:rsidR="00D852B1">
        <w:rPr>
          <w:sz w:val="23"/>
          <w:szCs w:val="23"/>
          <w:lang w:val="fr-FR"/>
        </w:rPr>
        <w:t>Secrét</w:t>
      </w:r>
      <w:r w:rsidRPr="008D0797">
        <w:rPr>
          <w:sz w:val="23"/>
          <w:szCs w:val="23"/>
          <w:lang w:val="fr-FR"/>
        </w:rPr>
        <w:t>ariat du FEM, des agences du FEM, des correspondants opérationnels et des entités d</w:t>
      </w:r>
      <w:r w:rsidR="00713487">
        <w:rPr>
          <w:sz w:val="23"/>
          <w:szCs w:val="23"/>
          <w:lang w:val="fr-FR"/>
        </w:rPr>
        <w:t>’</w:t>
      </w:r>
      <w:r w:rsidRPr="008D0797">
        <w:rPr>
          <w:sz w:val="23"/>
          <w:szCs w:val="23"/>
          <w:lang w:val="fr-FR"/>
        </w:rPr>
        <w:t>exécution, ainsi que des mesures visant à clarifier les coûts liés aux projets et les critères d</w:t>
      </w:r>
      <w:r w:rsidR="00713487">
        <w:rPr>
          <w:sz w:val="23"/>
          <w:szCs w:val="23"/>
          <w:lang w:val="fr-FR"/>
        </w:rPr>
        <w:t>’</w:t>
      </w:r>
      <w:r w:rsidRPr="008D0797">
        <w:rPr>
          <w:sz w:val="23"/>
          <w:szCs w:val="23"/>
          <w:lang w:val="fr-FR"/>
        </w:rPr>
        <w:t>exception liés au double rôle d</w:t>
      </w:r>
      <w:r w:rsidR="00713487">
        <w:rPr>
          <w:sz w:val="23"/>
          <w:szCs w:val="23"/>
          <w:lang w:val="fr-FR"/>
        </w:rPr>
        <w:t>’</w:t>
      </w:r>
      <w:r w:rsidRPr="008D0797">
        <w:rPr>
          <w:sz w:val="23"/>
          <w:szCs w:val="23"/>
          <w:lang w:val="fr-FR"/>
        </w:rPr>
        <w:t xml:space="preserve">exécution et de mise en œuvre pour les agences du FEM. Ces mesures devraient permettre </w:t>
      </w:r>
      <w:r>
        <w:rPr>
          <w:sz w:val="23"/>
          <w:szCs w:val="23"/>
          <w:lang w:val="fr-FR"/>
        </w:rPr>
        <w:t>de réduire</w:t>
      </w:r>
      <w:r w:rsidRPr="008D0797">
        <w:rPr>
          <w:sz w:val="23"/>
          <w:szCs w:val="23"/>
          <w:lang w:val="fr-FR"/>
        </w:rPr>
        <w:t xml:space="preserve"> les délais de décaissement des fonds</w:t>
      </w:r>
      <w:r w:rsidR="00FA2137" w:rsidRPr="0049796C">
        <w:rPr>
          <w:sz w:val="23"/>
          <w:szCs w:val="23"/>
          <w:lang w:val="fr-FR"/>
        </w:rPr>
        <w:t xml:space="preserve">. </w:t>
      </w:r>
    </w:p>
    <w:p w14:paraId="7A3E99E7" w14:textId="4F662C3B" w:rsidR="00FA2137" w:rsidRPr="0049796C" w:rsidRDefault="00D930EF" w:rsidP="00362D98">
      <w:pPr>
        <w:pStyle w:val="CBDNormalNumber"/>
        <w:numPr>
          <w:ilvl w:val="0"/>
          <w:numId w:val="9"/>
        </w:numPr>
        <w:rPr>
          <w:sz w:val="23"/>
          <w:szCs w:val="23"/>
          <w:lang w:val="fr-FR"/>
        </w:rPr>
      </w:pPr>
      <w:r w:rsidRPr="00D930EF">
        <w:rPr>
          <w:sz w:val="23"/>
          <w:szCs w:val="23"/>
          <w:lang w:val="fr-FR"/>
        </w:rPr>
        <w:t xml:space="preserve">Le FEM a également indiqué que des travaux étaient en cours pour évaluer </w:t>
      </w:r>
      <w:r>
        <w:rPr>
          <w:sz w:val="23"/>
          <w:szCs w:val="23"/>
          <w:lang w:val="fr-FR"/>
        </w:rPr>
        <w:t xml:space="preserve">de potentiels </w:t>
      </w:r>
      <w:r w:rsidRPr="00D930EF">
        <w:rPr>
          <w:sz w:val="23"/>
          <w:szCs w:val="23"/>
          <w:lang w:val="fr-FR"/>
        </w:rPr>
        <w:t>gains d</w:t>
      </w:r>
      <w:r w:rsidR="00713487">
        <w:rPr>
          <w:sz w:val="23"/>
          <w:szCs w:val="23"/>
          <w:lang w:val="fr-FR"/>
        </w:rPr>
        <w:t>’</w:t>
      </w:r>
      <w:r w:rsidRPr="00D930EF">
        <w:rPr>
          <w:sz w:val="23"/>
          <w:szCs w:val="23"/>
          <w:lang w:val="fr-FR"/>
        </w:rPr>
        <w:t>efficacité liés à l</w:t>
      </w:r>
      <w:r w:rsidR="00713487">
        <w:rPr>
          <w:sz w:val="23"/>
          <w:szCs w:val="23"/>
          <w:lang w:val="fr-FR"/>
        </w:rPr>
        <w:t>’</w:t>
      </w:r>
      <w:r w:rsidRPr="00D930EF">
        <w:rPr>
          <w:sz w:val="23"/>
          <w:szCs w:val="23"/>
          <w:lang w:val="fr-FR"/>
        </w:rPr>
        <w:t>harmonisation de certains processus du FEM, du Fonds mondial pour la nature, des Fonds d</w:t>
      </w:r>
      <w:r w:rsidR="00713487">
        <w:rPr>
          <w:sz w:val="23"/>
          <w:szCs w:val="23"/>
          <w:lang w:val="fr-FR"/>
        </w:rPr>
        <w:t>’</w:t>
      </w:r>
      <w:r w:rsidRPr="00D930EF">
        <w:rPr>
          <w:sz w:val="23"/>
          <w:szCs w:val="23"/>
          <w:lang w:val="fr-FR"/>
        </w:rPr>
        <w:t>investissement climatiques (FIC) et du Fonds pour l</w:t>
      </w:r>
      <w:r w:rsidR="00713487">
        <w:rPr>
          <w:sz w:val="23"/>
          <w:szCs w:val="23"/>
          <w:lang w:val="fr-FR"/>
        </w:rPr>
        <w:t>’</w:t>
      </w:r>
      <w:r w:rsidRPr="00D930EF">
        <w:rPr>
          <w:sz w:val="23"/>
          <w:szCs w:val="23"/>
          <w:lang w:val="fr-FR"/>
        </w:rPr>
        <w:t>adaptation. Il s</w:t>
      </w:r>
      <w:r w:rsidR="00713487">
        <w:rPr>
          <w:sz w:val="23"/>
          <w:szCs w:val="23"/>
          <w:lang w:val="fr-FR"/>
        </w:rPr>
        <w:t>’</w:t>
      </w:r>
      <w:r w:rsidRPr="00D930EF">
        <w:rPr>
          <w:sz w:val="23"/>
          <w:szCs w:val="23"/>
          <w:lang w:val="fr-FR"/>
        </w:rPr>
        <w:t>agit notamment d</w:t>
      </w:r>
      <w:r w:rsidR="00713487">
        <w:rPr>
          <w:sz w:val="23"/>
          <w:szCs w:val="23"/>
          <w:lang w:val="fr-FR"/>
        </w:rPr>
        <w:t>’</w:t>
      </w:r>
      <w:r w:rsidRPr="00D930EF">
        <w:rPr>
          <w:sz w:val="23"/>
          <w:szCs w:val="23"/>
          <w:lang w:val="fr-FR"/>
        </w:rPr>
        <w:t>accélérer les incitations à des investissements séquentiels, parallèles, complémentaires ou conjoints pour cibler des domaines d</w:t>
      </w:r>
      <w:r w:rsidR="00713487">
        <w:rPr>
          <w:sz w:val="23"/>
          <w:szCs w:val="23"/>
          <w:lang w:val="fr-FR"/>
        </w:rPr>
        <w:t>’</w:t>
      </w:r>
      <w:r w:rsidRPr="00D930EF">
        <w:rPr>
          <w:sz w:val="23"/>
          <w:szCs w:val="23"/>
          <w:lang w:val="fr-FR"/>
        </w:rPr>
        <w:t>intérêt commun et d</w:t>
      </w:r>
      <w:r w:rsidR="00713487">
        <w:rPr>
          <w:sz w:val="23"/>
          <w:szCs w:val="23"/>
          <w:lang w:val="fr-FR"/>
        </w:rPr>
        <w:t>’</w:t>
      </w:r>
      <w:r w:rsidRPr="00D930EF">
        <w:rPr>
          <w:sz w:val="23"/>
          <w:szCs w:val="23"/>
          <w:lang w:val="fr-FR"/>
        </w:rPr>
        <w:t>accroître l</w:t>
      </w:r>
      <w:r w:rsidR="00713487">
        <w:rPr>
          <w:sz w:val="23"/>
          <w:szCs w:val="23"/>
          <w:lang w:val="fr-FR"/>
        </w:rPr>
        <w:t>’</w:t>
      </w:r>
      <w:r w:rsidRPr="00D930EF">
        <w:rPr>
          <w:sz w:val="23"/>
          <w:szCs w:val="23"/>
          <w:lang w:val="fr-FR"/>
        </w:rPr>
        <w:t xml:space="preserve">attrait des financements complémentaires du FEM et du </w:t>
      </w:r>
      <w:r w:rsidR="006E01CA">
        <w:rPr>
          <w:sz w:val="23"/>
          <w:szCs w:val="23"/>
          <w:lang w:val="fr-FR"/>
        </w:rPr>
        <w:t>FMN</w:t>
      </w:r>
      <w:r w:rsidRPr="00D930EF">
        <w:rPr>
          <w:sz w:val="23"/>
          <w:szCs w:val="23"/>
          <w:lang w:val="fr-FR"/>
        </w:rPr>
        <w:t xml:space="preserve"> en favorisant une programmation concertée et coordonnée</w:t>
      </w:r>
      <w:r w:rsidR="00FA2137" w:rsidRPr="0049796C">
        <w:rPr>
          <w:sz w:val="23"/>
          <w:szCs w:val="23"/>
          <w:lang w:val="fr-FR"/>
        </w:rPr>
        <w:t>.</w:t>
      </w:r>
    </w:p>
    <w:p w14:paraId="65D8DED6" w14:textId="46B0888C" w:rsidR="00FA2137" w:rsidRPr="0049796C" w:rsidRDefault="00545346" w:rsidP="00555AEE">
      <w:pPr>
        <w:pStyle w:val="Heading3"/>
        <w:rPr>
          <w:i/>
          <w:lang w:val="fr-FR"/>
        </w:rPr>
      </w:pPr>
      <w:r w:rsidRPr="00545346">
        <w:rPr>
          <w:lang w:val="fr-FR"/>
        </w:rPr>
        <w:t>Activités de surveillance, de suivi et d</w:t>
      </w:r>
      <w:r w:rsidR="00713487">
        <w:rPr>
          <w:lang w:val="fr-FR"/>
        </w:rPr>
        <w:t>’</w:t>
      </w:r>
      <w:r w:rsidRPr="00545346">
        <w:rPr>
          <w:lang w:val="fr-FR"/>
        </w:rPr>
        <w:t>évaluation</w:t>
      </w:r>
    </w:p>
    <w:p w14:paraId="4BE9ADFB" w14:textId="7BBFB518" w:rsidR="00FA2137" w:rsidRPr="0049796C" w:rsidRDefault="005D1B8F" w:rsidP="00362D98">
      <w:pPr>
        <w:pStyle w:val="CBDNormalNumber"/>
        <w:numPr>
          <w:ilvl w:val="0"/>
          <w:numId w:val="9"/>
        </w:numPr>
        <w:rPr>
          <w:sz w:val="23"/>
          <w:szCs w:val="23"/>
          <w:lang w:val="fr-FR"/>
        </w:rPr>
      </w:pPr>
      <w:r w:rsidRPr="005D1B8F">
        <w:rPr>
          <w:sz w:val="23"/>
          <w:szCs w:val="23"/>
          <w:lang w:val="fr-FR"/>
        </w:rPr>
        <w:t>Les principaux documents du FEM qui évaluent les conclusions en matière de biodiversité sont</w:t>
      </w:r>
      <w:r w:rsidR="00D54C99">
        <w:rPr>
          <w:sz w:val="23"/>
          <w:szCs w:val="23"/>
          <w:lang w:val="fr-FR"/>
        </w:rPr>
        <w:t> :</w:t>
      </w:r>
      <w:r w:rsidRPr="005D1B8F">
        <w:rPr>
          <w:sz w:val="23"/>
          <w:szCs w:val="23"/>
          <w:lang w:val="fr-FR"/>
        </w:rPr>
        <w:t xml:space="preserve"> i) l</w:t>
      </w:r>
      <w:r w:rsidR="00713487">
        <w:rPr>
          <w:sz w:val="23"/>
          <w:szCs w:val="23"/>
          <w:lang w:val="fr-FR"/>
        </w:rPr>
        <w:t>’</w:t>
      </w:r>
      <w:r w:rsidRPr="005D1B8F">
        <w:rPr>
          <w:sz w:val="23"/>
          <w:szCs w:val="23"/>
          <w:lang w:val="fr-FR"/>
        </w:rPr>
        <w:t>examen annuel des performances (APR) du BIE</w:t>
      </w:r>
      <w:r w:rsidR="00713487">
        <w:rPr>
          <w:sz w:val="23"/>
          <w:szCs w:val="23"/>
          <w:lang w:val="fr-FR"/>
        </w:rPr>
        <w:t> ;</w:t>
      </w:r>
      <w:r w:rsidRPr="005D1B8F">
        <w:rPr>
          <w:sz w:val="23"/>
          <w:szCs w:val="23"/>
          <w:lang w:val="fr-FR"/>
        </w:rPr>
        <w:t xml:space="preserve"> ii) le rapport de suivi du FEM </w:t>
      </w:r>
      <w:r w:rsidRPr="005D1B8F">
        <w:rPr>
          <w:sz w:val="23"/>
          <w:szCs w:val="23"/>
          <w:lang w:val="fr-FR"/>
        </w:rPr>
        <w:lastRenderedPageBreak/>
        <w:t>(GMR)</w:t>
      </w:r>
      <w:r w:rsidR="00713487">
        <w:rPr>
          <w:sz w:val="23"/>
          <w:szCs w:val="23"/>
          <w:lang w:val="fr-FR"/>
        </w:rPr>
        <w:t> ;</w:t>
      </w:r>
      <w:r w:rsidRPr="005D1B8F">
        <w:rPr>
          <w:sz w:val="23"/>
          <w:szCs w:val="23"/>
          <w:lang w:val="fr-FR"/>
        </w:rPr>
        <w:t xml:space="preserve"> et iii) les évaluations stratégiques par groupe de pays (SCCE). Ces rapports dépendent de la participation effective des parties prenantes pour fournir un aperçu des activités du portefeuille du FEM, ainsi que des incidences et de la viabilité des projets tout au long d</w:t>
      </w:r>
      <w:r w:rsidR="00713487">
        <w:rPr>
          <w:sz w:val="23"/>
          <w:szCs w:val="23"/>
          <w:lang w:val="fr-FR"/>
        </w:rPr>
        <w:t>’</w:t>
      </w:r>
      <w:r w:rsidRPr="005D1B8F">
        <w:rPr>
          <w:sz w:val="23"/>
          <w:szCs w:val="23"/>
          <w:lang w:val="fr-FR"/>
        </w:rPr>
        <w:t>une période de reconstitution des ressources</w:t>
      </w:r>
      <w:r w:rsidR="00FA2137" w:rsidRPr="0049796C">
        <w:rPr>
          <w:sz w:val="23"/>
          <w:szCs w:val="23"/>
          <w:lang w:val="fr-FR"/>
        </w:rPr>
        <w:t>.</w:t>
      </w:r>
    </w:p>
    <w:p w14:paraId="5EC441C9" w14:textId="6082F19F" w:rsidR="00FA2137" w:rsidRPr="0049796C" w:rsidRDefault="00261059" w:rsidP="00362D98">
      <w:pPr>
        <w:pStyle w:val="CBDNormalNumber"/>
        <w:numPr>
          <w:ilvl w:val="0"/>
          <w:numId w:val="9"/>
        </w:numPr>
        <w:rPr>
          <w:sz w:val="23"/>
          <w:szCs w:val="23"/>
          <w:lang w:val="fr-FR"/>
        </w:rPr>
      </w:pPr>
      <w:r w:rsidRPr="00261059">
        <w:rPr>
          <w:sz w:val="23"/>
          <w:szCs w:val="23"/>
          <w:lang w:val="fr-FR"/>
        </w:rPr>
        <w:t>En 2023, l</w:t>
      </w:r>
      <w:r w:rsidR="00713487">
        <w:rPr>
          <w:sz w:val="23"/>
          <w:szCs w:val="23"/>
          <w:lang w:val="fr-FR"/>
        </w:rPr>
        <w:t>’</w:t>
      </w:r>
      <w:r w:rsidRPr="00261059">
        <w:rPr>
          <w:sz w:val="23"/>
          <w:szCs w:val="23"/>
          <w:lang w:val="fr-FR"/>
        </w:rPr>
        <w:t>examen annuel des résultats reflétait que la préservation de la biodiversité était la deuxième plus susceptible d</w:t>
      </w:r>
      <w:r w:rsidR="00713487">
        <w:rPr>
          <w:sz w:val="23"/>
          <w:szCs w:val="23"/>
          <w:lang w:val="fr-FR"/>
        </w:rPr>
        <w:t>’</w:t>
      </w:r>
      <w:r w:rsidRPr="00261059">
        <w:rPr>
          <w:sz w:val="23"/>
          <w:szCs w:val="23"/>
          <w:lang w:val="fr-FR"/>
        </w:rPr>
        <w:t>entraîner des changements de comportement (une conclusion intermédiaire essentielle pour la réalisation des avantages environnementaux mondiaux) après l</w:t>
      </w:r>
      <w:r w:rsidR="00713487">
        <w:rPr>
          <w:sz w:val="23"/>
          <w:szCs w:val="23"/>
          <w:lang w:val="fr-FR"/>
        </w:rPr>
        <w:t>’</w:t>
      </w:r>
      <w:r w:rsidRPr="00261059">
        <w:rPr>
          <w:sz w:val="23"/>
          <w:szCs w:val="23"/>
          <w:lang w:val="fr-FR"/>
        </w:rPr>
        <w:t>adaptation au climat, après avoir examiné les projets pertinents entre FEM-6 et FEM-7</w:t>
      </w:r>
      <w:r w:rsidR="00FA2137" w:rsidRPr="0049796C">
        <w:rPr>
          <w:sz w:val="23"/>
          <w:szCs w:val="23"/>
          <w:lang w:val="fr-FR"/>
        </w:rPr>
        <w:t>.</w:t>
      </w:r>
    </w:p>
    <w:p w14:paraId="2A1CA06D" w14:textId="551D3A85" w:rsidR="00FA2137" w:rsidRPr="0049796C" w:rsidRDefault="009E1089" w:rsidP="00362D98">
      <w:pPr>
        <w:pStyle w:val="CBDNormalNumber"/>
        <w:numPr>
          <w:ilvl w:val="0"/>
          <w:numId w:val="9"/>
        </w:numPr>
        <w:rPr>
          <w:sz w:val="23"/>
          <w:szCs w:val="23"/>
          <w:lang w:val="fr-FR"/>
        </w:rPr>
      </w:pPr>
      <w:r w:rsidRPr="009E1089">
        <w:rPr>
          <w:sz w:val="23"/>
          <w:szCs w:val="23"/>
          <w:lang w:val="fr-FR"/>
        </w:rPr>
        <w:t>Dans les rapports annuels de performance et les rapports de gestion, les performances en matière de biodiversité ne sont pas mesurées par rapport aux orientations de la COP ou aux objectifs de la CBD. Dans les rapports annuels d</w:t>
      </w:r>
      <w:r w:rsidR="00713487">
        <w:rPr>
          <w:sz w:val="23"/>
          <w:szCs w:val="23"/>
          <w:lang w:val="fr-FR"/>
        </w:rPr>
        <w:t>’</w:t>
      </w:r>
      <w:r w:rsidRPr="009E1089">
        <w:rPr>
          <w:sz w:val="23"/>
          <w:szCs w:val="23"/>
          <w:lang w:val="fr-FR"/>
        </w:rPr>
        <w:t>exécution, les rapports mondiaux d</w:t>
      </w:r>
      <w:r w:rsidR="00713487">
        <w:rPr>
          <w:sz w:val="23"/>
          <w:szCs w:val="23"/>
          <w:lang w:val="fr-FR"/>
        </w:rPr>
        <w:t>’</w:t>
      </w:r>
      <w:r w:rsidRPr="009E1089">
        <w:rPr>
          <w:sz w:val="23"/>
          <w:szCs w:val="23"/>
          <w:lang w:val="fr-FR"/>
        </w:rPr>
        <w:t>évaluation et les rapports sur la compétitivité et l</w:t>
      </w:r>
      <w:r w:rsidR="00713487">
        <w:rPr>
          <w:sz w:val="23"/>
          <w:szCs w:val="23"/>
          <w:lang w:val="fr-FR"/>
        </w:rPr>
        <w:t>’</w:t>
      </w:r>
      <w:r w:rsidRPr="009E1089">
        <w:rPr>
          <w:sz w:val="23"/>
          <w:szCs w:val="23"/>
          <w:lang w:val="fr-FR"/>
        </w:rPr>
        <w:t>emploi, on constate un manque général d</w:t>
      </w:r>
      <w:r w:rsidR="00713487">
        <w:rPr>
          <w:sz w:val="23"/>
          <w:szCs w:val="23"/>
          <w:lang w:val="fr-FR"/>
        </w:rPr>
        <w:t>’</w:t>
      </w:r>
      <w:r w:rsidRPr="009E1089">
        <w:rPr>
          <w:sz w:val="23"/>
          <w:szCs w:val="23"/>
          <w:lang w:val="fr-FR"/>
        </w:rPr>
        <w:t>évaluation solide de l</w:t>
      </w:r>
      <w:r w:rsidR="00713487">
        <w:rPr>
          <w:sz w:val="23"/>
          <w:szCs w:val="23"/>
          <w:lang w:val="fr-FR"/>
        </w:rPr>
        <w:t>’</w:t>
      </w:r>
      <w:r w:rsidRPr="009E1089">
        <w:rPr>
          <w:sz w:val="23"/>
          <w:szCs w:val="23"/>
          <w:lang w:val="fr-FR"/>
        </w:rPr>
        <w:t>impact des projets sur les populations vulnérables et importantes, telles que les peuples autochtones et les communautés locales, en particulier en ce qui concerne la manière dont les sauvegardes et les politiques pertinentes concernant ces groupes ont été respectées, et la question de savoir s</w:t>
      </w:r>
      <w:r w:rsidR="00713487">
        <w:rPr>
          <w:sz w:val="23"/>
          <w:szCs w:val="23"/>
          <w:lang w:val="fr-FR"/>
        </w:rPr>
        <w:t>’</w:t>
      </w:r>
      <w:r w:rsidRPr="009E1089">
        <w:rPr>
          <w:sz w:val="23"/>
          <w:szCs w:val="23"/>
          <w:lang w:val="fr-FR"/>
        </w:rPr>
        <w:t>ils participent activement à un projet et s</w:t>
      </w:r>
      <w:r w:rsidR="00713487">
        <w:rPr>
          <w:sz w:val="23"/>
          <w:szCs w:val="23"/>
          <w:lang w:val="fr-FR"/>
        </w:rPr>
        <w:t>’</w:t>
      </w:r>
      <w:r w:rsidRPr="009E1089">
        <w:rPr>
          <w:sz w:val="23"/>
          <w:szCs w:val="23"/>
          <w:lang w:val="fr-FR"/>
        </w:rPr>
        <w:t>ils en retirent des avantages.</w:t>
      </w:r>
    </w:p>
    <w:p w14:paraId="58D5F531" w14:textId="00598ED3" w:rsidR="00FA2137" w:rsidRPr="0049796C" w:rsidRDefault="00FA2137" w:rsidP="00555AEE">
      <w:pPr>
        <w:pStyle w:val="Heading3"/>
        <w:rPr>
          <w:i/>
          <w:lang w:val="fr-FR"/>
        </w:rPr>
      </w:pPr>
      <w:bookmarkStart w:id="7" w:name="_Toc177047032"/>
      <w:r w:rsidRPr="0049796C">
        <w:rPr>
          <w:lang w:val="fr-FR"/>
        </w:rPr>
        <w:t>Synerg</w:t>
      </w:r>
      <w:r w:rsidR="00CA52F4">
        <w:rPr>
          <w:lang w:val="fr-FR"/>
        </w:rPr>
        <w:t>ies avec les AME pertinents</w:t>
      </w:r>
      <w:bookmarkEnd w:id="7"/>
      <w:r w:rsidRPr="0049796C">
        <w:rPr>
          <w:lang w:val="fr-FR"/>
        </w:rPr>
        <w:t xml:space="preserve"> </w:t>
      </w:r>
    </w:p>
    <w:p w14:paraId="232C357D" w14:textId="42F26485" w:rsidR="00FA2137" w:rsidRPr="0049796C" w:rsidRDefault="00FB5621" w:rsidP="00362D98">
      <w:pPr>
        <w:pStyle w:val="CBDNormalNumber"/>
        <w:numPr>
          <w:ilvl w:val="0"/>
          <w:numId w:val="9"/>
        </w:numPr>
        <w:rPr>
          <w:sz w:val="23"/>
          <w:szCs w:val="23"/>
          <w:lang w:val="fr-FR"/>
        </w:rPr>
      </w:pPr>
      <w:r w:rsidRPr="00FB5621">
        <w:rPr>
          <w:sz w:val="23"/>
          <w:szCs w:val="23"/>
          <w:lang w:val="fr-FR"/>
        </w:rPr>
        <w:t>Le FEM joue un rôle essentiel dans la création de synergies entre la mise en œuvre des AME pertinents et la CBD. Le FEM a concrétisé les orientations de la COP, notamment par la mise en œuvre de projets portant sur plusieurs domaines d</w:t>
      </w:r>
      <w:r w:rsidR="00713487">
        <w:rPr>
          <w:sz w:val="23"/>
          <w:szCs w:val="23"/>
          <w:lang w:val="fr-FR"/>
        </w:rPr>
        <w:t>’</w:t>
      </w:r>
      <w:r w:rsidRPr="00FB5621">
        <w:rPr>
          <w:sz w:val="23"/>
          <w:szCs w:val="23"/>
          <w:lang w:val="fr-FR"/>
        </w:rPr>
        <w:t>intervention et par le lancement du projet pilote sur les approches intégrées dans le cadre de la sixième édition du FEM. Parmi les autres projets qui font progresser les objectifs des AME pour lesquels le FEM n</w:t>
      </w:r>
      <w:r w:rsidR="00713487">
        <w:rPr>
          <w:sz w:val="23"/>
          <w:szCs w:val="23"/>
          <w:lang w:val="fr-FR"/>
        </w:rPr>
        <w:t>’</w:t>
      </w:r>
      <w:r w:rsidRPr="00FB5621">
        <w:rPr>
          <w:sz w:val="23"/>
          <w:szCs w:val="23"/>
          <w:lang w:val="fr-FR"/>
        </w:rPr>
        <w:t>est pas la structure institutionnelle gérant le mécanisme financier, on peut citer le programme intégré de conservation de la faune et de la flore sauvages pour le développement, qui répond aux priorités mondiales définies par la CBD, la CCNUCC, la CNULD, la CITES et la CMS. La COP de la CBD facilite la transmission des orientations au FEM pour soutenir les activités menées dans le cadre des autres conventions sur la biodiversité</w:t>
      </w:r>
      <w:r w:rsidR="00C81A44" w:rsidRPr="0049796C">
        <w:rPr>
          <w:sz w:val="23"/>
          <w:szCs w:val="23"/>
          <w:lang w:val="fr-FR"/>
        </w:rPr>
        <w:t xml:space="preserve">. </w:t>
      </w:r>
    </w:p>
    <w:p w14:paraId="720CCA55" w14:textId="091162D9" w:rsidR="00FA2137" w:rsidRPr="0049796C" w:rsidRDefault="00874B06" w:rsidP="00362D98">
      <w:pPr>
        <w:pStyle w:val="CBDNormalNumber"/>
        <w:numPr>
          <w:ilvl w:val="0"/>
          <w:numId w:val="9"/>
        </w:numPr>
        <w:rPr>
          <w:sz w:val="23"/>
          <w:szCs w:val="23"/>
          <w:lang w:val="fr-FR"/>
        </w:rPr>
      </w:pPr>
      <w:r w:rsidRPr="00874B06">
        <w:rPr>
          <w:sz w:val="23"/>
          <w:szCs w:val="23"/>
          <w:lang w:val="fr-FR"/>
        </w:rPr>
        <w:t>Toutefois, il est nécessaire de renforcer la cohérence et la complémentarité avec ces AME. Bien que les Parties contractantes en développement soient généralement d</w:t>
      </w:r>
      <w:r w:rsidR="00713487">
        <w:rPr>
          <w:sz w:val="23"/>
          <w:szCs w:val="23"/>
          <w:lang w:val="fr-FR"/>
        </w:rPr>
        <w:t>’</w:t>
      </w:r>
      <w:r w:rsidRPr="00874B06">
        <w:rPr>
          <w:sz w:val="23"/>
          <w:szCs w:val="23"/>
          <w:lang w:val="fr-FR"/>
        </w:rPr>
        <w:t>avis que le FEM est efficace et efficient, les suggestions sur la manière d</w:t>
      </w:r>
      <w:r w:rsidR="00713487">
        <w:rPr>
          <w:sz w:val="23"/>
          <w:szCs w:val="23"/>
          <w:lang w:val="fr-FR"/>
        </w:rPr>
        <w:t>’</w:t>
      </w:r>
      <w:r w:rsidRPr="00874B06">
        <w:rPr>
          <w:sz w:val="23"/>
          <w:szCs w:val="23"/>
          <w:lang w:val="fr-FR"/>
        </w:rPr>
        <w:t>améliorer l</w:t>
      </w:r>
      <w:r w:rsidR="00713487">
        <w:rPr>
          <w:sz w:val="23"/>
          <w:szCs w:val="23"/>
          <w:lang w:val="fr-FR"/>
        </w:rPr>
        <w:t>’</w:t>
      </w:r>
      <w:r w:rsidRPr="00874B06">
        <w:rPr>
          <w:sz w:val="23"/>
          <w:szCs w:val="23"/>
          <w:lang w:val="fr-FR"/>
        </w:rPr>
        <w:t>efficacité comprennent des ressources financières supplémentaires et davantage d</w:t>
      </w:r>
      <w:r w:rsidR="00713487">
        <w:rPr>
          <w:sz w:val="23"/>
          <w:szCs w:val="23"/>
          <w:lang w:val="fr-FR"/>
        </w:rPr>
        <w:t>’</w:t>
      </w:r>
      <w:r w:rsidRPr="00874B06">
        <w:rPr>
          <w:sz w:val="23"/>
          <w:szCs w:val="23"/>
          <w:lang w:val="fr-FR"/>
        </w:rPr>
        <w:t>efforts pour renforcer la cohérence et la complémentarité entre les diverses initiatives internationales.</w:t>
      </w:r>
    </w:p>
    <w:p w14:paraId="6FBB1B7B" w14:textId="00437007" w:rsidR="00FA2137" w:rsidRPr="0049796C" w:rsidRDefault="00FA2137" w:rsidP="00555AEE">
      <w:pPr>
        <w:pStyle w:val="Heading2"/>
        <w:rPr>
          <w:rFonts w:ascii="Times New Roman" w:hAnsi="Times New Roman"/>
          <w:lang w:val="fr-FR"/>
        </w:rPr>
      </w:pPr>
      <w:bookmarkStart w:id="8" w:name="_Toc177044387"/>
      <w:bookmarkStart w:id="9" w:name="_Toc177045670"/>
      <w:bookmarkStart w:id="10" w:name="_Toc177047034"/>
      <w:bookmarkStart w:id="11" w:name="_Toc177044388"/>
      <w:bookmarkStart w:id="12" w:name="_Toc177045671"/>
      <w:bookmarkStart w:id="13" w:name="_Toc177047035"/>
      <w:bookmarkStart w:id="14" w:name="_Toc177047036"/>
      <w:bookmarkEnd w:id="8"/>
      <w:bookmarkEnd w:id="9"/>
      <w:bookmarkEnd w:id="10"/>
      <w:bookmarkEnd w:id="11"/>
      <w:bookmarkEnd w:id="12"/>
      <w:bookmarkEnd w:id="13"/>
      <w:r w:rsidRPr="0049796C">
        <w:rPr>
          <w:rFonts w:ascii="Times New Roman" w:hAnsi="Times New Roman"/>
          <w:lang w:val="fr-FR"/>
        </w:rPr>
        <w:t xml:space="preserve">Structure </w:t>
      </w:r>
      <w:r w:rsidR="00874B06">
        <w:rPr>
          <w:rFonts w:ascii="Times New Roman" w:hAnsi="Times New Roman"/>
          <w:lang w:val="fr-FR"/>
        </w:rPr>
        <w:t xml:space="preserve">et fonctionnement </w:t>
      </w:r>
      <w:bookmarkEnd w:id="14"/>
      <w:r w:rsidR="00874B06">
        <w:rPr>
          <w:rFonts w:ascii="Times New Roman" w:hAnsi="Times New Roman"/>
          <w:lang w:val="fr-FR"/>
        </w:rPr>
        <w:t>du FEM</w:t>
      </w:r>
    </w:p>
    <w:p w14:paraId="781A4095" w14:textId="0E6CF76E" w:rsidR="00FA2137" w:rsidRPr="0049796C" w:rsidRDefault="001B5C3B" w:rsidP="00555AEE">
      <w:pPr>
        <w:pStyle w:val="Heading3"/>
        <w:rPr>
          <w:i/>
          <w:lang w:val="fr-FR"/>
        </w:rPr>
      </w:pPr>
      <w:r w:rsidRPr="001B5C3B">
        <w:rPr>
          <w:lang w:val="fr-FR"/>
        </w:rPr>
        <w:t>Représentation et élaboration des politiques</w:t>
      </w:r>
      <w:r>
        <w:rPr>
          <w:lang w:val="fr-FR"/>
        </w:rPr>
        <w:t xml:space="preserve"> opérationnelles</w:t>
      </w:r>
    </w:p>
    <w:p w14:paraId="222C7A8F" w14:textId="12A096C4" w:rsidR="00FA2137" w:rsidRPr="0049796C" w:rsidRDefault="006228AF" w:rsidP="00362D98">
      <w:pPr>
        <w:pStyle w:val="CBDNormalNumber"/>
        <w:numPr>
          <w:ilvl w:val="0"/>
          <w:numId w:val="9"/>
        </w:numPr>
        <w:rPr>
          <w:sz w:val="23"/>
          <w:szCs w:val="23"/>
          <w:lang w:val="fr-FR"/>
        </w:rPr>
      </w:pPr>
      <w:r w:rsidRPr="006228AF">
        <w:rPr>
          <w:sz w:val="23"/>
          <w:szCs w:val="23"/>
          <w:lang w:val="fr-FR"/>
        </w:rPr>
        <w:t>La représentation au Conseil est équilibrée entre les pays bénéficiaires et les pays non bénéficiaires. L</w:t>
      </w:r>
      <w:r w:rsidR="00713487">
        <w:rPr>
          <w:sz w:val="23"/>
          <w:szCs w:val="23"/>
          <w:lang w:val="fr-FR"/>
        </w:rPr>
        <w:t>’</w:t>
      </w:r>
      <w:r w:rsidRPr="006228AF">
        <w:rPr>
          <w:sz w:val="23"/>
          <w:szCs w:val="23"/>
          <w:lang w:val="fr-FR"/>
        </w:rPr>
        <w:t>instrument établit que les pays sont regroupés en 32 circonscriptions, 18 circonscriptions étant composées de pays bénéficiaires et 14 circonscriptions étant principalement composées de pays donateurs. Le règlement prévoit la procédure à suivre pour déterminer quel pays appartient à quelle circonscription et comment les pays peuvent changer de circonscription. Actuellement, la représentation ne tient pas suffisamment compte de nuances telles que la répartition équitable ou géographique des pays, comme le Fonds d</w:t>
      </w:r>
      <w:r w:rsidR="00713487">
        <w:rPr>
          <w:sz w:val="23"/>
          <w:szCs w:val="23"/>
          <w:lang w:val="fr-FR"/>
        </w:rPr>
        <w:t>’</w:t>
      </w:r>
      <w:r w:rsidRPr="006228AF">
        <w:rPr>
          <w:sz w:val="23"/>
          <w:szCs w:val="23"/>
          <w:lang w:val="fr-FR"/>
        </w:rPr>
        <w:t xml:space="preserve">adaptation, les pays présentant les plus grands indices de biodiversité (pays </w:t>
      </w:r>
      <w:proofErr w:type="spellStart"/>
      <w:r w:rsidRPr="006228AF">
        <w:rPr>
          <w:sz w:val="23"/>
          <w:szCs w:val="23"/>
          <w:lang w:val="fr-FR"/>
        </w:rPr>
        <w:t>mégadivers</w:t>
      </w:r>
      <w:proofErr w:type="spellEnd"/>
      <w:r w:rsidRPr="006228AF">
        <w:rPr>
          <w:sz w:val="23"/>
          <w:szCs w:val="23"/>
          <w:lang w:val="fr-FR"/>
        </w:rPr>
        <w:t xml:space="preserve">) ou les pays comptant un nombre important de populations vulnérables ou autochtones. Le fait que ces aspects importants ne soient pas correctement représentés dans la gouvernance du FEM constitue une différence importante avec la CBD et, en fin de compte, compromet le soutien des Parties au </w:t>
      </w:r>
      <w:r w:rsidRPr="006228AF">
        <w:rPr>
          <w:sz w:val="23"/>
          <w:szCs w:val="23"/>
          <w:lang w:val="fr-FR"/>
        </w:rPr>
        <w:lastRenderedPageBreak/>
        <w:t>FEM en tant qu</w:t>
      </w:r>
      <w:r w:rsidR="00713487">
        <w:rPr>
          <w:sz w:val="23"/>
          <w:szCs w:val="23"/>
          <w:lang w:val="fr-FR"/>
        </w:rPr>
        <w:t>’</w:t>
      </w:r>
      <w:r w:rsidRPr="006228AF">
        <w:rPr>
          <w:sz w:val="23"/>
          <w:szCs w:val="23"/>
          <w:lang w:val="fr-FR"/>
        </w:rPr>
        <w:t>entité chargée du fonctionnement du mécanisme financier. La neuvième reconstitution des ressources du FEM est l</w:t>
      </w:r>
      <w:r w:rsidR="00713487">
        <w:rPr>
          <w:sz w:val="23"/>
          <w:szCs w:val="23"/>
          <w:lang w:val="fr-FR"/>
        </w:rPr>
        <w:t>’</w:t>
      </w:r>
      <w:r w:rsidRPr="006228AF">
        <w:rPr>
          <w:sz w:val="23"/>
          <w:szCs w:val="23"/>
          <w:lang w:val="fr-FR"/>
        </w:rPr>
        <w:t>occasion de réexaminer la représentation au sein du Conseil afin de mieux l</w:t>
      </w:r>
      <w:r w:rsidR="00713487">
        <w:rPr>
          <w:sz w:val="23"/>
          <w:szCs w:val="23"/>
          <w:lang w:val="fr-FR"/>
        </w:rPr>
        <w:t>’</w:t>
      </w:r>
      <w:r w:rsidRPr="006228AF">
        <w:rPr>
          <w:sz w:val="23"/>
          <w:szCs w:val="23"/>
          <w:lang w:val="fr-FR"/>
        </w:rPr>
        <w:t>aligner sur la Convention.</w:t>
      </w:r>
    </w:p>
    <w:p w14:paraId="1F667F1E" w14:textId="3B6B5C05" w:rsidR="00FA2137" w:rsidRPr="0049796C" w:rsidRDefault="00917AD6" w:rsidP="00362D98">
      <w:pPr>
        <w:pStyle w:val="CBDNormalNumber"/>
        <w:numPr>
          <w:ilvl w:val="0"/>
          <w:numId w:val="9"/>
        </w:numPr>
        <w:rPr>
          <w:sz w:val="23"/>
          <w:szCs w:val="23"/>
          <w:lang w:val="fr-FR"/>
        </w:rPr>
      </w:pPr>
      <w:r w:rsidRPr="00917AD6">
        <w:rPr>
          <w:sz w:val="23"/>
          <w:szCs w:val="23"/>
          <w:lang w:val="fr-FR"/>
        </w:rPr>
        <w:t>Le Cinquième bilan a constaté que si le FEM continue d</w:t>
      </w:r>
      <w:r w:rsidR="00713487">
        <w:rPr>
          <w:sz w:val="23"/>
          <w:szCs w:val="23"/>
          <w:lang w:val="fr-FR"/>
        </w:rPr>
        <w:t>’</w:t>
      </w:r>
      <w:r w:rsidRPr="00917AD6">
        <w:rPr>
          <w:sz w:val="23"/>
          <w:szCs w:val="23"/>
          <w:lang w:val="fr-FR"/>
        </w:rPr>
        <w:t>être une organisation transparente sur le plan de la gouvernance, il l</w:t>
      </w:r>
      <w:r w:rsidR="00713487">
        <w:rPr>
          <w:sz w:val="23"/>
          <w:szCs w:val="23"/>
          <w:lang w:val="fr-FR"/>
        </w:rPr>
        <w:t>’</w:t>
      </w:r>
      <w:r w:rsidRPr="00917AD6">
        <w:rPr>
          <w:sz w:val="23"/>
          <w:szCs w:val="23"/>
          <w:lang w:val="fr-FR"/>
        </w:rPr>
        <w:t>est moins sur le plan de la gestion. En application d</w:t>
      </w:r>
      <w:r w:rsidR="00713487">
        <w:rPr>
          <w:sz w:val="23"/>
          <w:szCs w:val="23"/>
          <w:lang w:val="fr-FR"/>
        </w:rPr>
        <w:t>’</w:t>
      </w:r>
      <w:r w:rsidRPr="00917AD6">
        <w:rPr>
          <w:sz w:val="23"/>
          <w:szCs w:val="23"/>
          <w:lang w:val="fr-FR"/>
        </w:rPr>
        <w:t>une enquête sur la gouvernance du FEM, le RI a constaté que la moitié seulement des participants à l</w:t>
      </w:r>
      <w:r w:rsidR="00713487">
        <w:rPr>
          <w:sz w:val="23"/>
          <w:szCs w:val="23"/>
          <w:lang w:val="fr-FR"/>
        </w:rPr>
        <w:t>’</w:t>
      </w:r>
      <w:r w:rsidRPr="00917AD6">
        <w:rPr>
          <w:sz w:val="23"/>
          <w:szCs w:val="23"/>
          <w:lang w:val="fr-FR"/>
        </w:rPr>
        <w:t>enquête sur la gouvernance du FEM estimaient que l</w:t>
      </w:r>
      <w:r w:rsidR="00713487">
        <w:rPr>
          <w:sz w:val="23"/>
          <w:szCs w:val="23"/>
          <w:lang w:val="fr-FR"/>
        </w:rPr>
        <w:t>’</w:t>
      </w:r>
      <w:r w:rsidRPr="00917AD6">
        <w:rPr>
          <w:sz w:val="23"/>
          <w:szCs w:val="23"/>
          <w:lang w:val="fr-FR"/>
        </w:rPr>
        <w:t>élaboration des politiques était suffisamment transparente. L</w:t>
      </w:r>
      <w:r w:rsidR="00713487">
        <w:rPr>
          <w:sz w:val="23"/>
          <w:szCs w:val="23"/>
          <w:lang w:val="fr-FR"/>
        </w:rPr>
        <w:t>’</w:t>
      </w:r>
      <w:r w:rsidRPr="00917AD6">
        <w:rPr>
          <w:sz w:val="23"/>
          <w:szCs w:val="23"/>
          <w:lang w:val="fr-FR"/>
        </w:rPr>
        <w:t>examen a conclu à l</w:t>
      </w:r>
      <w:r w:rsidR="00713487">
        <w:rPr>
          <w:sz w:val="23"/>
          <w:szCs w:val="23"/>
          <w:lang w:val="fr-FR"/>
        </w:rPr>
        <w:t>’</w:t>
      </w:r>
      <w:r w:rsidRPr="00917AD6">
        <w:rPr>
          <w:sz w:val="23"/>
          <w:szCs w:val="23"/>
          <w:lang w:val="fr-FR"/>
        </w:rPr>
        <w:t>importance de continuer à mettre l</w:t>
      </w:r>
      <w:r w:rsidR="00713487">
        <w:rPr>
          <w:sz w:val="23"/>
          <w:szCs w:val="23"/>
          <w:lang w:val="fr-FR"/>
        </w:rPr>
        <w:t>’</w:t>
      </w:r>
      <w:r w:rsidRPr="00917AD6">
        <w:rPr>
          <w:sz w:val="23"/>
          <w:szCs w:val="23"/>
          <w:lang w:val="fr-FR"/>
        </w:rPr>
        <w:t>accent sur le principe d</w:t>
      </w:r>
      <w:r w:rsidR="00713487">
        <w:rPr>
          <w:sz w:val="23"/>
          <w:szCs w:val="23"/>
          <w:lang w:val="fr-FR"/>
        </w:rPr>
        <w:t>’</w:t>
      </w:r>
      <w:r w:rsidRPr="00917AD6">
        <w:rPr>
          <w:sz w:val="23"/>
          <w:szCs w:val="23"/>
          <w:lang w:val="fr-FR"/>
        </w:rPr>
        <w:t>intégration dans la programmation du FEM, en insistant sur l</w:t>
      </w:r>
      <w:r w:rsidR="00713487">
        <w:rPr>
          <w:sz w:val="23"/>
          <w:szCs w:val="23"/>
          <w:lang w:val="fr-FR"/>
        </w:rPr>
        <w:t>’</w:t>
      </w:r>
      <w:r w:rsidRPr="00917AD6">
        <w:rPr>
          <w:sz w:val="23"/>
          <w:szCs w:val="23"/>
          <w:lang w:val="fr-FR"/>
        </w:rPr>
        <w:t>amélioration de l</w:t>
      </w:r>
      <w:r w:rsidR="00713487">
        <w:rPr>
          <w:sz w:val="23"/>
          <w:szCs w:val="23"/>
          <w:lang w:val="fr-FR"/>
        </w:rPr>
        <w:t>’</w:t>
      </w:r>
      <w:r w:rsidRPr="00917AD6">
        <w:rPr>
          <w:sz w:val="23"/>
          <w:szCs w:val="23"/>
          <w:lang w:val="fr-FR"/>
        </w:rPr>
        <w:t>efficience, de la transparence, de l</w:t>
      </w:r>
      <w:r w:rsidR="00713487">
        <w:rPr>
          <w:sz w:val="23"/>
          <w:szCs w:val="23"/>
          <w:lang w:val="fr-FR"/>
        </w:rPr>
        <w:t>’</w:t>
      </w:r>
      <w:r w:rsidRPr="00917AD6">
        <w:rPr>
          <w:sz w:val="23"/>
          <w:szCs w:val="23"/>
          <w:lang w:val="fr-FR"/>
        </w:rPr>
        <w:t>innovation et de l</w:t>
      </w:r>
      <w:r w:rsidR="00713487">
        <w:rPr>
          <w:sz w:val="23"/>
          <w:szCs w:val="23"/>
          <w:lang w:val="fr-FR"/>
        </w:rPr>
        <w:t>’</w:t>
      </w:r>
      <w:proofErr w:type="spellStart"/>
      <w:r w:rsidRPr="00917AD6">
        <w:rPr>
          <w:sz w:val="23"/>
          <w:szCs w:val="23"/>
          <w:lang w:val="fr-FR"/>
        </w:rPr>
        <w:t>additionnalité</w:t>
      </w:r>
      <w:proofErr w:type="spellEnd"/>
      <w:r w:rsidRPr="00917AD6">
        <w:rPr>
          <w:sz w:val="23"/>
          <w:szCs w:val="23"/>
          <w:lang w:val="fr-FR"/>
        </w:rPr>
        <w:t>. Dans la septième évaluation globale (OPS</w:t>
      </w:r>
      <w:r w:rsidR="008310A9">
        <w:rPr>
          <w:sz w:val="23"/>
          <w:szCs w:val="23"/>
          <w:lang w:val="fr-FR"/>
        </w:rPr>
        <w:t> </w:t>
      </w:r>
      <w:r w:rsidRPr="00917AD6">
        <w:rPr>
          <w:sz w:val="23"/>
          <w:szCs w:val="23"/>
          <w:lang w:val="fr-FR"/>
        </w:rPr>
        <w:t>7), il a été constaté que le déploiement des programmes d</w:t>
      </w:r>
      <w:r w:rsidR="00713487">
        <w:rPr>
          <w:sz w:val="23"/>
          <w:szCs w:val="23"/>
          <w:lang w:val="fr-FR"/>
        </w:rPr>
        <w:t>’</w:t>
      </w:r>
      <w:r w:rsidRPr="00917AD6">
        <w:rPr>
          <w:sz w:val="23"/>
          <w:szCs w:val="23"/>
          <w:lang w:val="fr-FR"/>
        </w:rPr>
        <w:t>impact du FEM-7 était plus transparent et plus inclusif, y compris le processus de sélection des pays. Toutefois, aucun exemple n</w:t>
      </w:r>
      <w:r w:rsidR="00713487">
        <w:rPr>
          <w:sz w:val="23"/>
          <w:szCs w:val="23"/>
          <w:lang w:val="fr-FR"/>
        </w:rPr>
        <w:t>’</w:t>
      </w:r>
      <w:r w:rsidRPr="00917AD6">
        <w:rPr>
          <w:sz w:val="23"/>
          <w:szCs w:val="23"/>
          <w:lang w:val="fr-FR"/>
        </w:rPr>
        <w:t>a été fourni.</w:t>
      </w:r>
    </w:p>
    <w:p w14:paraId="5E499C1B" w14:textId="7221A8CA" w:rsidR="004E1384" w:rsidRPr="0049796C" w:rsidRDefault="00D65E7F" w:rsidP="0009721B">
      <w:pPr>
        <w:pStyle w:val="CBDNormalNumber"/>
        <w:numPr>
          <w:ilvl w:val="0"/>
          <w:numId w:val="0"/>
        </w:numPr>
        <w:ind w:left="567"/>
        <w:rPr>
          <w:b/>
          <w:bCs/>
          <w:sz w:val="23"/>
          <w:szCs w:val="23"/>
          <w:lang w:val="fr-FR"/>
        </w:rPr>
      </w:pPr>
      <w:r w:rsidRPr="00D65E7F">
        <w:rPr>
          <w:b/>
          <w:bCs/>
          <w:lang w:val="fr-FR"/>
        </w:rPr>
        <w:t>Peuples autochtones et communautés locales</w:t>
      </w:r>
    </w:p>
    <w:p w14:paraId="12B82D67" w14:textId="4C19FA34" w:rsidR="00FA2137" w:rsidRPr="0049796C" w:rsidRDefault="00D65E7F" w:rsidP="00362D98">
      <w:pPr>
        <w:pStyle w:val="CBDNormalNumber"/>
        <w:numPr>
          <w:ilvl w:val="0"/>
          <w:numId w:val="9"/>
        </w:numPr>
        <w:rPr>
          <w:sz w:val="23"/>
          <w:szCs w:val="23"/>
          <w:lang w:val="fr-FR"/>
        </w:rPr>
      </w:pPr>
      <w:r w:rsidRPr="00D65E7F">
        <w:rPr>
          <w:sz w:val="23"/>
          <w:szCs w:val="23"/>
          <w:lang w:val="fr-FR"/>
        </w:rPr>
        <w:t>L</w:t>
      </w:r>
      <w:r w:rsidR="00713487">
        <w:rPr>
          <w:sz w:val="23"/>
          <w:szCs w:val="23"/>
          <w:lang w:val="fr-FR"/>
        </w:rPr>
        <w:t>’</w:t>
      </w:r>
      <w:r w:rsidRPr="00D65E7F">
        <w:rPr>
          <w:sz w:val="23"/>
          <w:szCs w:val="23"/>
          <w:lang w:val="fr-FR"/>
        </w:rPr>
        <w:t>une des conditions essentielles à la mise en œuvre des projets du FEM est l</w:t>
      </w:r>
      <w:r w:rsidR="00713487">
        <w:rPr>
          <w:sz w:val="23"/>
          <w:szCs w:val="23"/>
          <w:lang w:val="fr-FR"/>
        </w:rPr>
        <w:t>’</w:t>
      </w:r>
      <w:r w:rsidRPr="00D65E7F">
        <w:rPr>
          <w:sz w:val="23"/>
          <w:szCs w:val="23"/>
          <w:lang w:val="fr-FR"/>
        </w:rPr>
        <w:t>approche communautaire, qui vise à soutenir l</w:t>
      </w:r>
      <w:r w:rsidR="00713487">
        <w:rPr>
          <w:sz w:val="23"/>
          <w:szCs w:val="23"/>
          <w:lang w:val="fr-FR"/>
        </w:rPr>
        <w:t>’</w:t>
      </w:r>
      <w:r w:rsidRPr="00D65E7F">
        <w:rPr>
          <w:sz w:val="23"/>
          <w:szCs w:val="23"/>
          <w:lang w:val="fr-FR"/>
        </w:rPr>
        <w:t>engagement participatif, la mobilisation des communautés et l</w:t>
      </w:r>
      <w:r w:rsidR="00713487">
        <w:rPr>
          <w:sz w:val="23"/>
          <w:szCs w:val="23"/>
          <w:lang w:val="fr-FR"/>
        </w:rPr>
        <w:t>’</w:t>
      </w:r>
      <w:r w:rsidRPr="00D65E7F">
        <w:rPr>
          <w:sz w:val="23"/>
          <w:szCs w:val="23"/>
          <w:lang w:val="fr-FR"/>
        </w:rPr>
        <w:t>organisation de la société civile dans la mise en œuvre des programmes.</w:t>
      </w:r>
    </w:p>
    <w:p w14:paraId="3EB2845C" w14:textId="00056E1A" w:rsidR="00FA2137" w:rsidRPr="0049796C" w:rsidRDefault="00AC0E0A" w:rsidP="00362D98">
      <w:pPr>
        <w:pStyle w:val="CBDNormalNumber"/>
        <w:numPr>
          <w:ilvl w:val="0"/>
          <w:numId w:val="9"/>
        </w:numPr>
        <w:rPr>
          <w:sz w:val="23"/>
          <w:szCs w:val="23"/>
          <w:lang w:val="fr-FR"/>
        </w:rPr>
      </w:pPr>
      <w:r w:rsidRPr="00AC0E0A">
        <w:rPr>
          <w:sz w:val="23"/>
          <w:szCs w:val="23"/>
          <w:lang w:val="fr-FR"/>
        </w:rPr>
        <w:t>En ce qui concerne les peuples autochtones et les communautés locales, environ 17 % des projets de grande envergure et des projets de taille moyenne du FEM-7 font l</w:t>
      </w:r>
      <w:r w:rsidR="00713487">
        <w:rPr>
          <w:sz w:val="23"/>
          <w:szCs w:val="23"/>
          <w:lang w:val="fr-FR"/>
        </w:rPr>
        <w:t>’</w:t>
      </w:r>
      <w:r w:rsidRPr="00AC0E0A">
        <w:rPr>
          <w:sz w:val="23"/>
          <w:szCs w:val="23"/>
          <w:lang w:val="fr-FR"/>
        </w:rPr>
        <w:t>objet d</w:t>
      </w:r>
      <w:r w:rsidR="00713487">
        <w:rPr>
          <w:sz w:val="23"/>
          <w:szCs w:val="23"/>
          <w:lang w:val="fr-FR"/>
        </w:rPr>
        <w:t>’</w:t>
      </w:r>
      <w:r w:rsidRPr="00AC0E0A">
        <w:rPr>
          <w:sz w:val="23"/>
          <w:szCs w:val="23"/>
          <w:lang w:val="fr-FR"/>
        </w:rPr>
        <w:t>un engagement substantiel de la part des peuples autochtones et des communautés locales. Le programme de microfinancements du FEM est un exemple de longue date de ce type d</w:t>
      </w:r>
      <w:r w:rsidR="00713487">
        <w:rPr>
          <w:sz w:val="23"/>
          <w:szCs w:val="23"/>
          <w:lang w:val="fr-FR"/>
        </w:rPr>
        <w:t>’</w:t>
      </w:r>
      <w:r w:rsidRPr="00AC0E0A">
        <w:rPr>
          <w:sz w:val="23"/>
          <w:szCs w:val="23"/>
          <w:lang w:val="fr-FR"/>
        </w:rPr>
        <w:t>engagement. Une initiative d</w:t>
      </w:r>
      <w:r w:rsidR="00713487">
        <w:rPr>
          <w:sz w:val="23"/>
          <w:szCs w:val="23"/>
          <w:lang w:val="fr-FR"/>
        </w:rPr>
        <w:t>’</w:t>
      </w:r>
      <w:r w:rsidRPr="00AC0E0A">
        <w:rPr>
          <w:sz w:val="23"/>
          <w:szCs w:val="23"/>
          <w:lang w:val="fr-FR"/>
        </w:rPr>
        <w:t>engagement récente est l</w:t>
      </w:r>
      <w:r w:rsidR="00713487">
        <w:rPr>
          <w:sz w:val="23"/>
          <w:szCs w:val="23"/>
          <w:lang w:val="fr-FR"/>
        </w:rPr>
        <w:t>’</w:t>
      </w:r>
      <w:r w:rsidRPr="00AC0E0A">
        <w:rPr>
          <w:sz w:val="23"/>
          <w:szCs w:val="23"/>
          <w:lang w:val="fr-FR"/>
        </w:rPr>
        <w:t>initiative pilote de conservation inclusive, qui vise à apporter un soutien aussi direct que possible aux populations autochtones et aux communautés locales pour préserver la biodiversité, fournir d</w:t>
      </w:r>
      <w:r w:rsidR="00713487">
        <w:rPr>
          <w:sz w:val="23"/>
          <w:szCs w:val="23"/>
          <w:lang w:val="fr-FR"/>
        </w:rPr>
        <w:t>’</w:t>
      </w:r>
      <w:r w:rsidRPr="00AC0E0A">
        <w:rPr>
          <w:sz w:val="23"/>
          <w:szCs w:val="23"/>
          <w:lang w:val="fr-FR"/>
        </w:rPr>
        <w:t>autres avantages environnementaux au niveau mondial et apporter des avantages en matière de développement. Des recommandations ont été adressées au FEM-8 en vue d</w:t>
      </w:r>
      <w:r w:rsidR="00713487">
        <w:rPr>
          <w:sz w:val="23"/>
          <w:szCs w:val="23"/>
          <w:lang w:val="fr-FR"/>
        </w:rPr>
        <w:t>’</w:t>
      </w:r>
      <w:r w:rsidRPr="00AC0E0A">
        <w:rPr>
          <w:sz w:val="23"/>
          <w:szCs w:val="23"/>
          <w:lang w:val="fr-FR"/>
        </w:rPr>
        <w:t>accroître les ressources de cette initiative. Cependant, il n</w:t>
      </w:r>
      <w:r w:rsidR="00713487">
        <w:rPr>
          <w:sz w:val="23"/>
          <w:szCs w:val="23"/>
          <w:lang w:val="fr-FR"/>
        </w:rPr>
        <w:t>’</w:t>
      </w:r>
      <w:r w:rsidRPr="00AC0E0A">
        <w:rPr>
          <w:sz w:val="23"/>
          <w:szCs w:val="23"/>
          <w:lang w:val="fr-FR"/>
        </w:rPr>
        <w:t>existe pas non plus de suivi systématique de l</w:t>
      </w:r>
      <w:r w:rsidR="00713487">
        <w:rPr>
          <w:sz w:val="23"/>
          <w:szCs w:val="23"/>
          <w:lang w:val="fr-FR"/>
        </w:rPr>
        <w:t>’</w:t>
      </w:r>
      <w:r w:rsidRPr="00AC0E0A">
        <w:rPr>
          <w:sz w:val="23"/>
          <w:szCs w:val="23"/>
          <w:lang w:val="fr-FR"/>
        </w:rPr>
        <w:t>aide financière apportée aux peuples autochtones et aux communautés locales, aux femmes ou aux jeunes, en raison des difficultés à établir des données de référence. Il ne semble pas non plus y avoir d</w:t>
      </w:r>
      <w:r w:rsidR="00713487">
        <w:rPr>
          <w:sz w:val="23"/>
          <w:szCs w:val="23"/>
          <w:lang w:val="fr-FR"/>
        </w:rPr>
        <w:t>’</w:t>
      </w:r>
      <w:r w:rsidRPr="00AC0E0A">
        <w:rPr>
          <w:sz w:val="23"/>
          <w:szCs w:val="23"/>
          <w:lang w:val="fr-FR"/>
        </w:rPr>
        <w:t>indicateurs spécifiques pour mesurer les avantages conférés aux peuples autochtones et aux communautés locales. Les premiers travaux du Fonds du FEM et son objectif de 20 % pour les peuples autochtones et les communautés locales sont largement reconnus comme une réponse importante pour accroître l</w:t>
      </w:r>
      <w:r w:rsidR="00713487">
        <w:rPr>
          <w:sz w:val="23"/>
          <w:szCs w:val="23"/>
          <w:lang w:val="fr-FR"/>
        </w:rPr>
        <w:t>’</w:t>
      </w:r>
      <w:r w:rsidRPr="00AC0E0A">
        <w:rPr>
          <w:sz w:val="23"/>
          <w:szCs w:val="23"/>
          <w:lang w:val="fr-FR"/>
        </w:rPr>
        <w:t>engagement et l</w:t>
      </w:r>
      <w:r w:rsidR="00713487">
        <w:rPr>
          <w:sz w:val="23"/>
          <w:szCs w:val="23"/>
          <w:lang w:val="fr-FR"/>
        </w:rPr>
        <w:t>’</w:t>
      </w:r>
      <w:r w:rsidRPr="00AC0E0A">
        <w:rPr>
          <w:sz w:val="23"/>
          <w:szCs w:val="23"/>
          <w:lang w:val="fr-FR"/>
        </w:rPr>
        <w:t>accès des peuples autochtones et des communautés locales, bien qu</w:t>
      </w:r>
      <w:r w:rsidR="00713487">
        <w:rPr>
          <w:sz w:val="23"/>
          <w:szCs w:val="23"/>
          <w:lang w:val="fr-FR"/>
        </w:rPr>
        <w:t>’</w:t>
      </w:r>
      <w:r w:rsidRPr="00AC0E0A">
        <w:rPr>
          <w:sz w:val="23"/>
          <w:szCs w:val="23"/>
          <w:lang w:val="fr-FR"/>
        </w:rPr>
        <w:t>il soit trop tôt pour savoir si cela conduira à une amélioration de l</w:t>
      </w:r>
      <w:r w:rsidR="00713487">
        <w:rPr>
          <w:sz w:val="23"/>
          <w:szCs w:val="23"/>
          <w:lang w:val="fr-FR"/>
        </w:rPr>
        <w:t>’</w:t>
      </w:r>
      <w:r w:rsidRPr="00AC0E0A">
        <w:rPr>
          <w:sz w:val="23"/>
          <w:szCs w:val="23"/>
          <w:lang w:val="fr-FR"/>
        </w:rPr>
        <w:t>engagement et des conclusions pour les populations autochtones et les communautés locales.</w:t>
      </w:r>
    </w:p>
    <w:p w14:paraId="618CA33F" w14:textId="06CB3315" w:rsidR="00FA2137" w:rsidRPr="0049796C" w:rsidRDefault="00937BA3" w:rsidP="00555AEE">
      <w:pPr>
        <w:pStyle w:val="Heading3"/>
        <w:rPr>
          <w:i/>
          <w:lang w:val="fr-FR"/>
        </w:rPr>
      </w:pPr>
      <w:r w:rsidRPr="00937BA3">
        <w:rPr>
          <w:lang w:val="fr-FR"/>
        </w:rPr>
        <w:t>Organisations de la société civile (OSC)</w:t>
      </w:r>
    </w:p>
    <w:p w14:paraId="6B5FA251" w14:textId="09D1A078" w:rsidR="00FA2137" w:rsidRPr="0049796C" w:rsidRDefault="00393BCC" w:rsidP="00362D98">
      <w:pPr>
        <w:pStyle w:val="CBDNormalNumber"/>
        <w:numPr>
          <w:ilvl w:val="0"/>
          <w:numId w:val="9"/>
        </w:numPr>
        <w:rPr>
          <w:sz w:val="23"/>
          <w:szCs w:val="23"/>
          <w:lang w:val="fr-FR"/>
        </w:rPr>
      </w:pPr>
      <w:r w:rsidRPr="00393BCC">
        <w:rPr>
          <w:sz w:val="23"/>
          <w:szCs w:val="23"/>
          <w:lang w:val="fr-FR"/>
        </w:rPr>
        <w:t>L</w:t>
      </w:r>
      <w:r w:rsidR="00713487">
        <w:rPr>
          <w:sz w:val="23"/>
          <w:szCs w:val="23"/>
          <w:lang w:val="fr-FR"/>
        </w:rPr>
        <w:t>’</w:t>
      </w:r>
      <w:r w:rsidRPr="00393BCC">
        <w:rPr>
          <w:sz w:val="23"/>
          <w:szCs w:val="23"/>
          <w:lang w:val="fr-FR"/>
        </w:rPr>
        <w:t>engagement des parties prenantes à l</w:t>
      </w:r>
      <w:r w:rsidR="00713487">
        <w:rPr>
          <w:sz w:val="23"/>
          <w:szCs w:val="23"/>
          <w:lang w:val="fr-FR"/>
        </w:rPr>
        <w:t>’</w:t>
      </w:r>
      <w:r w:rsidRPr="00393BCC">
        <w:rPr>
          <w:sz w:val="23"/>
          <w:szCs w:val="23"/>
          <w:lang w:val="fr-FR"/>
        </w:rPr>
        <w:t>égard des organisations de la société civile semble avoir stagné au cours de la dernière décennie. Si environ un tiers des OSC participantes à l</w:t>
      </w:r>
      <w:r w:rsidR="00713487">
        <w:rPr>
          <w:sz w:val="23"/>
          <w:szCs w:val="23"/>
          <w:lang w:val="fr-FR"/>
        </w:rPr>
        <w:t>’</w:t>
      </w:r>
      <w:r w:rsidRPr="00393BCC">
        <w:rPr>
          <w:sz w:val="23"/>
          <w:szCs w:val="23"/>
          <w:lang w:val="fr-FR"/>
        </w:rPr>
        <w:t>enquête OPS-7 jugent le FEM « bon » dans la manière dont il s</w:t>
      </w:r>
      <w:r w:rsidR="00713487">
        <w:rPr>
          <w:sz w:val="23"/>
          <w:szCs w:val="23"/>
          <w:lang w:val="fr-FR"/>
        </w:rPr>
        <w:t>’</w:t>
      </w:r>
      <w:r w:rsidRPr="00393BCC">
        <w:rPr>
          <w:sz w:val="23"/>
          <w:szCs w:val="23"/>
          <w:lang w:val="fr-FR"/>
        </w:rPr>
        <w:t>engage avec la société civile dans la formulation des politiques, lignes directrices et stratégies, les interactions entre la société civile et les agences du FEM ou les gouvernements sont limitées. Les perceptions de la représentation équitable des principaux groupes de parties prenantes et des processus électoraux sont moins favorables en 2022 qu</w:t>
      </w:r>
      <w:r w:rsidR="00713487">
        <w:rPr>
          <w:sz w:val="23"/>
          <w:szCs w:val="23"/>
          <w:lang w:val="fr-FR"/>
        </w:rPr>
        <w:t>’</w:t>
      </w:r>
      <w:r w:rsidRPr="00393BCC">
        <w:rPr>
          <w:sz w:val="23"/>
          <w:szCs w:val="23"/>
          <w:lang w:val="fr-FR"/>
        </w:rPr>
        <w:t>en 2016.</w:t>
      </w:r>
    </w:p>
    <w:p w14:paraId="4EE2F5FC" w14:textId="1281A626" w:rsidR="00FA2137" w:rsidRPr="0049796C" w:rsidRDefault="00393BCC" w:rsidP="00555AEE">
      <w:pPr>
        <w:pStyle w:val="Heading3"/>
        <w:rPr>
          <w:i/>
          <w:lang w:val="fr-FR"/>
        </w:rPr>
      </w:pPr>
      <w:r>
        <w:rPr>
          <w:lang w:val="fr-FR"/>
        </w:rPr>
        <w:lastRenderedPageBreak/>
        <w:t>Égalité entre les femmes et les hommes</w:t>
      </w:r>
    </w:p>
    <w:p w14:paraId="7403A86C" w14:textId="368C076A" w:rsidR="00FA2137" w:rsidRPr="0049796C" w:rsidRDefault="00986A11" w:rsidP="00362D98">
      <w:pPr>
        <w:pStyle w:val="CBDNormalNumber"/>
        <w:numPr>
          <w:ilvl w:val="0"/>
          <w:numId w:val="9"/>
        </w:numPr>
        <w:rPr>
          <w:sz w:val="23"/>
          <w:szCs w:val="23"/>
          <w:lang w:val="fr-FR"/>
        </w:rPr>
      </w:pPr>
      <w:r w:rsidRPr="00986A11">
        <w:rPr>
          <w:sz w:val="23"/>
          <w:szCs w:val="23"/>
          <w:lang w:val="fr-FR"/>
        </w:rPr>
        <w:t>L</w:t>
      </w:r>
      <w:r w:rsidR="00713487">
        <w:rPr>
          <w:sz w:val="23"/>
          <w:szCs w:val="23"/>
          <w:lang w:val="fr-FR"/>
        </w:rPr>
        <w:t>’</w:t>
      </w:r>
      <w:r w:rsidRPr="00986A11">
        <w:rPr>
          <w:sz w:val="23"/>
          <w:szCs w:val="23"/>
          <w:lang w:val="fr-FR"/>
        </w:rPr>
        <w:t>une des principales questions soulevées lors de l</w:t>
      </w:r>
      <w:r w:rsidR="00713487">
        <w:rPr>
          <w:sz w:val="23"/>
          <w:szCs w:val="23"/>
          <w:lang w:val="fr-FR"/>
        </w:rPr>
        <w:t>’</w:t>
      </w:r>
      <w:r w:rsidRPr="00986A11">
        <w:rPr>
          <w:sz w:val="23"/>
          <w:szCs w:val="23"/>
          <w:lang w:val="fr-FR"/>
        </w:rPr>
        <w:t>évaluation de l</w:t>
      </w:r>
      <w:r w:rsidR="00713487">
        <w:rPr>
          <w:sz w:val="23"/>
          <w:szCs w:val="23"/>
          <w:lang w:val="fr-FR"/>
        </w:rPr>
        <w:t>’</w:t>
      </w:r>
      <w:r w:rsidRPr="00986A11">
        <w:rPr>
          <w:sz w:val="23"/>
          <w:szCs w:val="23"/>
          <w:lang w:val="fr-FR"/>
        </w:rPr>
        <w:t xml:space="preserve">approche du FEM en matière </w:t>
      </w:r>
      <w:r w:rsidR="002D6726">
        <w:rPr>
          <w:sz w:val="23"/>
          <w:szCs w:val="23"/>
          <w:lang w:val="fr-FR"/>
        </w:rPr>
        <w:t>de conventions collectives</w:t>
      </w:r>
      <w:r w:rsidRPr="00986A11">
        <w:rPr>
          <w:sz w:val="23"/>
          <w:szCs w:val="23"/>
          <w:lang w:val="fr-FR"/>
        </w:rPr>
        <w:t xml:space="preserve"> est que sa politique en faveur de l</w:t>
      </w:r>
      <w:r w:rsidR="00713487">
        <w:rPr>
          <w:sz w:val="23"/>
          <w:szCs w:val="23"/>
          <w:lang w:val="fr-FR"/>
        </w:rPr>
        <w:t>’</w:t>
      </w:r>
      <w:r w:rsidRPr="00986A11">
        <w:rPr>
          <w:sz w:val="23"/>
          <w:szCs w:val="23"/>
          <w:lang w:val="fr-FR"/>
        </w:rPr>
        <w:t xml:space="preserve">égalité entre les femmes et les hommes soutient les </w:t>
      </w:r>
      <w:r w:rsidR="002D6726">
        <w:rPr>
          <w:sz w:val="23"/>
          <w:szCs w:val="23"/>
          <w:lang w:val="fr-FR"/>
        </w:rPr>
        <w:t>conventions</w:t>
      </w:r>
      <w:r w:rsidRPr="00986A11">
        <w:rPr>
          <w:sz w:val="23"/>
          <w:szCs w:val="23"/>
          <w:lang w:val="fr-FR"/>
        </w:rPr>
        <w:t>, mais ne les rend pas obligatoires, et ce en dépit du fait que l</w:t>
      </w:r>
      <w:r w:rsidR="00713487">
        <w:rPr>
          <w:sz w:val="23"/>
          <w:szCs w:val="23"/>
          <w:lang w:val="fr-FR"/>
        </w:rPr>
        <w:t>’</w:t>
      </w:r>
      <w:r w:rsidRPr="00986A11">
        <w:rPr>
          <w:sz w:val="23"/>
          <w:szCs w:val="23"/>
          <w:lang w:val="fr-FR"/>
        </w:rPr>
        <w:t>une des lacunes en matière d</w:t>
      </w:r>
      <w:r w:rsidR="00713487">
        <w:rPr>
          <w:sz w:val="23"/>
          <w:szCs w:val="23"/>
          <w:lang w:val="fr-FR"/>
        </w:rPr>
        <w:t>’</w:t>
      </w:r>
      <w:r w:rsidRPr="00986A11">
        <w:rPr>
          <w:sz w:val="23"/>
          <w:szCs w:val="23"/>
          <w:lang w:val="fr-FR"/>
        </w:rPr>
        <w:t>égalité entre les femmes et les hommes que la politique vise à combler est le déséquilibre de la participation et de l</w:t>
      </w:r>
      <w:r w:rsidR="00713487">
        <w:rPr>
          <w:sz w:val="23"/>
          <w:szCs w:val="23"/>
          <w:lang w:val="fr-FR"/>
        </w:rPr>
        <w:t>’</w:t>
      </w:r>
      <w:r w:rsidRPr="00986A11">
        <w:rPr>
          <w:sz w:val="23"/>
          <w:szCs w:val="23"/>
          <w:lang w:val="fr-FR"/>
        </w:rPr>
        <w:t>élaboration des politiques en matière de planification et de gouvernance environnementales. Dans le même temps, la tendance de l</w:t>
      </w:r>
      <w:r w:rsidR="00713487">
        <w:rPr>
          <w:sz w:val="23"/>
          <w:szCs w:val="23"/>
          <w:lang w:val="fr-FR"/>
        </w:rPr>
        <w:t>’</w:t>
      </w:r>
      <w:r w:rsidRPr="00986A11">
        <w:rPr>
          <w:sz w:val="23"/>
          <w:szCs w:val="23"/>
          <w:lang w:val="fr-FR"/>
        </w:rPr>
        <w:t>égalité des sexes s</w:t>
      </w:r>
      <w:r w:rsidR="00713487">
        <w:rPr>
          <w:sz w:val="23"/>
          <w:szCs w:val="23"/>
          <w:lang w:val="fr-FR"/>
        </w:rPr>
        <w:t>’</w:t>
      </w:r>
      <w:r w:rsidRPr="00986A11">
        <w:rPr>
          <w:sz w:val="23"/>
          <w:szCs w:val="23"/>
          <w:lang w:val="fr-FR"/>
        </w:rPr>
        <w:t>est améliorée avec chaque cycle du FEM. Si, en 2018, les progrès ont été modestes en ce qui concerne le nombre et la part des projets du FEM pouvant être examinés sous l</w:t>
      </w:r>
      <w:r w:rsidR="00713487">
        <w:rPr>
          <w:sz w:val="23"/>
          <w:szCs w:val="23"/>
          <w:lang w:val="fr-FR"/>
        </w:rPr>
        <w:t>’</w:t>
      </w:r>
      <w:r w:rsidRPr="00986A11">
        <w:rPr>
          <w:sz w:val="23"/>
          <w:szCs w:val="23"/>
          <w:lang w:val="fr-FR"/>
        </w:rPr>
        <w:t>angle de l</w:t>
      </w:r>
      <w:r w:rsidR="00713487">
        <w:rPr>
          <w:sz w:val="23"/>
          <w:szCs w:val="23"/>
          <w:lang w:val="fr-FR"/>
        </w:rPr>
        <w:t>’</w:t>
      </w:r>
      <w:r w:rsidRPr="00986A11">
        <w:rPr>
          <w:sz w:val="23"/>
          <w:szCs w:val="23"/>
          <w:lang w:val="fr-FR"/>
        </w:rPr>
        <w:t>égalité entre les femmes et les hommes, ces chiffres se sont nettement améliorés à la fin du cycle FEM-7, en juin 2022.</w:t>
      </w:r>
    </w:p>
    <w:p w14:paraId="4B613C4F" w14:textId="26BCF0F0" w:rsidR="00FA2137" w:rsidRPr="0049796C" w:rsidRDefault="00C67FB4" w:rsidP="009504DE">
      <w:pPr>
        <w:pStyle w:val="CBDH1"/>
        <w:rPr>
          <w:bCs/>
          <w:smallCaps/>
          <w:lang w:val="fr-FR"/>
        </w:rPr>
      </w:pPr>
      <w:bookmarkStart w:id="15" w:name="_Toc177047041"/>
      <w:bookmarkStart w:id="16" w:name="_Toc177041197"/>
      <w:bookmarkStart w:id="17" w:name="_Toc177042791"/>
      <w:bookmarkStart w:id="18" w:name="_Toc177044391"/>
      <w:bookmarkStart w:id="19" w:name="_Toc177045677"/>
      <w:bookmarkStart w:id="20" w:name="_Toc177047042"/>
      <w:bookmarkStart w:id="21" w:name="_Toc177041198"/>
      <w:bookmarkStart w:id="22" w:name="_Toc177042792"/>
      <w:bookmarkStart w:id="23" w:name="_Toc177044392"/>
      <w:bookmarkStart w:id="24" w:name="_Toc177045678"/>
      <w:bookmarkStart w:id="25" w:name="_Toc177047043"/>
      <w:bookmarkStart w:id="26" w:name="_Toc177041199"/>
      <w:bookmarkStart w:id="27" w:name="_Toc177042793"/>
      <w:bookmarkStart w:id="28" w:name="_Toc177044393"/>
      <w:bookmarkStart w:id="29" w:name="_Toc177045679"/>
      <w:bookmarkStart w:id="30" w:name="_Toc177047044"/>
      <w:bookmarkStart w:id="31" w:name="_Toc177041200"/>
      <w:bookmarkStart w:id="32" w:name="_Toc177042794"/>
      <w:bookmarkStart w:id="33" w:name="_Toc177044394"/>
      <w:bookmarkStart w:id="34" w:name="_Toc177045680"/>
      <w:bookmarkStart w:id="35" w:name="_Toc177047045"/>
      <w:bookmarkStart w:id="36" w:name="_Toc177041201"/>
      <w:bookmarkStart w:id="37" w:name="_Toc177042795"/>
      <w:bookmarkStart w:id="38" w:name="_Toc177044395"/>
      <w:bookmarkStart w:id="39" w:name="_Toc177045681"/>
      <w:bookmarkStart w:id="40" w:name="_Toc177047046"/>
      <w:bookmarkStart w:id="41" w:name="_Toc177041202"/>
      <w:bookmarkStart w:id="42" w:name="_Toc177042796"/>
      <w:bookmarkStart w:id="43" w:name="_Toc177044396"/>
      <w:bookmarkStart w:id="44" w:name="_Toc177045682"/>
      <w:bookmarkStart w:id="45" w:name="_Toc177047047"/>
      <w:bookmarkStart w:id="46" w:name="_Toc177041203"/>
      <w:bookmarkStart w:id="47" w:name="_Toc177042797"/>
      <w:bookmarkStart w:id="48" w:name="_Toc177044397"/>
      <w:bookmarkStart w:id="49" w:name="_Toc177045683"/>
      <w:bookmarkStart w:id="50" w:name="_Toc177047048"/>
      <w:bookmarkStart w:id="51" w:name="_Toc177041204"/>
      <w:bookmarkStart w:id="52" w:name="_Toc177042798"/>
      <w:bookmarkStart w:id="53" w:name="_Toc177044398"/>
      <w:bookmarkStart w:id="54" w:name="_Toc177045684"/>
      <w:bookmarkStart w:id="55" w:name="_Toc177047049"/>
      <w:bookmarkStart w:id="56" w:name="_Toc177041205"/>
      <w:bookmarkStart w:id="57" w:name="_Toc177042799"/>
      <w:bookmarkStart w:id="58" w:name="_Toc177044399"/>
      <w:bookmarkStart w:id="59" w:name="_Toc177045685"/>
      <w:bookmarkStart w:id="60" w:name="_Toc177047050"/>
      <w:bookmarkStart w:id="61" w:name="_Toc177041206"/>
      <w:bookmarkStart w:id="62" w:name="_Toc177042800"/>
      <w:bookmarkStart w:id="63" w:name="_Toc177044400"/>
      <w:bookmarkStart w:id="64" w:name="_Toc177045686"/>
      <w:bookmarkStart w:id="65" w:name="_Toc177047051"/>
      <w:bookmarkStart w:id="66" w:name="_Toc177041207"/>
      <w:bookmarkStart w:id="67" w:name="_Toc177042801"/>
      <w:bookmarkStart w:id="68" w:name="_Toc177044401"/>
      <w:bookmarkStart w:id="69" w:name="_Toc177045687"/>
      <w:bookmarkStart w:id="70" w:name="_Toc177047052"/>
      <w:bookmarkStart w:id="71" w:name="_Toc177041208"/>
      <w:bookmarkStart w:id="72" w:name="_Toc177042802"/>
      <w:bookmarkStart w:id="73" w:name="_Toc177044402"/>
      <w:bookmarkStart w:id="74" w:name="_Toc177045688"/>
      <w:bookmarkStart w:id="75" w:name="_Toc177047053"/>
      <w:bookmarkStart w:id="76" w:name="_Toc177041209"/>
      <w:bookmarkStart w:id="77" w:name="_Toc177042803"/>
      <w:bookmarkStart w:id="78" w:name="_Toc177044403"/>
      <w:bookmarkStart w:id="79" w:name="_Toc177045689"/>
      <w:bookmarkStart w:id="80" w:name="_Toc177047054"/>
      <w:bookmarkStart w:id="81" w:name="_Toc177041210"/>
      <w:bookmarkStart w:id="82" w:name="_Toc177042804"/>
      <w:bookmarkStart w:id="83" w:name="_Toc177044404"/>
      <w:bookmarkStart w:id="84" w:name="_Toc177045690"/>
      <w:bookmarkStart w:id="85" w:name="_Toc177047055"/>
      <w:bookmarkStart w:id="86" w:name="_Toc176975236"/>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sidRPr="0049796C">
        <w:rPr>
          <w:lang w:val="fr-FR"/>
        </w:rPr>
        <w:t>III.</w:t>
      </w:r>
      <w:r w:rsidRPr="0049796C">
        <w:rPr>
          <w:lang w:val="fr-FR"/>
        </w:rPr>
        <w:tab/>
      </w:r>
      <w:bookmarkEnd w:id="86"/>
      <w:r w:rsidR="00FD0D51" w:rsidRPr="00FD0D51">
        <w:rPr>
          <w:lang w:val="fr-FR"/>
        </w:rPr>
        <w:t>Projets de recommandations à soumettre à l</w:t>
      </w:r>
      <w:r w:rsidR="00713487">
        <w:rPr>
          <w:lang w:val="fr-FR"/>
        </w:rPr>
        <w:t>’</w:t>
      </w:r>
      <w:r w:rsidR="00FD0D51" w:rsidRPr="00FD0D51">
        <w:rPr>
          <w:lang w:val="fr-FR"/>
        </w:rPr>
        <w:t>examen de la COP</w:t>
      </w:r>
    </w:p>
    <w:p w14:paraId="7B1F7C6F" w14:textId="61CA2977" w:rsidR="00555AEE" w:rsidRPr="0049796C" w:rsidRDefault="00FD0D51" w:rsidP="00362D98">
      <w:pPr>
        <w:pStyle w:val="CBDNormalNumber"/>
        <w:numPr>
          <w:ilvl w:val="0"/>
          <w:numId w:val="9"/>
        </w:numPr>
        <w:rPr>
          <w:sz w:val="23"/>
          <w:szCs w:val="23"/>
          <w:lang w:val="fr-FR"/>
        </w:rPr>
      </w:pPr>
      <w:r w:rsidRPr="00FD0D51">
        <w:rPr>
          <w:sz w:val="23"/>
          <w:szCs w:val="23"/>
          <w:lang w:val="fr-FR"/>
        </w:rPr>
        <w:t>Ce sixième examen quadriennal de l</w:t>
      </w:r>
      <w:r w:rsidR="00713487">
        <w:rPr>
          <w:sz w:val="23"/>
          <w:szCs w:val="23"/>
          <w:lang w:val="fr-FR"/>
        </w:rPr>
        <w:t>’</w:t>
      </w:r>
      <w:r w:rsidRPr="00FD0D51">
        <w:rPr>
          <w:sz w:val="23"/>
          <w:szCs w:val="23"/>
          <w:lang w:val="fr-FR"/>
        </w:rPr>
        <w:t>efficacité du mécanisme financier est particulièrement important parce que c</w:t>
      </w:r>
      <w:r w:rsidR="00713487">
        <w:rPr>
          <w:sz w:val="23"/>
          <w:szCs w:val="23"/>
          <w:lang w:val="fr-FR"/>
        </w:rPr>
        <w:t>’</w:t>
      </w:r>
      <w:r w:rsidRPr="00FD0D51">
        <w:rPr>
          <w:sz w:val="23"/>
          <w:szCs w:val="23"/>
          <w:lang w:val="fr-FR"/>
        </w:rPr>
        <w:t>est la première fois que la COP a l</w:t>
      </w:r>
      <w:r w:rsidR="00713487">
        <w:rPr>
          <w:sz w:val="23"/>
          <w:szCs w:val="23"/>
          <w:lang w:val="fr-FR"/>
        </w:rPr>
        <w:t>’</w:t>
      </w:r>
      <w:r w:rsidRPr="00FD0D51">
        <w:rPr>
          <w:sz w:val="23"/>
          <w:szCs w:val="23"/>
          <w:lang w:val="fr-FR"/>
        </w:rPr>
        <w:t>occasion d</w:t>
      </w:r>
      <w:r w:rsidR="00713487">
        <w:rPr>
          <w:sz w:val="23"/>
          <w:szCs w:val="23"/>
          <w:lang w:val="fr-FR"/>
        </w:rPr>
        <w:t>’</w:t>
      </w:r>
      <w:r w:rsidRPr="00FD0D51">
        <w:rPr>
          <w:sz w:val="23"/>
          <w:szCs w:val="23"/>
          <w:lang w:val="fr-FR"/>
        </w:rPr>
        <w:t>examiner l</w:t>
      </w:r>
      <w:r w:rsidR="00713487">
        <w:rPr>
          <w:sz w:val="23"/>
          <w:szCs w:val="23"/>
          <w:lang w:val="fr-FR"/>
        </w:rPr>
        <w:t>’</w:t>
      </w:r>
      <w:r w:rsidRPr="00FD0D51">
        <w:rPr>
          <w:sz w:val="23"/>
          <w:szCs w:val="23"/>
          <w:lang w:val="fr-FR"/>
        </w:rPr>
        <w:t>efficacité du mécanisme financier après l</w:t>
      </w:r>
      <w:r w:rsidR="00713487">
        <w:rPr>
          <w:sz w:val="23"/>
          <w:szCs w:val="23"/>
          <w:lang w:val="fr-FR"/>
        </w:rPr>
        <w:t>’</w:t>
      </w:r>
      <w:r w:rsidRPr="00FD0D51">
        <w:rPr>
          <w:sz w:val="23"/>
          <w:szCs w:val="23"/>
          <w:lang w:val="fr-FR"/>
        </w:rPr>
        <w:t>adoption du Cadre mondial de la biodiversité de Kunming-Montréal et parce qu</w:t>
      </w:r>
      <w:r w:rsidR="00713487">
        <w:rPr>
          <w:sz w:val="23"/>
          <w:szCs w:val="23"/>
          <w:lang w:val="fr-FR"/>
        </w:rPr>
        <w:t>’</w:t>
      </w:r>
      <w:r w:rsidRPr="00FD0D51">
        <w:rPr>
          <w:sz w:val="23"/>
          <w:szCs w:val="23"/>
          <w:lang w:val="fr-FR"/>
        </w:rPr>
        <w:t>un processus d</w:t>
      </w:r>
      <w:r w:rsidR="00713487">
        <w:rPr>
          <w:sz w:val="23"/>
          <w:szCs w:val="23"/>
          <w:lang w:val="fr-FR"/>
        </w:rPr>
        <w:t>’</w:t>
      </w:r>
      <w:r w:rsidRPr="00FD0D51">
        <w:rPr>
          <w:sz w:val="23"/>
          <w:szCs w:val="23"/>
          <w:lang w:val="fr-FR"/>
        </w:rPr>
        <w:t>examen est un élément important de la bonne gouvernance du mécanisme financier.</w:t>
      </w:r>
    </w:p>
    <w:p w14:paraId="01F59DD2" w14:textId="1928CC95" w:rsidR="00555AEE" w:rsidRPr="0049796C" w:rsidRDefault="006A37DE" w:rsidP="00362D98">
      <w:pPr>
        <w:pStyle w:val="CBDNormalNumber"/>
        <w:numPr>
          <w:ilvl w:val="0"/>
          <w:numId w:val="9"/>
        </w:numPr>
        <w:rPr>
          <w:sz w:val="23"/>
          <w:szCs w:val="23"/>
          <w:lang w:val="fr-FR"/>
        </w:rPr>
      </w:pPr>
      <w:r w:rsidRPr="006A37DE">
        <w:rPr>
          <w:sz w:val="23"/>
          <w:szCs w:val="23"/>
          <w:lang w:val="fr-FR"/>
        </w:rPr>
        <w:t>Entre la sixième et la huitième année, le FEM a accompli des progrès notables dans les domaines examinés, à savoir sa conformité avec les orientations de la COP, son rôle dans la mobilisation des ressources et l</w:t>
      </w:r>
      <w:r w:rsidR="00713487">
        <w:rPr>
          <w:sz w:val="23"/>
          <w:szCs w:val="23"/>
          <w:lang w:val="fr-FR"/>
        </w:rPr>
        <w:t>’</w:t>
      </w:r>
      <w:r w:rsidRPr="006A37DE">
        <w:rPr>
          <w:sz w:val="23"/>
          <w:szCs w:val="23"/>
          <w:lang w:val="fr-FR"/>
        </w:rPr>
        <w:t>appui à la mise en œuvre d</w:t>
      </w:r>
      <w:r w:rsidR="00713487">
        <w:rPr>
          <w:sz w:val="23"/>
          <w:szCs w:val="23"/>
          <w:lang w:val="fr-FR"/>
        </w:rPr>
        <w:t>’</w:t>
      </w:r>
      <w:r w:rsidRPr="006A37DE">
        <w:rPr>
          <w:sz w:val="23"/>
          <w:szCs w:val="23"/>
          <w:lang w:val="fr-FR"/>
        </w:rPr>
        <w:t>activités permettant d</w:t>
      </w:r>
      <w:r w:rsidR="00713487">
        <w:rPr>
          <w:sz w:val="23"/>
          <w:szCs w:val="23"/>
          <w:lang w:val="fr-FR"/>
        </w:rPr>
        <w:t>’</w:t>
      </w:r>
      <w:r w:rsidRPr="006A37DE">
        <w:rPr>
          <w:sz w:val="23"/>
          <w:szCs w:val="23"/>
          <w:lang w:val="fr-FR"/>
        </w:rPr>
        <w:t>atteindre les objectifs de la CBD, y compris ses politiques et procédures. Néanmoins, des améliorations sont possibles et importantes. Sachant que bon nombre des recommandations de cet examen recoupent les projets de recommandations élaborés par le SBI lors de sa quatrième réunion et qu</w:t>
      </w:r>
      <w:r w:rsidR="00713487">
        <w:rPr>
          <w:sz w:val="23"/>
          <w:szCs w:val="23"/>
          <w:lang w:val="fr-FR"/>
        </w:rPr>
        <w:t>’</w:t>
      </w:r>
      <w:r w:rsidRPr="006A37DE">
        <w:rPr>
          <w:sz w:val="23"/>
          <w:szCs w:val="23"/>
          <w:lang w:val="fr-FR"/>
        </w:rPr>
        <w:t>il n</w:t>
      </w:r>
      <w:r w:rsidR="00713487">
        <w:rPr>
          <w:sz w:val="23"/>
          <w:szCs w:val="23"/>
          <w:lang w:val="fr-FR"/>
        </w:rPr>
        <w:t>’</w:t>
      </w:r>
      <w:r w:rsidRPr="006A37DE">
        <w:rPr>
          <w:sz w:val="23"/>
          <w:szCs w:val="23"/>
          <w:lang w:val="fr-FR"/>
        </w:rPr>
        <w:t>est donc pas nécessaire de les répéter ici, cet examen propose les recommandations supplémentaires suivantes à l</w:t>
      </w:r>
      <w:r w:rsidR="00713487">
        <w:rPr>
          <w:sz w:val="23"/>
          <w:szCs w:val="23"/>
          <w:lang w:val="fr-FR"/>
        </w:rPr>
        <w:t>’</w:t>
      </w:r>
      <w:r w:rsidRPr="006A37DE">
        <w:rPr>
          <w:sz w:val="23"/>
          <w:szCs w:val="23"/>
          <w:lang w:val="fr-FR"/>
        </w:rPr>
        <w:t>attention de la COP</w:t>
      </w:r>
      <w:r w:rsidR="00D54C99">
        <w:rPr>
          <w:sz w:val="23"/>
          <w:szCs w:val="23"/>
          <w:lang w:val="fr-FR"/>
        </w:rPr>
        <w:t> :</w:t>
      </w:r>
    </w:p>
    <w:p w14:paraId="5787A6B4" w14:textId="4046438E" w:rsidR="00FA2137" w:rsidRPr="0049796C" w:rsidRDefault="006A37DE" w:rsidP="00362D98">
      <w:pPr>
        <w:pStyle w:val="CBDNormalNumber"/>
        <w:numPr>
          <w:ilvl w:val="0"/>
          <w:numId w:val="9"/>
        </w:numPr>
        <w:rPr>
          <w:sz w:val="23"/>
          <w:szCs w:val="23"/>
          <w:lang w:val="fr-FR"/>
        </w:rPr>
      </w:pPr>
      <w:r w:rsidRPr="006A37DE">
        <w:rPr>
          <w:sz w:val="23"/>
          <w:szCs w:val="23"/>
          <w:lang w:val="fr-FR"/>
        </w:rPr>
        <w:t>Le présent rapport propose les recommandations supplémentaires suivantes à l</w:t>
      </w:r>
      <w:r w:rsidR="00713487">
        <w:rPr>
          <w:sz w:val="23"/>
          <w:szCs w:val="23"/>
          <w:lang w:val="fr-FR"/>
        </w:rPr>
        <w:t>’</w:t>
      </w:r>
      <w:r w:rsidRPr="006A37DE">
        <w:rPr>
          <w:sz w:val="23"/>
          <w:szCs w:val="23"/>
          <w:lang w:val="fr-FR"/>
        </w:rPr>
        <w:t>attention de la COP</w:t>
      </w:r>
      <w:r w:rsidR="00D54C99">
        <w:rPr>
          <w:sz w:val="23"/>
          <w:szCs w:val="23"/>
          <w:lang w:val="fr-FR"/>
        </w:rPr>
        <w:t> :</w:t>
      </w:r>
    </w:p>
    <w:p w14:paraId="43E8E111" w14:textId="2EC1DD3A" w:rsidR="00C46FBD" w:rsidRPr="0049796C" w:rsidRDefault="00B32BCA" w:rsidP="00C46FBD">
      <w:pPr>
        <w:pStyle w:val="CBDNormalNumber"/>
        <w:numPr>
          <w:ilvl w:val="0"/>
          <w:numId w:val="0"/>
        </w:numPr>
        <w:ind w:left="567"/>
        <w:rPr>
          <w:i/>
          <w:iCs/>
          <w:sz w:val="23"/>
          <w:szCs w:val="23"/>
          <w:lang w:val="fr-FR"/>
        </w:rPr>
      </w:pPr>
      <w:r w:rsidRPr="00B32BCA">
        <w:rPr>
          <w:i/>
          <w:iCs/>
          <w:sz w:val="23"/>
          <w:szCs w:val="23"/>
          <w:lang w:val="fr-FR"/>
        </w:rPr>
        <w:t>Conclusions générales</w:t>
      </w:r>
    </w:p>
    <w:p w14:paraId="339B4327" w14:textId="153995A1" w:rsidR="00C46FBD" w:rsidRPr="0049796C" w:rsidRDefault="008A3F3F" w:rsidP="004E397A">
      <w:pPr>
        <w:pStyle w:val="CBDNormalNumber"/>
        <w:numPr>
          <w:ilvl w:val="1"/>
          <w:numId w:val="9"/>
        </w:numPr>
        <w:rPr>
          <w:lang w:val="fr-FR"/>
        </w:rPr>
      </w:pPr>
      <w:r w:rsidRPr="008A3F3F">
        <w:rPr>
          <w:lang w:val="fr-FR"/>
        </w:rPr>
        <w:t>Prend note du fait que le FEM a accompli des progrès notables entre la sixième et la huitième édition de la Conférence des Parties en ce qui concerne sa conformité aux orientations de la COP, son rôle dans la mobilisation des ressources et l</w:t>
      </w:r>
      <w:r w:rsidR="00713487">
        <w:rPr>
          <w:lang w:val="fr-FR"/>
        </w:rPr>
        <w:t>’</w:t>
      </w:r>
      <w:r w:rsidRPr="008A3F3F">
        <w:rPr>
          <w:lang w:val="fr-FR"/>
        </w:rPr>
        <w:t>appui à la mise en œuvre d</w:t>
      </w:r>
      <w:r w:rsidR="00713487">
        <w:rPr>
          <w:lang w:val="fr-FR"/>
        </w:rPr>
        <w:t>’</w:t>
      </w:r>
      <w:r w:rsidRPr="008A3F3F">
        <w:rPr>
          <w:lang w:val="fr-FR"/>
        </w:rPr>
        <w:t>activités permettant d</w:t>
      </w:r>
      <w:r w:rsidR="00713487">
        <w:rPr>
          <w:lang w:val="fr-FR"/>
        </w:rPr>
        <w:t>’</w:t>
      </w:r>
      <w:r w:rsidRPr="008A3F3F">
        <w:rPr>
          <w:lang w:val="fr-FR"/>
        </w:rPr>
        <w:t>atteindre les objectifs de la CBD, y compris ses politiques et ses procédures. D</w:t>
      </w:r>
      <w:r w:rsidR="00713487">
        <w:rPr>
          <w:lang w:val="fr-FR"/>
        </w:rPr>
        <w:t>’</w:t>
      </w:r>
      <w:r w:rsidRPr="008A3F3F">
        <w:rPr>
          <w:lang w:val="fr-FR"/>
        </w:rPr>
        <w:t>une manière générale, le FEM est efficace pour catalyser et renforcer les mesures nationales de mise en œuvre visant à atteindre les objectifs de la Convention</w:t>
      </w:r>
      <w:r w:rsidR="00713487">
        <w:rPr>
          <w:lang w:val="fr-FR"/>
        </w:rPr>
        <w:t> ;</w:t>
      </w:r>
    </w:p>
    <w:p w14:paraId="79774E33" w14:textId="5A6126E6" w:rsidR="00CB130E" w:rsidRPr="0049796C" w:rsidRDefault="00237CDD" w:rsidP="004E397A">
      <w:pPr>
        <w:pStyle w:val="CBDNormalNumber"/>
        <w:numPr>
          <w:ilvl w:val="1"/>
          <w:numId w:val="9"/>
        </w:numPr>
        <w:rPr>
          <w:rFonts w:asciiTheme="majorBidi" w:eastAsiaTheme="minorHAnsi" w:hAnsiTheme="majorBidi" w:cstheme="majorBidi"/>
          <w:lang w:val="fr-FR"/>
        </w:rPr>
      </w:pPr>
      <w:r w:rsidRPr="00237CDD">
        <w:rPr>
          <w:lang w:val="fr-FR"/>
        </w:rPr>
        <w:t xml:space="preserve">Prend note </w:t>
      </w:r>
      <w:r>
        <w:rPr>
          <w:lang w:val="fr-FR"/>
        </w:rPr>
        <w:t>q</w:t>
      </w:r>
      <w:r w:rsidRPr="00237CDD">
        <w:rPr>
          <w:lang w:val="fr-FR"/>
        </w:rPr>
        <w:t>ue l</w:t>
      </w:r>
      <w:r w:rsidR="00713487">
        <w:rPr>
          <w:lang w:val="fr-FR"/>
        </w:rPr>
        <w:t>’</w:t>
      </w:r>
      <w:r w:rsidRPr="00237CDD">
        <w:rPr>
          <w:lang w:val="fr-FR"/>
        </w:rPr>
        <w:t>efficacité du FEM est limitée par</w:t>
      </w:r>
      <w:r w:rsidR="00D54C99">
        <w:rPr>
          <w:lang w:val="fr-FR"/>
        </w:rPr>
        <w:t> :</w:t>
      </w:r>
      <w:r w:rsidRPr="00237CDD">
        <w:rPr>
          <w:lang w:val="fr-FR"/>
        </w:rPr>
        <w:t xml:space="preserve"> (i) la disponibilité des ressources financières des donateurs pour les pays admissibles</w:t>
      </w:r>
      <w:r w:rsidR="00713487">
        <w:rPr>
          <w:lang w:val="fr-FR"/>
        </w:rPr>
        <w:t> ;</w:t>
      </w:r>
      <w:r w:rsidRPr="00237CDD">
        <w:rPr>
          <w:lang w:val="fr-FR"/>
        </w:rPr>
        <w:t xml:space="preserve"> ii) l</w:t>
      </w:r>
      <w:r w:rsidR="00713487">
        <w:rPr>
          <w:lang w:val="fr-FR"/>
        </w:rPr>
        <w:t>’</w:t>
      </w:r>
      <w:r w:rsidRPr="00237CDD">
        <w:rPr>
          <w:lang w:val="fr-FR"/>
        </w:rPr>
        <w:t>absence de hiérarchisation stratégique des domaines d</w:t>
      </w:r>
      <w:r w:rsidR="00713487">
        <w:rPr>
          <w:lang w:val="fr-FR"/>
        </w:rPr>
        <w:t>’</w:t>
      </w:r>
      <w:r w:rsidRPr="00237CDD">
        <w:rPr>
          <w:lang w:val="fr-FR"/>
        </w:rPr>
        <w:t>intervention ou des priorités de la part de la COP</w:t>
      </w:r>
      <w:r w:rsidR="00713487">
        <w:rPr>
          <w:lang w:val="fr-FR"/>
        </w:rPr>
        <w:t> ;</w:t>
      </w:r>
      <w:r w:rsidRPr="00237CDD">
        <w:rPr>
          <w:lang w:val="fr-FR"/>
        </w:rPr>
        <w:t xml:space="preserve"> et iii) la nécessité d</w:t>
      </w:r>
      <w:r w:rsidR="00713487">
        <w:rPr>
          <w:lang w:val="fr-FR"/>
        </w:rPr>
        <w:t>’</w:t>
      </w:r>
      <w:r w:rsidRPr="00237CDD">
        <w:rPr>
          <w:lang w:val="fr-FR"/>
        </w:rPr>
        <w:t>une plus grande appropriation par les pays ou d</w:t>
      </w:r>
      <w:r w:rsidR="00713487">
        <w:rPr>
          <w:lang w:val="fr-FR"/>
        </w:rPr>
        <w:t>’</w:t>
      </w:r>
      <w:r w:rsidRPr="00237CDD">
        <w:rPr>
          <w:lang w:val="fr-FR"/>
        </w:rPr>
        <w:t>une approche du financement du FEM davantage axée sur les pays au sein du système du FEM</w:t>
      </w:r>
      <w:r w:rsidR="00CB130E" w:rsidRPr="0049796C">
        <w:rPr>
          <w:rFonts w:asciiTheme="majorBidi" w:eastAsiaTheme="minorHAnsi" w:hAnsiTheme="majorBidi" w:cstheme="majorBidi"/>
          <w:lang w:val="fr-FR"/>
        </w:rPr>
        <w:t>.</w:t>
      </w:r>
    </w:p>
    <w:p w14:paraId="78CE85A6" w14:textId="40EEFB33" w:rsidR="00C46FBD" w:rsidRPr="0049796C" w:rsidRDefault="008D35DE" w:rsidP="004E397A">
      <w:pPr>
        <w:pStyle w:val="CBDNormalNumber"/>
        <w:numPr>
          <w:ilvl w:val="1"/>
          <w:numId w:val="9"/>
        </w:numPr>
        <w:rPr>
          <w:rFonts w:asciiTheme="majorBidi" w:eastAsiaTheme="minorHAnsi" w:hAnsiTheme="majorBidi" w:cstheme="majorBidi"/>
          <w:lang w:val="fr-FR"/>
        </w:rPr>
      </w:pPr>
      <w:r>
        <w:rPr>
          <w:lang w:val="fr-FR"/>
        </w:rPr>
        <w:t>R</w:t>
      </w:r>
      <w:r w:rsidR="004E2D6C" w:rsidRPr="004E2D6C">
        <w:rPr>
          <w:lang w:val="fr-FR"/>
        </w:rPr>
        <w:t>econnaît que les ressources du mécanisme financier sont fournies de manière relativement prévisible en raison de la mise en œuvre de l</w:t>
      </w:r>
      <w:r w:rsidR="00713487">
        <w:rPr>
          <w:lang w:val="fr-FR"/>
        </w:rPr>
        <w:t>’</w:t>
      </w:r>
      <w:r w:rsidR="004E2D6C" w:rsidRPr="004E2D6C">
        <w:rPr>
          <w:lang w:val="fr-FR"/>
        </w:rPr>
        <w:t>allocation STAR et que des améliorations ont été apportées en termes de délais de décaissement des fonds aux pays éligibles</w:t>
      </w:r>
      <w:r w:rsidR="00713487">
        <w:rPr>
          <w:lang w:val="fr-FR"/>
        </w:rPr>
        <w:t> ;</w:t>
      </w:r>
      <w:r w:rsidR="004E2D6C" w:rsidRPr="004E2D6C">
        <w:rPr>
          <w:lang w:val="fr-FR"/>
        </w:rPr>
        <w:t xml:space="preserve"> la rationalisation du cycle des projets du FEM aura probablement un impact positif sur les délais de décaissement des fonds</w:t>
      </w:r>
      <w:r w:rsidR="00713487">
        <w:rPr>
          <w:lang w:val="fr-FR"/>
        </w:rPr>
        <w:t> ;</w:t>
      </w:r>
    </w:p>
    <w:p w14:paraId="25EA3974" w14:textId="03109D8D" w:rsidR="00C46FBD" w:rsidRPr="0049796C" w:rsidRDefault="00B32BCA" w:rsidP="00C46FBD">
      <w:pPr>
        <w:pStyle w:val="CBDNormalNumber"/>
        <w:numPr>
          <w:ilvl w:val="0"/>
          <w:numId w:val="0"/>
        </w:numPr>
        <w:ind w:left="567"/>
        <w:rPr>
          <w:rFonts w:asciiTheme="majorBidi" w:eastAsiaTheme="minorHAnsi" w:hAnsiTheme="majorBidi" w:cstheme="majorBidi"/>
          <w:i/>
          <w:iCs/>
          <w:lang w:val="fr-FR"/>
        </w:rPr>
      </w:pPr>
      <w:r w:rsidRPr="00B32BCA">
        <w:rPr>
          <w:rFonts w:asciiTheme="majorBidi" w:eastAsiaTheme="minorHAnsi" w:hAnsiTheme="majorBidi" w:cstheme="majorBidi"/>
          <w:i/>
          <w:iCs/>
          <w:lang w:val="fr-FR"/>
        </w:rPr>
        <w:lastRenderedPageBreak/>
        <w:t>Recommandations adressées à la Conférence des Parties</w:t>
      </w:r>
    </w:p>
    <w:p w14:paraId="25AACC44" w14:textId="61886D33" w:rsidR="00C46FBD" w:rsidRPr="0049796C" w:rsidRDefault="007E1977" w:rsidP="004E397A">
      <w:pPr>
        <w:pStyle w:val="CBDNormalNumber"/>
        <w:numPr>
          <w:ilvl w:val="1"/>
          <w:numId w:val="9"/>
        </w:numPr>
        <w:rPr>
          <w:rFonts w:asciiTheme="majorBidi" w:eastAsiaTheme="minorHAnsi" w:hAnsiTheme="majorBidi" w:cstheme="majorBidi"/>
          <w:i/>
          <w:iCs/>
          <w:lang w:val="fr-FR"/>
        </w:rPr>
      </w:pPr>
      <w:r w:rsidRPr="007E1977">
        <w:rPr>
          <w:lang w:val="fr-FR"/>
        </w:rPr>
        <w:t>Reconnaissant qu</w:t>
      </w:r>
      <w:r w:rsidR="00713487">
        <w:rPr>
          <w:lang w:val="fr-FR"/>
        </w:rPr>
        <w:t>’</w:t>
      </w:r>
      <w:r w:rsidRPr="007E1977">
        <w:rPr>
          <w:lang w:val="fr-FR"/>
        </w:rPr>
        <w:t>il importe de redoubler d</w:t>
      </w:r>
      <w:r w:rsidR="00713487">
        <w:rPr>
          <w:lang w:val="fr-FR"/>
        </w:rPr>
        <w:t>’</w:t>
      </w:r>
      <w:r w:rsidRPr="007E1977">
        <w:rPr>
          <w:lang w:val="fr-FR"/>
        </w:rPr>
        <w:t>efforts pour hiérarchiser ses orientations et en élaborer de plus concrètes et mesurables afin de mieux guider le FEM, décide de créer, lors de sa prochaine réunion, un comité permanent sur le mécanisme financier, sur le modèle du comité permanent des finances de la CCNUCC, et demande au SBI de formuler des recommandations à cet égard</w:t>
      </w:r>
      <w:r w:rsidR="00713487">
        <w:rPr>
          <w:lang w:val="fr-FR"/>
        </w:rPr>
        <w:t> ;</w:t>
      </w:r>
    </w:p>
    <w:p w14:paraId="246B1E3A" w14:textId="66359BCC" w:rsidR="00C46FBD" w:rsidRPr="0049796C" w:rsidRDefault="00796DCF" w:rsidP="004E397A">
      <w:pPr>
        <w:pStyle w:val="CBDNormalNumber"/>
        <w:numPr>
          <w:ilvl w:val="1"/>
          <w:numId w:val="9"/>
        </w:numPr>
        <w:rPr>
          <w:rFonts w:asciiTheme="majorBidi" w:eastAsiaTheme="minorHAnsi" w:hAnsiTheme="majorBidi" w:cstheme="majorBidi"/>
          <w:lang w:val="fr-FR"/>
        </w:rPr>
      </w:pPr>
      <w:r w:rsidRPr="00796DCF">
        <w:rPr>
          <w:rFonts w:asciiTheme="majorBidi" w:eastAsiaTheme="minorHAnsi" w:hAnsiTheme="majorBidi" w:cstheme="majorBidi"/>
          <w:lang w:val="fr-FR"/>
        </w:rPr>
        <w:t>Rappelant que l</w:t>
      </w:r>
      <w:r w:rsidR="00713487">
        <w:rPr>
          <w:rFonts w:asciiTheme="majorBidi" w:eastAsiaTheme="minorHAnsi" w:hAnsiTheme="majorBidi" w:cstheme="majorBidi"/>
          <w:lang w:val="fr-FR"/>
        </w:rPr>
        <w:t>’</w:t>
      </w:r>
      <w:r w:rsidRPr="00796DCF">
        <w:rPr>
          <w:rFonts w:asciiTheme="majorBidi" w:eastAsiaTheme="minorHAnsi" w:hAnsiTheme="majorBidi" w:cstheme="majorBidi"/>
          <w:lang w:val="fr-FR"/>
        </w:rPr>
        <w:t>article 20.3 prévoit que les Parties peuvent fournir des ressources financières liées à la mise en œuvre de la présente Convention par d</w:t>
      </w:r>
      <w:r w:rsidR="00713487">
        <w:rPr>
          <w:rFonts w:asciiTheme="majorBidi" w:eastAsiaTheme="minorHAnsi" w:hAnsiTheme="majorBidi" w:cstheme="majorBidi"/>
          <w:lang w:val="fr-FR"/>
        </w:rPr>
        <w:t>’</w:t>
      </w:r>
      <w:r w:rsidRPr="00796DCF">
        <w:rPr>
          <w:rFonts w:asciiTheme="majorBidi" w:eastAsiaTheme="minorHAnsi" w:hAnsiTheme="majorBidi" w:cstheme="majorBidi"/>
          <w:lang w:val="fr-FR"/>
        </w:rPr>
        <w:t xml:space="preserve">autres voies multilatérales, prie </w:t>
      </w:r>
      <w:r w:rsidR="009860C4">
        <w:rPr>
          <w:rFonts w:asciiTheme="majorBidi" w:eastAsiaTheme="minorHAnsi" w:hAnsiTheme="majorBidi" w:cstheme="majorBidi"/>
          <w:lang w:val="fr-FR"/>
        </w:rPr>
        <w:t xml:space="preserve">la </w:t>
      </w:r>
      <w:r w:rsidR="00D852B1">
        <w:rPr>
          <w:rFonts w:asciiTheme="majorBidi" w:eastAsiaTheme="minorHAnsi" w:hAnsiTheme="majorBidi" w:cstheme="majorBidi"/>
          <w:lang w:val="fr-FR"/>
        </w:rPr>
        <w:t>Secrét</w:t>
      </w:r>
      <w:r w:rsidR="009860C4">
        <w:rPr>
          <w:rFonts w:asciiTheme="majorBidi" w:eastAsiaTheme="minorHAnsi" w:hAnsiTheme="majorBidi" w:cstheme="majorBidi"/>
          <w:lang w:val="fr-FR"/>
        </w:rPr>
        <w:t>aire exécutive</w:t>
      </w:r>
      <w:r w:rsidRPr="00796DCF">
        <w:rPr>
          <w:rFonts w:asciiTheme="majorBidi" w:eastAsiaTheme="minorHAnsi" w:hAnsiTheme="majorBidi" w:cstheme="majorBidi"/>
          <w:lang w:val="fr-FR"/>
        </w:rPr>
        <w:t xml:space="preserve"> d</w:t>
      </w:r>
      <w:r w:rsidR="00713487">
        <w:rPr>
          <w:rFonts w:asciiTheme="majorBidi" w:eastAsiaTheme="minorHAnsi" w:hAnsiTheme="majorBidi" w:cstheme="majorBidi"/>
          <w:lang w:val="fr-FR"/>
        </w:rPr>
        <w:t>’</w:t>
      </w:r>
      <w:r w:rsidRPr="00796DCF">
        <w:rPr>
          <w:rFonts w:asciiTheme="majorBidi" w:eastAsiaTheme="minorHAnsi" w:hAnsiTheme="majorBidi" w:cstheme="majorBidi"/>
          <w:lang w:val="fr-FR"/>
        </w:rPr>
        <w:t xml:space="preserve">assurer la liaison avec le </w:t>
      </w:r>
      <w:r w:rsidR="00D852B1">
        <w:rPr>
          <w:rFonts w:asciiTheme="majorBidi" w:eastAsiaTheme="minorHAnsi" w:hAnsiTheme="majorBidi" w:cstheme="majorBidi"/>
          <w:lang w:val="fr-FR"/>
        </w:rPr>
        <w:t>Secrét</w:t>
      </w:r>
      <w:r w:rsidRPr="00796DCF">
        <w:rPr>
          <w:rFonts w:asciiTheme="majorBidi" w:eastAsiaTheme="minorHAnsi" w:hAnsiTheme="majorBidi" w:cstheme="majorBidi"/>
          <w:lang w:val="fr-FR"/>
        </w:rPr>
        <w:t xml:space="preserve">ariat du Fonds vert pour le climat afin de renforcer la collaboration avec la Convention et de </w:t>
      </w:r>
      <w:r w:rsidR="0002233A">
        <w:rPr>
          <w:rFonts w:asciiTheme="majorBidi" w:eastAsiaTheme="minorHAnsi" w:hAnsiTheme="majorBidi" w:cstheme="majorBidi"/>
          <w:lang w:val="fr-FR"/>
        </w:rPr>
        <w:t>lui</w:t>
      </w:r>
      <w:r w:rsidR="00DE35F6">
        <w:rPr>
          <w:rFonts w:asciiTheme="majorBidi" w:eastAsiaTheme="minorHAnsi" w:hAnsiTheme="majorBidi" w:cstheme="majorBidi"/>
          <w:lang w:val="fr-FR"/>
        </w:rPr>
        <w:t xml:space="preserve"> fournir un meilleur appui</w:t>
      </w:r>
      <w:r w:rsidR="00713487">
        <w:rPr>
          <w:rFonts w:asciiTheme="majorBidi" w:eastAsiaTheme="minorHAnsi" w:hAnsiTheme="majorBidi" w:cstheme="majorBidi"/>
          <w:lang w:val="fr-FR"/>
        </w:rPr>
        <w:t> ;</w:t>
      </w:r>
    </w:p>
    <w:p w14:paraId="441E10FA" w14:textId="39968FC0" w:rsidR="00C46FBD" w:rsidRPr="0049796C" w:rsidRDefault="008135F3" w:rsidP="00C46FBD">
      <w:pPr>
        <w:pStyle w:val="CBDNormalNumber"/>
        <w:numPr>
          <w:ilvl w:val="0"/>
          <w:numId w:val="0"/>
        </w:numPr>
        <w:ind w:left="567"/>
        <w:rPr>
          <w:rFonts w:asciiTheme="majorBidi" w:eastAsiaTheme="minorHAnsi" w:hAnsiTheme="majorBidi" w:cstheme="majorBidi"/>
          <w:i/>
          <w:iCs/>
          <w:lang w:val="fr-FR"/>
        </w:rPr>
      </w:pPr>
      <w:bookmarkStart w:id="87" w:name="_heading=h.nlxkes3arp4q" w:colFirst="0" w:colLast="0"/>
      <w:bookmarkStart w:id="88" w:name="_heading=h.ckg5kekyv6bf" w:colFirst="0" w:colLast="0"/>
      <w:bookmarkEnd w:id="87"/>
      <w:bookmarkEnd w:id="88"/>
      <w:r w:rsidRPr="008135F3">
        <w:rPr>
          <w:rFonts w:asciiTheme="majorBidi" w:eastAsiaTheme="minorHAnsi" w:hAnsiTheme="majorBidi" w:cstheme="majorBidi"/>
          <w:i/>
          <w:iCs/>
          <w:lang w:val="fr-FR"/>
        </w:rPr>
        <w:t>Recommandations adressées au Fonds pour l</w:t>
      </w:r>
      <w:r w:rsidR="00713487">
        <w:rPr>
          <w:rFonts w:asciiTheme="majorBidi" w:eastAsiaTheme="minorHAnsi" w:hAnsiTheme="majorBidi" w:cstheme="majorBidi"/>
          <w:i/>
          <w:iCs/>
          <w:lang w:val="fr-FR"/>
        </w:rPr>
        <w:t>’</w:t>
      </w:r>
      <w:r w:rsidRPr="008135F3">
        <w:rPr>
          <w:rFonts w:asciiTheme="majorBidi" w:eastAsiaTheme="minorHAnsi" w:hAnsiTheme="majorBidi" w:cstheme="majorBidi"/>
          <w:i/>
          <w:iCs/>
          <w:lang w:val="fr-FR"/>
        </w:rPr>
        <w:t>environnement mondial et à la Conférence des Parties</w:t>
      </w:r>
    </w:p>
    <w:p w14:paraId="3C736286" w14:textId="00546A4D" w:rsidR="00C46FBD" w:rsidRPr="0049796C" w:rsidRDefault="00956E88" w:rsidP="004E397A">
      <w:pPr>
        <w:pStyle w:val="CBDNormalNumber"/>
        <w:numPr>
          <w:ilvl w:val="1"/>
          <w:numId w:val="9"/>
        </w:numPr>
        <w:rPr>
          <w:rFonts w:asciiTheme="majorBidi" w:eastAsiaTheme="minorHAnsi" w:hAnsiTheme="majorBidi" w:cstheme="majorBidi"/>
          <w:lang w:val="fr-FR"/>
        </w:rPr>
      </w:pPr>
      <w:r w:rsidRPr="00956E88">
        <w:rPr>
          <w:lang w:val="fr-FR"/>
        </w:rPr>
        <w:t>Reconnaissant qu</w:t>
      </w:r>
      <w:r w:rsidR="00713487">
        <w:rPr>
          <w:lang w:val="fr-FR"/>
        </w:rPr>
        <w:t>’</w:t>
      </w:r>
      <w:r w:rsidRPr="00956E88">
        <w:rPr>
          <w:lang w:val="fr-FR"/>
        </w:rPr>
        <w:t xml:space="preserve">il </w:t>
      </w:r>
      <w:proofErr w:type="gramStart"/>
      <w:r w:rsidRPr="00956E88">
        <w:rPr>
          <w:lang w:val="fr-FR"/>
        </w:rPr>
        <w:t>est</w:t>
      </w:r>
      <w:proofErr w:type="gramEnd"/>
      <w:r w:rsidRPr="00956E88">
        <w:rPr>
          <w:lang w:val="fr-FR"/>
        </w:rPr>
        <w:t xml:space="preserve"> urgent de renforcer le pilotage national et local, recommande à la COP et au FEM de promouvoir des approches plus programmatiques, d</w:t>
      </w:r>
      <w:r w:rsidR="00713487">
        <w:rPr>
          <w:lang w:val="fr-FR"/>
        </w:rPr>
        <w:t>’</w:t>
      </w:r>
      <w:r w:rsidRPr="00956E88">
        <w:rPr>
          <w:lang w:val="fr-FR"/>
        </w:rPr>
        <w:t>accroître le soutien au développement des capacités au niveau local et d</w:t>
      </w:r>
      <w:r w:rsidR="00713487">
        <w:rPr>
          <w:lang w:val="fr-FR"/>
        </w:rPr>
        <w:t>’</w:t>
      </w:r>
      <w:r w:rsidRPr="00956E88">
        <w:rPr>
          <w:lang w:val="fr-FR"/>
        </w:rPr>
        <w:t>augmenter les activités d</w:t>
      </w:r>
      <w:r w:rsidR="00713487">
        <w:rPr>
          <w:lang w:val="fr-FR"/>
        </w:rPr>
        <w:t>’</w:t>
      </w:r>
      <w:r w:rsidRPr="00956E88">
        <w:rPr>
          <w:lang w:val="fr-FR"/>
        </w:rPr>
        <w:t>habilitation, en notant qu</w:t>
      </w:r>
      <w:r w:rsidR="00713487">
        <w:rPr>
          <w:lang w:val="fr-FR"/>
        </w:rPr>
        <w:t>’</w:t>
      </w:r>
      <w:r w:rsidRPr="00956E88">
        <w:rPr>
          <w:lang w:val="fr-FR"/>
        </w:rPr>
        <w:t>il s</w:t>
      </w:r>
      <w:r w:rsidR="00713487">
        <w:rPr>
          <w:lang w:val="fr-FR"/>
        </w:rPr>
        <w:t>’</w:t>
      </w:r>
      <w:r w:rsidRPr="00956E88">
        <w:rPr>
          <w:lang w:val="fr-FR"/>
        </w:rPr>
        <w:t>agit d</w:t>
      </w:r>
      <w:r w:rsidR="00713487">
        <w:rPr>
          <w:lang w:val="fr-FR"/>
        </w:rPr>
        <w:t>’</w:t>
      </w:r>
      <w:r w:rsidRPr="00956E88">
        <w:rPr>
          <w:lang w:val="fr-FR"/>
        </w:rPr>
        <w:t>activités de préparation d</w:t>
      </w:r>
      <w:r w:rsidR="00713487">
        <w:rPr>
          <w:lang w:val="fr-FR"/>
        </w:rPr>
        <w:t>’</w:t>
      </w:r>
      <w:r w:rsidRPr="00956E88">
        <w:rPr>
          <w:lang w:val="fr-FR"/>
        </w:rPr>
        <w:t>un plan, d</w:t>
      </w:r>
      <w:r w:rsidR="00713487">
        <w:rPr>
          <w:lang w:val="fr-FR"/>
        </w:rPr>
        <w:t>’</w:t>
      </w:r>
      <w:r w:rsidRPr="00956E88">
        <w:rPr>
          <w:lang w:val="fr-FR"/>
        </w:rPr>
        <w:t>une stratégie ou d</w:t>
      </w:r>
      <w:r w:rsidR="00713487">
        <w:rPr>
          <w:lang w:val="fr-FR"/>
        </w:rPr>
        <w:t>’</w:t>
      </w:r>
      <w:r w:rsidRPr="00956E88">
        <w:rPr>
          <w:lang w:val="fr-FR"/>
        </w:rPr>
        <w:t>un rapport visant à remplir les engagements pris au titre de la Convention et des Protocoles</w:t>
      </w:r>
      <w:r w:rsidR="00713487">
        <w:rPr>
          <w:lang w:val="fr-FR"/>
        </w:rPr>
        <w:t> ;</w:t>
      </w:r>
      <w:r w:rsidR="00C46FBD" w:rsidRPr="0049796C">
        <w:rPr>
          <w:rFonts w:asciiTheme="majorBidi" w:eastAsiaTheme="minorHAnsi" w:hAnsiTheme="majorBidi" w:cstheme="majorBidi"/>
          <w:lang w:val="fr-FR"/>
        </w:rPr>
        <w:t xml:space="preserve"> </w:t>
      </w:r>
    </w:p>
    <w:p w14:paraId="3B9EAC3F" w14:textId="351F007D" w:rsidR="00C46FBD" w:rsidRPr="0049796C" w:rsidRDefault="00C74BB9" w:rsidP="00555AEE">
      <w:pPr>
        <w:pStyle w:val="CBDNormalNumber"/>
        <w:numPr>
          <w:ilvl w:val="0"/>
          <w:numId w:val="0"/>
        </w:numPr>
        <w:ind w:left="567"/>
        <w:rPr>
          <w:rFonts w:asciiTheme="majorBidi" w:eastAsiaTheme="minorHAnsi" w:hAnsiTheme="majorBidi" w:cstheme="majorBidi"/>
          <w:i/>
          <w:iCs/>
          <w:lang w:val="fr-FR"/>
        </w:rPr>
      </w:pPr>
      <w:r w:rsidRPr="00C74BB9">
        <w:rPr>
          <w:rFonts w:asciiTheme="majorBidi" w:eastAsiaTheme="minorHAnsi" w:hAnsiTheme="majorBidi" w:cstheme="majorBidi"/>
          <w:i/>
          <w:iCs/>
          <w:lang w:val="fr-FR"/>
        </w:rPr>
        <w:t>Recommandations adressées au Fonds pour l</w:t>
      </w:r>
      <w:r w:rsidR="00713487">
        <w:rPr>
          <w:rFonts w:asciiTheme="majorBidi" w:eastAsiaTheme="minorHAnsi" w:hAnsiTheme="majorBidi" w:cstheme="majorBidi"/>
          <w:i/>
          <w:iCs/>
          <w:lang w:val="fr-FR"/>
        </w:rPr>
        <w:t>’</w:t>
      </w:r>
      <w:r w:rsidRPr="00C74BB9">
        <w:rPr>
          <w:rFonts w:asciiTheme="majorBidi" w:eastAsiaTheme="minorHAnsi" w:hAnsiTheme="majorBidi" w:cstheme="majorBidi"/>
          <w:i/>
          <w:iCs/>
          <w:lang w:val="fr-FR"/>
        </w:rPr>
        <w:t>environnement mondial</w:t>
      </w:r>
    </w:p>
    <w:p w14:paraId="499A297C" w14:textId="4F297077" w:rsidR="004B683F" w:rsidRPr="0049796C" w:rsidRDefault="00123083" w:rsidP="004E397A">
      <w:pPr>
        <w:pStyle w:val="CBDNormalNumber"/>
        <w:numPr>
          <w:ilvl w:val="1"/>
          <w:numId w:val="9"/>
        </w:numPr>
        <w:rPr>
          <w:rFonts w:asciiTheme="majorBidi" w:hAnsiTheme="majorBidi" w:cstheme="majorBidi"/>
          <w:lang w:val="fr-FR"/>
        </w:rPr>
      </w:pPr>
      <w:r>
        <w:rPr>
          <w:lang w:val="fr-FR"/>
        </w:rPr>
        <w:t>E</w:t>
      </w:r>
      <w:r w:rsidRPr="00123083">
        <w:rPr>
          <w:lang w:val="fr-FR"/>
        </w:rPr>
        <w:t>ncourage le FEM à poursuivre ses efforts en vue d</w:t>
      </w:r>
      <w:r w:rsidR="00713487">
        <w:rPr>
          <w:lang w:val="fr-FR"/>
        </w:rPr>
        <w:t>’</w:t>
      </w:r>
      <w:r w:rsidRPr="00123083">
        <w:rPr>
          <w:lang w:val="fr-FR"/>
        </w:rPr>
        <w:t>assouplir les exigences de cofinancement pour les PMA, les PEID et le domaine d</w:t>
      </w:r>
      <w:r w:rsidR="00713487">
        <w:rPr>
          <w:lang w:val="fr-FR"/>
        </w:rPr>
        <w:t>’</w:t>
      </w:r>
      <w:r w:rsidRPr="00123083">
        <w:rPr>
          <w:lang w:val="fr-FR"/>
        </w:rPr>
        <w:t>intervention « biodiversité » de la Caisse du FEM, comme cela a été fait pour le Fonds mondial pour la nature</w:t>
      </w:r>
      <w:r w:rsidR="00713487">
        <w:rPr>
          <w:lang w:val="fr-FR"/>
        </w:rPr>
        <w:t> ;</w:t>
      </w:r>
    </w:p>
    <w:p w14:paraId="76A22C6A" w14:textId="0E890A98" w:rsidR="00CB130E" w:rsidRPr="0049796C" w:rsidRDefault="00123083" w:rsidP="004E397A">
      <w:pPr>
        <w:pStyle w:val="CBDNormalNumber"/>
        <w:numPr>
          <w:ilvl w:val="1"/>
          <w:numId w:val="9"/>
        </w:numPr>
        <w:rPr>
          <w:rFonts w:asciiTheme="majorBidi" w:eastAsiaTheme="minorHAnsi" w:hAnsiTheme="majorBidi" w:cstheme="majorBidi"/>
          <w:lang w:val="fr-FR"/>
        </w:rPr>
      </w:pPr>
      <w:r w:rsidRPr="00123083">
        <w:rPr>
          <w:lang w:val="fr-FR"/>
        </w:rPr>
        <w:t>Prie le FEM de redoubler d</w:t>
      </w:r>
      <w:r w:rsidR="00713487">
        <w:rPr>
          <w:lang w:val="fr-FR"/>
        </w:rPr>
        <w:t>’</w:t>
      </w:r>
      <w:r w:rsidRPr="00123083">
        <w:rPr>
          <w:lang w:val="fr-FR"/>
        </w:rPr>
        <w:t>efforts pour encourager les contributions volontaires de toutes les Parties, en particulier des pays développés et des autres Parties et pays en mesure de fournir des ressources, et pour mobiliser des ressources provenant d</w:t>
      </w:r>
      <w:r w:rsidR="00713487">
        <w:rPr>
          <w:lang w:val="fr-FR"/>
        </w:rPr>
        <w:t>’</w:t>
      </w:r>
      <w:r w:rsidRPr="00123083">
        <w:rPr>
          <w:lang w:val="fr-FR"/>
        </w:rPr>
        <w:t>autres sources, notamment du secteur privé, de la philanthropie et des instruments de financement durable, afin d</w:t>
      </w:r>
      <w:r w:rsidR="00713487">
        <w:rPr>
          <w:lang w:val="fr-FR"/>
        </w:rPr>
        <w:t>’</w:t>
      </w:r>
      <w:r w:rsidRPr="00123083">
        <w:rPr>
          <w:lang w:val="fr-FR"/>
        </w:rPr>
        <w:t>améliorer l</w:t>
      </w:r>
      <w:r w:rsidR="00713487">
        <w:rPr>
          <w:lang w:val="fr-FR"/>
        </w:rPr>
        <w:t>’</w:t>
      </w:r>
      <w:r w:rsidRPr="00123083">
        <w:rPr>
          <w:lang w:val="fr-FR"/>
        </w:rPr>
        <w:t>adéquation des fonds et de combler le déficit de financement en faveur de la biodiversité</w:t>
      </w:r>
      <w:r w:rsidR="00945C13">
        <w:rPr>
          <w:lang w:val="fr-FR"/>
        </w:rPr>
        <w:t> </w:t>
      </w:r>
      <w:r w:rsidR="00265606" w:rsidRPr="0049796C">
        <w:rPr>
          <w:rFonts w:asciiTheme="majorBidi" w:eastAsiaTheme="minorHAnsi" w:hAnsiTheme="majorBidi" w:cstheme="majorBidi"/>
          <w:lang w:val="fr-FR"/>
        </w:rPr>
        <w:t>;</w:t>
      </w:r>
    </w:p>
    <w:p w14:paraId="031E2B25" w14:textId="16F8EF1F" w:rsidR="007C7942" w:rsidRPr="0049796C" w:rsidRDefault="00FE16AF" w:rsidP="004E397A">
      <w:pPr>
        <w:pStyle w:val="CBDNormalNumber"/>
        <w:numPr>
          <w:ilvl w:val="1"/>
          <w:numId w:val="9"/>
        </w:numPr>
        <w:rPr>
          <w:rFonts w:asciiTheme="majorBidi" w:eastAsiaTheme="minorHAnsi" w:hAnsiTheme="majorBidi" w:cstheme="majorBidi"/>
          <w:lang w:val="fr-FR"/>
        </w:rPr>
      </w:pPr>
      <w:r w:rsidRPr="00FE16AF">
        <w:rPr>
          <w:lang w:val="fr-FR"/>
        </w:rPr>
        <w:t>Reconnaissant que le FEM a pris des mesures au fil des ans pour améliorer la qualité de ses rapports, recommande au FEM de redoubler d</w:t>
      </w:r>
      <w:r w:rsidR="00713487">
        <w:rPr>
          <w:lang w:val="fr-FR"/>
        </w:rPr>
        <w:t>’</w:t>
      </w:r>
      <w:r w:rsidRPr="00FE16AF">
        <w:rPr>
          <w:lang w:val="fr-FR"/>
        </w:rPr>
        <w:t>efforts pour satisfaire pleinement à toutes ses obligations en matière de présentation de rapports, notamment pour y inclure des informations sur les projets dans le domaine de la biodiversité financés par le FEM en dehors de la CBD et sur la manière dont le FEM a participé à l</w:t>
      </w:r>
      <w:r w:rsidR="00713487">
        <w:rPr>
          <w:lang w:val="fr-FR"/>
        </w:rPr>
        <w:t>’</w:t>
      </w:r>
      <w:r w:rsidRPr="00FE16AF">
        <w:rPr>
          <w:lang w:val="fr-FR"/>
        </w:rPr>
        <w:t>évaluation des besoins par la COP, dans le cadre du protocole d</w:t>
      </w:r>
      <w:r w:rsidR="00713487">
        <w:rPr>
          <w:lang w:val="fr-FR"/>
        </w:rPr>
        <w:t>’</w:t>
      </w:r>
      <w:r w:rsidRPr="00FE16AF">
        <w:rPr>
          <w:lang w:val="fr-FR"/>
        </w:rPr>
        <w:t>accord, afin de permettre à la COP d</w:t>
      </w:r>
      <w:r w:rsidR="00713487">
        <w:rPr>
          <w:lang w:val="fr-FR"/>
        </w:rPr>
        <w:t>’</w:t>
      </w:r>
      <w:r w:rsidRPr="00FE16AF">
        <w:rPr>
          <w:lang w:val="fr-FR"/>
        </w:rPr>
        <w:t>élaborer des orientations plus efficaces</w:t>
      </w:r>
      <w:r w:rsidR="00713487">
        <w:rPr>
          <w:lang w:val="fr-FR"/>
        </w:rPr>
        <w:t> ;</w:t>
      </w:r>
    </w:p>
    <w:p w14:paraId="3EB9F5C5" w14:textId="73B5B615" w:rsidR="00C46FBD" w:rsidRPr="0049796C" w:rsidRDefault="005F312F" w:rsidP="004E397A">
      <w:pPr>
        <w:pStyle w:val="CBDNormalNumber"/>
        <w:numPr>
          <w:ilvl w:val="1"/>
          <w:numId w:val="9"/>
        </w:numPr>
        <w:rPr>
          <w:rFonts w:asciiTheme="majorBidi" w:eastAsiaTheme="minorHAnsi" w:hAnsiTheme="majorBidi" w:cstheme="majorBidi"/>
          <w:lang w:val="fr-FR"/>
        </w:rPr>
      </w:pPr>
      <w:r w:rsidRPr="005F312F">
        <w:rPr>
          <w:lang w:val="fr-FR"/>
        </w:rPr>
        <w:t>Rappelant que l</w:t>
      </w:r>
      <w:r w:rsidR="00713487">
        <w:rPr>
          <w:lang w:val="fr-FR"/>
        </w:rPr>
        <w:t>’</w:t>
      </w:r>
      <w:r w:rsidRPr="005F312F">
        <w:rPr>
          <w:lang w:val="fr-FR"/>
        </w:rPr>
        <w:t>article 21.1 dispose que le mécanisme financier fonctionne de manière démocratique et transparente aux fins de la Convention, invite le Conseil et l</w:t>
      </w:r>
      <w:r w:rsidR="00713487">
        <w:rPr>
          <w:lang w:val="fr-FR"/>
        </w:rPr>
        <w:t>’</w:t>
      </w:r>
      <w:r w:rsidRPr="005F312F">
        <w:rPr>
          <w:lang w:val="fr-FR"/>
        </w:rPr>
        <w:t>Assemblée du Fonds pour l</w:t>
      </w:r>
      <w:r w:rsidR="00713487">
        <w:rPr>
          <w:lang w:val="fr-FR"/>
        </w:rPr>
        <w:t>’</w:t>
      </w:r>
      <w:r w:rsidRPr="005F312F">
        <w:rPr>
          <w:lang w:val="fr-FR"/>
        </w:rPr>
        <w:t>environnement mondial à promouvoir une représentation équitable ou géographique des pays, une représentation des pays présentant une diversité biologique importante et une représentation des pays ayant des populations autochtones importantes au sein du Conseil, et à examiner la réforme de sa gouvernance dans le cadre du processus de reconstitution des ressources du FEM à sa neuvième session</w:t>
      </w:r>
      <w:r w:rsidR="00713487">
        <w:rPr>
          <w:lang w:val="fr-FR"/>
        </w:rPr>
        <w:t> ;</w:t>
      </w:r>
      <w:r w:rsidR="00CB130E" w:rsidRPr="0049796C">
        <w:rPr>
          <w:rFonts w:asciiTheme="majorBidi" w:eastAsiaTheme="minorHAnsi" w:hAnsiTheme="majorBidi" w:cstheme="majorBidi"/>
          <w:lang w:val="fr-FR"/>
        </w:rPr>
        <w:t xml:space="preserve"> </w:t>
      </w:r>
    </w:p>
    <w:p w14:paraId="7F3F93F7" w14:textId="62171FA7" w:rsidR="00C46FBD" w:rsidRPr="0049796C" w:rsidRDefault="00F12112" w:rsidP="004E397A">
      <w:pPr>
        <w:pStyle w:val="CBDNormalNumber"/>
        <w:numPr>
          <w:ilvl w:val="1"/>
          <w:numId w:val="9"/>
        </w:numPr>
        <w:rPr>
          <w:rFonts w:asciiTheme="majorBidi" w:eastAsiaTheme="minorHAnsi" w:hAnsiTheme="majorBidi" w:cstheme="majorBidi"/>
          <w:lang w:val="fr-FR"/>
        </w:rPr>
      </w:pPr>
      <w:r w:rsidRPr="00F12112">
        <w:rPr>
          <w:rFonts w:asciiTheme="majorBidi" w:eastAsiaTheme="minorHAnsi" w:hAnsiTheme="majorBidi" w:cstheme="majorBidi"/>
          <w:lang w:val="fr-FR"/>
        </w:rPr>
        <w:t>Reconnaissant la nécessité d</w:t>
      </w:r>
      <w:r w:rsidR="00713487">
        <w:rPr>
          <w:rFonts w:asciiTheme="majorBidi" w:eastAsiaTheme="minorHAnsi" w:hAnsiTheme="majorBidi" w:cstheme="majorBidi"/>
          <w:lang w:val="fr-FR"/>
        </w:rPr>
        <w:t>’</w:t>
      </w:r>
      <w:r w:rsidRPr="00F12112">
        <w:rPr>
          <w:rFonts w:asciiTheme="majorBidi" w:eastAsiaTheme="minorHAnsi" w:hAnsiTheme="majorBidi" w:cstheme="majorBidi"/>
          <w:lang w:val="fr-FR"/>
        </w:rPr>
        <w:t>un pilotage renforcé et d</w:t>
      </w:r>
      <w:r w:rsidR="00713487">
        <w:rPr>
          <w:rFonts w:asciiTheme="majorBidi" w:eastAsiaTheme="minorHAnsi" w:hAnsiTheme="majorBidi" w:cstheme="majorBidi"/>
          <w:lang w:val="fr-FR"/>
        </w:rPr>
        <w:t>’</w:t>
      </w:r>
      <w:r w:rsidRPr="00F12112">
        <w:rPr>
          <w:rFonts w:asciiTheme="majorBidi" w:eastAsiaTheme="minorHAnsi" w:hAnsiTheme="majorBidi" w:cstheme="majorBidi"/>
          <w:lang w:val="fr-FR"/>
        </w:rPr>
        <w:t>une meilleure implication des pays et des collectivités locales, recommande au FEM de continuer à promouvoir ce renforcement et de revoir le rôle des agences d</w:t>
      </w:r>
      <w:r w:rsidR="00713487">
        <w:rPr>
          <w:rFonts w:asciiTheme="majorBidi" w:eastAsiaTheme="minorHAnsi" w:hAnsiTheme="majorBidi" w:cstheme="majorBidi"/>
          <w:lang w:val="fr-FR"/>
        </w:rPr>
        <w:t>’</w:t>
      </w:r>
      <w:r w:rsidRPr="00F12112">
        <w:rPr>
          <w:rFonts w:asciiTheme="majorBidi" w:eastAsiaTheme="minorHAnsi" w:hAnsiTheme="majorBidi" w:cstheme="majorBidi"/>
          <w:lang w:val="fr-FR"/>
        </w:rPr>
        <w:t>exécution à cet égard en vue de favoriser un engagement plus direct des partenaires dans les pays en développement</w:t>
      </w:r>
      <w:r w:rsidR="00713487">
        <w:rPr>
          <w:rFonts w:asciiTheme="majorBidi" w:eastAsiaTheme="minorHAnsi" w:hAnsiTheme="majorBidi" w:cstheme="majorBidi"/>
          <w:lang w:val="fr-FR"/>
        </w:rPr>
        <w:t> ;</w:t>
      </w:r>
    </w:p>
    <w:p w14:paraId="451C5F52" w14:textId="7AB808A2" w:rsidR="00C46FBD" w:rsidRPr="0049796C" w:rsidRDefault="00BB39D8" w:rsidP="004E397A">
      <w:pPr>
        <w:pStyle w:val="CBDNormalNumber"/>
        <w:numPr>
          <w:ilvl w:val="1"/>
          <w:numId w:val="9"/>
        </w:numPr>
        <w:rPr>
          <w:rFonts w:asciiTheme="majorBidi" w:eastAsiaTheme="minorHAnsi" w:hAnsiTheme="majorBidi" w:cstheme="majorBidi"/>
          <w:lang w:val="fr-FR"/>
        </w:rPr>
      </w:pPr>
      <w:r w:rsidRPr="00BB39D8">
        <w:rPr>
          <w:lang w:val="fr-FR"/>
        </w:rPr>
        <w:lastRenderedPageBreak/>
        <w:t>Rappelant le nombre limité de projets relatifs aux protocoles, demande au FEM de continuer à réexaminer les modalités afin d</w:t>
      </w:r>
      <w:r w:rsidR="00713487">
        <w:rPr>
          <w:lang w:val="fr-FR"/>
        </w:rPr>
        <w:t>’</w:t>
      </w:r>
      <w:r w:rsidRPr="00BB39D8">
        <w:rPr>
          <w:lang w:val="fr-FR"/>
        </w:rPr>
        <w:t>améliorer l</w:t>
      </w:r>
      <w:r w:rsidR="00713487">
        <w:rPr>
          <w:lang w:val="fr-FR"/>
        </w:rPr>
        <w:t>’</w:t>
      </w:r>
      <w:r w:rsidRPr="00BB39D8">
        <w:rPr>
          <w:lang w:val="fr-FR"/>
        </w:rPr>
        <w:t>efficacité des processus de financement des activités menées dans le cadre des protocoles et d</w:t>
      </w:r>
      <w:r w:rsidR="00713487">
        <w:rPr>
          <w:lang w:val="fr-FR"/>
        </w:rPr>
        <w:t>’</w:t>
      </w:r>
      <w:r w:rsidRPr="00BB39D8">
        <w:rPr>
          <w:lang w:val="fr-FR"/>
        </w:rPr>
        <w:t>encourager les pays à les adopter, et d</w:t>
      </w:r>
      <w:r w:rsidR="00713487">
        <w:rPr>
          <w:lang w:val="fr-FR"/>
        </w:rPr>
        <w:t>’</w:t>
      </w:r>
      <w:r w:rsidRPr="00BB39D8">
        <w:rPr>
          <w:lang w:val="fr-FR"/>
        </w:rPr>
        <w:t>examiner la création d</w:t>
      </w:r>
      <w:r w:rsidR="00713487">
        <w:rPr>
          <w:lang w:val="fr-FR"/>
        </w:rPr>
        <w:t>’</w:t>
      </w:r>
      <w:r w:rsidRPr="00BB39D8">
        <w:rPr>
          <w:lang w:val="fr-FR"/>
        </w:rPr>
        <w:t>un guichet autonome pour la prévention des risques biotechnologiques, afin d</w:t>
      </w:r>
      <w:r w:rsidR="00713487">
        <w:rPr>
          <w:lang w:val="fr-FR"/>
        </w:rPr>
        <w:t>’</w:t>
      </w:r>
      <w:r w:rsidRPr="00BB39D8">
        <w:rPr>
          <w:lang w:val="fr-FR"/>
        </w:rPr>
        <w:t>améliorer l</w:t>
      </w:r>
      <w:r w:rsidR="00713487">
        <w:rPr>
          <w:lang w:val="fr-FR"/>
        </w:rPr>
        <w:t>’</w:t>
      </w:r>
      <w:r w:rsidRPr="00BB39D8">
        <w:rPr>
          <w:lang w:val="fr-FR"/>
        </w:rPr>
        <w:t>application du protocole de Cartagena</w:t>
      </w:r>
      <w:r w:rsidR="00C46FBD" w:rsidRPr="0049796C">
        <w:rPr>
          <w:rFonts w:asciiTheme="majorBidi" w:eastAsiaTheme="minorHAnsi" w:hAnsiTheme="majorBidi" w:cstheme="majorBidi"/>
          <w:lang w:val="fr-FR"/>
        </w:rPr>
        <w:t>.</w:t>
      </w:r>
    </w:p>
    <w:p w14:paraId="6C81988A" w14:textId="342BBFD8" w:rsidR="00C46FBD" w:rsidRPr="0049796C" w:rsidRDefault="004866EF" w:rsidP="004E397A">
      <w:pPr>
        <w:pStyle w:val="CBDNormalNumber"/>
        <w:numPr>
          <w:ilvl w:val="1"/>
          <w:numId w:val="9"/>
        </w:numPr>
        <w:rPr>
          <w:rFonts w:asciiTheme="majorBidi" w:eastAsiaTheme="minorHAnsi" w:hAnsiTheme="majorBidi" w:cstheme="majorBidi"/>
          <w:lang w:val="fr-FR"/>
        </w:rPr>
      </w:pPr>
      <w:r>
        <w:rPr>
          <w:lang w:val="fr-FR"/>
        </w:rPr>
        <w:t>E</w:t>
      </w:r>
      <w:r w:rsidRPr="004866EF">
        <w:rPr>
          <w:lang w:val="fr-FR"/>
        </w:rPr>
        <w:t>ncourage le FEM à assouplir les processus de proposition de projets, y compris les exigences en matière de cofinancement, et à augmenter les ressources destinées directement aux pays les moins avancés, aux petits États insulaires en développement, aux populations autochtones et aux communautés locales</w:t>
      </w:r>
      <w:r w:rsidR="00713487">
        <w:rPr>
          <w:lang w:val="fr-FR"/>
        </w:rPr>
        <w:t> ;</w:t>
      </w:r>
    </w:p>
    <w:p w14:paraId="146C5AB4" w14:textId="6E9AA359" w:rsidR="00CB130E" w:rsidRPr="0049796C" w:rsidRDefault="006800E6" w:rsidP="004E397A">
      <w:pPr>
        <w:pStyle w:val="CBDNormalNumber"/>
        <w:numPr>
          <w:ilvl w:val="1"/>
          <w:numId w:val="9"/>
        </w:numPr>
        <w:rPr>
          <w:rFonts w:asciiTheme="majorBidi" w:eastAsiaTheme="minorHAnsi" w:hAnsiTheme="majorBidi" w:cstheme="majorBidi"/>
          <w:lang w:val="fr-FR"/>
        </w:rPr>
      </w:pPr>
      <w:r w:rsidRPr="006800E6">
        <w:rPr>
          <w:lang w:val="fr-FR"/>
        </w:rPr>
        <w:t>Rappelant l</w:t>
      </w:r>
      <w:r w:rsidR="00713487">
        <w:rPr>
          <w:lang w:val="fr-FR"/>
        </w:rPr>
        <w:t>’</w:t>
      </w:r>
      <w:r w:rsidRPr="006800E6">
        <w:rPr>
          <w:lang w:val="fr-FR"/>
        </w:rPr>
        <w:t>importance de la contribution des peuples autochtones et des communautés locales à la mise en œuvre de la Convention et se félicitant du soutien que le FEM apporte actuellement aux peuples autochtones et aux communautés locales, demande au FEM de continuer à promouvoir le soutien aux peuples autochtones et aux communautés locales, notamment en encourageant l</w:t>
      </w:r>
      <w:r w:rsidR="00713487">
        <w:rPr>
          <w:lang w:val="fr-FR"/>
        </w:rPr>
        <w:t>’</w:t>
      </w:r>
      <w:r w:rsidRPr="006800E6">
        <w:rPr>
          <w:lang w:val="fr-FR"/>
        </w:rPr>
        <w:t>esprit d</w:t>
      </w:r>
      <w:r w:rsidR="00713487">
        <w:rPr>
          <w:lang w:val="fr-FR"/>
        </w:rPr>
        <w:t>’</w:t>
      </w:r>
      <w:r w:rsidRPr="006800E6">
        <w:rPr>
          <w:lang w:val="fr-FR"/>
        </w:rPr>
        <w:t>initiative et le partenariat dans les projets, en reconnaissant les connaissances autochtones comme base des activités admissibles, en utilisant des indicateurs ciblés pour suivre les projets et en examinant une cible de financement pour soutenir les priorités des peuples autochtones et des communautés locales dans l</w:t>
      </w:r>
      <w:r w:rsidR="00713487">
        <w:rPr>
          <w:lang w:val="fr-FR"/>
        </w:rPr>
        <w:t>’</w:t>
      </w:r>
      <w:r w:rsidRPr="006800E6">
        <w:rPr>
          <w:lang w:val="fr-FR"/>
        </w:rPr>
        <w:t>ensemble du programme relatif à la biodiversité de la caisse du FEM</w:t>
      </w:r>
      <w:r w:rsidR="00713487">
        <w:rPr>
          <w:lang w:val="fr-FR"/>
        </w:rPr>
        <w:t> ;</w:t>
      </w:r>
      <w:r w:rsidR="00C46FBD" w:rsidRPr="0049796C">
        <w:rPr>
          <w:rFonts w:asciiTheme="majorBidi" w:eastAsiaTheme="minorHAnsi" w:hAnsiTheme="majorBidi" w:cstheme="majorBidi"/>
          <w:lang w:val="fr-FR"/>
        </w:rPr>
        <w:t xml:space="preserve"> </w:t>
      </w:r>
    </w:p>
    <w:p w14:paraId="5FC1BDC6" w14:textId="597D3EEB" w:rsidR="00C46FBD" w:rsidRPr="0049796C" w:rsidRDefault="006800E6" w:rsidP="004E397A">
      <w:pPr>
        <w:pStyle w:val="CBDNormalNumber"/>
        <w:numPr>
          <w:ilvl w:val="1"/>
          <w:numId w:val="9"/>
        </w:numPr>
        <w:rPr>
          <w:rFonts w:asciiTheme="majorBidi" w:eastAsiaTheme="minorHAnsi" w:hAnsiTheme="majorBidi" w:cstheme="majorBidi"/>
          <w:lang w:val="fr-FR"/>
        </w:rPr>
      </w:pPr>
      <w:r w:rsidRPr="006800E6">
        <w:rPr>
          <w:lang w:val="fr-FR"/>
        </w:rPr>
        <w:t>Reconnaissant que le FEM assure un suivi et une évaluation efficaces et réguliers de ses activités, conformément à son Cadre de mesure des résultats, invite le FEM à examiner la possibilité d</w:t>
      </w:r>
      <w:r w:rsidR="00713487">
        <w:rPr>
          <w:lang w:val="fr-FR"/>
        </w:rPr>
        <w:t>’</w:t>
      </w:r>
      <w:r w:rsidRPr="006800E6">
        <w:rPr>
          <w:lang w:val="fr-FR"/>
        </w:rPr>
        <w:t>établir un lien entre les conclusions de l</w:t>
      </w:r>
      <w:r w:rsidR="00713487">
        <w:rPr>
          <w:lang w:val="fr-FR"/>
        </w:rPr>
        <w:t>’</w:t>
      </w:r>
      <w:r w:rsidRPr="006800E6">
        <w:rPr>
          <w:lang w:val="fr-FR"/>
        </w:rPr>
        <w:t>application du Cadre de mesure des résultats de FEM-9, des examens annuels des résultats et des évaluations stratégiques par groupe de pays et les objectifs de la Convention, tels que ceux de la CBD</w:t>
      </w:r>
      <w:r w:rsidR="00713487">
        <w:rPr>
          <w:lang w:val="fr-FR"/>
        </w:rPr>
        <w:t> ;</w:t>
      </w:r>
      <w:r w:rsidR="00C46FBD" w:rsidRPr="0049796C">
        <w:rPr>
          <w:rFonts w:asciiTheme="majorBidi" w:eastAsiaTheme="minorHAnsi" w:hAnsiTheme="majorBidi" w:cstheme="majorBidi"/>
          <w:lang w:val="fr-FR"/>
        </w:rPr>
        <w:t xml:space="preserve"> </w:t>
      </w:r>
    </w:p>
    <w:bookmarkEnd w:id="1"/>
    <w:bookmarkEnd w:id="2"/>
    <w:p w14:paraId="0D398189" w14:textId="1FB3C518" w:rsidR="00C46FBD" w:rsidRPr="0049796C" w:rsidRDefault="00A12EDE" w:rsidP="004E397A">
      <w:pPr>
        <w:pStyle w:val="CBDNormalNumber"/>
        <w:numPr>
          <w:ilvl w:val="1"/>
          <w:numId w:val="9"/>
        </w:numPr>
        <w:rPr>
          <w:rFonts w:asciiTheme="majorBidi" w:eastAsiaTheme="minorHAnsi" w:hAnsiTheme="majorBidi" w:cstheme="majorBidi"/>
          <w:lang w:val="fr-FR"/>
        </w:rPr>
      </w:pPr>
      <w:r w:rsidRPr="00A12EDE">
        <w:rPr>
          <w:lang w:val="fr-FR"/>
        </w:rPr>
        <w:t>Encourage le FEM à contribuer à la mise en œuvre de l</w:t>
      </w:r>
      <w:r w:rsidR="00713487">
        <w:rPr>
          <w:lang w:val="fr-FR"/>
        </w:rPr>
        <w:t>’</w:t>
      </w:r>
      <w:r w:rsidRPr="00A12EDE">
        <w:rPr>
          <w:lang w:val="fr-FR"/>
        </w:rPr>
        <w:t>approche pangouvernementale et de l</w:t>
      </w:r>
      <w:r w:rsidR="00713487">
        <w:rPr>
          <w:lang w:val="fr-FR"/>
        </w:rPr>
        <w:t>’</w:t>
      </w:r>
      <w:r w:rsidRPr="00A12EDE">
        <w:rPr>
          <w:lang w:val="fr-FR"/>
        </w:rPr>
        <w:t xml:space="preserve">approche </w:t>
      </w:r>
      <w:proofErr w:type="spellStart"/>
      <w:r w:rsidRPr="00A12EDE">
        <w:rPr>
          <w:lang w:val="fr-FR"/>
        </w:rPr>
        <w:t>pansociétale</w:t>
      </w:r>
      <w:proofErr w:type="spellEnd"/>
      <w:r w:rsidRPr="00A12EDE">
        <w:rPr>
          <w:lang w:val="fr-FR"/>
        </w:rPr>
        <w:t xml:space="preserve"> pour le Cadre mondial de biodiversité de Kunming-Montréal en continuant à renforcer l</w:t>
      </w:r>
      <w:r w:rsidR="00713487">
        <w:rPr>
          <w:lang w:val="fr-FR"/>
        </w:rPr>
        <w:t>’</w:t>
      </w:r>
      <w:r w:rsidRPr="00A12EDE">
        <w:rPr>
          <w:lang w:val="fr-FR"/>
        </w:rPr>
        <w:t>engagement effectif des organisations de la société civile, des femmes et des jeunes, des peuples autochtones et des communautés locales, du secteur privé, des organisations philanthropiques et de protection de la nature, ainsi que d</w:t>
      </w:r>
      <w:r w:rsidR="00713487">
        <w:rPr>
          <w:lang w:val="fr-FR"/>
        </w:rPr>
        <w:t>’</w:t>
      </w:r>
      <w:r w:rsidRPr="00A12EDE">
        <w:rPr>
          <w:lang w:val="fr-FR"/>
        </w:rPr>
        <w:t>autres groupes importants de parties prenantes</w:t>
      </w:r>
      <w:r w:rsidR="00194486" w:rsidRPr="0049796C">
        <w:rPr>
          <w:rFonts w:asciiTheme="majorBidi" w:eastAsiaTheme="minorHAnsi" w:hAnsiTheme="majorBidi" w:cstheme="majorBidi"/>
          <w:lang w:val="fr-FR"/>
        </w:rPr>
        <w:t>.</w:t>
      </w:r>
    </w:p>
    <w:p w14:paraId="0DD9C816" w14:textId="10480440" w:rsidR="00C67FB4" w:rsidRPr="0049796C" w:rsidRDefault="00C67FB4" w:rsidP="009504DE">
      <w:pPr>
        <w:pStyle w:val="CBDNormalNumber"/>
        <w:numPr>
          <w:ilvl w:val="0"/>
          <w:numId w:val="0"/>
        </w:numPr>
        <w:ind w:left="567"/>
        <w:jc w:val="center"/>
        <w:rPr>
          <w:rFonts w:asciiTheme="majorBidi" w:eastAsiaTheme="minorHAnsi" w:hAnsiTheme="majorBidi" w:cstheme="majorBidi"/>
          <w:highlight w:val="yellow"/>
          <w:lang w:val="fr-FR"/>
        </w:rPr>
      </w:pPr>
      <w:r w:rsidRPr="0049796C">
        <w:rPr>
          <w:rFonts w:asciiTheme="majorBidi" w:eastAsiaTheme="minorHAnsi" w:hAnsiTheme="majorBidi" w:cstheme="majorBidi"/>
          <w:lang w:val="fr-FR"/>
        </w:rPr>
        <w:t>__________</w:t>
      </w:r>
    </w:p>
    <w:sectPr w:rsidR="00C67FB4" w:rsidRPr="0049796C" w:rsidSect="00B601B7">
      <w:headerReference w:type="even" r:id="rId16"/>
      <w:headerReference w:type="default" r:id="rId17"/>
      <w:footerReference w:type="even" r:id="rId18"/>
      <w:footerReference w:type="default" r:id="rId19"/>
      <w:headerReference w:type="first" r:id="rId20"/>
      <w:pgSz w:w="12240" w:h="15840"/>
      <w:pgMar w:top="1440" w:right="1440" w:bottom="1440"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06D929" w14:textId="77777777" w:rsidR="002777CD" w:rsidRPr="000041AF" w:rsidRDefault="002777CD" w:rsidP="00CB2F0E">
      <w:r w:rsidRPr="000041AF">
        <w:separator/>
      </w:r>
    </w:p>
  </w:endnote>
  <w:endnote w:type="continuationSeparator" w:id="0">
    <w:p w14:paraId="7D3BE642" w14:textId="77777777" w:rsidR="002777CD" w:rsidRPr="000041AF" w:rsidRDefault="002777CD" w:rsidP="00CB2F0E">
      <w:r w:rsidRPr="000041AF">
        <w:continuationSeparator/>
      </w:r>
    </w:p>
  </w:endnote>
  <w:endnote w:type="continuationNotice" w:id="1">
    <w:p w14:paraId="7F6E1C51" w14:textId="77777777" w:rsidR="002777CD" w:rsidRPr="000041AF" w:rsidRDefault="002777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Body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60169563"/>
      <w:docPartObj>
        <w:docPartGallery w:val="Page Numbers (Bottom of Page)"/>
        <w:docPartUnique/>
      </w:docPartObj>
    </w:sdtPr>
    <w:sdtEndPr/>
    <w:sdtContent>
      <w:sdt>
        <w:sdtPr>
          <w:id w:val="-1769616900"/>
          <w:docPartObj>
            <w:docPartGallery w:val="Page Numbers (Top of Page)"/>
            <w:docPartUnique/>
          </w:docPartObj>
        </w:sdtPr>
        <w:sdtEndPr/>
        <w:sdtContent>
          <w:p w14:paraId="08A51F5D" w14:textId="0E7D2047" w:rsidR="00193690" w:rsidRPr="000041AF" w:rsidRDefault="00945C13" w:rsidP="006B7768">
            <w:pPr>
              <w:pStyle w:val="Footer"/>
            </w:pPr>
            <w:sdt>
              <w:sdtPr>
                <w:id w:val="1805889758"/>
                <w:docPartObj>
                  <w:docPartGallery w:val="Page Numbers (Bottom of Page)"/>
                  <w:docPartUnique/>
                </w:docPartObj>
              </w:sdtPr>
              <w:sdtEndPr/>
              <w:sdtContent>
                <w:sdt>
                  <w:sdtPr>
                    <w:id w:val="-1496726712"/>
                    <w:docPartObj>
                      <w:docPartGallery w:val="Page Numbers (Top of Page)"/>
                      <w:docPartUnique/>
                    </w:docPartObj>
                  </w:sdtPr>
                  <w:sdtEndPr/>
                  <w:sdtContent>
                    <w:r w:rsidR="00193690" w:rsidRPr="002B559C">
                      <w:rPr>
                        <w:szCs w:val="20"/>
                      </w:rPr>
                      <w:fldChar w:fldCharType="begin"/>
                    </w:r>
                    <w:r w:rsidR="00193690" w:rsidRPr="002B559C">
                      <w:rPr>
                        <w:szCs w:val="20"/>
                      </w:rPr>
                      <w:instrText xml:space="preserve"> PAGE </w:instrText>
                    </w:r>
                    <w:r w:rsidR="00193690" w:rsidRPr="002B559C">
                      <w:rPr>
                        <w:szCs w:val="20"/>
                      </w:rPr>
                      <w:fldChar w:fldCharType="separate"/>
                    </w:r>
                    <w:r w:rsidR="00193690">
                      <w:rPr>
                        <w:szCs w:val="20"/>
                      </w:rPr>
                      <w:t>251</w:t>
                    </w:r>
                    <w:r w:rsidR="00193690" w:rsidRPr="002B559C">
                      <w:rPr>
                        <w:szCs w:val="20"/>
                      </w:rPr>
                      <w:fldChar w:fldCharType="end"/>
                    </w:r>
                    <w:r w:rsidR="00193690" w:rsidRPr="002B559C">
                      <w:rPr>
                        <w:szCs w:val="20"/>
                      </w:rPr>
                      <w:t>/</w:t>
                    </w:r>
                    <w:r w:rsidR="00193690" w:rsidRPr="002B559C">
                      <w:rPr>
                        <w:szCs w:val="20"/>
                      </w:rPr>
                      <w:fldChar w:fldCharType="begin"/>
                    </w:r>
                    <w:r w:rsidR="00193690" w:rsidRPr="002B559C">
                      <w:rPr>
                        <w:szCs w:val="20"/>
                      </w:rPr>
                      <w:instrText xml:space="preserve"> NUMPAGES  </w:instrText>
                    </w:r>
                    <w:r w:rsidR="00193690" w:rsidRPr="002B559C">
                      <w:rPr>
                        <w:szCs w:val="20"/>
                      </w:rPr>
                      <w:fldChar w:fldCharType="separate"/>
                    </w:r>
                    <w:r w:rsidR="00193690">
                      <w:rPr>
                        <w:szCs w:val="20"/>
                      </w:rPr>
                      <w:t>271</w:t>
                    </w:r>
                    <w:r w:rsidR="00193690" w:rsidRPr="002B559C">
                      <w:rPr>
                        <w:szCs w:val="20"/>
                      </w:rPr>
                      <w:fldChar w:fldCharType="end"/>
                    </w:r>
                  </w:sdtContent>
                </w:sdt>
              </w:sdtContent>
            </w:sdt>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EndPr/>
    <w:sdtContent>
      <w:sdt>
        <w:sdtPr>
          <w:id w:val="1807274046"/>
          <w:docPartObj>
            <w:docPartGallery w:val="Page Numbers (Top of Page)"/>
            <w:docPartUnique/>
          </w:docPartObj>
        </w:sdtPr>
        <w:sdtEndPr/>
        <w:sdtContent>
          <w:p w14:paraId="17250C44" w14:textId="324BEDCE" w:rsidR="00193690" w:rsidRPr="000041AF" w:rsidRDefault="00193690" w:rsidP="009504DE">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251</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271</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11E82D" w14:textId="77777777" w:rsidR="002777CD" w:rsidRPr="000041AF" w:rsidRDefault="002777CD" w:rsidP="00CB2F0E">
      <w:r w:rsidRPr="000041AF">
        <w:separator/>
      </w:r>
    </w:p>
  </w:footnote>
  <w:footnote w:type="continuationSeparator" w:id="0">
    <w:p w14:paraId="503678D6" w14:textId="77777777" w:rsidR="002777CD" w:rsidRPr="000041AF" w:rsidRDefault="002777CD" w:rsidP="00CB2F0E">
      <w:r w:rsidRPr="000041AF">
        <w:continuationSeparator/>
      </w:r>
    </w:p>
  </w:footnote>
  <w:footnote w:type="continuationNotice" w:id="1">
    <w:p w14:paraId="5EE67A79" w14:textId="77777777" w:rsidR="002777CD" w:rsidRPr="000041AF" w:rsidRDefault="002777CD"/>
  </w:footnote>
  <w:footnote w:id="2">
    <w:p w14:paraId="2487AB3D" w14:textId="77777777" w:rsidR="00193690" w:rsidRPr="00410F96" w:rsidRDefault="00193690" w:rsidP="00C33925">
      <w:pPr>
        <w:pStyle w:val="Footnote0"/>
        <w:rPr>
          <w:lang w:val="fr-FR"/>
        </w:rPr>
      </w:pPr>
      <w:r w:rsidRPr="00410F96">
        <w:rPr>
          <w:rStyle w:val="FootnoteReference"/>
          <w:lang w:val="fr-FR"/>
        </w:rPr>
        <w:t>*</w:t>
      </w:r>
      <w:r w:rsidRPr="00410F96">
        <w:rPr>
          <w:lang w:val="fr-FR"/>
        </w:rPr>
        <w:t xml:space="preserve"> CBD/COP/16/1.</w:t>
      </w:r>
    </w:p>
  </w:footnote>
  <w:footnote w:id="3">
    <w:p w14:paraId="397A8382" w14:textId="183BCB95" w:rsidR="00193690" w:rsidRPr="00410F96" w:rsidRDefault="00193690">
      <w:pPr>
        <w:pStyle w:val="FootnoteText"/>
        <w:rPr>
          <w:szCs w:val="18"/>
          <w:lang w:val="fr-FR"/>
        </w:rPr>
      </w:pPr>
      <w:r w:rsidRPr="00410F96">
        <w:rPr>
          <w:rStyle w:val="FootnoteReference"/>
          <w:szCs w:val="18"/>
          <w:lang w:val="fr-FR"/>
        </w:rPr>
        <w:footnoteRef/>
      </w:r>
      <w:r w:rsidRPr="00410F96">
        <w:rPr>
          <w:szCs w:val="18"/>
          <w:lang w:val="fr-FR"/>
        </w:rPr>
        <w:t xml:space="preserve"> </w:t>
      </w:r>
      <w:r w:rsidR="00DE0BE6" w:rsidRPr="00410F96">
        <w:rPr>
          <w:szCs w:val="18"/>
          <w:lang w:val="fr-FR"/>
        </w:rPr>
        <w:t>Le rapport de synthèse et les recommandations de l</w:t>
      </w:r>
      <w:r w:rsidR="00713487" w:rsidRPr="00410F96">
        <w:rPr>
          <w:szCs w:val="18"/>
          <w:lang w:val="fr-FR"/>
        </w:rPr>
        <w:t>’</w:t>
      </w:r>
      <w:r w:rsidR="00DE0BE6" w:rsidRPr="00410F96">
        <w:rPr>
          <w:szCs w:val="18"/>
          <w:lang w:val="fr-FR"/>
        </w:rPr>
        <w:t>évaluateur indépendant pour le sixième examen quadriennal de l</w:t>
      </w:r>
      <w:r w:rsidR="00713487" w:rsidRPr="00410F96">
        <w:rPr>
          <w:szCs w:val="18"/>
          <w:lang w:val="fr-FR"/>
        </w:rPr>
        <w:t>’</w:t>
      </w:r>
      <w:r w:rsidR="00DE0BE6" w:rsidRPr="00410F96">
        <w:rPr>
          <w:szCs w:val="18"/>
          <w:lang w:val="fr-FR"/>
        </w:rPr>
        <w:t>efficacité du mécanisme financier de la Convention sur la diversité biologique sont publiés sans avoir été revus par les services d</w:t>
      </w:r>
      <w:r w:rsidR="00713487" w:rsidRPr="00410F96">
        <w:rPr>
          <w:szCs w:val="18"/>
          <w:lang w:val="fr-FR"/>
        </w:rPr>
        <w:t>’</w:t>
      </w:r>
      <w:r w:rsidR="00DE0BE6" w:rsidRPr="00410F96">
        <w:rPr>
          <w:szCs w:val="18"/>
          <w:lang w:val="fr-FR"/>
        </w:rPr>
        <w:t>édition</w:t>
      </w:r>
      <w:r w:rsidRPr="00410F96">
        <w:rPr>
          <w:szCs w:val="18"/>
          <w:lang w:val="fr-FR"/>
        </w:rPr>
        <w:t>.</w:t>
      </w:r>
    </w:p>
  </w:footnote>
  <w:footnote w:id="4">
    <w:p w14:paraId="24BC60C5" w14:textId="33C716C0" w:rsidR="00392FC7" w:rsidRPr="00410F96" w:rsidRDefault="00392FC7" w:rsidP="00392FC7">
      <w:pPr>
        <w:pStyle w:val="FootnoteText"/>
        <w:rPr>
          <w:szCs w:val="18"/>
          <w:lang w:val="fr-FR"/>
        </w:rPr>
      </w:pPr>
      <w:r w:rsidRPr="00410F96">
        <w:rPr>
          <w:rStyle w:val="FootnoteReference"/>
          <w:szCs w:val="18"/>
          <w:lang w:val="fr-FR"/>
        </w:rPr>
        <w:footnoteRef/>
      </w:r>
      <w:r w:rsidRPr="00410F96">
        <w:rPr>
          <w:szCs w:val="18"/>
          <w:lang w:val="fr-FR"/>
        </w:rPr>
        <w:t xml:space="preserve"> </w:t>
      </w:r>
      <w:r w:rsidR="002E6F6E" w:rsidRPr="00410F96">
        <w:rPr>
          <w:szCs w:val="18"/>
          <w:lang w:val="fr-FR"/>
        </w:rPr>
        <w:t>Le projet de décision fusionné sera reproduit dans la compilation des projets de décision. Le dispositif du présent projet de décision remplacerait le paragraphe 28 (un paragraphe de remplacement) dans le projet de décision contenu dans la recommandation 4/4 de l</w:t>
      </w:r>
      <w:r w:rsidR="00713487" w:rsidRPr="00410F96">
        <w:rPr>
          <w:szCs w:val="18"/>
          <w:lang w:val="fr-FR"/>
        </w:rPr>
        <w:t>’</w:t>
      </w:r>
      <w:r w:rsidR="002E6F6E" w:rsidRPr="00410F96">
        <w:rPr>
          <w:szCs w:val="18"/>
          <w:lang w:val="fr-FR"/>
        </w:rPr>
        <w:t xml:space="preserve">Organe subsidiaire </w:t>
      </w:r>
      <w:r w:rsidR="007B25D0" w:rsidRPr="00410F96">
        <w:rPr>
          <w:szCs w:val="18"/>
          <w:lang w:val="fr-FR"/>
        </w:rPr>
        <w:t>chargé de l</w:t>
      </w:r>
      <w:r w:rsidR="00713487" w:rsidRPr="00410F96">
        <w:rPr>
          <w:szCs w:val="18"/>
          <w:lang w:val="fr-FR"/>
        </w:rPr>
        <w:t>’</w:t>
      </w:r>
      <w:r w:rsidR="007B25D0" w:rsidRPr="00410F96">
        <w:rPr>
          <w:szCs w:val="18"/>
          <w:lang w:val="fr-FR"/>
        </w:rPr>
        <w:t>application</w:t>
      </w:r>
      <w:r w:rsidRPr="00410F96">
        <w:rPr>
          <w:szCs w:val="18"/>
          <w:lang w:val="fr-FR"/>
        </w:rPr>
        <w:t xml:space="preserve">. </w:t>
      </w:r>
    </w:p>
  </w:footnote>
  <w:footnote w:id="5">
    <w:p w14:paraId="216D2293" w14:textId="5F95B26D" w:rsidR="00193690" w:rsidRPr="00410F96" w:rsidRDefault="00193690">
      <w:pPr>
        <w:pStyle w:val="FootnoteText"/>
        <w:rPr>
          <w:szCs w:val="18"/>
          <w:lang w:val="fr-FR"/>
        </w:rPr>
      </w:pPr>
      <w:r w:rsidRPr="00410F96">
        <w:rPr>
          <w:rStyle w:val="FootnoteReference"/>
          <w:szCs w:val="18"/>
          <w:lang w:val="fr-FR"/>
        </w:rPr>
        <w:footnoteRef/>
      </w:r>
      <w:r w:rsidRPr="00410F96">
        <w:rPr>
          <w:szCs w:val="18"/>
          <w:lang w:val="fr-FR"/>
        </w:rPr>
        <w:t xml:space="preserve"> </w:t>
      </w:r>
      <w:r w:rsidRPr="00410F96">
        <w:rPr>
          <w:rFonts w:asciiTheme="majorBidi" w:eastAsia="MS Mincho" w:hAnsiTheme="majorBidi" w:cstheme="majorBidi"/>
          <w:color w:val="000000"/>
          <w:kern w:val="22"/>
          <w:szCs w:val="18"/>
          <w:lang w:val="fr-FR"/>
        </w:rPr>
        <w:t>CBD/COP/16/8.</w:t>
      </w:r>
    </w:p>
  </w:footnote>
  <w:footnote w:id="6">
    <w:p w14:paraId="166567CF" w14:textId="7F262CAA" w:rsidR="00193690" w:rsidRPr="00410F96" w:rsidRDefault="00193690" w:rsidP="002352D9">
      <w:pPr>
        <w:pStyle w:val="FootnoteText"/>
        <w:rPr>
          <w:szCs w:val="18"/>
          <w:lang w:val="fr-FR"/>
        </w:rPr>
      </w:pPr>
      <w:r w:rsidRPr="00410F96">
        <w:rPr>
          <w:rStyle w:val="FootnoteReference"/>
          <w:szCs w:val="18"/>
          <w:lang w:val="fr-FR"/>
        </w:rPr>
        <w:footnoteRef/>
      </w:r>
      <w:r w:rsidRPr="00410F96">
        <w:rPr>
          <w:szCs w:val="18"/>
          <w:lang w:val="fr-FR"/>
        </w:rPr>
        <w:t xml:space="preserve"> </w:t>
      </w:r>
      <w:r w:rsidR="00747D80" w:rsidRPr="00410F96">
        <w:rPr>
          <w:szCs w:val="18"/>
          <w:lang w:val="fr-FR"/>
        </w:rPr>
        <w:t xml:space="preserve">Nations Unies, </w:t>
      </w:r>
      <w:r w:rsidR="00747D80" w:rsidRPr="00410F96">
        <w:rPr>
          <w:i/>
          <w:iCs/>
          <w:szCs w:val="18"/>
          <w:lang w:val="fr-FR"/>
        </w:rPr>
        <w:t>Recueil des traités</w:t>
      </w:r>
      <w:r w:rsidRPr="00410F96">
        <w:rPr>
          <w:szCs w:val="18"/>
          <w:lang w:val="fr-FR"/>
        </w:rPr>
        <w:t xml:space="preserve">, vol. 1760, </w:t>
      </w:r>
      <w:r w:rsidR="005A0228" w:rsidRPr="00410F96">
        <w:rPr>
          <w:szCs w:val="18"/>
          <w:lang w:val="fr-FR"/>
        </w:rPr>
        <w:t>n°</w:t>
      </w:r>
      <w:r w:rsidRPr="00410F96">
        <w:rPr>
          <w:szCs w:val="18"/>
          <w:lang w:val="fr-FR"/>
        </w:rPr>
        <w:t>30619.</w:t>
      </w:r>
    </w:p>
  </w:footnote>
  <w:footnote w:id="7">
    <w:p w14:paraId="4A10B129" w14:textId="5C99E1EB" w:rsidR="00193690" w:rsidRPr="00410F96" w:rsidRDefault="00193690">
      <w:pPr>
        <w:pStyle w:val="FootnoteText"/>
        <w:rPr>
          <w:szCs w:val="18"/>
          <w:lang w:val="fr-FR"/>
        </w:rPr>
      </w:pPr>
      <w:r w:rsidRPr="00410F96">
        <w:rPr>
          <w:rStyle w:val="FootnoteReference"/>
          <w:szCs w:val="18"/>
          <w:lang w:val="fr-FR"/>
        </w:rPr>
        <w:footnoteRef/>
      </w:r>
      <w:r w:rsidRPr="00410F96">
        <w:rPr>
          <w:szCs w:val="18"/>
          <w:lang w:val="fr-FR"/>
        </w:rPr>
        <w:t xml:space="preserve"> </w:t>
      </w:r>
      <w:r w:rsidRPr="00410F96">
        <w:rPr>
          <w:rFonts w:asciiTheme="majorBidi" w:eastAsia="MS Mincho" w:hAnsiTheme="majorBidi" w:cstheme="majorBidi"/>
          <w:color w:val="000000"/>
          <w:kern w:val="22"/>
          <w:szCs w:val="18"/>
          <w:lang w:val="fr-FR"/>
        </w:rPr>
        <w:t>CBD/COP/16/INF/25.</w:t>
      </w:r>
    </w:p>
  </w:footnote>
  <w:footnote w:id="8">
    <w:p w14:paraId="0E77C225" w14:textId="6E56D941" w:rsidR="00193690" w:rsidRPr="00410F96" w:rsidRDefault="00193690">
      <w:pPr>
        <w:pStyle w:val="FootnoteText"/>
        <w:rPr>
          <w:szCs w:val="18"/>
          <w:lang w:val="fr-FR"/>
        </w:rPr>
      </w:pPr>
      <w:r w:rsidRPr="00410F96">
        <w:rPr>
          <w:rStyle w:val="FootnoteReference"/>
          <w:szCs w:val="18"/>
          <w:lang w:val="fr-FR"/>
        </w:rPr>
        <w:footnoteRef/>
      </w:r>
      <w:r w:rsidRPr="00410F96">
        <w:rPr>
          <w:szCs w:val="18"/>
          <w:lang w:val="fr-FR"/>
        </w:rPr>
        <w:t xml:space="preserve"> </w:t>
      </w:r>
      <w:r w:rsidR="00AF2F1C" w:rsidRPr="00410F96">
        <w:rPr>
          <w:color w:val="000000"/>
          <w:szCs w:val="18"/>
          <w:lang w:val="fr-FR"/>
        </w:rPr>
        <w:t xml:space="preserve">Nations Unies, </w:t>
      </w:r>
      <w:r w:rsidR="00AF2F1C" w:rsidRPr="00410F96">
        <w:rPr>
          <w:i/>
          <w:iCs/>
          <w:color w:val="000000"/>
          <w:szCs w:val="18"/>
          <w:lang w:val="fr-FR"/>
        </w:rPr>
        <w:t>Recueil des traités</w:t>
      </w:r>
      <w:r w:rsidRPr="00410F96">
        <w:rPr>
          <w:iCs/>
          <w:color w:val="000000"/>
          <w:szCs w:val="18"/>
          <w:lang w:val="fr-FR"/>
        </w:rPr>
        <w:t>,</w:t>
      </w:r>
      <w:r w:rsidRPr="00410F96">
        <w:rPr>
          <w:i/>
          <w:iCs/>
          <w:color w:val="000000"/>
          <w:szCs w:val="18"/>
          <w:lang w:val="fr-FR"/>
        </w:rPr>
        <w:t xml:space="preserve"> </w:t>
      </w:r>
      <w:r w:rsidRPr="00410F96">
        <w:rPr>
          <w:color w:val="000000"/>
          <w:szCs w:val="18"/>
          <w:lang w:val="fr-FR"/>
        </w:rPr>
        <w:t xml:space="preserve">vol. 2226, </w:t>
      </w:r>
      <w:r w:rsidR="000509FB" w:rsidRPr="00410F96">
        <w:rPr>
          <w:color w:val="000000"/>
          <w:szCs w:val="18"/>
          <w:lang w:val="fr-FR"/>
        </w:rPr>
        <w:t>n°</w:t>
      </w:r>
      <w:r w:rsidRPr="00410F96">
        <w:rPr>
          <w:color w:val="000000"/>
          <w:szCs w:val="18"/>
          <w:lang w:val="fr-FR"/>
        </w:rPr>
        <w:t>30619.</w:t>
      </w:r>
    </w:p>
  </w:footnote>
  <w:footnote w:id="9">
    <w:p w14:paraId="4996C070" w14:textId="22501B37" w:rsidR="00193690" w:rsidRPr="00410F96" w:rsidRDefault="00193690">
      <w:pPr>
        <w:pStyle w:val="FootnoteText"/>
        <w:rPr>
          <w:szCs w:val="18"/>
          <w:lang w:val="fr-FR"/>
        </w:rPr>
      </w:pPr>
      <w:r w:rsidRPr="00410F96">
        <w:rPr>
          <w:rStyle w:val="FootnoteReference"/>
          <w:szCs w:val="18"/>
          <w:lang w:val="fr-FR"/>
        </w:rPr>
        <w:footnoteRef/>
      </w:r>
      <w:r w:rsidRPr="00410F96">
        <w:rPr>
          <w:szCs w:val="18"/>
          <w:lang w:val="fr-FR"/>
        </w:rPr>
        <w:t xml:space="preserve"> </w:t>
      </w:r>
      <w:r w:rsidR="00AF2F1C" w:rsidRPr="00410F96">
        <w:rPr>
          <w:szCs w:val="18"/>
          <w:lang w:val="fr-FR"/>
        </w:rPr>
        <w:t xml:space="preserve">Nations Unies, </w:t>
      </w:r>
      <w:r w:rsidR="00AF2F1C" w:rsidRPr="00410F96">
        <w:rPr>
          <w:i/>
          <w:iCs/>
          <w:szCs w:val="18"/>
          <w:lang w:val="fr-FR"/>
        </w:rPr>
        <w:t>Recueil des traités,</w:t>
      </w:r>
      <w:r w:rsidR="00AF2F1C" w:rsidRPr="00410F96">
        <w:rPr>
          <w:szCs w:val="18"/>
          <w:lang w:val="fr-FR"/>
        </w:rPr>
        <w:t xml:space="preserve"> </w:t>
      </w:r>
      <w:r w:rsidRPr="00410F96">
        <w:rPr>
          <w:szCs w:val="18"/>
          <w:lang w:val="fr-FR"/>
        </w:rPr>
        <w:t xml:space="preserve">vol. 3008, </w:t>
      </w:r>
      <w:r w:rsidR="000509FB" w:rsidRPr="00410F96">
        <w:rPr>
          <w:szCs w:val="18"/>
          <w:lang w:val="fr-FR"/>
        </w:rPr>
        <w:t>n°</w:t>
      </w:r>
      <w:r w:rsidRPr="00410F96">
        <w:rPr>
          <w:szCs w:val="18"/>
          <w:lang w:val="fr-FR"/>
        </w:rPr>
        <w:t>30619.</w:t>
      </w:r>
    </w:p>
  </w:footnote>
  <w:footnote w:id="10">
    <w:p w14:paraId="34E28EF0" w14:textId="0524C738" w:rsidR="00193690" w:rsidRPr="00410F96" w:rsidRDefault="00193690">
      <w:pPr>
        <w:pStyle w:val="FootnoteText"/>
        <w:rPr>
          <w:szCs w:val="18"/>
          <w:lang w:val="fr-FR"/>
        </w:rPr>
      </w:pPr>
      <w:r w:rsidRPr="00410F96">
        <w:rPr>
          <w:rStyle w:val="FootnoteReference"/>
          <w:szCs w:val="18"/>
          <w:lang w:val="fr-FR"/>
        </w:rPr>
        <w:footnoteRef/>
      </w:r>
      <w:r w:rsidRPr="00410F96">
        <w:rPr>
          <w:szCs w:val="18"/>
          <w:lang w:val="fr-FR"/>
        </w:rPr>
        <w:t xml:space="preserve"> </w:t>
      </w:r>
      <w:r w:rsidR="004C243E" w:rsidRPr="00410F96">
        <w:rPr>
          <w:szCs w:val="18"/>
          <w:lang w:val="fr-FR"/>
        </w:rPr>
        <w:t>Décision</w:t>
      </w:r>
      <w:r w:rsidRPr="00410F96">
        <w:rPr>
          <w:szCs w:val="18"/>
          <w:lang w:val="fr-FR"/>
        </w:rPr>
        <w:t xml:space="preserve"> 15/4, </w:t>
      </w:r>
      <w:r w:rsidR="004C243E" w:rsidRPr="00410F96">
        <w:rPr>
          <w:szCs w:val="18"/>
          <w:lang w:val="fr-FR"/>
        </w:rPr>
        <w:t>annexe</w:t>
      </w:r>
      <w:r w:rsidRPr="00410F96">
        <w:rPr>
          <w:szCs w:val="18"/>
          <w:lang w:val="fr-FR"/>
        </w:rPr>
        <w:t>.</w:t>
      </w:r>
    </w:p>
  </w:footnote>
  <w:footnote w:id="11">
    <w:p w14:paraId="43CD2835" w14:textId="3E6C9E36" w:rsidR="00410F96" w:rsidRPr="00410F96" w:rsidRDefault="00410F96" w:rsidP="00410F96">
      <w:pPr>
        <w:pStyle w:val="FootnoteText"/>
        <w:rPr>
          <w:lang w:val="fr-FR"/>
        </w:rPr>
      </w:pPr>
      <w:r w:rsidRPr="00410F96">
        <w:rPr>
          <w:rStyle w:val="FootnoteReference"/>
          <w:lang w:val="fr-FR"/>
        </w:rPr>
        <w:footnoteRef/>
      </w:r>
      <w:r w:rsidRPr="00410F96">
        <w:rPr>
          <w:lang w:val="fr-FR"/>
        </w:rPr>
        <w:t xml:space="preserve"> Décision III/8, annexe.</w:t>
      </w:r>
    </w:p>
  </w:footnote>
  <w:footnote w:id="12">
    <w:p w14:paraId="46077923" w14:textId="5D785731" w:rsidR="00193690" w:rsidRPr="00410F96" w:rsidRDefault="00193690">
      <w:pPr>
        <w:pStyle w:val="FootnoteText"/>
        <w:rPr>
          <w:lang w:val="fr-FR"/>
        </w:rPr>
      </w:pPr>
      <w:r w:rsidRPr="00410F96">
        <w:rPr>
          <w:rStyle w:val="FootnoteReference"/>
          <w:lang w:val="fr-FR"/>
        </w:rPr>
        <w:footnoteRef/>
      </w:r>
      <w:r w:rsidRPr="00410F96">
        <w:rPr>
          <w:lang w:val="fr-FR"/>
        </w:rPr>
        <w:t xml:space="preserve"> </w:t>
      </w:r>
      <w:r w:rsidR="004C243E" w:rsidRPr="00410F96">
        <w:rPr>
          <w:lang w:val="fr-FR"/>
        </w:rPr>
        <w:t xml:space="preserve">Nations Unies, </w:t>
      </w:r>
      <w:r w:rsidR="004C243E" w:rsidRPr="00410F96">
        <w:rPr>
          <w:i/>
          <w:iCs/>
          <w:lang w:val="fr-FR"/>
        </w:rPr>
        <w:t>Recueil des traités,</w:t>
      </w:r>
      <w:r w:rsidR="004C243E" w:rsidRPr="00410F96">
        <w:rPr>
          <w:lang w:val="fr-FR"/>
        </w:rPr>
        <w:t xml:space="preserve"> </w:t>
      </w:r>
      <w:r w:rsidRPr="00410F96">
        <w:rPr>
          <w:lang w:val="fr-FR"/>
        </w:rPr>
        <w:t>vol. 1771,</w:t>
      </w:r>
      <w:r w:rsidR="004C243E" w:rsidRPr="00410F96">
        <w:rPr>
          <w:lang w:val="fr-FR"/>
        </w:rPr>
        <w:t xml:space="preserve"> n°</w:t>
      </w:r>
      <w:r w:rsidRPr="00410F96">
        <w:rPr>
          <w:lang w:val="fr-FR"/>
        </w:rPr>
        <w:t>30822.</w:t>
      </w:r>
    </w:p>
  </w:footnote>
  <w:footnote w:id="13">
    <w:p w14:paraId="2A274279" w14:textId="3DE4231B" w:rsidR="00193690" w:rsidRPr="00410F96" w:rsidRDefault="00193690">
      <w:pPr>
        <w:pStyle w:val="FootnoteText"/>
        <w:rPr>
          <w:szCs w:val="18"/>
          <w:lang w:val="fr-FR"/>
        </w:rPr>
      </w:pPr>
      <w:r w:rsidRPr="00410F96">
        <w:rPr>
          <w:rStyle w:val="FootnoteReference"/>
          <w:szCs w:val="18"/>
          <w:lang w:val="fr-FR"/>
        </w:rPr>
        <w:footnoteRef/>
      </w:r>
      <w:r w:rsidRPr="00410F96">
        <w:rPr>
          <w:szCs w:val="18"/>
          <w:lang w:val="fr-FR"/>
        </w:rPr>
        <w:t xml:space="preserve"> </w:t>
      </w:r>
      <w:r w:rsidR="00DA52D7" w:rsidRPr="00410F96">
        <w:rPr>
          <w:szCs w:val="18"/>
          <w:lang w:val="fr-FR"/>
        </w:rPr>
        <w:t>La création d</w:t>
      </w:r>
      <w:r w:rsidR="00713487" w:rsidRPr="00410F96">
        <w:rPr>
          <w:szCs w:val="18"/>
          <w:lang w:val="fr-FR"/>
        </w:rPr>
        <w:t>’</w:t>
      </w:r>
      <w:r w:rsidR="00DA52D7" w:rsidRPr="00410F96">
        <w:rPr>
          <w:szCs w:val="18"/>
          <w:lang w:val="fr-FR"/>
        </w:rPr>
        <w:t>un Comité permanent des finances a été examinée à la COP-14 à la lumière de l</w:t>
      </w:r>
      <w:r w:rsidR="00713487" w:rsidRPr="00410F96">
        <w:rPr>
          <w:szCs w:val="18"/>
          <w:lang w:val="fr-FR"/>
        </w:rPr>
        <w:t>’</w:t>
      </w:r>
      <w:r w:rsidR="00DA52D7" w:rsidRPr="00410F96">
        <w:rPr>
          <w:szCs w:val="18"/>
          <w:lang w:val="fr-FR"/>
        </w:rPr>
        <w:t>examen précédent de l</w:t>
      </w:r>
      <w:r w:rsidR="00713487" w:rsidRPr="00410F96">
        <w:rPr>
          <w:szCs w:val="18"/>
          <w:lang w:val="fr-FR"/>
        </w:rPr>
        <w:t>’</w:t>
      </w:r>
      <w:r w:rsidR="00DA52D7" w:rsidRPr="00410F96">
        <w:rPr>
          <w:szCs w:val="18"/>
          <w:lang w:val="fr-FR"/>
        </w:rPr>
        <w:t>efficacité.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A39F75" w14:textId="51F900B0" w:rsidR="00193690" w:rsidRPr="000041AF" w:rsidRDefault="00193690">
    <w:pPr>
      <w:pStyle w:val="Header"/>
      <w:rPr>
        <w:rFonts w:cs="Arial (Body CS)"/>
      </w:rPr>
    </w:pPr>
    <w:r w:rsidRPr="000041AF">
      <w:rPr>
        <w:rFonts w:cs="Arial (Body CS)"/>
      </w:rPr>
      <w:t>CBD/COP/16/7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1AF611" w14:textId="52991584" w:rsidR="00193690" w:rsidRPr="000041AF" w:rsidRDefault="00193690" w:rsidP="00A35FBB">
    <w:pPr>
      <w:pStyle w:val="Header"/>
      <w:jc w:val="right"/>
      <w:rPr>
        <w:rFonts w:cs="Arial (Body CS)"/>
      </w:rPr>
    </w:pPr>
    <w:r w:rsidRPr="000041AF">
      <w:rPr>
        <w:rFonts w:cs="Arial (Body CS)"/>
      </w:rPr>
      <w:t>CBD/COP/16/7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5E29C3" w14:textId="6E490D45" w:rsidR="00193690" w:rsidRPr="000041AF" w:rsidRDefault="00193690" w:rsidP="009504D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70E450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BE2B0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31A383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A50DA7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9529AE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E4017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B8A52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CA265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3CD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EBAE5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5167D3D"/>
    <w:multiLevelType w:val="hybridMultilevel"/>
    <w:tmpl w:val="1FDA5006"/>
    <w:lvl w:ilvl="0" w:tplc="516E62AC">
      <w:start w:val="1"/>
      <w:numFmt w:val="decimal"/>
      <w:pStyle w:val="GEFNumberedParagraph"/>
      <w:lvlText w:val="%1."/>
      <w:lvlJc w:val="left"/>
      <w:pPr>
        <w:ind w:left="0" w:firstLine="0"/>
      </w:pPr>
      <w:rPr>
        <w:rFonts w:ascii="Times New Roman" w:hAnsi="Times New Roman" w:cs="Times New Roman" w:hint="default"/>
        <w:b w:val="0"/>
        <w:i w:val="0"/>
        <w:sz w:val="24"/>
        <w:szCs w:val="24"/>
        <w:vertAlign w:val="baseline"/>
      </w:rPr>
    </w:lvl>
    <w:lvl w:ilvl="1" w:tplc="6922C808">
      <w:numFmt w:val="bullet"/>
      <w:lvlText w:val="•"/>
      <w:lvlJc w:val="left"/>
      <w:pPr>
        <w:ind w:left="1440" w:hanging="360"/>
      </w:pPr>
      <w:rPr>
        <w:rFonts w:ascii="Calibri" w:eastAsia="Times New Roman Bold"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770195"/>
    <w:multiLevelType w:val="hybridMultilevel"/>
    <w:tmpl w:val="1C28A382"/>
    <w:lvl w:ilvl="0" w:tplc="54605A3A">
      <w:start w:val="1"/>
      <w:numFmt w:val="lowerLetter"/>
      <w:pStyle w:val="SubParagraphLevel1"/>
      <w:lvlText w:val="(%1)"/>
      <w:lvlJc w:val="left"/>
      <w:pPr>
        <w:ind w:left="3600" w:hanging="360"/>
      </w:pPr>
      <w:rPr>
        <w:rFonts w:hint="default"/>
        <w:color w:val="auto"/>
      </w:rPr>
    </w:lvl>
    <w:lvl w:ilvl="1" w:tplc="04090019">
      <w:start w:val="1"/>
      <w:numFmt w:val="lowerLetter"/>
      <w:lvlText w:val="%2."/>
      <w:lvlJc w:val="left"/>
      <w:pPr>
        <w:ind w:left="2160" w:hanging="360"/>
      </w:pPr>
    </w:lvl>
    <w:lvl w:ilvl="2" w:tplc="3D22C8C8">
      <w:numFmt w:val="bullet"/>
      <w:lvlText w:val="•"/>
      <w:lvlJc w:val="left"/>
      <w:pPr>
        <w:ind w:left="3060" w:hanging="360"/>
      </w:pPr>
      <w:rPr>
        <w:rFonts w:ascii="Calibri" w:eastAsiaTheme="minorHAnsi" w:hAnsi="Calibri" w:cs="Calibri"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8FE736D"/>
    <w:multiLevelType w:val="hybridMultilevel"/>
    <w:tmpl w:val="926001F0"/>
    <w:lvl w:ilvl="0" w:tplc="04090001">
      <w:start w:val="1"/>
      <w:numFmt w:val="bullet"/>
      <w:lvlText w:val=""/>
      <w:lvlJc w:val="left"/>
      <w:pPr>
        <w:ind w:left="720" w:hanging="360"/>
      </w:pPr>
      <w:rPr>
        <w:rFonts w:ascii="Symbol" w:hAnsi="Symbol" w:hint="default"/>
      </w:rPr>
    </w:lvl>
    <w:lvl w:ilvl="1" w:tplc="AE9408FC">
      <w:start w:val="1"/>
      <w:numFmt w:val="bullet"/>
      <w:pStyle w:val="bullettex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9D5F66"/>
    <w:multiLevelType w:val="multilevel"/>
    <w:tmpl w:val="0734CE5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CD54428"/>
    <w:multiLevelType w:val="hybridMultilevel"/>
    <w:tmpl w:val="FAFC1F4C"/>
    <w:lvl w:ilvl="0" w:tplc="0C090019">
      <w:start w:val="1"/>
      <w:numFmt w:val="lowerLetter"/>
      <w:lvlText w:val="%1."/>
      <w:lvlJc w:val="left"/>
      <w:pPr>
        <w:ind w:left="1440" w:hanging="360"/>
      </w:pPr>
    </w:lvl>
    <w:lvl w:ilvl="1" w:tplc="7AD4A12C">
      <w:start w:val="1"/>
      <w:numFmt w:val="lowerRoman"/>
      <w:lvlText w:val="%2)"/>
      <w:lvlJc w:val="left"/>
      <w:pPr>
        <w:ind w:left="2160" w:hanging="360"/>
      </w:pPr>
      <w:rPr>
        <w:rFonts w:hint="default"/>
      </w:r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5" w15:restartNumberingAfterBreak="0">
    <w:nsid w:val="4DFD37EF"/>
    <w:multiLevelType w:val="hybridMultilevel"/>
    <w:tmpl w:val="F1F027C8"/>
    <w:lvl w:ilvl="0" w:tplc="EBE8C1A0">
      <w:start w:val="1"/>
      <w:numFmt w:val="decimal"/>
      <w:pStyle w:val="Bulletseparat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0442B4"/>
    <w:multiLevelType w:val="multilevel"/>
    <w:tmpl w:val="5928D00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D943BEE"/>
    <w:multiLevelType w:val="multilevel"/>
    <w:tmpl w:val="0734CE54"/>
    <w:numStyleLink w:val="ListCBD"/>
  </w:abstractNum>
  <w:abstractNum w:abstractNumId="1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618415127">
    <w:abstractNumId w:val="16"/>
  </w:num>
  <w:num w:numId="2" w16cid:durableId="1274899240">
    <w:abstractNumId w:val="10"/>
  </w:num>
  <w:num w:numId="3" w16cid:durableId="1947154376">
    <w:abstractNumId w:val="12"/>
  </w:num>
  <w:num w:numId="4" w16cid:durableId="2044555012">
    <w:abstractNumId w:val="11"/>
  </w:num>
  <w:num w:numId="5" w16cid:durableId="136920130">
    <w:abstractNumId w:val="15"/>
  </w:num>
  <w:num w:numId="6" w16cid:durableId="394205820">
    <w:abstractNumId w:val="13"/>
  </w:num>
  <w:num w:numId="7" w16cid:durableId="983390859">
    <w:abstractNumId w:val="18"/>
  </w:num>
  <w:num w:numId="8" w16cid:durableId="487289302">
    <w:abstractNumId w:val="14"/>
  </w:num>
  <w:num w:numId="9" w16cid:durableId="583101819">
    <w:abstractNumId w:val="13"/>
  </w:num>
  <w:num w:numId="10" w16cid:durableId="1961916401">
    <w:abstractNumId w:val="19"/>
  </w:num>
  <w:num w:numId="11" w16cid:durableId="2117938004">
    <w:abstractNumId w:val="9"/>
  </w:num>
  <w:num w:numId="12" w16cid:durableId="472063095">
    <w:abstractNumId w:val="7"/>
  </w:num>
  <w:num w:numId="13" w16cid:durableId="14885714">
    <w:abstractNumId w:val="6"/>
  </w:num>
  <w:num w:numId="14" w16cid:durableId="1896768298">
    <w:abstractNumId w:val="5"/>
  </w:num>
  <w:num w:numId="15" w16cid:durableId="88891861">
    <w:abstractNumId w:val="4"/>
  </w:num>
  <w:num w:numId="16" w16cid:durableId="51127578">
    <w:abstractNumId w:val="17"/>
  </w:num>
  <w:num w:numId="17" w16cid:durableId="762459815">
    <w:abstractNumId w:val="8"/>
  </w:num>
  <w:num w:numId="18" w16cid:durableId="424957071">
    <w:abstractNumId w:val="3"/>
  </w:num>
  <w:num w:numId="19" w16cid:durableId="114754793">
    <w:abstractNumId w:val="2"/>
  </w:num>
  <w:num w:numId="20" w16cid:durableId="1084643827">
    <w:abstractNumId w:val="1"/>
  </w:num>
  <w:num w:numId="21" w16cid:durableId="1882739762">
    <w:abstractNumId w:val="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F0E"/>
    <w:rsid w:val="000004BB"/>
    <w:rsid w:val="00000614"/>
    <w:rsid w:val="0000072A"/>
    <w:rsid w:val="000008D5"/>
    <w:rsid w:val="00000EC4"/>
    <w:rsid w:val="00000FCC"/>
    <w:rsid w:val="00001439"/>
    <w:rsid w:val="00001658"/>
    <w:rsid w:val="00001B38"/>
    <w:rsid w:val="00001BE8"/>
    <w:rsid w:val="00002012"/>
    <w:rsid w:val="00002495"/>
    <w:rsid w:val="000026B9"/>
    <w:rsid w:val="00002DA1"/>
    <w:rsid w:val="00002F0D"/>
    <w:rsid w:val="00002FBE"/>
    <w:rsid w:val="0000301F"/>
    <w:rsid w:val="000030E2"/>
    <w:rsid w:val="0000313F"/>
    <w:rsid w:val="000033EE"/>
    <w:rsid w:val="000035BD"/>
    <w:rsid w:val="000041AF"/>
    <w:rsid w:val="00004C3F"/>
    <w:rsid w:val="00004D25"/>
    <w:rsid w:val="0000500F"/>
    <w:rsid w:val="00005052"/>
    <w:rsid w:val="000052F1"/>
    <w:rsid w:val="00005954"/>
    <w:rsid w:val="00005ABE"/>
    <w:rsid w:val="000060F1"/>
    <w:rsid w:val="000066C9"/>
    <w:rsid w:val="00006D86"/>
    <w:rsid w:val="00006E00"/>
    <w:rsid w:val="00007061"/>
    <w:rsid w:val="0000731C"/>
    <w:rsid w:val="000074B8"/>
    <w:rsid w:val="00007536"/>
    <w:rsid w:val="00007852"/>
    <w:rsid w:val="000078AA"/>
    <w:rsid w:val="00007B82"/>
    <w:rsid w:val="00007D36"/>
    <w:rsid w:val="00007DAB"/>
    <w:rsid w:val="000101D9"/>
    <w:rsid w:val="0001025C"/>
    <w:rsid w:val="00010A23"/>
    <w:rsid w:val="00010A25"/>
    <w:rsid w:val="00010F22"/>
    <w:rsid w:val="00011171"/>
    <w:rsid w:val="00011177"/>
    <w:rsid w:val="00011193"/>
    <w:rsid w:val="000111BA"/>
    <w:rsid w:val="00011998"/>
    <w:rsid w:val="00011ABF"/>
    <w:rsid w:val="00011C8A"/>
    <w:rsid w:val="00011CC4"/>
    <w:rsid w:val="000128BF"/>
    <w:rsid w:val="00012A7F"/>
    <w:rsid w:val="00012DDF"/>
    <w:rsid w:val="000131A1"/>
    <w:rsid w:val="0001339E"/>
    <w:rsid w:val="000138E1"/>
    <w:rsid w:val="00013A84"/>
    <w:rsid w:val="00013D78"/>
    <w:rsid w:val="00013E64"/>
    <w:rsid w:val="00014557"/>
    <w:rsid w:val="00014CC8"/>
    <w:rsid w:val="00014D9D"/>
    <w:rsid w:val="00014FC2"/>
    <w:rsid w:val="00015069"/>
    <w:rsid w:val="000156E8"/>
    <w:rsid w:val="00015E01"/>
    <w:rsid w:val="000165CC"/>
    <w:rsid w:val="0001680B"/>
    <w:rsid w:val="0001683E"/>
    <w:rsid w:val="00016B44"/>
    <w:rsid w:val="000170C9"/>
    <w:rsid w:val="00017540"/>
    <w:rsid w:val="00017C8C"/>
    <w:rsid w:val="00017E4E"/>
    <w:rsid w:val="00017E94"/>
    <w:rsid w:val="00017F16"/>
    <w:rsid w:val="000200DB"/>
    <w:rsid w:val="000202C7"/>
    <w:rsid w:val="00020881"/>
    <w:rsid w:val="000208A9"/>
    <w:rsid w:val="000208B4"/>
    <w:rsid w:val="00020A89"/>
    <w:rsid w:val="00020B47"/>
    <w:rsid w:val="00020CB1"/>
    <w:rsid w:val="00020E95"/>
    <w:rsid w:val="00021032"/>
    <w:rsid w:val="000214D9"/>
    <w:rsid w:val="0002167A"/>
    <w:rsid w:val="000216A6"/>
    <w:rsid w:val="00021F13"/>
    <w:rsid w:val="00022114"/>
    <w:rsid w:val="0002233A"/>
    <w:rsid w:val="00022461"/>
    <w:rsid w:val="000228F0"/>
    <w:rsid w:val="00022A15"/>
    <w:rsid w:val="00022A5C"/>
    <w:rsid w:val="00022AB0"/>
    <w:rsid w:val="00023073"/>
    <w:rsid w:val="00023201"/>
    <w:rsid w:val="000238D4"/>
    <w:rsid w:val="00023C5C"/>
    <w:rsid w:val="00023CA5"/>
    <w:rsid w:val="00023D52"/>
    <w:rsid w:val="00024022"/>
    <w:rsid w:val="00024058"/>
    <w:rsid w:val="00024A06"/>
    <w:rsid w:val="00024B0B"/>
    <w:rsid w:val="00024C0E"/>
    <w:rsid w:val="00025B1C"/>
    <w:rsid w:val="00025C94"/>
    <w:rsid w:val="00025CD6"/>
    <w:rsid w:val="00025EE6"/>
    <w:rsid w:val="000262C3"/>
    <w:rsid w:val="000265B4"/>
    <w:rsid w:val="000268DB"/>
    <w:rsid w:val="00026A63"/>
    <w:rsid w:val="00026E95"/>
    <w:rsid w:val="00026EE3"/>
    <w:rsid w:val="000272DB"/>
    <w:rsid w:val="0002737D"/>
    <w:rsid w:val="000276E5"/>
    <w:rsid w:val="00027FBC"/>
    <w:rsid w:val="00030576"/>
    <w:rsid w:val="000305AF"/>
    <w:rsid w:val="00030C9E"/>
    <w:rsid w:val="00031064"/>
    <w:rsid w:val="00031A99"/>
    <w:rsid w:val="00031F9C"/>
    <w:rsid w:val="00032047"/>
    <w:rsid w:val="0003227A"/>
    <w:rsid w:val="000323BF"/>
    <w:rsid w:val="00032D02"/>
    <w:rsid w:val="00032D3D"/>
    <w:rsid w:val="00032FE4"/>
    <w:rsid w:val="00033068"/>
    <w:rsid w:val="00033258"/>
    <w:rsid w:val="0003371B"/>
    <w:rsid w:val="00034086"/>
    <w:rsid w:val="000341E1"/>
    <w:rsid w:val="000343DF"/>
    <w:rsid w:val="0003463F"/>
    <w:rsid w:val="0003474F"/>
    <w:rsid w:val="00034EDE"/>
    <w:rsid w:val="00035C48"/>
    <w:rsid w:val="00035DB4"/>
    <w:rsid w:val="00035E46"/>
    <w:rsid w:val="00036238"/>
    <w:rsid w:val="00036A4E"/>
    <w:rsid w:val="00036BB1"/>
    <w:rsid w:val="00036CC3"/>
    <w:rsid w:val="0003712B"/>
    <w:rsid w:val="0003729A"/>
    <w:rsid w:val="000375BF"/>
    <w:rsid w:val="000376CC"/>
    <w:rsid w:val="00037EF2"/>
    <w:rsid w:val="00037F6D"/>
    <w:rsid w:val="00037F75"/>
    <w:rsid w:val="000400D7"/>
    <w:rsid w:val="000405B7"/>
    <w:rsid w:val="000406DE"/>
    <w:rsid w:val="00040A69"/>
    <w:rsid w:val="00040C66"/>
    <w:rsid w:val="00040DDF"/>
    <w:rsid w:val="00041413"/>
    <w:rsid w:val="00041618"/>
    <w:rsid w:val="00041968"/>
    <w:rsid w:val="000419B2"/>
    <w:rsid w:val="00042435"/>
    <w:rsid w:val="00042832"/>
    <w:rsid w:val="00042C8D"/>
    <w:rsid w:val="000430F7"/>
    <w:rsid w:val="00043257"/>
    <w:rsid w:val="00043667"/>
    <w:rsid w:val="00043AAB"/>
    <w:rsid w:val="00043B00"/>
    <w:rsid w:val="00043C27"/>
    <w:rsid w:val="00043D73"/>
    <w:rsid w:val="00043DAB"/>
    <w:rsid w:val="00043E37"/>
    <w:rsid w:val="00043E40"/>
    <w:rsid w:val="00043ED8"/>
    <w:rsid w:val="00043F21"/>
    <w:rsid w:val="000447D4"/>
    <w:rsid w:val="000451EA"/>
    <w:rsid w:val="000453EB"/>
    <w:rsid w:val="00045526"/>
    <w:rsid w:val="0004564B"/>
    <w:rsid w:val="00045652"/>
    <w:rsid w:val="00045BA7"/>
    <w:rsid w:val="00046027"/>
    <w:rsid w:val="0004665A"/>
    <w:rsid w:val="000467F0"/>
    <w:rsid w:val="000471D9"/>
    <w:rsid w:val="000475A9"/>
    <w:rsid w:val="00050016"/>
    <w:rsid w:val="0005020A"/>
    <w:rsid w:val="000506D8"/>
    <w:rsid w:val="00050849"/>
    <w:rsid w:val="000509FB"/>
    <w:rsid w:val="00050E58"/>
    <w:rsid w:val="00051781"/>
    <w:rsid w:val="00052F52"/>
    <w:rsid w:val="0005361C"/>
    <w:rsid w:val="00053681"/>
    <w:rsid w:val="000536E8"/>
    <w:rsid w:val="0005384B"/>
    <w:rsid w:val="00053DE5"/>
    <w:rsid w:val="00053F8F"/>
    <w:rsid w:val="0005461A"/>
    <w:rsid w:val="000546A2"/>
    <w:rsid w:val="00054FF8"/>
    <w:rsid w:val="000555C1"/>
    <w:rsid w:val="0005571D"/>
    <w:rsid w:val="00055AB1"/>
    <w:rsid w:val="00055B4B"/>
    <w:rsid w:val="00055DAA"/>
    <w:rsid w:val="00055DCD"/>
    <w:rsid w:val="00055E09"/>
    <w:rsid w:val="000561E6"/>
    <w:rsid w:val="00056385"/>
    <w:rsid w:val="000564A1"/>
    <w:rsid w:val="00056693"/>
    <w:rsid w:val="00056811"/>
    <w:rsid w:val="00056AFA"/>
    <w:rsid w:val="00056B95"/>
    <w:rsid w:val="00056F63"/>
    <w:rsid w:val="00057945"/>
    <w:rsid w:val="0005795A"/>
    <w:rsid w:val="00057DE2"/>
    <w:rsid w:val="00057E6D"/>
    <w:rsid w:val="00060DDA"/>
    <w:rsid w:val="0006115A"/>
    <w:rsid w:val="000614B3"/>
    <w:rsid w:val="00061840"/>
    <w:rsid w:val="000618C6"/>
    <w:rsid w:val="000619D1"/>
    <w:rsid w:val="000619DA"/>
    <w:rsid w:val="00061C5D"/>
    <w:rsid w:val="00061DA1"/>
    <w:rsid w:val="00061F7D"/>
    <w:rsid w:val="00063017"/>
    <w:rsid w:val="000631ED"/>
    <w:rsid w:val="0006385D"/>
    <w:rsid w:val="00063914"/>
    <w:rsid w:val="00063E44"/>
    <w:rsid w:val="00064391"/>
    <w:rsid w:val="00064894"/>
    <w:rsid w:val="00064B35"/>
    <w:rsid w:val="00064B64"/>
    <w:rsid w:val="0006542C"/>
    <w:rsid w:val="00065680"/>
    <w:rsid w:val="00065B33"/>
    <w:rsid w:val="00065B43"/>
    <w:rsid w:val="00065BC4"/>
    <w:rsid w:val="00066054"/>
    <w:rsid w:val="00066074"/>
    <w:rsid w:val="0006609C"/>
    <w:rsid w:val="0006622E"/>
    <w:rsid w:val="000667F9"/>
    <w:rsid w:val="00066A1B"/>
    <w:rsid w:val="00066A82"/>
    <w:rsid w:val="00066FFE"/>
    <w:rsid w:val="00067520"/>
    <w:rsid w:val="000675B4"/>
    <w:rsid w:val="00067964"/>
    <w:rsid w:val="00067A64"/>
    <w:rsid w:val="00067CCE"/>
    <w:rsid w:val="00067DA7"/>
    <w:rsid w:val="0007059B"/>
    <w:rsid w:val="00070694"/>
    <w:rsid w:val="0007080A"/>
    <w:rsid w:val="00070C0E"/>
    <w:rsid w:val="000714AD"/>
    <w:rsid w:val="000714C7"/>
    <w:rsid w:val="0007164E"/>
    <w:rsid w:val="000717E0"/>
    <w:rsid w:val="000718D3"/>
    <w:rsid w:val="00072157"/>
    <w:rsid w:val="000721F7"/>
    <w:rsid w:val="00072268"/>
    <w:rsid w:val="00072457"/>
    <w:rsid w:val="000726EC"/>
    <w:rsid w:val="00072CCB"/>
    <w:rsid w:val="00073422"/>
    <w:rsid w:val="00073896"/>
    <w:rsid w:val="0007468A"/>
    <w:rsid w:val="000747E4"/>
    <w:rsid w:val="00074856"/>
    <w:rsid w:val="00074EE9"/>
    <w:rsid w:val="00074EFC"/>
    <w:rsid w:val="00075E72"/>
    <w:rsid w:val="0007603C"/>
    <w:rsid w:val="00076A57"/>
    <w:rsid w:val="00076BA8"/>
    <w:rsid w:val="00076D61"/>
    <w:rsid w:val="00077319"/>
    <w:rsid w:val="000773C9"/>
    <w:rsid w:val="0007757A"/>
    <w:rsid w:val="00077582"/>
    <w:rsid w:val="000775B6"/>
    <w:rsid w:val="0007764A"/>
    <w:rsid w:val="000779F5"/>
    <w:rsid w:val="00077ED5"/>
    <w:rsid w:val="000807F9"/>
    <w:rsid w:val="0008109C"/>
    <w:rsid w:val="000817DB"/>
    <w:rsid w:val="0008227B"/>
    <w:rsid w:val="00082420"/>
    <w:rsid w:val="000832A6"/>
    <w:rsid w:val="00083997"/>
    <w:rsid w:val="00083BCA"/>
    <w:rsid w:val="00083C3A"/>
    <w:rsid w:val="00083F00"/>
    <w:rsid w:val="00083F12"/>
    <w:rsid w:val="00083FD0"/>
    <w:rsid w:val="000843D6"/>
    <w:rsid w:val="00084506"/>
    <w:rsid w:val="00084746"/>
    <w:rsid w:val="00084BDE"/>
    <w:rsid w:val="00085031"/>
    <w:rsid w:val="0008561D"/>
    <w:rsid w:val="000856C3"/>
    <w:rsid w:val="000856DE"/>
    <w:rsid w:val="00085827"/>
    <w:rsid w:val="0008582F"/>
    <w:rsid w:val="000858DB"/>
    <w:rsid w:val="00085DDE"/>
    <w:rsid w:val="000867BF"/>
    <w:rsid w:val="00086A1B"/>
    <w:rsid w:val="00086B8C"/>
    <w:rsid w:val="0008705E"/>
    <w:rsid w:val="000870A0"/>
    <w:rsid w:val="000870D4"/>
    <w:rsid w:val="000871BE"/>
    <w:rsid w:val="00087715"/>
    <w:rsid w:val="000879FE"/>
    <w:rsid w:val="00087A09"/>
    <w:rsid w:val="00087C48"/>
    <w:rsid w:val="00087F79"/>
    <w:rsid w:val="0009051E"/>
    <w:rsid w:val="000908B4"/>
    <w:rsid w:val="00091006"/>
    <w:rsid w:val="000915EB"/>
    <w:rsid w:val="00091CF2"/>
    <w:rsid w:val="00091E48"/>
    <w:rsid w:val="00092644"/>
    <w:rsid w:val="00092923"/>
    <w:rsid w:val="0009292E"/>
    <w:rsid w:val="00093155"/>
    <w:rsid w:val="00093309"/>
    <w:rsid w:val="000935AD"/>
    <w:rsid w:val="00093679"/>
    <w:rsid w:val="000939C9"/>
    <w:rsid w:val="000939E9"/>
    <w:rsid w:val="000943E5"/>
    <w:rsid w:val="000944A2"/>
    <w:rsid w:val="000945ED"/>
    <w:rsid w:val="0009489D"/>
    <w:rsid w:val="00094FEE"/>
    <w:rsid w:val="0009531F"/>
    <w:rsid w:val="000956F1"/>
    <w:rsid w:val="00095C6D"/>
    <w:rsid w:val="00095C73"/>
    <w:rsid w:val="00095D2E"/>
    <w:rsid w:val="000962F9"/>
    <w:rsid w:val="0009679A"/>
    <w:rsid w:val="00096859"/>
    <w:rsid w:val="00096AE0"/>
    <w:rsid w:val="00096B3D"/>
    <w:rsid w:val="00096F0E"/>
    <w:rsid w:val="0009721B"/>
    <w:rsid w:val="000973A1"/>
    <w:rsid w:val="00097622"/>
    <w:rsid w:val="000976D5"/>
    <w:rsid w:val="00097AFE"/>
    <w:rsid w:val="00097D19"/>
    <w:rsid w:val="000A01DE"/>
    <w:rsid w:val="000A0213"/>
    <w:rsid w:val="000A03DE"/>
    <w:rsid w:val="000A05AB"/>
    <w:rsid w:val="000A0697"/>
    <w:rsid w:val="000A07E4"/>
    <w:rsid w:val="000A0A98"/>
    <w:rsid w:val="000A0D48"/>
    <w:rsid w:val="000A1266"/>
    <w:rsid w:val="000A1642"/>
    <w:rsid w:val="000A19C2"/>
    <w:rsid w:val="000A1A12"/>
    <w:rsid w:val="000A1A92"/>
    <w:rsid w:val="000A1BF9"/>
    <w:rsid w:val="000A1E66"/>
    <w:rsid w:val="000A2262"/>
    <w:rsid w:val="000A251C"/>
    <w:rsid w:val="000A26AE"/>
    <w:rsid w:val="000A2789"/>
    <w:rsid w:val="000A2A3E"/>
    <w:rsid w:val="000A3206"/>
    <w:rsid w:val="000A32F5"/>
    <w:rsid w:val="000A3363"/>
    <w:rsid w:val="000A33E8"/>
    <w:rsid w:val="000A38C0"/>
    <w:rsid w:val="000A41F2"/>
    <w:rsid w:val="000A463C"/>
    <w:rsid w:val="000A46B7"/>
    <w:rsid w:val="000A4BDB"/>
    <w:rsid w:val="000A4CC8"/>
    <w:rsid w:val="000A4FFA"/>
    <w:rsid w:val="000A549B"/>
    <w:rsid w:val="000A5706"/>
    <w:rsid w:val="000A5C56"/>
    <w:rsid w:val="000A5EDF"/>
    <w:rsid w:val="000A65D5"/>
    <w:rsid w:val="000A671E"/>
    <w:rsid w:val="000A68BC"/>
    <w:rsid w:val="000A6C5D"/>
    <w:rsid w:val="000A6D1B"/>
    <w:rsid w:val="000A6F0C"/>
    <w:rsid w:val="000A742F"/>
    <w:rsid w:val="000A74D6"/>
    <w:rsid w:val="000A75E6"/>
    <w:rsid w:val="000A774C"/>
    <w:rsid w:val="000B025B"/>
    <w:rsid w:val="000B04D0"/>
    <w:rsid w:val="000B0554"/>
    <w:rsid w:val="000B0D7C"/>
    <w:rsid w:val="000B0EDB"/>
    <w:rsid w:val="000B13CA"/>
    <w:rsid w:val="000B1AB8"/>
    <w:rsid w:val="000B21EA"/>
    <w:rsid w:val="000B25DE"/>
    <w:rsid w:val="000B26FB"/>
    <w:rsid w:val="000B373A"/>
    <w:rsid w:val="000B3BEF"/>
    <w:rsid w:val="000B465C"/>
    <w:rsid w:val="000B47AF"/>
    <w:rsid w:val="000B4BD5"/>
    <w:rsid w:val="000B4E14"/>
    <w:rsid w:val="000B523A"/>
    <w:rsid w:val="000B59AB"/>
    <w:rsid w:val="000B5D00"/>
    <w:rsid w:val="000B5E90"/>
    <w:rsid w:val="000B621D"/>
    <w:rsid w:val="000B643D"/>
    <w:rsid w:val="000B64B8"/>
    <w:rsid w:val="000B6572"/>
    <w:rsid w:val="000B65EF"/>
    <w:rsid w:val="000B6665"/>
    <w:rsid w:val="000B6775"/>
    <w:rsid w:val="000B67AF"/>
    <w:rsid w:val="000B6DD3"/>
    <w:rsid w:val="000B6F1F"/>
    <w:rsid w:val="000B7047"/>
    <w:rsid w:val="000B75AA"/>
    <w:rsid w:val="000B7D40"/>
    <w:rsid w:val="000B7F8F"/>
    <w:rsid w:val="000C0136"/>
    <w:rsid w:val="000C01EB"/>
    <w:rsid w:val="000C034D"/>
    <w:rsid w:val="000C09D1"/>
    <w:rsid w:val="000C0CF5"/>
    <w:rsid w:val="000C13E7"/>
    <w:rsid w:val="000C16CB"/>
    <w:rsid w:val="000C20EA"/>
    <w:rsid w:val="000C234A"/>
    <w:rsid w:val="000C25B7"/>
    <w:rsid w:val="000C27DC"/>
    <w:rsid w:val="000C2B3F"/>
    <w:rsid w:val="000C2D71"/>
    <w:rsid w:val="000C33DD"/>
    <w:rsid w:val="000C36EF"/>
    <w:rsid w:val="000C39B5"/>
    <w:rsid w:val="000C3CDF"/>
    <w:rsid w:val="000C3D75"/>
    <w:rsid w:val="000C3E78"/>
    <w:rsid w:val="000C3EA7"/>
    <w:rsid w:val="000C3ECF"/>
    <w:rsid w:val="000C435B"/>
    <w:rsid w:val="000C46FA"/>
    <w:rsid w:val="000C4A5E"/>
    <w:rsid w:val="000C4C05"/>
    <w:rsid w:val="000C4FC6"/>
    <w:rsid w:val="000C50C3"/>
    <w:rsid w:val="000C53E8"/>
    <w:rsid w:val="000C53EC"/>
    <w:rsid w:val="000C5B27"/>
    <w:rsid w:val="000C5E87"/>
    <w:rsid w:val="000C5ED0"/>
    <w:rsid w:val="000C5FF1"/>
    <w:rsid w:val="000C6C84"/>
    <w:rsid w:val="000C730C"/>
    <w:rsid w:val="000C745F"/>
    <w:rsid w:val="000C7A0F"/>
    <w:rsid w:val="000C7A42"/>
    <w:rsid w:val="000C7A65"/>
    <w:rsid w:val="000D0855"/>
    <w:rsid w:val="000D08B1"/>
    <w:rsid w:val="000D0D8F"/>
    <w:rsid w:val="000D1324"/>
    <w:rsid w:val="000D13A7"/>
    <w:rsid w:val="000D1E8A"/>
    <w:rsid w:val="000D21F4"/>
    <w:rsid w:val="000D2822"/>
    <w:rsid w:val="000D287C"/>
    <w:rsid w:val="000D293E"/>
    <w:rsid w:val="000D2962"/>
    <w:rsid w:val="000D2B67"/>
    <w:rsid w:val="000D2FCF"/>
    <w:rsid w:val="000D321C"/>
    <w:rsid w:val="000D348C"/>
    <w:rsid w:val="000D3555"/>
    <w:rsid w:val="000D384A"/>
    <w:rsid w:val="000D395C"/>
    <w:rsid w:val="000D3AC1"/>
    <w:rsid w:val="000D3C61"/>
    <w:rsid w:val="000D3F44"/>
    <w:rsid w:val="000D4118"/>
    <w:rsid w:val="000D435A"/>
    <w:rsid w:val="000D48FE"/>
    <w:rsid w:val="000D4A80"/>
    <w:rsid w:val="000D4C5C"/>
    <w:rsid w:val="000D4F54"/>
    <w:rsid w:val="000D5052"/>
    <w:rsid w:val="000D50C5"/>
    <w:rsid w:val="000D53D3"/>
    <w:rsid w:val="000D568C"/>
    <w:rsid w:val="000D568F"/>
    <w:rsid w:val="000D6145"/>
    <w:rsid w:val="000D61C8"/>
    <w:rsid w:val="000D624C"/>
    <w:rsid w:val="000D6425"/>
    <w:rsid w:val="000D6461"/>
    <w:rsid w:val="000D68D0"/>
    <w:rsid w:val="000D6EC9"/>
    <w:rsid w:val="000D6FB5"/>
    <w:rsid w:val="000D7005"/>
    <w:rsid w:val="000D765D"/>
    <w:rsid w:val="000D76F3"/>
    <w:rsid w:val="000D7E54"/>
    <w:rsid w:val="000E0201"/>
    <w:rsid w:val="000E0421"/>
    <w:rsid w:val="000E0697"/>
    <w:rsid w:val="000E0B06"/>
    <w:rsid w:val="000E10E9"/>
    <w:rsid w:val="000E11A5"/>
    <w:rsid w:val="000E11F1"/>
    <w:rsid w:val="000E1638"/>
    <w:rsid w:val="000E1796"/>
    <w:rsid w:val="000E19A5"/>
    <w:rsid w:val="000E2255"/>
    <w:rsid w:val="000E29A3"/>
    <w:rsid w:val="000E2A02"/>
    <w:rsid w:val="000E2F5B"/>
    <w:rsid w:val="000E32CD"/>
    <w:rsid w:val="000E379B"/>
    <w:rsid w:val="000E3B79"/>
    <w:rsid w:val="000E3CA5"/>
    <w:rsid w:val="000E3FE6"/>
    <w:rsid w:val="000E4167"/>
    <w:rsid w:val="000E41BB"/>
    <w:rsid w:val="000E4452"/>
    <w:rsid w:val="000E48B9"/>
    <w:rsid w:val="000E49C9"/>
    <w:rsid w:val="000E536D"/>
    <w:rsid w:val="000E54A4"/>
    <w:rsid w:val="000E552E"/>
    <w:rsid w:val="000E571D"/>
    <w:rsid w:val="000E5741"/>
    <w:rsid w:val="000E60C2"/>
    <w:rsid w:val="000E631C"/>
    <w:rsid w:val="000E6337"/>
    <w:rsid w:val="000E682C"/>
    <w:rsid w:val="000E6BFC"/>
    <w:rsid w:val="000E7264"/>
    <w:rsid w:val="000E7463"/>
    <w:rsid w:val="000E75A8"/>
    <w:rsid w:val="000E772E"/>
    <w:rsid w:val="000E7932"/>
    <w:rsid w:val="000F0076"/>
    <w:rsid w:val="000F010E"/>
    <w:rsid w:val="000F020A"/>
    <w:rsid w:val="000F0226"/>
    <w:rsid w:val="000F09A0"/>
    <w:rsid w:val="000F0E11"/>
    <w:rsid w:val="000F0E2C"/>
    <w:rsid w:val="000F0FB5"/>
    <w:rsid w:val="000F1034"/>
    <w:rsid w:val="000F104D"/>
    <w:rsid w:val="000F1271"/>
    <w:rsid w:val="000F15A2"/>
    <w:rsid w:val="000F16CB"/>
    <w:rsid w:val="000F1A06"/>
    <w:rsid w:val="000F1B23"/>
    <w:rsid w:val="000F1D0C"/>
    <w:rsid w:val="000F1D7C"/>
    <w:rsid w:val="000F2389"/>
    <w:rsid w:val="000F265A"/>
    <w:rsid w:val="000F2DC0"/>
    <w:rsid w:val="000F30D8"/>
    <w:rsid w:val="000F35D1"/>
    <w:rsid w:val="000F3650"/>
    <w:rsid w:val="000F398C"/>
    <w:rsid w:val="000F39D9"/>
    <w:rsid w:val="000F4825"/>
    <w:rsid w:val="000F4B0B"/>
    <w:rsid w:val="000F4E12"/>
    <w:rsid w:val="000F4ECA"/>
    <w:rsid w:val="000F4EF7"/>
    <w:rsid w:val="000F4F48"/>
    <w:rsid w:val="000F4FCC"/>
    <w:rsid w:val="000F5056"/>
    <w:rsid w:val="000F5164"/>
    <w:rsid w:val="000F518D"/>
    <w:rsid w:val="000F5257"/>
    <w:rsid w:val="000F5C61"/>
    <w:rsid w:val="000F60C6"/>
    <w:rsid w:val="000F6487"/>
    <w:rsid w:val="000F671C"/>
    <w:rsid w:val="000F6B54"/>
    <w:rsid w:val="000F71E3"/>
    <w:rsid w:val="000F779F"/>
    <w:rsid w:val="000F7F59"/>
    <w:rsid w:val="0010018C"/>
    <w:rsid w:val="00100493"/>
    <w:rsid w:val="00100594"/>
    <w:rsid w:val="001009F2"/>
    <w:rsid w:val="00100A84"/>
    <w:rsid w:val="00100B76"/>
    <w:rsid w:val="00100E57"/>
    <w:rsid w:val="0010120A"/>
    <w:rsid w:val="001012C3"/>
    <w:rsid w:val="0010149D"/>
    <w:rsid w:val="00101781"/>
    <w:rsid w:val="00101878"/>
    <w:rsid w:val="00101AA1"/>
    <w:rsid w:val="00101C80"/>
    <w:rsid w:val="00101E93"/>
    <w:rsid w:val="00101F99"/>
    <w:rsid w:val="00101FFE"/>
    <w:rsid w:val="001020F1"/>
    <w:rsid w:val="00102140"/>
    <w:rsid w:val="001021D9"/>
    <w:rsid w:val="001025F0"/>
    <w:rsid w:val="00102672"/>
    <w:rsid w:val="00102D80"/>
    <w:rsid w:val="00102E35"/>
    <w:rsid w:val="0010352F"/>
    <w:rsid w:val="00103868"/>
    <w:rsid w:val="00103C9B"/>
    <w:rsid w:val="001047C5"/>
    <w:rsid w:val="00104F9D"/>
    <w:rsid w:val="00104FC6"/>
    <w:rsid w:val="0010510B"/>
    <w:rsid w:val="001051A9"/>
    <w:rsid w:val="00105261"/>
    <w:rsid w:val="00105466"/>
    <w:rsid w:val="00105848"/>
    <w:rsid w:val="00105B61"/>
    <w:rsid w:val="00105BE1"/>
    <w:rsid w:val="00105FB1"/>
    <w:rsid w:val="00106375"/>
    <w:rsid w:val="00106CA4"/>
    <w:rsid w:val="00106F8B"/>
    <w:rsid w:val="00107383"/>
    <w:rsid w:val="001073E7"/>
    <w:rsid w:val="00107422"/>
    <w:rsid w:val="001075B9"/>
    <w:rsid w:val="00107CA6"/>
    <w:rsid w:val="00107F8F"/>
    <w:rsid w:val="00107FF6"/>
    <w:rsid w:val="00110232"/>
    <w:rsid w:val="0011026E"/>
    <w:rsid w:val="00110516"/>
    <w:rsid w:val="00110B03"/>
    <w:rsid w:val="00110B3A"/>
    <w:rsid w:val="00110B68"/>
    <w:rsid w:val="00110D52"/>
    <w:rsid w:val="001120A5"/>
    <w:rsid w:val="001122CF"/>
    <w:rsid w:val="00112400"/>
    <w:rsid w:val="00112855"/>
    <w:rsid w:val="00112887"/>
    <w:rsid w:val="00112948"/>
    <w:rsid w:val="00112A4C"/>
    <w:rsid w:val="00112FA5"/>
    <w:rsid w:val="00113079"/>
    <w:rsid w:val="0011315A"/>
    <w:rsid w:val="0011327F"/>
    <w:rsid w:val="001137E0"/>
    <w:rsid w:val="00113860"/>
    <w:rsid w:val="00113BEA"/>
    <w:rsid w:val="0011432F"/>
    <w:rsid w:val="001143D0"/>
    <w:rsid w:val="0011476A"/>
    <w:rsid w:val="00114960"/>
    <w:rsid w:val="00114C56"/>
    <w:rsid w:val="00114CF3"/>
    <w:rsid w:val="00114FB8"/>
    <w:rsid w:val="00115725"/>
    <w:rsid w:val="00115726"/>
    <w:rsid w:val="001158C3"/>
    <w:rsid w:val="00115926"/>
    <w:rsid w:val="001161F3"/>
    <w:rsid w:val="00116564"/>
    <w:rsid w:val="00116A86"/>
    <w:rsid w:val="00116DD8"/>
    <w:rsid w:val="00117046"/>
    <w:rsid w:val="0011746B"/>
    <w:rsid w:val="00117507"/>
    <w:rsid w:val="00117905"/>
    <w:rsid w:val="00117958"/>
    <w:rsid w:val="00117B63"/>
    <w:rsid w:val="001202CB"/>
    <w:rsid w:val="00120B3F"/>
    <w:rsid w:val="00120BAD"/>
    <w:rsid w:val="00120EE0"/>
    <w:rsid w:val="00121168"/>
    <w:rsid w:val="00121186"/>
    <w:rsid w:val="00121199"/>
    <w:rsid w:val="0012160C"/>
    <w:rsid w:val="00121B4D"/>
    <w:rsid w:val="00121F26"/>
    <w:rsid w:val="00122022"/>
    <w:rsid w:val="001220CA"/>
    <w:rsid w:val="00122176"/>
    <w:rsid w:val="001222B0"/>
    <w:rsid w:val="001229E6"/>
    <w:rsid w:val="00122A91"/>
    <w:rsid w:val="00122D32"/>
    <w:rsid w:val="00123083"/>
    <w:rsid w:val="0012357D"/>
    <w:rsid w:val="0012426D"/>
    <w:rsid w:val="001245E2"/>
    <w:rsid w:val="00124695"/>
    <w:rsid w:val="001248A8"/>
    <w:rsid w:val="001248B4"/>
    <w:rsid w:val="00124A46"/>
    <w:rsid w:val="00124DCF"/>
    <w:rsid w:val="00124E1E"/>
    <w:rsid w:val="00124F7B"/>
    <w:rsid w:val="00125741"/>
    <w:rsid w:val="00125C30"/>
    <w:rsid w:val="0012692B"/>
    <w:rsid w:val="00126BE7"/>
    <w:rsid w:val="00126FE0"/>
    <w:rsid w:val="001271B3"/>
    <w:rsid w:val="001273EE"/>
    <w:rsid w:val="00127C75"/>
    <w:rsid w:val="00127FF1"/>
    <w:rsid w:val="00130051"/>
    <w:rsid w:val="00130501"/>
    <w:rsid w:val="00130863"/>
    <w:rsid w:val="00131016"/>
    <w:rsid w:val="0013155B"/>
    <w:rsid w:val="001318BF"/>
    <w:rsid w:val="0013193B"/>
    <w:rsid w:val="00131976"/>
    <w:rsid w:val="00131B85"/>
    <w:rsid w:val="0013209B"/>
    <w:rsid w:val="00132658"/>
    <w:rsid w:val="00132B35"/>
    <w:rsid w:val="00132C75"/>
    <w:rsid w:val="00132F37"/>
    <w:rsid w:val="00133208"/>
    <w:rsid w:val="001334EC"/>
    <w:rsid w:val="00133A3C"/>
    <w:rsid w:val="00133B8F"/>
    <w:rsid w:val="00133C47"/>
    <w:rsid w:val="00134079"/>
    <w:rsid w:val="001347AA"/>
    <w:rsid w:val="001347BF"/>
    <w:rsid w:val="001348A3"/>
    <w:rsid w:val="001348ED"/>
    <w:rsid w:val="00134AA5"/>
    <w:rsid w:val="00134C7F"/>
    <w:rsid w:val="001352EE"/>
    <w:rsid w:val="00135371"/>
    <w:rsid w:val="00135695"/>
    <w:rsid w:val="00135871"/>
    <w:rsid w:val="00135A47"/>
    <w:rsid w:val="00135E87"/>
    <w:rsid w:val="00135F86"/>
    <w:rsid w:val="001363CC"/>
    <w:rsid w:val="00136495"/>
    <w:rsid w:val="00136730"/>
    <w:rsid w:val="00137077"/>
    <w:rsid w:val="001370C9"/>
    <w:rsid w:val="001371B3"/>
    <w:rsid w:val="0013726D"/>
    <w:rsid w:val="0013730F"/>
    <w:rsid w:val="0013766C"/>
    <w:rsid w:val="001376F9"/>
    <w:rsid w:val="00137910"/>
    <w:rsid w:val="00137A8F"/>
    <w:rsid w:val="0014002F"/>
    <w:rsid w:val="00140283"/>
    <w:rsid w:val="00140508"/>
    <w:rsid w:val="00140B52"/>
    <w:rsid w:val="00140C1B"/>
    <w:rsid w:val="00140EA5"/>
    <w:rsid w:val="00141323"/>
    <w:rsid w:val="00141444"/>
    <w:rsid w:val="001414CF"/>
    <w:rsid w:val="001416E9"/>
    <w:rsid w:val="00141A73"/>
    <w:rsid w:val="00141F40"/>
    <w:rsid w:val="00142391"/>
    <w:rsid w:val="00142462"/>
    <w:rsid w:val="001424D9"/>
    <w:rsid w:val="001425F2"/>
    <w:rsid w:val="0014269E"/>
    <w:rsid w:val="00142747"/>
    <w:rsid w:val="0014296A"/>
    <w:rsid w:val="00142B0A"/>
    <w:rsid w:val="00142B0F"/>
    <w:rsid w:val="00142D23"/>
    <w:rsid w:val="001432DB"/>
    <w:rsid w:val="001440C5"/>
    <w:rsid w:val="00144547"/>
    <w:rsid w:val="001445EA"/>
    <w:rsid w:val="0014469E"/>
    <w:rsid w:val="001446EC"/>
    <w:rsid w:val="00144CDE"/>
    <w:rsid w:val="00144FDC"/>
    <w:rsid w:val="001451EA"/>
    <w:rsid w:val="00145832"/>
    <w:rsid w:val="00145F93"/>
    <w:rsid w:val="0014601D"/>
    <w:rsid w:val="001461C8"/>
    <w:rsid w:val="0014654E"/>
    <w:rsid w:val="001468DB"/>
    <w:rsid w:val="001468F0"/>
    <w:rsid w:val="00146BE4"/>
    <w:rsid w:val="00146EF6"/>
    <w:rsid w:val="001470F2"/>
    <w:rsid w:val="001472E8"/>
    <w:rsid w:val="00147365"/>
    <w:rsid w:val="001475CD"/>
    <w:rsid w:val="0014777D"/>
    <w:rsid w:val="001478AB"/>
    <w:rsid w:val="001478C9"/>
    <w:rsid w:val="0015063C"/>
    <w:rsid w:val="00150742"/>
    <w:rsid w:val="00150CB5"/>
    <w:rsid w:val="00150E96"/>
    <w:rsid w:val="00151051"/>
    <w:rsid w:val="001512C9"/>
    <w:rsid w:val="0015143C"/>
    <w:rsid w:val="0015146A"/>
    <w:rsid w:val="001515C6"/>
    <w:rsid w:val="001518C1"/>
    <w:rsid w:val="001518CD"/>
    <w:rsid w:val="00151AEF"/>
    <w:rsid w:val="0015207B"/>
    <w:rsid w:val="001524A7"/>
    <w:rsid w:val="0015264B"/>
    <w:rsid w:val="00152A22"/>
    <w:rsid w:val="00152CAA"/>
    <w:rsid w:val="00152EEB"/>
    <w:rsid w:val="0015314B"/>
    <w:rsid w:val="001534C4"/>
    <w:rsid w:val="00153782"/>
    <w:rsid w:val="00153793"/>
    <w:rsid w:val="001537E5"/>
    <w:rsid w:val="00153940"/>
    <w:rsid w:val="00153E65"/>
    <w:rsid w:val="00153E98"/>
    <w:rsid w:val="00153FC6"/>
    <w:rsid w:val="001545A3"/>
    <w:rsid w:val="00154B54"/>
    <w:rsid w:val="0015518A"/>
    <w:rsid w:val="001551B2"/>
    <w:rsid w:val="0015522D"/>
    <w:rsid w:val="001552C4"/>
    <w:rsid w:val="0015596D"/>
    <w:rsid w:val="00155D3C"/>
    <w:rsid w:val="00155D91"/>
    <w:rsid w:val="001561A9"/>
    <w:rsid w:val="001567A8"/>
    <w:rsid w:val="001568F4"/>
    <w:rsid w:val="0015699D"/>
    <w:rsid w:val="001569FA"/>
    <w:rsid w:val="00156A0E"/>
    <w:rsid w:val="00156FA8"/>
    <w:rsid w:val="001570E0"/>
    <w:rsid w:val="00157251"/>
    <w:rsid w:val="0015744C"/>
    <w:rsid w:val="001576BC"/>
    <w:rsid w:val="00157815"/>
    <w:rsid w:val="00157C0E"/>
    <w:rsid w:val="00157CC3"/>
    <w:rsid w:val="00160608"/>
    <w:rsid w:val="00160698"/>
    <w:rsid w:val="00160A88"/>
    <w:rsid w:val="00160C00"/>
    <w:rsid w:val="00160E90"/>
    <w:rsid w:val="00160F7C"/>
    <w:rsid w:val="00161355"/>
    <w:rsid w:val="001613A5"/>
    <w:rsid w:val="00161527"/>
    <w:rsid w:val="001616A7"/>
    <w:rsid w:val="00161C57"/>
    <w:rsid w:val="00161F0F"/>
    <w:rsid w:val="001622AA"/>
    <w:rsid w:val="001623EF"/>
    <w:rsid w:val="00163328"/>
    <w:rsid w:val="0016338E"/>
    <w:rsid w:val="00163519"/>
    <w:rsid w:val="001637ED"/>
    <w:rsid w:val="001639B0"/>
    <w:rsid w:val="00163BD7"/>
    <w:rsid w:val="00163C38"/>
    <w:rsid w:val="0016400B"/>
    <w:rsid w:val="00164525"/>
    <w:rsid w:val="00164753"/>
    <w:rsid w:val="001648B8"/>
    <w:rsid w:val="00164AC5"/>
    <w:rsid w:val="00164CDF"/>
    <w:rsid w:val="00164D02"/>
    <w:rsid w:val="00164D0C"/>
    <w:rsid w:val="00164D58"/>
    <w:rsid w:val="001651E8"/>
    <w:rsid w:val="0016545D"/>
    <w:rsid w:val="00165538"/>
    <w:rsid w:val="00165950"/>
    <w:rsid w:val="00165F6C"/>
    <w:rsid w:val="001660BD"/>
    <w:rsid w:val="00166BF0"/>
    <w:rsid w:val="00166C62"/>
    <w:rsid w:val="00166EA5"/>
    <w:rsid w:val="00167453"/>
    <w:rsid w:val="001679AF"/>
    <w:rsid w:val="00167E23"/>
    <w:rsid w:val="001704D7"/>
    <w:rsid w:val="0017086D"/>
    <w:rsid w:val="00170AFF"/>
    <w:rsid w:val="0017110A"/>
    <w:rsid w:val="00171BD1"/>
    <w:rsid w:val="00171E48"/>
    <w:rsid w:val="00171F1A"/>
    <w:rsid w:val="00172D01"/>
    <w:rsid w:val="0017347A"/>
    <w:rsid w:val="00173988"/>
    <w:rsid w:val="00173A75"/>
    <w:rsid w:val="00173AD1"/>
    <w:rsid w:val="00173F17"/>
    <w:rsid w:val="001742E7"/>
    <w:rsid w:val="0017550C"/>
    <w:rsid w:val="001757AA"/>
    <w:rsid w:val="00175D03"/>
    <w:rsid w:val="00176158"/>
    <w:rsid w:val="001763AA"/>
    <w:rsid w:val="001765EC"/>
    <w:rsid w:val="001766F2"/>
    <w:rsid w:val="0017684B"/>
    <w:rsid w:val="001769EE"/>
    <w:rsid w:val="00176DBE"/>
    <w:rsid w:val="001774C1"/>
    <w:rsid w:val="00177686"/>
    <w:rsid w:val="00180746"/>
    <w:rsid w:val="00180AB0"/>
    <w:rsid w:val="00180BB3"/>
    <w:rsid w:val="00180CD0"/>
    <w:rsid w:val="00180EC8"/>
    <w:rsid w:val="00181162"/>
    <w:rsid w:val="0018133E"/>
    <w:rsid w:val="00181BE7"/>
    <w:rsid w:val="001823DE"/>
    <w:rsid w:val="00182574"/>
    <w:rsid w:val="0018328B"/>
    <w:rsid w:val="001833A4"/>
    <w:rsid w:val="001834C1"/>
    <w:rsid w:val="00183C48"/>
    <w:rsid w:val="00184189"/>
    <w:rsid w:val="0018425F"/>
    <w:rsid w:val="0018432F"/>
    <w:rsid w:val="001847AE"/>
    <w:rsid w:val="001852A8"/>
    <w:rsid w:val="00186173"/>
    <w:rsid w:val="001867BB"/>
    <w:rsid w:val="00186A2A"/>
    <w:rsid w:val="00186A7B"/>
    <w:rsid w:val="00186ACC"/>
    <w:rsid w:val="00186D40"/>
    <w:rsid w:val="0018702A"/>
    <w:rsid w:val="00187BAC"/>
    <w:rsid w:val="001906AE"/>
    <w:rsid w:val="001906E2"/>
    <w:rsid w:val="00190A4B"/>
    <w:rsid w:val="00190DD4"/>
    <w:rsid w:val="001914E3"/>
    <w:rsid w:val="001915B0"/>
    <w:rsid w:val="001917C6"/>
    <w:rsid w:val="00191978"/>
    <w:rsid w:val="001919E0"/>
    <w:rsid w:val="001919ED"/>
    <w:rsid w:val="00191CC2"/>
    <w:rsid w:val="001921D5"/>
    <w:rsid w:val="00192235"/>
    <w:rsid w:val="001927EC"/>
    <w:rsid w:val="00192AA9"/>
    <w:rsid w:val="00192C3C"/>
    <w:rsid w:val="0019303E"/>
    <w:rsid w:val="00193690"/>
    <w:rsid w:val="00193E82"/>
    <w:rsid w:val="001942BC"/>
    <w:rsid w:val="0019435B"/>
    <w:rsid w:val="00194416"/>
    <w:rsid w:val="00194486"/>
    <w:rsid w:val="00194793"/>
    <w:rsid w:val="001947C9"/>
    <w:rsid w:val="001947F0"/>
    <w:rsid w:val="0019531B"/>
    <w:rsid w:val="00195AC4"/>
    <w:rsid w:val="00195D0D"/>
    <w:rsid w:val="00195DAE"/>
    <w:rsid w:val="00195EFE"/>
    <w:rsid w:val="0019625E"/>
    <w:rsid w:val="00196336"/>
    <w:rsid w:val="001964A1"/>
    <w:rsid w:val="00196559"/>
    <w:rsid w:val="0019692F"/>
    <w:rsid w:val="0019720C"/>
    <w:rsid w:val="001974BF"/>
    <w:rsid w:val="00197706"/>
    <w:rsid w:val="00197DA2"/>
    <w:rsid w:val="001A030B"/>
    <w:rsid w:val="001A0DB1"/>
    <w:rsid w:val="001A14DA"/>
    <w:rsid w:val="001A1956"/>
    <w:rsid w:val="001A2062"/>
    <w:rsid w:val="001A2892"/>
    <w:rsid w:val="001A29C9"/>
    <w:rsid w:val="001A2C92"/>
    <w:rsid w:val="001A2C9A"/>
    <w:rsid w:val="001A2D9D"/>
    <w:rsid w:val="001A2E61"/>
    <w:rsid w:val="001A3273"/>
    <w:rsid w:val="001A3351"/>
    <w:rsid w:val="001A3369"/>
    <w:rsid w:val="001A33D2"/>
    <w:rsid w:val="001A3687"/>
    <w:rsid w:val="001A36DB"/>
    <w:rsid w:val="001A3743"/>
    <w:rsid w:val="001A3B7A"/>
    <w:rsid w:val="001A3DEA"/>
    <w:rsid w:val="001A46B3"/>
    <w:rsid w:val="001A4843"/>
    <w:rsid w:val="001A4890"/>
    <w:rsid w:val="001A4AA7"/>
    <w:rsid w:val="001A4E76"/>
    <w:rsid w:val="001A4FE3"/>
    <w:rsid w:val="001A521D"/>
    <w:rsid w:val="001A5459"/>
    <w:rsid w:val="001A555B"/>
    <w:rsid w:val="001A55CA"/>
    <w:rsid w:val="001A5BA8"/>
    <w:rsid w:val="001A5CA3"/>
    <w:rsid w:val="001A5CD0"/>
    <w:rsid w:val="001A6714"/>
    <w:rsid w:val="001A6B61"/>
    <w:rsid w:val="001A7041"/>
    <w:rsid w:val="001A70EC"/>
    <w:rsid w:val="001A762B"/>
    <w:rsid w:val="001A77D6"/>
    <w:rsid w:val="001A7AE8"/>
    <w:rsid w:val="001A7C45"/>
    <w:rsid w:val="001A7D02"/>
    <w:rsid w:val="001A7DEC"/>
    <w:rsid w:val="001B06E2"/>
    <w:rsid w:val="001B0C80"/>
    <w:rsid w:val="001B0F68"/>
    <w:rsid w:val="001B118E"/>
    <w:rsid w:val="001B126B"/>
    <w:rsid w:val="001B1283"/>
    <w:rsid w:val="001B17B2"/>
    <w:rsid w:val="001B1B5A"/>
    <w:rsid w:val="001B1C86"/>
    <w:rsid w:val="001B20B5"/>
    <w:rsid w:val="001B22A6"/>
    <w:rsid w:val="001B2474"/>
    <w:rsid w:val="001B2758"/>
    <w:rsid w:val="001B27F4"/>
    <w:rsid w:val="001B2A25"/>
    <w:rsid w:val="001B2B90"/>
    <w:rsid w:val="001B2D47"/>
    <w:rsid w:val="001B2F27"/>
    <w:rsid w:val="001B310F"/>
    <w:rsid w:val="001B3797"/>
    <w:rsid w:val="001B4089"/>
    <w:rsid w:val="001B4522"/>
    <w:rsid w:val="001B4826"/>
    <w:rsid w:val="001B5939"/>
    <w:rsid w:val="001B5C3B"/>
    <w:rsid w:val="001B5DB4"/>
    <w:rsid w:val="001B5E79"/>
    <w:rsid w:val="001B5F13"/>
    <w:rsid w:val="001B5FD9"/>
    <w:rsid w:val="001B634D"/>
    <w:rsid w:val="001B6417"/>
    <w:rsid w:val="001B6418"/>
    <w:rsid w:val="001B64A8"/>
    <w:rsid w:val="001B67B7"/>
    <w:rsid w:val="001B6D0E"/>
    <w:rsid w:val="001B718F"/>
    <w:rsid w:val="001B73E1"/>
    <w:rsid w:val="001B73FC"/>
    <w:rsid w:val="001B75F0"/>
    <w:rsid w:val="001B7BE7"/>
    <w:rsid w:val="001B7DB3"/>
    <w:rsid w:val="001B7F80"/>
    <w:rsid w:val="001C05A3"/>
    <w:rsid w:val="001C0651"/>
    <w:rsid w:val="001C068D"/>
    <w:rsid w:val="001C0A00"/>
    <w:rsid w:val="001C2106"/>
    <w:rsid w:val="001C2310"/>
    <w:rsid w:val="001C2615"/>
    <w:rsid w:val="001C29BD"/>
    <w:rsid w:val="001C29E9"/>
    <w:rsid w:val="001C2AC3"/>
    <w:rsid w:val="001C2D09"/>
    <w:rsid w:val="001C2E23"/>
    <w:rsid w:val="001C3061"/>
    <w:rsid w:val="001C3251"/>
    <w:rsid w:val="001C36A0"/>
    <w:rsid w:val="001C37AA"/>
    <w:rsid w:val="001C3821"/>
    <w:rsid w:val="001C383A"/>
    <w:rsid w:val="001C3BFF"/>
    <w:rsid w:val="001C3C2E"/>
    <w:rsid w:val="001C3C7A"/>
    <w:rsid w:val="001C3CCB"/>
    <w:rsid w:val="001C3F43"/>
    <w:rsid w:val="001C408F"/>
    <w:rsid w:val="001C44CF"/>
    <w:rsid w:val="001C46BD"/>
    <w:rsid w:val="001C472A"/>
    <w:rsid w:val="001C4BCE"/>
    <w:rsid w:val="001C4D52"/>
    <w:rsid w:val="001C58EF"/>
    <w:rsid w:val="001C5CA9"/>
    <w:rsid w:val="001C5CF6"/>
    <w:rsid w:val="001C5F5E"/>
    <w:rsid w:val="001C66FC"/>
    <w:rsid w:val="001C69AA"/>
    <w:rsid w:val="001C6D86"/>
    <w:rsid w:val="001C7164"/>
    <w:rsid w:val="001C7359"/>
    <w:rsid w:val="001C7AEE"/>
    <w:rsid w:val="001D031C"/>
    <w:rsid w:val="001D0356"/>
    <w:rsid w:val="001D08D6"/>
    <w:rsid w:val="001D08ED"/>
    <w:rsid w:val="001D0D41"/>
    <w:rsid w:val="001D0D92"/>
    <w:rsid w:val="001D1069"/>
    <w:rsid w:val="001D10F0"/>
    <w:rsid w:val="001D127D"/>
    <w:rsid w:val="001D15BE"/>
    <w:rsid w:val="001D1C23"/>
    <w:rsid w:val="001D1D12"/>
    <w:rsid w:val="001D20AB"/>
    <w:rsid w:val="001D2604"/>
    <w:rsid w:val="001D28E3"/>
    <w:rsid w:val="001D31F0"/>
    <w:rsid w:val="001D3340"/>
    <w:rsid w:val="001D3692"/>
    <w:rsid w:val="001D37C1"/>
    <w:rsid w:val="001D3D16"/>
    <w:rsid w:val="001D3D2F"/>
    <w:rsid w:val="001D438C"/>
    <w:rsid w:val="001D455B"/>
    <w:rsid w:val="001D47C7"/>
    <w:rsid w:val="001D4837"/>
    <w:rsid w:val="001D509C"/>
    <w:rsid w:val="001D5511"/>
    <w:rsid w:val="001D5A09"/>
    <w:rsid w:val="001D5ABE"/>
    <w:rsid w:val="001D60B2"/>
    <w:rsid w:val="001D626F"/>
    <w:rsid w:val="001D6272"/>
    <w:rsid w:val="001D6812"/>
    <w:rsid w:val="001D6819"/>
    <w:rsid w:val="001D6D9F"/>
    <w:rsid w:val="001D6E2A"/>
    <w:rsid w:val="001D7058"/>
    <w:rsid w:val="001D71FA"/>
    <w:rsid w:val="001D7232"/>
    <w:rsid w:val="001D7270"/>
    <w:rsid w:val="001D73BD"/>
    <w:rsid w:val="001D743B"/>
    <w:rsid w:val="001D74DB"/>
    <w:rsid w:val="001D7DFC"/>
    <w:rsid w:val="001D7FFE"/>
    <w:rsid w:val="001E031E"/>
    <w:rsid w:val="001E0A05"/>
    <w:rsid w:val="001E0A65"/>
    <w:rsid w:val="001E0BC4"/>
    <w:rsid w:val="001E179E"/>
    <w:rsid w:val="001E1C1D"/>
    <w:rsid w:val="001E1F90"/>
    <w:rsid w:val="001E25F7"/>
    <w:rsid w:val="001E2765"/>
    <w:rsid w:val="001E2C92"/>
    <w:rsid w:val="001E2D89"/>
    <w:rsid w:val="001E2E38"/>
    <w:rsid w:val="001E3205"/>
    <w:rsid w:val="001E35B4"/>
    <w:rsid w:val="001E3BF4"/>
    <w:rsid w:val="001E3C08"/>
    <w:rsid w:val="001E3E4B"/>
    <w:rsid w:val="001E41F9"/>
    <w:rsid w:val="001E4228"/>
    <w:rsid w:val="001E43E7"/>
    <w:rsid w:val="001E45FF"/>
    <w:rsid w:val="001E4624"/>
    <w:rsid w:val="001E4C69"/>
    <w:rsid w:val="001E4D1E"/>
    <w:rsid w:val="001E4F82"/>
    <w:rsid w:val="001E4F99"/>
    <w:rsid w:val="001E541E"/>
    <w:rsid w:val="001E553B"/>
    <w:rsid w:val="001E5675"/>
    <w:rsid w:val="001E5E01"/>
    <w:rsid w:val="001E6011"/>
    <w:rsid w:val="001E624B"/>
    <w:rsid w:val="001E62F0"/>
    <w:rsid w:val="001E6B70"/>
    <w:rsid w:val="001E6D46"/>
    <w:rsid w:val="001E7496"/>
    <w:rsid w:val="001E7A75"/>
    <w:rsid w:val="001E7DAD"/>
    <w:rsid w:val="001F0262"/>
    <w:rsid w:val="001F06B2"/>
    <w:rsid w:val="001F16E0"/>
    <w:rsid w:val="001F16E2"/>
    <w:rsid w:val="001F1741"/>
    <w:rsid w:val="001F182F"/>
    <w:rsid w:val="001F2738"/>
    <w:rsid w:val="001F299C"/>
    <w:rsid w:val="001F2A00"/>
    <w:rsid w:val="001F2B89"/>
    <w:rsid w:val="001F2E93"/>
    <w:rsid w:val="001F303B"/>
    <w:rsid w:val="001F358D"/>
    <w:rsid w:val="001F3683"/>
    <w:rsid w:val="001F3990"/>
    <w:rsid w:val="001F3BA6"/>
    <w:rsid w:val="001F3DF9"/>
    <w:rsid w:val="001F4239"/>
    <w:rsid w:val="001F441E"/>
    <w:rsid w:val="001F482B"/>
    <w:rsid w:val="001F525F"/>
    <w:rsid w:val="001F5287"/>
    <w:rsid w:val="001F5B40"/>
    <w:rsid w:val="001F5D15"/>
    <w:rsid w:val="001F5F17"/>
    <w:rsid w:val="001F6077"/>
    <w:rsid w:val="001F6079"/>
    <w:rsid w:val="001F6099"/>
    <w:rsid w:val="001F60F9"/>
    <w:rsid w:val="001F7200"/>
    <w:rsid w:val="001F7609"/>
    <w:rsid w:val="001F777F"/>
    <w:rsid w:val="001F7C1B"/>
    <w:rsid w:val="001F7C7F"/>
    <w:rsid w:val="00200229"/>
    <w:rsid w:val="002003B1"/>
    <w:rsid w:val="0020081D"/>
    <w:rsid w:val="00200B4E"/>
    <w:rsid w:val="002011CE"/>
    <w:rsid w:val="002013AD"/>
    <w:rsid w:val="002013B7"/>
    <w:rsid w:val="002014D1"/>
    <w:rsid w:val="0020166B"/>
    <w:rsid w:val="002017A5"/>
    <w:rsid w:val="002017A7"/>
    <w:rsid w:val="00201D1E"/>
    <w:rsid w:val="00201DD3"/>
    <w:rsid w:val="00201E30"/>
    <w:rsid w:val="00201ECE"/>
    <w:rsid w:val="00201FF6"/>
    <w:rsid w:val="002024CA"/>
    <w:rsid w:val="00202A0F"/>
    <w:rsid w:val="00202A2E"/>
    <w:rsid w:val="00202B93"/>
    <w:rsid w:val="00203134"/>
    <w:rsid w:val="0020394A"/>
    <w:rsid w:val="002039B0"/>
    <w:rsid w:val="00203CAF"/>
    <w:rsid w:val="00203E5E"/>
    <w:rsid w:val="00204018"/>
    <w:rsid w:val="0020459A"/>
    <w:rsid w:val="00204BD6"/>
    <w:rsid w:val="00204FF2"/>
    <w:rsid w:val="0020506A"/>
    <w:rsid w:val="00205803"/>
    <w:rsid w:val="00205A66"/>
    <w:rsid w:val="002063D0"/>
    <w:rsid w:val="00206482"/>
    <w:rsid w:val="00206663"/>
    <w:rsid w:val="0020679D"/>
    <w:rsid w:val="00206B86"/>
    <w:rsid w:val="002072E5"/>
    <w:rsid w:val="00207786"/>
    <w:rsid w:val="00207A4E"/>
    <w:rsid w:val="00207B9E"/>
    <w:rsid w:val="00207EED"/>
    <w:rsid w:val="002100C8"/>
    <w:rsid w:val="00210700"/>
    <w:rsid w:val="0021071F"/>
    <w:rsid w:val="00210DA3"/>
    <w:rsid w:val="0021164C"/>
    <w:rsid w:val="00211DC9"/>
    <w:rsid w:val="00211E4B"/>
    <w:rsid w:val="00211F1F"/>
    <w:rsid w:val="0021247E"/>
    <w:rsid w:val="0021253D"/>
    <w:rsid w:val="002128A0"/>
    <w:rsid w:val="002130E2"/>
    <w:rsid w:val="002130E9"/>
    <w:rsid w:val="0021333A"/>
    <w:rsid w:val="0021352B"/>
    <w:rsid w:val="00213757"/>
    <w:rsid w:val="00213912"/>
    <w:rsid w:val="00214174"/>
    <w:rsid w:val="00214307"/>
    <w:rsid w:val="00214643"/>
    <w:rsid w:val="002147C3"/>
    <w:rsid w:val="00214C25"/>
    <w:rsid w:val="00214E36"/>
    <w:rsid w:val="0021536A"/>
    <w:rsid w:val="00215C6D"/>
    <w:rsid w:val="00215F4A"/>
    <w:rsid w:val="0021604E"/>
    <w:rsid w:val="00216137"/>
    <w:rsid w:val="002169DD"/>
    <w:rsid w:val="00216AC1"/>
    <w:rsid w:val="00216EFE"/>
    <w:rsid w:val="0021706A"/>
    <w:rsid w:val="002174A5"/>
    <w:rsid w:val="002176B7"/>
    <w:rsid w:val="00221235"/>
    <w:rsid w:val="002214FD"/>
    <w:rsid w:val="002215F0"/>
    <w:rsid w:val="00221AB0"/>
    <w:rsid w:val="00221B6E"/>
    <w:rsid w:val="00221DCA"/>
    <w:rsid w:val="0022202A"/>
    <w:rsid w:val="0022280B"/>
    <w:rsid w:val="00222AD7"/>
    <w:rsid w:val="00222CD2"/>
    <w:rsid w:val="00222F83"/>
    <w:rsid w:val="002232E3"/>
    <w:rsid w:val="0022342D"/>
    <w:rsid w:val="00223C54"/>
    <w:rsid w:val="00223F14"/>
    <w:rsid w:val="002240CF"/>
    <w:rsid w:val="0022442E"/>
    <w:rsid w:val="00224584"/>
    <w:rsid w:val="002249EC"/>
    <w:rsid w:val="00224B2A"/>
    <w:rsid w:val="00224D53"/>
    <w:rsid w:val="00225025"/>
    <w:rsid w:val="00225063"/>
    <w:rsid w:val="0022521F"/>
    <w:rsid w:val="002252B7"/>
    <w:rsid w:val="002256EC"/>
    <w:rsid w:val="0022571D"/>
    <w:rsid w:val="00225908"/>
    <w:rsid w:val="00225C13"/>
    <w:rsid w:val="00225DCC"/>
    <w:rsid w:val="002262CC"/>
    <w:rsid w:val="0022661B"/>
    <w:rsid w:val="0022699F"/>
    <w:rsid w:val="00226E39"/>
    <w:rsid w:val="002273D4"/>
    <w:rsid w:val="00227580"/>
    <w:rsid w:val="00230416"/>
    <w:rsid w:val="002306B4"/>
    <w:rsid w:val="00230ACE"/>
    <w:rsid w:val="00230EAC"/>
    <w:rsid w:val="00231014"/>
    <w:rsid w:val="0023203E"/>
    <w:rsid w:val="00232248"/>
    <w:rsid w:val="00232298"/>
    <w:rsid w:val="00232754"/>
    <w:rsid w:val="002327DC"/>
    <w:rsid w:val="00232822"/>
    <w:rsid w:val="00232834"/>
    <w:rsid w:val="002328DD"/>
    <w:rsid w:val="00232B93"/>
    <w:rsid w:val="00232D58"/>
    <w:rsid w:val="00232E6D"/>
    <w:rsid w:val="002331FD"/>
    <w:rsid w:val="002333F0"/>
    <w:rsid w:val="0023367B"/>
    <w:rsid w:val="00233B49"/>
    <w:rsid w:val="00233C41"/>
    <w:rsid w:val="002340F3"/>
    <w:rsid w:val="002342B1"/>
    <w:rsid w:val="00234361"/>
    <w:rsid w:val="00234621"/>
    <w:rsid w:val="00234727"/>
    <w:rsid w:val="00234C84"/>
    <w:rsid w:val="00234D0E"/>
    <w:rsid w:val="00235133"/>
    <w:rsid w:val="00235170"/>
    <w:rsid w:val="002352D9"/>
    <w:rsid w:val="00235393"/>
    <w:rsid w:val="00235C58"/>
    <w:rsid w:val="00236324"/>
    <w:rsid w:val="00236BAB"/>
    <w:rsid w:val="00237656"/>
    <w:rsid w:val="0023769D"/>
    <w:rsid w:val="002377C2"/>
    <w:rsid w:val="00237CDD"/>
    <w:rsid w:val="00237DBD"/>
    <w:rsid w:val="00240283"/>
    <w:rsid w:val="002405D6"/>
    <w:rsid w:val="00240B67"/>
    <w:rsid w:val="0024103E"/>
    <w:rsid w:val="00241710"/>
    <w:rsid w:val="00241A30"/>
    <w:rsid w:val="00241B82"/>
    <w:rsid w:val="00241B9A"/>
    <w:rsid w:val="00241C1C"/>
    <w:rsid w:val="00241D39"/>
    <w:rsid w:val="0024200F"/>
    <w:rsid w:val="002427DD"/>
    <w:rsid w:val="00242903"/>
    <w:rsid w:val="00242DF2"/>
    <w:rsid w:val="002430F3"/>
    <w:rsid w:val="0024312E"/>
    <w:rsid w:val="00243131"/>
    <w:rsid w:val="002431FD"/>
    <w:rsid w:val="00243659"/>
    <w:rsid w:val="00243747"/>
    <w:rsid w:val="00243B0F"/>
    <w:rsid w:val="00243E15"/>
    <w:rsid w:val="00243F7C"/>
    <w:rsid w:val="0024412A"/>
    <w:rsid w:val="00244132"/>
    <w:rsid w:val="002442E7"/>
    <w:rsid w:val="00244970"/>
    <w:rsid w:val="00244972"/>
    <w:rsid w:val="00244A62"/>
    <w:rsid w:val="0024529C"/>
    <w:rsid w:val="0024555C"/>
    <w:rsid w:val="00246551"/>
    <w:rsid w:val="00246836"/>
    <w:rsid w:val="002469AB"/>
    <w:rsid w:val="00246A9F"/>
    <w:rsid w:val="00246E65"/>
    <w:rsid w:val="002470C7"/>
    <w:rsid w:val="00247373"/>
    <w:rsid w:val="002476C8"/>
    <w:rsid w:val="00247801"/>
    <w:rsid w:val="00247860"/>
    <w:rsid w:val="002478C1"/>
    <w:rsid w:val="00247C9E"/>
    <w:rsid w:val="00247D3C"/>
    <w:rsid w:val="00247DA3"/>
    <w:rsid w:val="00250ABB"/>
    <w:rsid w:val="00250C03"/>
    <w:rsid w:val="002513A0"/>
    <w:rsid w:val="002514FD"/>
    <w:rsid w:val="0025160C"/>
    <w:rsid w:val="002519EA"/>
    <w:rsid w:val="00251B6A"/>
    <w:rsid w:val="00251D05"/>
    <w:rsid w:val="00251D31"/>
    <w:rsid w:val="00251E8A"/>
    <w:rsid w:val="002525BA"/>
    <w:rsid w:val="00252873"/>
    <w:rsid w:val="002529E1"/>
    <w:rsid w:val="00253382"/>
    <w:rsid w:val="002537ED"/>
    <w:rsid w:val="00253D34"/>
    <w:rsid w:val="00253DAE"/>
    <w:rsid w:val="002542A5"/>
    <w:rsid w:val="002542B3"/>
    <w:rsid w:val="002547BB"/>
    <w:rsid w:val="00254D8F"/>
    <w:rsid w:val="0025540B"/>
    <w:rsid w:val="00255CAF"/>
    <w:rsid w:val="002569BB"/>
    <w:rsid w:val="00256B00"/>
    <w:rsid w:val="00256B9A"/>
    <w:rsid w:val="00256D01"/>
    <w:rsid w:val="00256E20"/>
    <w:rsid w:val="002577CD"/>
    <w:rsid w:val="0025795D"/>
    <w:rsid w:val="00257A00"/>
    <w:rsid w:val="00257E89"/>
    <w:rsid w:val="002607D6"/>
    <w:rsid w:val="00260A4A"/>
    <w:rsid w:val="00260C29"/>
    <w:rsid w:val="00260D95"/>
    <w:rsid w:val="00261059"/>
    <w:rsid w:val="002613CF"/>
    <w:rsid w:val="0026142E"/>
    <w:rsid w:val="002614AC"/>
    <w:rsid w:val="002614CA"/>
    <w:rsid w:val="00261612"/>
    <w:rsid w:val="00261E54"/>
    <w:rsid w:val="00262446"/>
    <w:rsid w:val="0026276F"/>
    <w:rsid w:val="00262877"/>
    <w:rsid w:val="002629B4"/>
    <w:rsid w:val="002629FB"/>
    <w:rsid w:val="00263B63"/>
    <w:rsid w:val="00263FFC"/>
    <w:rsid w:val="002641E9"/>
    <w:rsid w:val="002649CB"/>
    <w:rsid w:val="00264A0F"/>
    <w:rsid w:val="0026524A"/>
    <w:rsid w:val="002653D2"/>
    <w:rsid w:val="00265606"/>
    <w:rsid w:val="00265820"/>
    <w:rsid w:val="0026590D"/>
    <w:rsid w:val="00265A93"/>
    <w:rsid w:val="00265B6E"/>
    <w:rsid w:val="00265D6E"/>
    <w:rsid w:val="0026608B"/>
    <w:rsid w:val="002664C3"/>
    <w:rsid w:val="0026652E"/>
    <w:rsid w:val="002666B1"/>
    <w:rsid w:val="002668C2"/>
    <w:rsid w:val="00267653"/>
    <w:rsid w:val="002678B3"/>
    <w:rsid w:val="002702B3"/>
    <w:rsid w:val="0027037D"/>
    <w:rsid w:val="00270602"/>
    <w:rsid w:val="00270ABC"/>
    <w:rsid w:val="00270C5A"/>
    <w:rsid w:val="00270D69"/>
    <w:rsid w:val="0027141A"/>
    <w:rsid w:val="002714B3"/>
    <w:rsid w:val="00271C0A"/>
    <w:rsid w:val="002720DB"/>
    <w:rsid w:val="0027255F"/>
    <w:rsid w:val="00272574"/>
    <w:rsid w:val="0027258D"/>
    <w:rsid w:val="00273725"/>
    <w:rsid w:val="00273874"/>
    <w:rsid w:val="00273937"/>
    <w:rsid w:val="00273B2C"/>
    <w:rsid w:val="00273DE5"/>
    <w:rsid w:val="0027421B"/>
    <w:rsid w:val="00274354"/>
    <w:rsid w:val="00275090"/>
    <w:rsid w:val="002753B3"/>
    <w:rsid w:val="002753E6"/>
    <w:rsid w:val="0027560A"/>
    <w:rsid w:val="00275D92"/>
    <w:rsid w:val="00275E06"/>
    <w:rsid w:val="00275F56"/>
    <w:rsid w:val="00276134"/>
    <w:rsid w:val="00276AD7"/>
    <w:rsid w:val="00276B77"/>
    <w:rsid w:val="00276CB1"/>
    <w:rsid w:val="00276F74"/>
    <w:rsid w:val="0027723B"/>
    <w:rsid w:val="00277365"/>
    <w:rsid w:val="002777CD"/>
    <w:rsid w:val="00277ACC"/>
    <w:rsid w:val="002800B6"/>
    <w:rsid w:val="002803E2"/>
    <w:rsid w:val="002805D8"/>
    <w:rsid w:val="00280B8B"/>
    <w:rsid w:val="00280C6B"/>
    <w:rsid w:val="00280D19"/>
    <w:rsid w:val="00280EE1"/>
    <w:rsid w:val="00280F6B"/>
    <w:rsid w:val="00281107"/>
    <w:rsid w:val="0028111A"/>
    <w:rsid w:val="00281209"/>
    <w:rsid w:val="00281520"/>
    <w:rsid w:val="0028164F"/>
    <w:rsid w:val="00281999"/>
    <w:rsid w:val="002819BC"/>
    <w:rsid w:val="00281A6F"/>
    <w:rsid w:val="00281CD4"/>
    <w:rsid w:val="00281D8B"/>
    <w:rsid w:val="00281FCB"/>
    <w:rsid w:val="00281FE6"/>
    <w:rsid w:val="00282210"/>
    <w:rsid w:val="002825AB"/>
    <w:rsid w:val="00282967"/>
    <w:rsid w:val="00282CAB"/>
    <w:rsid w:val="00283832"/>
    <w:rsid w:val="00283899"/>
    <w:rsid w:val="00283ADC"/>
    <w:rsid w:val="00283B1D"/>
    <w:rsid w:val="00283BE4"/>
    <w:rsid w:val="00283D0F"/>
    <w:rsid w:val="00283F50"/>
    <w:rsid w:val="00284242"/>
    <w:rsid w:val="00284346"/>
    <w:rsid w:val="00284D22"/>
    <w:rsid w:val="00285082"/>
    <w:rsid w:val="00285267"/>
    <w:rsid w:val="002853E9"/>
    <w:rsid w:val="002855CD"/>
    <w:rsid w:val="0028574C"/>
    <w:rsid w:val="002857F7"/>
    <w:rsid w:val="00285BC8"/>
    <w:rsid w:val="002861F0"/>
    <w:rsid w:val="002863E6"/>
    <w:rsid w:val="002864D0"/>
    <w:rsid w:val="002864F3"/>
    <w:rsid w:val="00286B9C"/>
    <w:rsid w:val="00286D76"/>
    <w:rsid w:val="00286D98"/>
    <w:rsid w:val="002874C2"/>
    <w:rsid w:val="00287596"/>
    <w:rsid w:val="00287BE7"/>
    <w:rsid w:val="00287E15"/>
    <w:rsid w:val="00287EF1"/>
    <w:rsid w:val="00290135"/>
    <w:rsid w:val="00290891"/>
    <w:rsid w:val="00291074"/>
    <w:rsid w:val="002917F4"/>
    <w:rsid w:val="002918CE"/>
    <w:rsid w:val="00291938"/>
    <w:rsid w:val="00291C7C"/>
    <w:rsid w:val="00291E7A"/>
    <w:rsid w:val="00292825"/>
    <w:rsid w:val="00292922"/>
    <w:rsid w:val="0029308D"/>
    <w:rsid w:val="002931AD"/>
    <w:rsid w:val="0029320E"/>
    <w:rsid w:val="00293351"/>
    <w:rsid w:val="0029353D"/>
    <w:rsid w:val="00293D64"/>
    <w:rsid w:val="00293D74"/>
    <w:rsid w:val="00294272"/>
    <w:rsid w:val="00294316"/>
    <w:rsid w:val="00294532"/>
    <w:rsid w:val="002945CD"/>
    <w:rsid w:val="00294C6A"/>
    <w:rsid w:val="00294C80"/>
    <w:rsid w:val="00294EA1"/>
    <w:rsid w:val="0029504A"/>
    <w:rsid w:val="002950CA"/>
    <w:rsid w:val="00295A80"/>
    <w:rsid w:val="00295A96"/>
    <w:rsid w:val="00295B1E"/>
    <w:rsid w:val="00295D2F"/>
    <w:rsid w:val="00295DBB"/>
    <w:rsid w:val="00295EDF"/>
    <w:rsid w:val="002967A2"/>
    <w:rsid w:val="00296A07"/>
    <w:rsid w:val="00296AA5"/>
    <w:rsid w:val="00296AE7"/>
    <w:rsid w:val="00296E6C"/>
    <w:rsid w:val="00296F88"/>
    <w:rsid w:val="0029709A"/>
    <w:rsid w:val="002970DE"/>
    <w:rsid w:val="002A04DB"/>
    <w:rsid w:val="002A0695"/>
    <w:rsid w:val="002A0823"/>
    <w:rsid w:val="002A094F"/>
    <w:rsid w:val="002A1311"/>
    <w:rsid w:val="002A1344"/>
    <w:rsid w:val="002A202B"/>
    <w:rsid w:val="002A25DE"/>
    <w:rsid w:val="002A263B"/>
    <w:rsid w:val="002A26B2"/>
    <w:rsid w:val="002A31BF"/>
    <w:rsid w:val="002A3270"/>
    <w:rsid w:val="002A35E4"/>
    <w:rsid w:val="002A3997"/>
    <w:rsid w:val="002A39C5"/>
    <w:rsid w:val="002A3DB7"/>
    <w:rsid w:val="002A3F63"/>
    <w:rsid w:val="002A430A"/>
    <w:rsid w:val="002A4471"/>
    <w:rsid w:val="002A4D2C"/>
    <w:rsid w:val="002A4F79"/>
    <w:rsid w:val="002A517D"/>
    <w:rsid w:val="002A5AD9"/>
    <w:rsid w:val="002A5C32"/>
    <w:rsid w:val="002A5D23"/>
    <w:rsid w:val="002A6534"/>
    <w:rsid w:val="002A65A8"/>
    <w:rsid w:val="002A65E7"/>
    <w:rsid w:val="002A6865"/>
    <w:rsid w:val="002A6C4E"/>
    <w:rsid w:val="002A6C7A"/>
    <w:rsid w:val="002A6F1D"/>
    <w:rsid w:val="002A71D4"/>
    <w:rsid w:val="002A72BC"/>
    <w:rsid w:val="002A7667"/>
    <w:rsid w:val="002A7C75"/>
    <w:rsid w:val="002B00A7"/>
    <w:rsid w:val="002B08CE"/>
    <w:rsid w:val="002B0940"/>
    <w:rsid w:val="002B0B43"/>
    <w:rsid w:val="002B0EBE"/>
    <w:rsid w:val="002B0F55"/>
    <w:rsid w:val="002B11D2"/>
    <w:rsid w:val="002B15C9"/>
    <w:rsid w:val="002B1734"/>
    <w:rsid w:val="002B1F24"/>
    <w:rsid w:val="002B1FF4"/>
    <w:rsid w:val="002B2024"/>
    <w:rsid w:val="002B21F6"/>
    <w:rsid w:val="002B2418"/>
    <w:rsid w:val="002B2575"/>
    <w:rsid w:val="002B2721"/>
    <w:rsid w:val="002B2786"/>
    <w:rsid w:val="002B27A6"/>
    <w:rsid w:val="002B2B24"/>
    <w:rsid w:val="002B2B66"/>
    <w:rsid w:val="002B2CC4"/>
    <w:rsid w:val="002B31C1"/>
    <w:rsid w:val="002B3413"/>
    <w:rsid w:val="002B3894"/>
    <w:rsid w:val="002B4264"/>
    <w:rsid w:val="002B42DF"/>
    <w:rsid w:val="002B4C58"/>
    <w:rsid w:val="002B4C87"/>
    <w:rsid w:val="002B4D8D"/>
    <w:rsid w:val="002B4FCB"/>
    <w:rsid w:val="002B50B1"/>
    <w:rsid w:val="002B52FF"/>
    <w:rsid w:val="002B55C4"/>
    <w:rsid w:val="002B5B3E"/>
    <w:rsid w:val="002B5B58"/>
    <w:rsid w:val="002B5B61"/>
    <w:rsid w:val="002B5EB4"/>
    <w:rsid w:val="002B649F"/>
    <w:rsid w:val="002B6A6C"/>
    <w:rsid w:val="002B6EF5"/>
    <w:rsid w:val="002B7005"/>
    <w:rsid w:val="002B7134"/>
    <w:rsid w:val="002B7184"/>
    <w:rsid w:val="002B73E1"/>
    <w:rsid w:val="002B75D2"/>
    <w:rsid w:val="002B75E2"/>
    <w:rsid w:val="002B7640"/>
    <w:rsid w:val="002B791B"/>
    <w:rsid w:val="002B7AF9"/>
    <w:rsid w:val="002B7C38"/>
    <w:rsid w:val="002B7D8B"/>
    <w:rsid w:val="002C015C"/>
    <w:rsid w:val="002C0617"/>
    <w:rsid w:val="002C081F"/>
    <w:rsid w:val="002C0C1F"/>
    <w:rsid w:val="002C13CA"/>
    <w:rsid w:val="002C1823"/>
    <w:rsid w:val="002C1F07"/>
    <w:rsid w:val="002C24B6"/>
    <w:rsid w:val="002C2B38"/>
    <w:rsid w:val="002C2FB9"/>
    <w:rsid w:val="002C3534"/>
    <w:rsid w:val="002C372D"/>
    <w:rsid w:val="002C3AA1"/>
    <w:rsid w:val="002C3D6F"/>
    <w:rsid w:val="002C438C"/>
    <w:rsid w:val="002C442B"/>
    <w:rsid w:val="002C464B"/>
    <w:rsid w:val="002C4883"/>
    <w:rsid w:val="002C4B46"/>
    <w:rsid w:val="002C52D6"/>
    <w:rsid w:val="002C5909"/>
    <w:rsid w:val="002C5A79"/>
    <w:rsid w:val="002C5A9D"/>
    <w:rsid w:val="002C5DA3"/>
    <w:rsid w:val="002C685F"/>
    <w:rsid w:val="002C690D"/>
    <w:rsid w:val="002C6D61"/>
    <w:rsid w:val="002C6D8B"/>
    <w:rsid w:val="002C6ED2"/>
    <w:rsid w:val="002C725B"/>
    <w:rsid w:val="002C746B"/>
    <w:rsid w:val="002C754A"/>
    <w:rsid w:val="002C78BB"/>
    <w:rsid w:val="002C7B63"/>
    <w:rsid w:val="002C7F2B"/>
    <w:rsid w:val="002D06AF"/>
    <w:rsid w:val="002D0C52"/>
    <w:rsid w:val="002D1099"/>
    <w:rsid w:val="002D1499"/>
    <w:rsid w:val="002D1C0A"/>
    <w:rsid w:val="002D2385"/>
    <w:rsid w:val="002D2A55"/>
    <w:rsid w:val="002D37F0"/>
    <w:rsid w:val="002D3AAA"/>
    <w:rsid w:val="002D4005"/>
    <w:rsid w:val="002D4AFE"/>
    <w:rsid w:val="002D4BEA"/>
    <w:rsid w:val="002D4CF0"/>
    <w:rsid w:val="002D5259"/>
    <w:rsid w:val="002D54AD"/>
    <w:rsid w:val="002D582B"/>
    <w:rsid w:val="002D5E8C"/>
    <w:rsid w:val="002D5EF7"/>
    <w:rsid w:val="002D6726"/>
    <w:rsid w:val="002D6A31"/>
    <w:rsid w:val="002D6C69"/>
    <w:rsid w:val="002D71D1"/>
    <w:rsid w:val="002D740D"/>
    <w:rsid w:val="002D7664"/>
    <w:rsid w:val="002D7A0B"/>
    <w:rsid w:val="002E05A5"/>
    <w:rsid w:val="002E0D17"/>
    <w:rsid w:val="002E0D35"/>
    <w:rsid w:val="002E0E7D"/>
    <w:rsid w:val="002E0F5F"/>
    <w:rsid w:val="002E0FBC"/>
    <w:rsid w:val="002E17C0"/>
    <w:rsid w:val="002E1BE7"/>
    <w:rsid w:val="002E1CEF"/>
    <w:rsid w:val="002E1F20"/>
    <w:rsid w:val="002E202F"/>
    <w:rsid w:val="002E22D5"/>
    <w:rsid w:val="002E246D"/>
    <w:rsid w:val="002E252C"/>
    <w:rsid w:val="002E252F"/>
    <w:rsid w:val="002E2631"/>
    <w:rsid w:val="002E2636"/>
    <w:rsid w:val="002E27F8"/>
    <w:rsid w:val="002E3146"/>
    <w:rsid w:val="002E3231"/>
    <w:rsid w:val="002E3E59"/>
    <w:rsid w:val="002E442F"/>
    <w:rsid w:val="002E4901"/>
    <w:rsid w:val="002E4B36"/>
    <w:rsid w:val="002E4D91"/>
    <w:rsid w:val="002E4E4F"/>
    <w:rsid w:val="002E4ED1"/>
    <w:rsid w:val="002E56CE"/>
    <w:rsid w:val="002E58B5"/>
    <w:rsid w:val="002E59A1"/>
    <w:rsid w:val="002E5F78"/>
    <w:rsid w:val="002E60C7"/>
    <w:rsid w:val="002E62C2"/>
    <w:rsid w:val="002E6505"/>
    <w:rsid w:val="002E69B8"/>
    <w:rsid w:val="002E6B37"/>
    <w:rsid w:val="002E6BA0"/>
    <w:rsid w:val="002E6C14"/>
    <w:rsid w:val="002E6C1A"/>
    <w:rsid w:val="002E6CBF"/>
    <w:rsid w:val="002E6F6E"/>
    <w:rsid w:val="002E7096"/>
    <w:rsid w:val="002E70AC"/>
    <w:rsid w:val="002E7804"/>
    <w:rsid w:val="002E7C1A"/>
    <w:rsid w:val="002E7E41"/>
    <w:rsid w:val="002F05BF"/>
    <w:rsid w:val="002F0B33"/>
    <w:rsid w:val="002F0CCA"/>
    <w:rsid w:val="002F0E63"/>
    <w:rsid w:val="002F10F4"/>
    <w:rsid w:val="002F131A"/>
    <w:rsid w:val="002F14D1"/>
    <w:rsid w:val="002F159C"/>
    <w:rsid w:val="002F166C"/>
    <w:rsid w:val="002F1986"/>
    <w:rsid w:val="002F1B42"/>
    <w:rsid w:val="002F1C8A"/>
    <w:rsid w:val="002F23E5"/>
    <w:rsid w:val="002F2517"/>
    <w:rsid w:val="002F2DC1"/>
    <w:rsid w:val="002F2EFA"/>
    <w:rsid w:val="002F2F36"/>
    <w:rsid w:val="002F3257"/>
    <w:rsid w:val="002F3569"/>
    <w:rsid w:val="002F370B"/>
    <w:rsid w:val="002F3940"/>
    <w:rsid w:val="002F3A3D"/>
    <w:rsid w:val="002F3D47"/>
    <w:rsid w:val="002F3F78"/>
    <w:rsid w:val="002F41E8"/>
    <w:rsid w:val="002F438C"/>
    <w:rsid w:val="002F493D"/>
    <w:rsid w:val="002F4D92"/>
    <w:rsid w:val="002F4DA9"/>
    <w:rsid w:val="002F51AF"/>
    <w:rsid w:val="002F5833"/>
    <w:rsid w:val="002F5973"/>
    <w:rsid w:val="002F5A89"/>
    <w:rsid w:val="002F5B76"/>
    <w:rsid w:val="002F5DC4"/>
    <w:rsid w:val="002F5E46"/>
    <w:rsid w:val="002F6017"/>
    <w:rsid w:val="002F6A91"/>
    <w:rsid w:val="002F70F7"/>
    <w:rsid w:val="002F7237"/>
    <w:rsid w:val="002F78CC"/>
    <w:rsid w:val="002F7D10"/>
    <w:rsid w:val="00300035"/>
    <w:rsid w:val="00300357"/>
    <w:rsid w:val="003005AE"/>
    <w:rsid w:val="0030080D"/>
    <w:rsid w:val="00300D08"/>
    <w:rsid w:val="00300EAC"/>
    <w:rsid w:val="00300EB3"/>
    <w:rsid w:val="00300F0A"/>
    <w:rsid w:val="003012B8"/>
    <w:rsid w:val="003014E0"/>
    <w:rsid w:val="0030157B"/>
    <w:rsid w:val="003018AE"/>
    <w:rsid w:val="003019AE"/>
    <w:rsid w:val="00301B06"/>
    <w:rsid w:val="00301DDC"/>
    <w:rsid w:val="00301EF9"/>
    <w:rsid w:val="003021E3"/>
    <w:rsid w:val="003025F1"/>
    <w:rsid w:val="0030271D"/>
    <w:rsid w:val="00302A2F"/>
    <w:rsid w:val="00302A7A"/>
    <w:rsid w:val="00302CEA"/>
    <w:rsid w:val="00302DC6"/>
    <w:rsid w:val="00302EF4"/>
    <w:rsid w:val="003034C9"/>
    <w:rsid w:val="00303CF6"/>
    <w:rsid w:val="00303EF4"/>
    <w:rsid w:val="0030446F"/>
    <w:rsid w:val="00304C3C"/>
    <w:rsid w:val="00304CDF"/>
    <w:rsid w:val="00304DDD"/>
    <w:rsid w:val="00305033"/>
    <w:rsid w:val="003052D5"/>
    <w:rsid w:val="0030567D"/>
    <w:rsid w:val="00305B68"/>
    <w:rsid w:val="00305DC0"/>
    <w:rsid w:val="00305E38"/>
    <w:rsid w:val="0030619C"/>
    <w:rsid w:val="003069DA"/>
    <w:rsid w:val="00306EEE"/>
    <w:rsid w:val="0030726C"/>
    <w:rsid w:val="003074E8"/>
    <w:rsid w:val="0030765B"/>
    <w:rsid w:val="00307780"/>
    <w:rsid w:val="0030783E"/>
    <w:rsid w:val="003078CE"/>
    <w:rsid w:val="003078E5"/>
    <w:rsid w:val="00307A2E"/>
    <w:rsid w:val="00307B3C"/>
    <w:rsid w:val="0031021A"/>
    <w:rsid w:val="00310B83"/>
    <w:rsid w:val="00310C96"/>
    <w:rsid w:val="00311269"/>
    <w:rsid w:val="003112BD"/>
    <w:rsid w:val="003115A3"/>
    <w:rsid w:val="003115DD"/>
    <w:rsid w:val="0031184C"/>
    <w:rsid w:val="0031199F"/>
    <w:rsid w:val="00311A8A"/>
    <w:rsid w:val="00311AF3"/>
    <w:rsid w:val="0031233B"/>
    <w:rsid w:val="0031274A"/>
    <w:rsid w:val="00313969"/>
    <w:rsid w:val="00313BCB"/>
    <w:rsid w:val="00313E67"/>
    <w:rsid w:val="00315195"/>
    <w:rsid w:val="0031552B"/>
    <w:rsid w:val="003155D2"/>
    <w:rsid w:val="00315E11"/>
    <w:rsid w:val="00316561"/>
    <w:rsid w:val="00316858"/>
    <w:rsid w:val="003169FD"/>
    <w:rsid w:val="00317260"/>
    <w:rsid w:val="0031760E"/>
    <w:rsid w:val="00317885"/>
    <w:rsid w:val="003178E1"/>
    <w:rsid w:val="0031792E"/>
    <w:rsid w:val="00317C52"/>
    <w:rsid w:val="0032046E"/>
    <w:rsid w:val="00321040"/>
    <w:rsid w:val="00321A8E"/>
    <w:rsid w:val="00321B0B"/>
    <w:rsid w:val="00321B2F"/>
    <w:rsid w:val="00322637"/>
    <w:rsid w:val="00322903"/>
    <w:rsid w:val="00322A43"/>
    <w:rsid w:val="003234C2"/>
    <w:rsid w:val="00323729"/>
    <w:rsid w:val="003238FD"/>
    <w:rsid w:val="00323983"/>
    <w:rsid w:val="00324FB0"/>
    <w:rsid w:val="0032509C"/>
    <w:rsid w:val="00325517"/>
    <w:rsid w:val="00325893"/>
    <w:rsid w:val="003258CA"/>
    <w:rsid w:val="003258D1"/>
    <w:rsid w:val="00325A29"/>
    <w:rsid w:val="00325B4B"/>
    <w:rsid w:val="00325E13"/>
    <w:rsid w:val="003262D0"/>
    <w:rsid w:val="003262DF"/>
    <w:rsid w:val="00326396"/>
    <w:rsid w:val="00326458"/>
    <w:rsid w:val="00326476"/>
    <w:rsid w:val="00326770"/>
    <w:rsid w:val="003268C4"/>
    <w:rsid w:val="003269F2"/>
    <w:rsid w:val="00326AC6"/>
    <w:rsid w:val="0032734B"/>
    <w:rsid w:val="0032756F"/>
    <w:rsid w:val="00327C86"/>
    <w:rsid w:val="003306B9"/>
    <w:rsid w:val="00330A3D"/>
    <w:rsid w:val="00331193"/>
    <w:rsid w:val="00331194"/>
    <w:rsid w:val="00331273"/>
    <w:rsid w:val="00331558"/>
    <w:rsid w:val="00331758"/>
    <w:rsid w:val="00331BF7"/>
    <w:rsid w:val="003320B9"/>
    <w:rsid w:val="003322F5"/>
    <w:rsid w:val="00332386"/>
    <w:rsid w:val="003326E5"/>
    <w:rsid w:val="00332A3F"/>
    <w:rsid w:val="00332C06"/>
    <w:rsid w:val="003333AE"/>
    <w:rsid w:val="00333AE0"/>
    <w:rsid w:val="00333B06"/>
    <w:rsid w:val="003341BE"/>
    <w:rsid w:val="0033437E"/>
    <w:rsid w:val="0033450C"/>
    <w:rsid w:val="0033465D"/>
    <w:rsid w:val="00334FDA"/>
    <w:rsid w:val="00335288"/>
    <w:rsid w:val="0033577D"/>
    <w:rsid w:val="00335AE9"/>
    <w:rsid w:val="003365BB"/>
    <w:rsid w:val="00336B94"/>
    <w:rsid w:val="00336DE5"/>
    <w:rsid w:val="00336E12"/>
    <w:rsid w:val="00337367"/>
    <w:rsid w:val="003378CE"/>
    <w:rsid w:val="00337904"/>
    <w:rsid w:val="00337FE6"/>
    <w:rsid w:val="00340530"/>
    <w:rsid w:val="00340D5F"/>
    <w:rsid w:val="00341295"/>
    <w:rsid w:val="00341A56"/>
    <w:rsid w:val="00341B68"/>
    <w:rsid w:val="00341B7F"/>
    <w:rsid w:val="00341D4E"/>
    <w:rsid w:val="00341DE7"/>
    <w:rsid w:val="00341E76"/>
    <w:rsid w:val="00341EE1"/>
    <w:rsid w:val="00341FFC"/>
    <w:rsid w:val="00343515"/>
    <w:rsid w:val="00343523"/>
    <w:rsid w:val="00343591"/>
    <w:rsid w:val="0034372F"/>
    <w:rsid w:val="0034385C"/>
    <w:rsid w:val="00343F45"/>
    <w:rsid w:val="00344785"/>
    <w:rsid w:val="00344D6C"/>
    <w:rsid w:val="00345266"/>
    <w:rsid w:val="003453D3"/>
    <w:rsid w:val="00345933"/>
    <w:rsid w:val="00345956"/>
    <w:rsid w:val="00345DC8"/>
    <w:rsid w:val="00345F6B"/>
    <w:rsid w:val="0034618C"/>
    <w:rsid w:val="003461AB"/>
    <w:rsid w:val="003467A9"/>
    <w:rsid w:val="00346A8B"/>
    <w:rsid w:val="00346C1A"/>
    <w:rsid w:val="00346C3B"/>
    <w:rsid w:val="00346C74"/>
    <w:rsid w:val="00346E21"/>
    <w:rsid w:val="00347FC4"/>
    <w:rsid w:val="00350644"/>
    <w:rsid w:val="00350C86"/>
    <w:rsid w:val="00350D2F"/>
    <w:rsid w:val="00350E87"/>
    <w:rsid w:val="00351194"/>
    <w:rsid w:val="00351204"/>
    <w:rsid w:val="003512E3"/>
    <w:rsid w:val="00351405"/>
    <w:rsid w:val="003516A3"/>
    <w:rsid w:val="00351AAB"/>
    <w:rsid w:val="00351BBC"/>
    <w:rsid w:val="00351BBF"/>
    <w:rsid w:val="00351E0E"/>
    <w:rsid w:val="003529E7"/>
    <w:rsid w:val="00352AB5"/>
    <w:rsid w:val="00352D86"/>
    <w:rsid w:val="00353562"/>
    <w:rsid w:val="0035406B"/>
    <w:rsid w:val="00354CC6"/>
    <w:rsid w:val="00354E84"/>
    <w:rsid w:val="00355465"/>
    <w:rsid w:val="00355587"/>
    <w:rsid w:val="003556E5"/>
    <w:rsid w:val="00355A82"/>
    <w:rsid w:val="00355BD3"/>
    <w:rsid w:val="00355FE3"/>
    <w:rsid w:val="003560A2"/>
    <w:rsid w:val="003560C8"/>
    <w:rsid w:val="00356596"/>
    <w:rsid w:val="00356CBB"/>
    <w:rsid w:val="00357031"/>
    <w:rsid w:val="0035720F"/>
    <w:rsid w:val="003576FC"/>
    <w:rsid w:val="0035792B"/>
    <w:rsid w:val="00357BA0"/>
    <w:rsid w:val="00360145"/>
    <w:rsid w:val="0036045C"/>
    <w:rsid w:val="00360BBF"/>
    <w:rsid w:val="00360F53"/>
    <w:rsid w:val="00360FBC"/>
    <w:rsid w:val="00361697"/>
    <w:rsid w:val="00361C04"/>
    <w:rsid w:val="00362522"/>
    <w:rsid w:val="00362B5D"/>
    <w:rsid w:val="00362D3A"/>
    <w:rsid w:val="00362D98"/>
    <w:rsid w:val="00362FE8"/>
    <w:rsid w:val="003630A7"/>
    <w:rsid w:val="00363644"/>
    <w:rsid w:val="00363BC6"/>
    <w:rsid w:val="00363E42"/>
    <w:rsid w:val="003641E4"/>
    <w:rsid w:val="003641F0"/>
    <w:rsid w:val="00364241"/>
    <w:rsid w:val="003642E7"/>
    <w:rsid w:val="00364363"/>
    <w:rsid w:val="003648CA"/>
    <w:rsid w:val="003649FA"/>
    <w:rsid w:val="00364A84"/>
    <w:rsid w:val="00364CDA"/>
    <w:rsid w:val="00364D24"/>
    <w:rsid w:val="00364EA4"/>
    <w:rsid w:val="00365002"/>
    <w:rsid w:val="00365358"/>
    <w:rsid w:val="0036546B"/>
    <w:rsid w:val="00365556"/>
    <w:rsid w:val="00365772"/>
    <w:rsid w:val="003657C6"/>
    <w:rsid w:val="00365A1D"/>
    <w:rsid w:val="00365BE2"/>
    <w:rsid w:val="003661E4"/>
    <w:rsid w:val="0036658E"/>
    <w:rsid w:val="003668F0"/>
    <w:rsid w:val="00366F7F"/>
    <w:rsid w:val="00366FFE"/>
    <w:rsid w:val="003671F7"/>
    <w:rsid w:val="00367246"/>
    <w:rsid w:val="003674FD"/>
    <w:rsid w:val="00367D00"/>
    <w:rsid w:val="00367E09"/>
    <w:rsid w:val="003700CC"/>
    <w:rsid w:val="0037042C"/>
    <w:rsid w:val="00370A02"/>
    <w:rsid w:val="00370A71"/>
    <w:rsid w:val="00370B7A"/>
    <w:rsid w:val="00370DC8"/>
    <w:rsid w:val="00371144"/>
    <w:rsid w:val="003711A7"/>
    <w:rsid w:val="003713B2"/>
    <w:rsid w:val="00371D8F"/>
    <w:rsid w:val="00372052"/>
    <w:rsid w:val="00372140"/>
    <w:rsid w:val="003725E5"/>
    <w:rsid w:val="00372D00"/>
    <w:rsid w:val="00372DF0"/>
    <w:rsid w:val="00372F62"/>
    <w:rsid w:val="003730F8"/>
    <w:rsid w:val="00373538"/>
    <w:rsid w:val="0037377F"/>
    <w:rsid w:val="00373E26"/>
    <w:rsid w:val="00373FE7"/>
    <w:rsid w:val="0037453E"/>
    <w:rsid w:val="0037476E"/>
    <w:rsid w:val="00374C8D"/>
    <w:rsid w:val="00374D04"/>
    <w:rsid w:val="00374DBB"/>
    <w:rsid w:val="00374F36"/>
    <w:rsid w:val="00375217"/>
    <w:rsid w:val="003753D3"/>
    <w:rsid w:val="003754CB"/>
    <w:rsid w:val="00375CDF"/>
    <w:rsid w:val="003765FD"/>
    <w:rsid w:val="003769B4"/>
    <w:rsid w:val="003769EE"/>
    <w:rsid w:val="00376C99"/>
    <w:rsid w:val="00376CAB"/>
    <w:rsid w:val="00376E5D"/>
    <w:rsid w:val="0037713F"/>
    <w:rsid w:val="003771AB"/>
    <w:rsid w:val="0037784C"/>
    <w:rsid w:val="00377E60"/>
    <w:rsid w:val="003802AD"/>
    <w:rsid w:val="00380427"/>
    <w:rsid w:val="003806CD"/>
    <w:rsid w:val="00380AF8"/>
    <w:rsid w:val="00380D66"/>
    <w:rsid w:val="00380DEE"/>
    <w:rsid w:val="00380F27"/>
    <w:rsid w:val="00381195"/>
    <w:rsid w:val="0038293A"/>
    <w:rsid w:val="00382942"/>
    <w:rsid w:val="00382C58"/>
    <w:rsid w:val="0038348D"/>
    <w:rsid w:val="0038363F"/>
    <w:rsid w:val="00383686"/>
    <w:rsid w:val="003836DB"/>
    <w:rsid w:val="003838A8"/>
    <w:rsid w:val="003838AF"/>
    <w:rsid w:val="003839E5"/>
    <w:rsid w:val="00383BB4"/>
    <w:rsid w:val="00383E0D"/>
    <w:rsid w:val="00383E10"/>
    <w:rsid w:val="00383F9C"/>
    <w:rsid w:val="00383FE2"/>
    <w:rsid w:val="003841E9"/>
    <w:rsid w:val="0038502D"/>
    <w:rsid w:val="0038513D"/>
    <w:rsid w:val="003851DD"/>
    <w:rsid w:val="00385207"/>
    <w:rsid w:val="00385551"/>
    <w:rsid w:val="0038557E"/>
    <w:rsid w:val="00385B5F"/>
    <w:rsid w:val="0038624B"/>
    <w:rsid w:val="00386525"/>
    <w:rsid w:val="00386640"/>
    <w:rsid w:val="00386857"/>
    <w:rsid w:val="00386B8E"/>
    <w:rsid w:val="003873BE"/>
    <w:rsid w:val="003873DB"/>
    <w:rsid w:val="00387570"/>
    <w:rsid w:val="0038791E"/>
    <w:rsid w:val="00387ACB"/>
    <w:rsid w:val="00387CED"/>
    <w:rsid w:val="0039015F"/>
    <w:rsid w:val="00390433"/>
    <w:rsid w:val="00390621"/>
    <w:rsid w:val="0039082E"/>
    <w:rsid w:val="00390852"/>
    <w:rsid w:val="00390FB6"/>
    <w:rsid w:val="003911A7"/>
    <w:rsid w:val="00391285"/>
    <w:rsid w:val="003912AB"/>
    <w:rsid w:val="003913A8"/>
    <w:rsid w:val="00391A1F"/>
    <w:rsid w:val="00391B4D"/>
    <w:rsid w:val="00391D07"/>
    <w:rsid w:val="00391DF7"/>
    <w:rsid w:val="00392FC7"/>
    <w:rsid w:val="00393009"/>
    <w:rsid w:val="003933A6"/>
    <w:rsid w:val="003938FF"/>
    <w:rsid w:val="00393922"/>
    <w:rsid w:val="00393BCC"/>
    <w:rsid w:val="003940B7"/>
    <w:rsid w:val="0039459C"/>
    <w:rsid w:val="00394E61"/>
    <w:rsid w:val="0039522D"/>
    <w:rsid w:val="0039523F"/>
    <w:rsid w:val="003953AE"/>
    <w:rsid w:val="00395AFF"/>
    <w:rsid w:val="00395B4B"/>
    <w:rsid w:val="00395BCB"/>
    <w:rsid w:val="00395D54"/>
    <w:rsid w:val="003972C5"/>
    <w:rsid w:val="0039765D"/>
    <w:rsid w:val="00397C4E"/>
    <w:rsid w:val="003A050E"/>
    <w:rsid w:val="003A08BB"/>
    <w:rsid w:val="003A0FA0"/>
    <w:rsid w:val="003A1059"/>
    <w:rsid w:val="003A1167"/>
    <w:rsid w:val="003A139D"/>
    <w:rsid w:val="003A141A"/>
    <w:rsid w:val="003A18B0"/>
    <w:rsid w:val="003A198E"/>
    <w:rsid w:val="003A19AF"/>
    <w:rsid w:val="003A1FD0"/>
    <w:rsid w:val="003A218D"/>
    <w:rsid w:val="003A21C8"/>
    <w:rsid w:val="003A27C6"/>
    <w:rsid w:val="003A29CF"/>
    <w:rsid w:val="003A29F5"/>
    <w:rsid w:val="003A2D0E"/>
    <w:rsid w:val="003A2DB4"/>
    <w:rsid w:val="003A352A"/>
    <w:rsid w:val="003A37FF"/>
    <w:rsid w:val="003A40BA"/>
    <w:rsid w:val="003A4126"/>
    <w:rsid w:val="003A41A7"/>
    <w:rsid w:val="003A4592"/>
    <w:rsid w:val="003A47FD"/>
    <w:rsid w:val="003A49A2"/>
    <w:rsid w:val="003A4ED8"/>
    <w:rsid w:val="003A54ED"/>
    <w:rsid w:val="003A586D"/>
    <w:rsid w:val="003A5936"/>
    <w:rsid w:val="003A5A7D"/>
    <w:rsid w:val="003A5B83"/>
    <w:rsid w:val="003A5EB4"/>
    <w:rsid w:val="003A6066"/>
    <w:rsid w:val="003A624E"/>
    <w:rsid w:val="003A6269"/>
    <w:rsid w:val="003A6352"/>
    <w:rsid w:val="003A6445"/>
    <w:rsid w:val="003A686C"/>
    <w:rsid w:val="003A68B0"/>
    <w:rsid w:val="003A6967"/>
    <w:rsid w:val="003A69DE"/>
    <w:rsid w:val="003A6A40"/>
    <w:rsid w:val="003A6B84"/>
    <w:rsid w:val="003A6BE0"/>
    <w:rsid w:val="003A6D3C"/>
    <w:rsid w:val="003A6F5D"/>
    <w:rsid w:val="003A6FD4"/>
    <w:rsid w:val="003A7309"/>
    <w:rsid w:val="003A7411"/>
    <w:rsid w:val="003A7A9B"/>
    <w:rsid w:val="003A7D61"/>
    <w:rsid w:val="003B043C"/>
    <w:rsid w:val="003B087E"/>
    <w:rsid w:val="003B1053"/>
    <w:rsid w:val="003B10C1"/>
    <w:rsid w:val="003B115A"/>
    <w:rsid w:val="003B15BE"/>
    <w:rsid w:val="003B1672"/>
    <w:rsid w:val="003B16DB"/>
    <w:rsid w:val="003B18F9"/>
    <w:rsid w:val="003B1EE4"/>
    <w:rsid w:val="003B1F70"/>
    <w:rsid w:val="003B2601"/>
    <w:rsid w:val="003B2B43"/>
    <w:rsid w:val="003B2F83"/>
    <w:rsid w:val="003B300F"/>
    <w:rsid w:val="003B3317"/>
    <w:rsid w:val="003B3523"/>
    <w:rsid w:val="003B3D19"/>
    <w:rsid w:val="003B4B7C"/>
    <w:rsid w:val="003B4BC4"/>
    <w:rsid w:val="003B4EE5"/>
    <w:rsid w:val="003B51F1"/>
    <w:rsid w:val="003B52BB"/>
    <w:rsid w:val="003B545C"/>
    <w:rsid w:val="003B603E"/>
    <w:rsid w:val="003B6324"/>
    <w:rsid w:val="003B68D9"/>
    <w:rsid w:val="003B6BD0"/>
    <w:rsid w:val="003B6DD7"/>
    <w:rsid w:val="003B7244"/>
    <w:rsid w:val="003B7507"/>
    <w:rsid w:val="003B75CF"/>
    <w:rsid w:val="003B769B"/>
    <w:rsid w:val="003B7843"/>
    <w:rsid w:val="003B7CCF"/>
    <w:rsid w:val="003B7EAF"/>
    <w:rsid w:val="003C0230"/>
    <w:rsid w:val="003C0730"/>
    <w:rsid w:val="003C0B7C"/>
    <w:rsid w:val="003C1030"/>
    <w:rsid w:val="003C10AA"/>
    <w:rsid w:val="003C15F0"/>
    <w:rsid w:val="003C1A90"/>
    <w:rsid w:val="003C1C7D"/>
    <w:rsid w:val="003C207E"/>
    <w:rsid w:val="003C2550"/>
    <w:rsid w:val="003C28E6"/>
    <w:rsid w:val="003C29FF"/>
    <w:rsid w:val="003C2A1C"/>
    <w:rsid w:val="003C2B14"/>
    <w:rsid w:val="003C2B23"/>
    <w:rsid w:val="003C2CA8"/>
    <w:rsid w:val="003C2DC2"/>
    <w:rsid w:val="003C301D"/>
    <w:rsid w:val="003C314C"/>
    <w:rsid w:val="003C348B"/>
    <w:rsid w:val="003C3659"/>
    <w:rsid w:val="003C3F39"/>
    <w:rsid w:val="003C43FE"/>
    <w:rsid w:val="003C487E"/>
    <w:rsid w:val="003C4B6E"/>
    <w:rsid w:val="003C4D24"/>
    <w:rsid w:val="003C4D56"/>
    <w:rsid w:val="003C4F41"/>
    <w:rsid w:val="003C525C"/>
    <w:rsid w:val="003C5764"/>
    <w:rsid w:val="003C60E2"/>
    <w:rsid w:val="003C6315"/>
    <w:rsid w:val="003C651E"/>
    <w:rsid w:val="003C6964"/>
    <w:rsid w:val="003C6B89"/>
    <w:rsid w:val="003C737E"/>
    <w:rsid w:val="003C7459"/>
    <w:rsid w:val="003C7593"/>
    <w:rsid w:val="003C7702"/>
    <w:rsid w:val="003C7C41"/>
    <w:rsid w:val="003C7EC6"/>
    <w:rsid w:val="003C7FC4"/>
    <w:rsid w:val="003D0270"/>
    <w:rsid w:val="003D02F9"/>
    <w:rsid w:val="003D05DF"/>
    <w:rsid w:val="003D0DAE"/>
    <w:rsid w:val="003D1419"/>
    <w:rsid w:val="003D14C1"/>
    <w:rsid w:val="003D1F7D"/>
    <w:rsid w:val="003D2406"/>
    <w:rsid w:val="003D26BC"/>
    <w:rsid w:val="003D28D9"/>
    <w:rsid w:val="003D2954"/>
    <w:rsid w:val="003D2C75"/>
    <w:rsid w:val="003D3099"/>
    <w:rsid w:val="003D34F0"/>
    <w:rsid w:val="003D372A"/>
    <w:rsid w:val="003D3C68"/>
    <w:rsid w:val="003D40C4"/>
    <w:rsid w:val="003D42AD"/>
    <w:rsid w:val="003D436E"/>
    <w:rsid w:val="003D4635"/>
    <w:rsid w:val="003D48D1"/>
    <w:rsid w:val="003D500D"/>
    <w:rsid w:val="003D518D"/>
    <w:rsid w:val="003D5590"/>
    <w:rsid w:val="003D575B"/>
    <w:rsid w:val="003D5C46"/>
    <w:rsid w:val="003D5DBB"/>
    <w:rsid w:val="003D600B"/>
    <w:rsid w:val="003D66FF"/>
    <w:rsid w:val="003D7007"/>
    <w:rsid w:val="003D735E"/>
    <w:rsid w:val="003D73C2"/>
    <w:rsid w:val="003D75F3"/>
    <w:rsid w:val="003D76B0"/>
    <w:rsid w:val="003D7BBC"/>
    <w:rsid w:val="003D7C11"/>
    <w:rsid w:val="003E074D"/>
    <w:rsid w:val="003E08DE"/>
    <w:rsid w:val="003E0AD3"/>
    <w:rsid w:val="003E0F45"/>
    <w:rsid w:val="003E134B"/>
    <w:rsid w:val="003E17F2"/>
    <w:rsid w:val="003E2116"/>
    <w:rsid w:val="003E21FD"/>
    <w:rsid w:val="003E284C"/>
    <w:rsid w:val="003E2B23"/>
    <w:rsid w:val="003E2ED5"/>
    <w:rsid w:val="003E3069"/>
    <w:rsid w:val="003E3785"/>
    <w:rsid w:val="003E3CE1"/>
    <w:rsid w:val="003E3D0C"/>
    <w:rsid w:val="003E3FB8"/>
    <w:rsid w:val="003E43C0"/>
    <w:rsid w:val="003E4A2B"/>
    <w:rsid w:val="003E4FBE"/>
    <w:rsid w:val="003E5230"/>
    <w:rsid w:val="003E534E"/>
    <w:rsid w:val="003E595E"/>
    <w:rsid w:val="003E5965"/>
    <w:rsid w:val="003E5C19"/>
    <w:rsid w:val="003E5FA1"/>
    <w:rsid w:val="003E5FB8"/>
    <w:rsid w:val="003E600A"/>
    <w:rsid w:val="003E61B0"/>
    <w:rsid w:val="003E6779"/>
    <w:rsid w:val="003E680F"/>
    <w:rsid w:val="003E7086"/>
    <w:rsid w:val="003E7492"/>
    <w:rsid w:val="003E74CC"/>
    <w:rsid w:val="003E74E3"/>
    <w:rsid w:val="003E7626"/>
    <w:rsid w:val="003E777B"/>
    <w:rsid w:val="003E7988"/>
    <w:rsid w:val="003E7A40"/>
    <w:rsid w:val="003E7EF1"/>
    <w:rsid w:val="003F003C"/>
    <w:rsid w:val="003F0071"/>
    <w:rsid w:val="003F0379"/>
    <w:rsid w:val="003F03C3"/>
    <w:rsid w:val="003F0A4F"/>
    <w:rsid w:val="003F1196"/>
    <w:rsid w:val="003F15FB"/>
    <w:rsid w:val="003F1668"/>
    <w:rsid w:val="003F1809"/>
    <w:rsid w:val="003F1830"/>
    <w:rsid w:val="003F1966"/>
    <w:rsid w:val="003F1A0E"/>
    <w:rsid w:val="003F1B2D"/>
    <w:rsid w:val="003F2033"/>
    <w:rsid w:val="003F2536"/>
    <w:rsid w:val="003F265C"/>
    <w:rsid w:val="003F2B96"/>
    <w:rsid w:val="003F2CCF"/>
    <w:rsid w:val="003F2DE2"/>
    <w:rsid w:val="003F3280"/>
    <w:rsid w:val="003F3554"/>
    <w:rsid w:val="003F364A"/>
    <w:rsid w:val="003F3BC9"/>
    <w:rsid w:val="003F3C0A"/>
    <w:rsid w:val="003F3F5E"/>
    <w:rsid w:val="003F3FAA"/>
    <w:rsid w:val="003F432B"/>
    <w:rsid w:val="003F4433"/>
    <w:rsid w:val="003F4649"/>
    <w:rsid w:val="003F4A15"/>
    <w:rsid w:val="003F519D"/>
    <w:rsid w:val="003F5F52"/>
    <w:rsid w:val="003F62AA"/>
    <w:rsid w:val="003F65F0"/>
    <w:rsid w:val="003F67A7"/>
    <w:rsid w:val="003F6F92"/>
    <w:rsid w:val="003F728C"/>
    <w:rsid w:val="003F7917"/>
    <w:rsid w:val="003F7CFC"/>
    <w:rsid w:val="003F7E4E"/>
    <w:rsid w:val="003F7EA1"/>
    <w:rsid w:val="0040084C"/>
    <w:rsid w:val="00400959"/>
    <w:rsid w:val="004012C5"/>
    <w:rsid w:val="00401A62"/>
    <w:rsid w:val="00401B0E"/>
    <w:rsid w:val="00402073"/>
    <w:rsid w:val="004024D4"/>
    <w:rsid w:val="00402BF2"/>
    <w:rsid w:val="00402E44"/>
    <w:rsid w:val="00402FF7"/>
    <w:rsid w:val="00403162"/>
    <w:rsid w:val="00403489"/>
    <w:rsid w:val="00403621"/>
    <w:rsid w:val="004036CA"/>
    <w:rsid w:val="00403A79"/>
    <w:rsid w:val="00403EED"/>
    <w:rsid w:val="00403FCE"/>
    <w:rsid w:val="00404535"/>
    <w:rsid w:val="00404575"/>
    <w:rsid w:val="00404E58"/>
    <w:rsid w:val="00405A68"/>
    <w:rsid w:val="00405B88"/>
    <w:rsid w:val="00405BD8"/>
    <w:rsid w:val="0040636D"/>
    <w:rsid w:val="004063BA"/>
    <w:rsid w:val="004067FC"/>
    <w:rsid w:val="00406C11"/>
    <w:rsid w:val="004070D0"/>
    <w:rsid w:val="004070E3"/>
    <w:rsid w:val="004072FF"/>
    <w:rsid w:val="0040790E"/>
    <w:rsid w:val="00407918"/>
    <w:rsid w:val="00410051"/>
    <w:rsid w:val="0041030E"/>
    <w:rsid w:val="00410310"/>
    <w:rsid w:val="00410454"/>
    <w:rsid w:val="0041049D"/>
    <w:rsid w:val="00410537"/>
    <w:rsid w:val="004105BA"/>
    <w:rsid w:val="00410612"/>
    <w:rsid w:val="00410751"/>
    <w:rsid w:val="00410B60"/>
    <w:rsid w:val="00410E52"/>
    <w:rsid w:val="00410F96"/>
    <w:rsid w:val="00411126"/>
    <w:rsid w:val="0041136C"/>
    <w:rsid w:val="0041162A"/>
    <w:rsid w:val="00411EA9"/>
    <w:rsid w:val="0041204C"/>
    <w:rsid w:val="004123D8"/>
    <w:rsid w:val="004124A4"/>
    <w:rsid w:val="00412998"/>
    <w:rsid w:val="004129DE"/>
    <w:rsid w:val="00412E14"/>
    <w:rsid w:val="00413516"/>
    <w:rsid w:val="004135A7"/>
    <w:rsid w:val="0041379D"/>
    <w:rsid w:val="00413826"/>
    <w:rsid w:val="00413A14"/>
    <w:rsid w:val="00413A65"/>
    <w:rsid w:val="00413D4D"/>
    <w:rsid w:val="00413E70"/>
    <w:rsid w:val="00413E96"/>
    <w:rsid w:val="00413F6F"/>
    <w:rsid w:val="004140CB"/>
    <w:rsid w:val="0041438F"/>
    <w:rsid w:val="004143A0"/>
    <w:rsid w:val="004145E7"/>
    <w:rsid w:val="00414A46"/>
    <w:rsid w:val="00414D11"/>
    <w:rsid w:val="0041518D"/>
    <w:rsid w:val="004154D3"/>
    <w:rsid w:val="004154D4"/>
    <w:rsid w:val="004154E2"/>
    <w:rsid w:val="0041591E"/>
    <w:rsid w:val="00415C6A"/>
    <w:rsid w:val="00415F8E"/>
    <w:rsid w:val="00416280"/>
    <w:rsid w:val="00416453"/>
    <w:rsid w:val="00416CF4"/>
    <w:rsid w:val="00417320"/>
    <w:rsid w:val="00417450"/>
    <w:rsid w:val="004205DF"/>
    <w:rsid w:val="00420B40"/>
    <w:rsid w:val="00421428"/>
    <w:rsid w:val="0042185C"/>
    <w:rsid w:val="00421945"/>
    <w:rsid w:val="0042203E"/>
    <w:rsid w:val="004220F7"/>
    <w:rsid w:val="004222A8"/>
    <w:rsid w:val="0042230A"/>
    <w:rsid w:val="00422821"/>
    <w:rsid w:val="00422A68"/>
    <w:rsid w:val="00422B28"/>
    <w:rsid w:val="00422E0D"/>
    <w:rsid w:val="00422F2A"/>
    <w:rsid w:val="0042356A"/>
    <w:rsid w:val="00423A8E"/>
    <w:rsid w:val="00423CC8"/>
    <w:rsid w:val="00423E7A"/>
    <w:rsid w:val="00424269"/>
    <w:rsid w:val="00424576"/>
    <w:rsid w:val="00425AF5"/>
    <w:rsid w:val="00425B87"/>
    <w:rsid w:val="00425D60"/>
    <w:rsid w:val="0042616B"/>
    <w:rsid w:val="00426388"/>
    <w:rsid w:val="0042639E"/>
    <w:rsid w:val="004267C5"/>
    <w:rsid w:val="00426832"/>
    <w:rsid w:val="00426907"/>
    <w:rsid w:val="00426C1D"/>
    <w:rsid w:val="004278B4"/>
    <w:rsid w:val="00427B57"/>
    <w:rsid w:val="00427C62"/>
    <w:rsid w:val="004302DF"/>
    <w:rsid w:val="004309CE"/>
    <w:rsid w:val="004313F4"/>
    <w:rsid w:val="004318C4"/>
    <w:rsid w:val="00431928"/>
    <w:rsid w:val="00431D70"/>
    <w:rsid w:val="00431EEA"/>
    <w:rsid w:val="00431FE2"/>
    <w:rsid w:val="004326AC"/>
    <w:rsid w:val="00432770"/>
    <w:rsid w:val="00432BB3"/>
    <w:rsid w:val="00432D2B"/>
    <w:rsid w:val="00432F8B"/>
    <w:rsid w:val="004331B2"/>
    <w:rsid w:val="00433298"/>
    <w:rsid w:val="00433440"/>
    <w:rsid w:val="00433465"/>
    <w:rsid w:val="00433836"/>
    <w:rsid w:val="004339C0"/>
    <w:rsid w:val="00433C4F"/>
    <w:rsid w:val="00433D91"/>
    <w:rsid w:val="00433F2E"/>
    <w:rsid w:val="0043439B"/>
    <w:rsid w:val="0043451F"/>
    <w:rsid w:val="0043452C"/>
    <w:rsid w:val="004345AC"/>
    <w:rsid w:val="0043466A"/>
    <w:rsid w:val="00434908"/>
    <w:rsid w:val="0043494D"/>
    <w:rsid w:val="0043622C"/>
    <w:rsid w:val="004365A7"/>
    <w:rsid w:val="0043694E"/>
    <w:rsid w:val="00436CA5"/>
    <w:rsid w:val="00436DE5"/>
    <w:rsid w:val="00437499"/>
    <w:rsid w:val="0043786A"/>
    <w:rsid w:val="00437ACF"/>
    <w:rsid w:val="00437C0E"/>
    <w:rsid w:val="004408E1"/>
    <w:rsid w:val="00440C27"/>
    <w:rsid w:val="00441238"/>
    <w:rsid w:val="0044145A"/>
    <w:rsid w:val="0044157B"/>
    <w:rsid w:val="00441938"/>
    <w:rsid w:val="00441E1C"/>
    <w:rsid w:val="004420A4"/>
    <w:rsid w:val="004420F1"/>
    <w:rsid w:val="004423BD"/>
    <w:rsid w:val="004428C6"/>
    <w:rsid w:val="00442C6E"/>
    <w:rsid w:val="00442E91"/>
    <w:rsid w:val="0044301C"/>
    <w:rsid w:val="004430E1"/>
    <w:rsid w:val="004431A1"/>
    <w:rsid w:val="0044330F"/>
    <w:rsid w:val="0044356A"/>
    <w:rsid w:val="004436BF"/>
    <w:rsid w:val="004438B4"/>
    <w:rsid w:val="00444050"/>
    <w:rsid w:val="004443A8"/>
    <w:rsid w:val="00444B1F"/>
    <w:rsid w:val="00444BE0"/>
    <w:rsid w:val="00444C19"/>
    <w:rsid w:val="00444FE6"/>
    <w:rsid w:val="00445146"/>
    <w:rsid w:val="004451ED"/>
    <w:rsid w:val="004452CD"/>
    <w:rsid w:val="0044535C"/>
    <w:rsid w:val="0044550F"/>
    <w:rsid w:val="004455B7"/>
    <w:rsid w:val="004457F7"/>
    <w:rsid w:val="0044647E"/>
    <w:rsid w:val="004464CF"/>
    <w:rsid w:val="00446719"/>
    <w:rsid w:val="00446C31"/>
    <w:rsid w:val="00446D25"/>
    <w:rsid w:val="00446DC9"/>
    <w:rsid w:val="00447C75"/>
    <w:rsid w:val="0045036A"/>
    <w:rsid w:val="0045051C"/>
    <w:rsid w:val="004506A1"/>
    <w:rsid w:val="0045129D"/>
    <w:rsid w:val="004512CF"/>
    <w:rsid w:val="00451427"/>
    <w:rsid w:val="004515B8"/>
    <w:rsid w:val="0045194F"/>
    <w:rsid w:val="00451A44"/>
    <w:rsid w:val="004522F7"/>
    <w:rsid w:val="00452524"/>
    <w:rsid w:val="004528AA"/>
    <w:rsid w:val="004529D0"/>
    <w:rsid w:val="00452C64"/>
    <w:rsid w:val="00452D19"/>
    <w:rsid w:val="00453125"/>
    <w:rsid w:val="00453D4E"/>
    <w:rsid w:val="00454147"/>
    <w:rsid w:val="0045421F"/>
    <w:rsid w:val="00454274"/>
    <w:rsid w:val="00454BE2"/>
    <w:rsid w:val="00454E2D"/>
    <w:rsid w:val="004551CC"/>
    <w:rsid w:val="00455596"/>
    <w:rsid w:val="0045589B"/>
    <w:rsid w:val="00455A94"/>
    <w:rsid w:val="004561B4"/>
    <w:rsid w:val="00456222"/>
    <w:rsid w:val="0045626A"/>
    <w:rsid w:val="00456FF3"/>
    <w:rsid w:val="00457028"/>
    <w:rsid w:val="00457140"/>
    <w:rsid w:val="004573CA"/>
    <w:rsid w:val="00457BF3"/>
    <w:rsid w:val="004600D1"/>
    <w:rsid w:val="004600EF"/>
    <w:rsid w:val="00460217"/>
    <w:rsid w:val="00460643"/>
    <w:rsid w:val="00460845"/>
    <w:rsid w:val="00460D20"/>
    <w:rsid w:val="00460D62"/>
    <w:rsid w:val="00460F53"/>
    <w:rsid w:val="00461081"/>
    <w:rsid w:val="00461AE3"/>
    <w:rsid w:val="00461CBF"/>
    <w:rsid w:val="00461F5C"/>
    <w:rsid w:val="00462228"/>
    <w:rsid w:val="0046241E"/>
    <w:rsid w:val="00462577"/>
    <w:rsid w:val="00462D0D"/>
    <w:rsid w:val="00462F65"/>
    <w:rsid w:val="0046319B"/>
    <w:rsid w:val="00463647"/>
    <w:rsid w:val="00463BBF"/>
    <w:rsid w:val="00463CFB"/>
    <w:rsid w:val="00463DE7"/>
    <w:rsid w:val="00464071"/>
    <w:rsid w:val="0046479C"/>
    <w:rsid w:val="00464925"/>
    <w:rsid w:val="00464BAB"/>
    <w:rsid w:val="0046503F"/>
    <w:rsid w:val="00465258"/>
    <w:rsid w:val="00465388"/>
    <w:rsid w:val="00465390"/>
    <w:rsid w:val="004655A2"/>
    <w:rsid w:val="00466079"/>
    <w:rsid w:val="00466198"/>
    <w:rsid w:val="004666E4"/>
    <w:rsid w:val="00466A74"/>
    <w:rsid w:val="00466D44"/>
    <w:rsid w:val="00466DF0"/>
    <w:rsid w:val="004671F6"/>
    <w:rsid w:val="004677A6"/>
    <w:rsid w:val="00467BBA"/>
    <w:rsid w:val="004700CD"/>
    <w:rsid w:val="00470C9A"/>
    <w:rsid w:val="00471633"/>
    <w:rsid w:val="004717B7"/>
    <w:rsid w:val="00471B14"/>
    <w:rsid w:val="00471B38"/>
    <w:rsid w:val="00471E26"/>
    <w:rsid w:val="0047203C"/>
    <w:rsid w:val="00472080"/>
    <w:rsid w:val="004720F7"/>
    <w:rsid w:val="004723D9"/>
    <w:rsid w:val="004724A3"/>
    <w:rsid w:val="004726A4"/>
    <w:rsid w:val="0047271C"/>
    <w:rsid w:val="004728D3"/>
    <w:rsid w:val="00473D56"/>
    <w:rsid w:val="004742BE"/>
    <w:rsid w:val="00474BEB"/>
    <w:rsid w:val="00474F24"/>
    <w:rsid w:val="00474F81"/>
    <w:rsid w:val="00475060"/>
    <w:rsid w:val="004752EA"/>
    <w:rsid w:val="004753A2"/>
    <w:rsid w:val="004753FC"/>
    <w:rsid w:val="00475975"/>
    <w:rsid w:val="00475E87"/>
    <w:rsid w:val="00476039"/>
    <w:rsid w:val="004764F9"/>
    <w:rsid w:val="00476A80"/>
    <w:rsid w:val="00476BCB"/>
    <w:rsid w:val="00476D39"/>
    <w:rsid w:val="00476ECD"/>
    <w:rsid w:val="00477AFD"/>
    <w:rsid w:val="00477CA3"/>
    <w:rsid w:val="00480333"/>
    <w:rsid w:val="0048080D"/>
    <w:rsid w:val="004809F1"/>
    <w:rsid w:val="00480F5F"/>
    <w:rsid w:val="0048109E"/>
    <w:rsid w:val="0048151F"/>
    <w:rsid w:val="0048185E"/>
    <w:rsid w:val="00481DD3"/>
    <w:rsid w:val="00482469"/>
    <w:rsid w:val="004829ED"/>
    <w:rsid w:val="004830EE"/>
    <w:rsid w:val="004834C6"/>
    <w:rsid w:val="00483C88"/>
    <w:rsid w:val="00483FC9"/>
    <w:rsid w:val="004844F3"/>
    <w:rsid w:val="00484622"/>
    <w:rsid w:val="00484A36"/>
    <w:rsid w:val="00484A90"/>
    <w:rsid w:val="00484B0C"/>
    <w:rsid w:val="00484B3C"/>
    <w:rsid w:val="00484B7E"/>
    <w:rsid w:val="00484D9B"/>
    <w:rsid w:val="00485633"/>
    <w:rsid w:val="00485A71"/>
    <w:rsid w:val="00485EDA"/>
    <w:rsid w:val="00485F83"/>
    <w:rsid w:val="00485FEC"/>
    <w:rsid w:val="004861DC"/>
    <w:rsid w:val="0048662E"/>
    <w:rsid w:val="004866EF"/>
    <w:rsid w:val="00486944"/>
    <w:rsid w:val="00486A9D"/>
    <w:rsid w:val="0048752E"/>
    <w:rsid w:val="0048768C"/>
    <w:rsid w:val="00487D64"/>
    <w:rsid w:val="00487E7F"/>
    <w:rsid w:val="00487EBC"/>
    <w:rsid w:val="00490008"/>
    <w:rsid w:val="004900FF"/>
    <w:rsid w:val="004901A1"/>
    <w:rsid w:val="004904E5"/>
    <w:rsid w:val="00490508"/>
    <w:rsid w:val="00491136"/>
    <w:rsid w:val="0049155F"/>
    <w:rsid w:val="0049166C"/>
    <w:rsid w:val="004924B9"/>
    <w:rsid w:val="00492586"/>
    <w:rsid w:val="004927F6"/>
    <w:rsid w:val="0049297A"/>
    <w:rsid w:val="00493A78"/>
    <w:rsid w:val="00493CA6"/>
    <w:rsid w:val="0049498C"/>
    <w:rsid w:val="00494F04"/>
    <w:rsid w:val="00495224"/>
    <w:rsid w:val="004953CB"/>
    <w:rsid w:val="004956ED"/>
    <w:rsid w:val="004957DB"/>
    <w:rsid w:val="00495845"/>
    <w:rsid w:val="00495EB2"/>
    <w:rsid w:val="00495EFF"/>
    <w:rsid w:val="00495FB3"/>
    <w:rsid w:val="0049614C"/>
    <w:rsid w:val="004964F7"/>
    <w:rsid w:val="00496697"/>
    <w:rsid w:val="0049674C"/>
    <w:rsid w:val="00496BF5"/>
    <w:rsid w:val="00496DEF"/>
    <w:rsid w:val="0049708B"/>
    <w:rsid w:val="0049796C"/>
    <w:rsid w:val="00497AEA"/>
    <w:rsid w:val="00497B7E"/>
    <w:rsid w:val="004A0088"/>
    <w:rsid w:val="004A00B7"/>
    <w:rsid w:val="004A00D9"/>
    <w:rsid w:val="004A05CE"/>
    <w:rsid w:val="004A0F1C"/>
    <w:rsid w:val="004A0F5A"/>
    <w:rsid w:val="004A1029"/>
    <w:rsid w:val="004A16E2"/>
    <w:rsid w:val="004A1827"/>
    <w:rsid w:val="004A1C6E"/>
    <w:rsid w:val="004A1F2C"/>
    <w:rsid w:val="004A1FB1"/>
    <w:rsid w:val="004A2494"/>
    <w:rsid w:val="004A25F8"/>
    <w:rsid w:val="004A26B2"/>
    <w:rsid w:val="004A28BE"/>
    <w:rsid w:val="004A3427"/>
    <w:rsid w:val="004A3820"/>
    <w:rsid w:val="004A385C"/>
    <w:rsid w:val="004A3A97"/>
    <w:rsid w:val="004A3AE1"/>
    <w:rsid w:val="004A3F53"/>
    <w:rsid w:val="004A40BB"/>
    <w:rsid w:val="004A4CBA"/>
    <w:rsid w:val="004A4DF3"/>
    <w:rsid w:val="004A5087"/>
    <w:rsid w:val="004A5438"/>
    <w:rsid w:val="004A5693"/>
    <w:rsid w:val="004A5803"/>
    <w:rsid w:val="004A58ED"/>
    <w:rsid w:val="004A5945"/>
    <w:rsid w:val="004A641A"/>
    <w:rsid w:val="004A64A4"/>
    <w:rsid w:val="004A6659"/>
    <w:rsid w:val="004A6C80"/>
    <w:rsid w:val="004A730E"/>
    <w:rsid w:val="004A7499"/>
    <w:rsid w:val="004A76B5"/>
    <w:rsid w:val="004A7C53"/>
    <w:rsid w:val="004A7DB8"/>
    <w:rsid w:val="004A7FF7"/>
    <w:rsid w:val="004B0B0E"/>
    <w:rsid w:val="004B0D50"/>
    <w:rsid w:val="004B1838"/>
    <w:rsid w:val="004B1B71"/>
    <w:rsid w:val="004B1CDE"/>
    <w:rsid w:val="004B2213"/>
    <w:rsid w:val="004B2A9A"/>
    <w:rsid w:val="004B2FBF"/>
    <w:rsid w:val="004B3494"/>
    <w:rsid w:val="004B35BF"/>
    <w:rsid w:val="004B35CB"/>
    <w:rsid w:val="004B3B28"/>
    <w:rsid w:val="004B421C"/>
    <w:rsid w:val="004B42D4"/>
    <w:rsid w:val="004B4432"/>
    <w:rsid w:val="004B4470"/>
    <w:rsid w:val="004B4877"/>
    <w:rsid w:val="004B493C"/>
    <w:rsid w:val="004B49F8"/>
    <w:rsid w:val="004B4E9A"/>
    <w:rsid w:val="004B5002"/>
    <w:rsid w:val="004B539A"/>
    <w:rsid w:val="004B5D57"/>
    <w:rsid w:val="004B6356"/>
    <w:rsid w:val="004B640E"/>
    <w:rsid w:val="004B647D"/>
    <w:rsid w:val="004B683F"/>
    <w:rsid w:val="004B692F"/>
    <w:rsid w:val="004B788D"/>
    <w:rsid w:val="004B7A17"/>
    <w:rsid w:val="004B7BA9"/>
    <w:rsid w:val="004B7D03"/>
    <w:rsid w:val="004C03A8"/>
    <w:rsid w:val="004C0888"/>
    <w:rsid w:val="004C0A06"/>
    <w:rsid w:val="004C0AF2"/>
    <w:rsid w:val="004C0E12"/>
    <w:rsid w:val="004C0F08"/>
    <w:rsid w:val="004C1179"/>
    <w:rsid w:val="004C154D"/>
    <w:rsid w:val="004C1DEA"/>
    <w:rsid w:val="004C243E"/>
    <w:rsid w:val="004C2664"/>
    <w:rsid w:val="004C2833"/>
    <w:rsid w:val="004C28FA"/>
    <w:rsid w:val="004C29B2"/>
    <w:rsid w:val="004C2BC9"/>
    <w:rsid w:val="004C2F62"/>
    <w:rsid w:val="004C31C0"/>
    <w:rsid w:val="004C38D2"/>
    <w:rsid w:val="004C3B1C"/>
    <w:rsid w:val="004C3C41"/>
    <w:rsid w:val="004C3CD0"/>
    <w:rsid w:val="004C3CD4"/>
    <w:rsid w:val="004C3F85"/>
    <w:rsid w:val="004C4152"/>
    <w:rsid w:val="004C4275"/>
    <w:rsid w:val="004C4465"/>
    <w:rsid w:val="004C460A"/>
    <w:rsid w:val="004C4680"/>
    <w:rsid w:val="004C48A0"/>
    <w:rsid w:val="004C492E"/>
    <w:rsid w:val="004C4ADD"/>
    <w:rsid w:val="004C4BED"/>
    <w:rsid w:val="004C50E8"/>
    <w:rsid w:val="004C52EE"/>
    <w:rsid w:val="004C54BC"/>
    <w:rsid w:val="004C5CD1"/>
    <w:rsid w:val="004C5CE4"/>
    <w:rsid w:val="004C6151"/>
    <w:rsid w:val="004C617D"/>
    <w:rsid w:val="004C6229"/>
    <w:rsid w:val="004C64E9"/>
    <w:rsid w:val="004C6589"/>
    <w:rsid w:val="004C66C4"/>
    <w:rsid w:val="004C6741"/>
    <w:rsid w:val="004C6D68"/>
    <w:rsid w:val="004C6FE3"/>
    <w:rsid w:val="004C7488"/>
    <w:rsid w:val="004C749B"/>
    <w:rsid w:val="004C7ABB"/>
    <w:rsid w:val="004C7DB8"/>
    <w:rsid w:val="004CBB9B"/>
    <w:rsid w:val="004D02AA"/>
    <w:rsid w:val="004D08EC"/>
    <w:rsid w:val="004D0E01"/>
    <w:rsid w:val="004D0F54"/>
    <w:rsid w:val="004D16A9"/>
    <w:rsid w:val="004D1A52"/>
    <w:rsid w:val="004D1D52"/>
    <w:rsid w:val="004D203F"/>
    <w:rsid w:val="004D2090"/>
    <w:rsid w:val="004D255B"/>
    <w:rsid w:val="004D2D09"/>
    <w:rsid w:val="004D31BD"/>
    <w:rsid w:val="004D3353"/>
    <w:rsid w:val="004D3447"/>
    <w:rsid w:val="004D3C15"/>
    <w:rsid w:val="004D3CD6"/>
    <w:rsid w:val="004D3F8D"/>
    <w:rsid w:val="004D41CD"/>
    <w:rsid w:val="004D4649"/>
    <w:rsid w:val="004D4ABD"/>
    <w:rsid w:val="004D50F1"/>
    <w:rsid w:val="004D597E"/>
    <w:rsid w:val="004D6050"/>
    <w:rsid w:val="004D6112"/>
    <w:rsid w:val="004D66DE"/>
    <w:rsid w:val="004D687D"/>
    <w:rsid w:val="004D6B9C"/>
    <w:rsid w:val="004D6CF4"/>
    <w:rsid w:val="004D7136"/>
    <w:rsid w:val="004D7536"/>
    <w:rsid w:val="004E0170"/>
    <w:rsid w:val="004E0A93"/>
    <w:rsid w:val="004E0AEF"/>
    <w:rsid w:val="004E0C8E"/>
    <w:rsid w:val="004E0D79"/>
    <w:rsid w:val="004E0E0B"/>
    <w:rsid w:val="004E0EC8"/>
    <w:rsid w:val="004E1227"/>
    <w:rsid w:val="004E1384"/>
    <w:rsid w:val="004E20BB"/>
    <w:rsid w:val="004E2427"/>
    <w:rsid w:val="004E2550"/>
    <w:rsid w:val="004E2D6C"/>
    <w:rsid w:val="004E2E2C"/>
    <w:rsid w:val="004E31B7"/>
    <w:rsid w:val="004E32F7"/>
    <w:rsid w:val="004E397A"/>
    <w:rsid w:val="004E3A7A"/>
    <w:rsid w:val="004E3AFE"/>
    <w:rsid w:val="004E421F"/>
    <w:rsid w:val="004E4BE5"/>
    <w:rsid w:val="004E4F3D"/>
    <w:rsid w:val="004E4F77"/>
    <w:rsid w:val="004E50F3"/>
    <w:rsid w:val="004E5140"/>
    <w:rsid w:val="004E5A66"/>
    <w:rsid w:val="004E5C27"/>
    <w:rsid w:val="004E5C28"/>
    <w:rsid w:val="004E6261"/>
    <w:rsid w:val="004E62F4"/>
    <w:rsid w:val="004E6524"/>
    <w:rsid w:val="004E66BF"/>
    <w:rsid w:val="004E6B6B"/>
    <w:rsid w:val="004E6C8E"/>
    <w:rsid w:val="004E6DCE"/>
    <w:rsid w:val="004E6EB2"/>
    <w:rsid w:val="004E6F9C"/>
    <w:rsid w:val="004E73E4"/>
    <w:rsid w:val="004E7711"/>
    <w:rsid w:val="004E7799"/>
    <w:rsid w:val="004F0153"/>
    <w:rsid w:val="004F0545"/>
    <w:rsid w:val="004F0683"/>
    <w:rsid w:val="004F099E"/>
    <w:rsid w:val="004F0D75"/>
    <w:rsid w:val="004F0ECA"/>
    <w:rsid w:val="004F14A1"/>
    <w:rsid w:val="004F15A6"/>
    <w:rsid w:val="004F1872"/>
    <w:rsid w:val="004F1B93"/>
    <w:rsid w:val="004F1DC0"/>
    <w:rsid w:val="004F2219"/>
    <w:rsid w:val="004F2443"/>
    <w:rsid w:val="004F26A6"/>
    <w:rsid w:val="004F26E3"/>
    <w:rsid w:val="004F32B2"/>
    <w:rsid w:val="004F32DB"/>
    <w:rsid w:val="004F351A"/>
    <w:rsid w:val="004F3677"/>
    <w:rsid w:val="004F3A22"/>
    <w:rsid w:val="004F3CBD"/>
    <w:rsid w:val="004F3D8B"/>
    <w:rsid w:val="004F4332"/>
    <w:rsid w:val="004F44A2"/>
    <w:rsid w:val="004F459E"/>
    <w:rsid w:val="004F46D3"/>
    <w:rsid w:val="004F506D"/>
    <w:rsid w:val="004F5469"/>
    <w:rsid w:val="004F5866"/>
    <w:rsid w:val="004F596E"/>
    <w:rsid w:val="004F59BE"/>
    <w:rsid w:val="004F5BE5"/>
    <w:rsid w:val="004F60B9"/>
    <w:rsid w:val="004F63F8"/>
    <w:rsid w:val="004F678C"/>
    <w:rsid w:val="004F69A3"/>
    <w:rsid w:val="004F7205"/>
    <w:rsid w:val="004F724C"/>
    <w:rsid w:val="004F76B9"/>
    <w:rsid w:val="004F7B42"/>
    <w:rsid w:val="004F7BF2"/>
    <w:rsid w:val="004F7CC5"/>
    <w:rsid w:val="0050036B"/>
    <w:rsid w:val="00500618"/>
    <w:rsid w:val="00500794"/>
    <w:rsid w:val="005010D8"/>
    <w:rsid w:val="0050139A"/>
    <w:rsid w:val="0050153F"/>
    <w:rsid w:val="005017F1"/>
    <w:rsid w:val="00501B63"/>
    <w:rsid w:val="00501B65"/>
    <w:rsid w:val="00501D8B"/>
    <w:rsid w:val="005020D0"/>
    <w:rsid w:val="00502282"/>
    <w:rsid w:val="005029F8"/>
    <w:rsid w:val="00502BF4"/>
    <w:rsid w:val="005036DA"/>
    <w:rsid w:val="00503A48"/>
    <w:rsid w:val="00503D75"/>
    <w:rsid w:val="00503E0F"/>
    <w:rsid w:val="005045C8"/>
    <w:rsid w:val="005048A3"/>
    <w:rsid w:val="005051E4"/>
    <w:rsid w:val="00505808"/>
    <w:rsid w:val="00505E4E"/>
    <w:rsid w:val="00506145"/>
    <w:rsid w:val="005067DE"/>
    <w:rsid w:val="00506807"/>
    <w:rsid w:val="00506C7F"/>
    <w:rsid w:val="00506D7B"/>
    <w:rsid w:val="005079BB"/>
    <w:rsid w:val="00507F2D"/>
    <w:rsid w:val="00510259"/>
    <w:rsid w:val="0051039C"/>
    <w:rsid w:val="00510552"/>
    <w:rsid w:val="00510704"/>
    <w:rsid w:val="005108B9"/>
    <w:rsid w:val="0051092E"/>
    <w:rsid w:val="00510A2C"/>
    <w:rsid w:val="00510C1F"/>
    <w:rsid w:val="00510C36"/>
    <w:rsid w:val="005113E7"/>
    <w:rsid w:val="00511F25"/>
    <w:rsid w:val="005123F9"/>
    <w:rsid w:val="00512490"/>
    <w:rsid w:val="00512C6E"/>
    <w:rsid w:val="00513317"/>
    <w:rsid w:val="00513B84"/>
    <w:rsid w:val="00513C2B"/>
    <w:rsid w:val="005141BF"/>
    <w:rsid w:val="0051421A"/>
    <w:rsid w:val="00514643"/>
    <w:rsid w:val="005148AB"/>
    <w:rsid w:val="00514F9A"/>
    <w:rsid w:val="0051542B"/>
    <w:rsid w:val="00515431"/>
    <w:rsid w:val="00515768"/>
    <w:rsid w:val="0051583B"/>
    <w:rsid w:val="00515E03"/>
    <w:rsid w:val="00515E4F"/>
    <w:rsid w:val="00516445"/>
    <w:rsid w:val="005164C8"/>
    <w:rsid w:val="00516F8B"/>
    <w:rsid w:val="005174D3"/>
    <w:rsid w:val="00517538"/>
    <w:rsid w:val="00517A75"/>
    <w:rsid w:val="005203DD"/>
    <w:rsid w:val="0052159E"/>
    <w:rsid w:val="005218D5"/>
    <w:rsid w:val="00521965"/>
    <w:rsid w:val="005220F5"/>
    <w:rsid w:val="00522239"/>
    <w:rsid w:val="00522242"/>
    <w:rsid w:val="00522353"/>
    <w:rsid w:val="00522494"/>
    <w:rsid w:val="005225BD"/>
    <w:rsid w:val="00522D49"/>
    <w:rsid w:val="00523008"/>
    <w:rsid w:val="005230B7"/>
    <w:rsid w:val="0052340B"/>
    <w:rsid w:val="005235F1"/>
    <w:rsid w:val="00523841"/>
    <w:rsid w:val="00523A45"/>
    <w:rsid w:val="005241CA"/>
    <w:rsid w:val="00524237"/>
    <w:rsid w:val="00524506"/>
    <w:rsid w:val="00524830"/>
    <w:rsid w:val="00524861"/>
    <w:rsid w:val="00525060"/>
    <w:rsid w:val="005252D8"/>
    <w:rsid w:val="0052533F"/>
    <w:rsid w:val="0052540B"/>
    <w:rsid w:val="0052576A"/>
    <w:rsid w:val="00525AF8"/>
    <w:rsid w:val="00525C7F"/>
    <w:rsid w:val="00526121"/>
    <w:rsid w:val="005261F7"/>
    <w:rsid w:val="00526B5A"/>
    <w:rsid w:val="005301A7"/>
    <w:rsid w:val="005303AC"/>
    <w:rsid w:val="00530694"/>
    <w:rsid w:val="00530C0D"/>
    <w:rsid w:val="00530F36"/>
    <w:rsid w:val="00531354"/>
    <w:rsid w:val="0053190A"/>
    <w:rsid w:val="00531C7F"/>
    <w:rsid w:val="00531D22"/>
    <w:rsid w:val="00531DCF"/>
    <w:rsid w:val="00531ED2"/>
    <w:rsid w:val="00531F83"/>
    <w:rsid w:val="00532141"/>
    <w:rsid w:val="00532ECD"/>
    <w:rsid w:val="00532EF3"/>
    <w:rsid w:val="00532F3E"/>
    <w:rsid w:val="00533104"/>
    <w:rsid w:val="00533428"/>
    <w:rsid w:val="005336DE"/>
    <w:rsid w:val="005337EC"/>
    <w:rsid w:val="00533923"/>
    <w:rsid w:val="00533BD0"/>
    <w:rsid w:val="0053410A"/>
    <w:rsid w:val="005341E9"/>
    <w:rsid w:val="0053427B"/>
    <w:rsid w:val="005342AA"/>
    <w:rsid w:val="00534807"/>
    <w:rsid w:val="00534E0E"/>
    <w:rsid w:val="005352FC"/>
    <w:rsid w:val="00535492"/>
    <w:rsid w:val="00535AC5"/>
    <w:rsid w:val="00535CA4"/>
    <w:rsid w:val="00535D49"/>
    <w:rsid w:val="0053621F"/>
    <w:rsid w:val="00536354"/>
    <w:rsid w:val="00536828"/>
    <w:rsid w:val="00536AAE"/>
    <w:rsid w:val="00536E2A"/>
    <w:rsid w:val="00536E6F"/>
    <w:rsid w:val="00537001"/>
    <w:rsid w:val="0053767B"/>
    <w:rsid w:val="00537712"/>
    <w:rsid w:val="00537899"/>
    <w:rsid w:val="005378E2"/>
    <w:rsid w:val="005379A6"/>
    <w:rsid w:val="00537EE7"/>
    <w:rsid w:val="00540083"/>
    <w:rsid w:val="00540300"/>
    <w:rsid w:val="005404D8"/>
    <w:rsid w:val="00540C5C"/>
    <w:rsid w:val="00540D02"/>
    <w:rsid w:val="0054169D"/>
    <w:rsid w:val="0054217B"/>
    <w:rsid w:val="00542212"/>
    <w:rsid w:val="00542821"/>
    <w:rsid w:val="00542DAF"/>
    <w:rsid w:val="00542EA2"/>
    <w:rsid w:val="005430DF"/>
    <w:rsid w:val="00543126"/>
    <w:rsid w:val="00543498"/>
    <w:rsid w:val="00543A1F"/>
    <w:rsid w:val="00543B12"/>
    <w:rsid w:val="00543BBA"/>
    <w:rsid w:val="00543EEF"/>
    <w:rsid w:val="00544541"/>
    <w:rsid w:val="00544655"/>
    <w:rsid w:val="00544C83"/>
    <w:rsid w:val="005452AF"/>
    <w:rsid w:val="00545329"/>
    <w:rsid w:val="00545346"/>
    <w:rsid w:val="005456B2"/>
    <w:rsid w:val="00545725"/>
    <w:rsid w:val="00545771"/>
    <w:rsid w:val="00545936"/>
    <w:rsid w:val="00545ADD"/>
    <w:rsid w:val="00545EBD"/>
    <w:rsid w:val="00545FA1"/>
    <w:rsid w:val="0054614F"/>
    <w:rsid w:val="0054644B"/>
    <w:rsid w:val="00546B04"/>
    <w:rsid w:val="00546B0D"/>
    <w:rsid w:val="00547035"/>
    <w:rsid w:val="0054782A"/>
    <w:rsid w:val="00547CB7"/>
    <w:rsid w:val="00547F2A"/>
    <w:rsid w:val="0055045D"/>
    <w:rsid w:val="0055051D"/>
    <w:rsid w:val="00550651"/>
    <w:rsid w:val="00550795"/>
    <w:rsid w:val="00550B85"/>
    <w:rsid w:val="005513DA"/>
    <w:rsid w:val="0055154F"/>
    <w:rsid w:val="005518EE"/>
    <w:rsid w:val="00552027"/>
    <w:rsid w:val="00552675"/>
    <w:rsid w:val="0055283A"/>
    <w:rsid w:val="0055286C"/>
    <w:rsid w:val="00552ACC"/>
    <w:rsid w:val="00552EDB"/>
    <w:rsid w:val="00552FFB"/>
    <w:rsid w:val="005530E8"/>
    <w:rsid w:val="00553366"/>
    <w:rsid w:val="005533DB"/>
    <w:rsid w:val="00553443"/>
    <w:rsid w:val="0055369B"/>
    <w:rsid w:val="0055379B"/>
    <w:rsid w:val="00553981"/>
    <w:rsid w:val="005539AC"/>
    <w:rsid w:val="00553A18"/>
    <w:rsid w:val="00553AE8"/>
    <w:rsid w:val="00554216"/>
    <w:rsid w:val="0055445F"/>
    <w:rsid w:val="00554781"/>
    <w:rsid w:val="00554A0E"/>
    <w:rsid w:val="00554B65"/>
    <w:rsid w:val="00554E15"/>
    <w:rsid w:val="00554EBA"/>
    <w:rsid w:val="005550BC"/>
    <w:rsid w:val="00555AEE"/>
    <w:rsid w:val="00555C10"/>
    <w:rsid w:val="00555E17"/>
    <w:rsid w:val="00556177"/>
    <w:rsid w:val="00556926"/>
    <w:rsid w:val="00556B91"/>
    <w:rsid w:val="00556F9B"/>
    <w:rsid w:val="00557223"/>
    <w:rsid w:val="005572A8"/>
    <w:rsid w:val="005573F6"/>
    <w:rsid w:val="005574EC"/>
    <w:rsid w:val="0055757D"/>
    <w:rsid w:val="005577B0"/>
    <w:rsid w:val="00557A70"/>
    <w:rsid w:val="00557A89"/>
    <w:rsid w:val="00557C04"/>
    <w:rsid w:val="00557CD1"/>
    <w:rsid w:val="00557CE2"/>
    <w:rsid w:val="00557E02"/>
    <w:rsid w:val="0056013A"/>
    <w:rsid w:val="00560B72"/>
    <w:rsid w:val="00560CAD"/>
    <w:rsid w:val="00560F49"/>
    <w:rsid w:val="005614E9"/>
    <w:rsid w:val="00561503"/>
    <w:rsid w:val="00561D88"/>
    <w:rsid w:val="00562317"/>
    <w:rsid w:val="00562467"/>
    <w:rsid w:val="005625AA"/>
    <w:rsid w:val="00562BF2"/>
    <w:rsid w:val="00562FC3"/>
    <w:rsid w:val="0056317A"/>
    <w:rsid w:val="005633E5"/>
    <w:rsid w:val="00563609"/>
    <w:rsid w:val="00564A0A"/>
    <w:rsid w:val="00565848"/>
    <w:rsid w:val="00565FCB"/>
    <w:rsid w:val="00566650"/>
    <w:rsid w:val="005669DC"/>
    <w:rsid w:val="00566A7F"/>
    <w:rsid w:val="00566A9E"/>
    <w:rsid w:val="0056740C"/>
    <w:rsid w:val="00567492"/>
    <w:rsid w:val="00567A29"/>
    <w:rsid w:val="00567A9E"/>
    <w:rsid w:val="00567F6B"/>
    <w:rsid w:val="005705F8"/>
    <w:rsid w:val="00570615"/>
    <w:rsid w:val="005706E3"/>
    <w:rsid w:val="00570DEB"/>
    <w:rsid w:val="00570ECF"/>
    <w:rsid w:val="00570F9E"/>
    <w:rsid w:val="00571130"/>
    <w:rsid w:val="00571541"/>
    <w:rsid w:val="00571B90"/>
    <w:rsid w:val="00571B94"/>
    <w:rsid w:val="0057201F"/>
    <w:rsid w:val="00572241"/>
    <w:rsid w:val="00572B1E"/>
    <w:rsid w:val="00572E8C"/>
    <w:rsid w:val="00572F91"/>
    <w:rsid w:val="00573074"/>
    <w:rsid w:val="00573327"/>
    <w:rsid w:val="005737AF"/>
    <w:rsid w:val="00573F3B"/>
    <w:rsid w:val="005740D8"/>
    <w:rsid w:val="00574DDC"/>
    <w:rsid w:val="00576A1B"/>
    <w:rsid w:val="00577034"/>
    <w:rsid w:val="0057704D"/>
    <w:rsid w:val="005770EA"/>
    <w:rsid w:val="005772B6"/>
    <w:rsid w:val="005775CC"/>
    <w:rsid w:val="00577C2D"/>
    <w:rsid w:val="00577D5C"/>
    <w:rsid w:val="00580377"/>
    <w:rsid w:val="0058055E"/>
    <w:rsid w:val="0058068E"/>
    <w:rsid w:val="00580958"/>
    <w:rsid w:val="00580CD2"/>
    <w:rsid w:val="00580FB6"/>
    <w:rsid w:val="00581EE0"/>
    <w:rsid w:val="00582012"/>
    <w:rsid w:val="005820D1"/>
    <w:rsid w:val="00582148"/>
    <w:rsid w:val="0058232C"/>
    <w:rsid w:val="005825EA"/>
    <w:rsid w:val="00582D13"/>
    <w:rsid w:val="00583289"/>
    <w:rsid w:val="0058363E"/>
    <w:rsid w:val="00583A3F"/>
    <w:rsid w:val="00583A4B"/>
    <w:rsid w:val="00584AD7"/>
    <w:rsid w:val="00584CD5"/>
    <w:rsid w:val="00584D5F"/>
    <w:rsid w:val="00584DDE"/>
    <w:rsid w:val="00585102"/>
    <w:rsid w:val="00585CAC"/>
    <w:rsid w:val="0058632A"/>
    <w:rsid w:val="0058644E"/>
    <w:rsid w:val="005864BA"/>
    <w:rsid w:val="005868EE"/>
    <w:rsid w:val="005868FC"/>
    <w:rsid w:val="00586A72"/>
    <w:rsid w:val="00586AA7"/>
    <w:rsid w:val="0058727C"/>
    <w:rsid w:val="005876DB"/>
    <w:rsid w:val="00587754"/>
    <w:rsid w:val="005877DF"/>
    <w:rsid w:val="005879AF"/>
    <w:rsid w:val="005879E2"/>
    <w:rsid w:val="00587BF1"/>
    <w:rsid w:val="00587CEC"/>
    <w:rsid w:val="00590166"/>
    <w:rsid w:val="005902D4"/>
    <w:rsid w:val="00590420"/>
    <w:rsid w:val="005905CA"/>
    <w:rsid w:val="00590C77"/>
    <w:rsid w:val="00590DF9"/>
    <w:rsid w:val="00590E8C"/>
    <w:rsid w:val="00591200"/>
    <w:rsid w:val="005919A7"/>
    <w:rsid w:val="00591B1B"/>
    <w:rsid w:val="00591BB8"/>
    <w:rsid w:val="00591E8B"/>
    <w:rsid w:val="00591FD7"/>
    <w:rsid w:val="00591FDA"/>
    <w:rsid w:val="00592003"/>
    <w:rsid w:val="00592744"/>
    <w:rsid w:val="00592BA4"/>
    <w:rsid w:val="00593657"/>
    <w:rsid w:val="005937A1"/>
    <w:rsid w:val="0059394F"/>
    <w:rsid w:val="00593C4F"/>
    <w:rsid w:val="00593EAF"/>
    <w:rsid w:val="0059430F"/>
    <w:rsid w:val="00594535"/>
    <w:rsid w:val="00594861"/>
    <w:rsid w:val="00595332"/>
    <w:rsid w:val="005955B7"/>
    <w:rsid w:val="005956EE"/>
    <w:rsid w:val="00595A94"/>
    <w:rsid w:val="00595E0D"/>
    <w:rsid w:val="005960B1"/>
    <w:rsid w:val="00596312"/>
    <w:rsid w:val="0059656C"/>
    <w:rsid w:val="005968A8"/>
    <w:rsid w:val="00596F7B"/>
    <w:rsid w:val="005975C3"/>
    <w:rsid w:val="00597952"/>
    <w:rsid w:val="00597CD1"/>
    <w:rsid w:val="00597F69"/>
    <w:rsid w:val="005A0228"/>
    <w:rsid w:val="005A0678"/>
    <w:rsid w:val="005A0B27"/>
    <w:rsid w:val="005A0D4D"/>
    <w:rsid w:val="005A10EE"/>
    <w:rsid w:val="005A16AD"/>
    <w:rsid w:val="005A1848"/>
    <w:rsid w:val="005A2C0A"/>
    <w:rsid w:val="005A3513"/>
    <w:rsid w:val="005A3544"/>
    <w:rsid w:val="005A3567"/>
    <w:rsid w:val="005A35F5"/>
    <w:rsid w:val="005A36A0"/>
    <w:rsid w:val="005A37A6"/>
    <w:rsid w:val="005A3978"/>
    <w:rsid w:val="005A3E75"/>
    <w:rsid w:val="005A402E"/>
    <w:rsid w:val="005A4093"/>
    <w:rsid w:val="005A41FE"/>
    <w:rsid w:val="005A42DB"/>
    <w:rsid w:val="005A48CB"/>
    <w:rsid w:val="005A4908"/>
    <w:rsid w:val="005A49F2"/>
    <w:rsid w:val="005A4A9B"/>
    <w:rsid w:val="005A4B15"/>
    <w:rsid w:val="005A4EA4"/>
    <w:rsid w:val="005A4FD1"/>
    <w:rsid w:val="005A58C7"/>
    <w:rsid w:val="005A5C11"/>
    <w:rsid w:val="005A5C47"/>
    <w:rsid w:val="005A5CAD"/>
    <w:rsid w:val="005A6616"/>
    <w:rsid w:val="005A6661"/>
    <w:rsid w:val="005A667B"/>
    <w:rsid w:val="005A6EDE"/>
    <w:rsid w:val="005A7110"/>
    <w:rsid w:val="005A71D5"/>
    <w:rsid w:val="005A7F80"/>
    <w:rsid w:val="005B0BD8"/>
    <w:rsid w:val="005B1052"/>
    <w:rsid w:val="005B1302"/>
    <w:rsid w:val="005B1311"/>
    <w:rsid w:val="005B147E"/>
    <w:rsid w:val="005B1538"/>
    <w:rsid w:val="005B15F8"/>
    <w:rsid w:val="005B169B"/>
    <w:rsid w:val="005B190E"/>
    <w:rsid w:val="005B198A"/>
    <w:rsid w:val="005B2765"/>
    <w:rsid w:val="005B2E6F"/>
    <w:rsid w:val="005B2FCA"/>
    <w:rsid w:val="005B332A"/>
    <w:rsid w:val="005B334D"/>
    <w:rsid w:val="005B38F1"/>
    <w:rsid w:val="005B3927"/>
    <w:rsid w:val="005B3D95"/>
    <w:rsid w:val="005B3F95"/>
    <w:rsid w:val="005B4A6B"/>
    <w:rsid w:val="005B4D0B"/>
    <w:rsid w:val="005B4D5D"/>
    <w:rsid w:val="005B4EE2"/>
    <w:rsid w:val="005B510E"/>
    <w:rsid w:val="005B5541"/>
    <w:rsid w:val="005B55F2"/>
    <w:rsid w:val="005B5911"/>
    <w:rsid w:val="005B59EB"/>
    <w:rsid w:val="005B5B6E"/>
    <w:rsid w:val="005B5C3A"/>
    <w:rsid w:val="005B5CA4"/>
    <w:rsid w:val="005B6064"/>
    <w:rsid w:val="005B6099"/>
    <w:rsid w:val="005B6355"/>
    <w:rsid w:val="005B65AA"/>
    <w:rsid w:val="005B6619"/>
    <w:rsid w:val="005B68C1"/>
    <w:rsid w:val="005B6977"/>
    <w:rsid w:val="005B6EF6"/>
    <w:rsid w:val="005B7019"/>
    <w:rsid w:val="005B7349"/>
    <w:rsid w:val="005B74F5"/>
    <w:rsid w:val="005B7741"/>
    <w:rsid w:val="005B77E4"/>
    <w:rsid w:val="005B77F4"/>
    <w:rsid w:val="005B784B"/>
    <w:rsid w:val="005B7CFC"/>
    <w:rsid w:val="005C02DE"/>
    <w:rsid w:val="005C0B7A"/>
    <w:rsid w:val="005C0C14"/>
    <w:rsid w:val="005C10E3"/>
    <w:rsid w:val="005C1326"/>
    <w:rsid w:val="005C1ADD"/>
    <w:rsid w:val="005C1E25"/>
    <w:rsid w:val="005C276E"/>
    <w:rsid w:val="005C2E91"/>
    <w:rsid w:val="005C2FCF"/>
    <w:rsid w:val="005C3912"/>
    <w:rsid w:val="005C4416"/>
    <w:rsid w:val="005C4C32"/>
    <w:rsid w:val="005C5139"/>
    <w:rsid w:val="005C535D"/>
    <w:rsid w:val="005C566D"/>
    <w:rsid w:val="005C59AD"/>
    <w:rsid w:val="005C5D2B"/>
    <w:rsid w:val="005C5FB1"/>
    <w:rsid w:val="005C6234"/>
    <w:rsid w:val="005C65F1"/>
    <w:rsid w:val="005C7269"/>
    <w:rsid w:val="005C7550"/>
    <w:rsid w:val="005C781C"/>
    <w:rsid w:val="005C7E73"/>
    <w:rsid w:val="005D0088"/>
    <w:rsid w:val="005D009F"/>
    <w:rsid w:val="005D0151"/>
    <w:rsid w:val="005D0469"/>
    <w:rsid w:val="005D06FC"/>
    <w:rsid w:val="005D17E4"/>
    <w:rsid w:val="005D1B8F"/>
    <w:rsid w:val="005D2160"/>
    <w:rsid w:val="005D2237"/>
    <w:rsid w:val="005D2DEA"/>
    <w:rsid w:val="005D2E01"/>
    <w:rsid w:val="005D346D"/>
    <w:rsid w:val="005D34D5"/>
    <w:rsid w:val="005D35E8"/>
    <w:rsid w:val="005D3D8A"/>
    <w:rsid w:val="005D438C"/>
    <w:rsid w:val="005D4434"/>
    <w:rsid w:val="005D44AA"/>
    <w:rsid w:val="005D453D"/>
    <w:rsid w:val="005D4BEA"/>
    <w:rsid w:val="005D50E5"/>
    <w:rsid w:val="005D51F0"/>
    <w:rsid w:val="005D52D9"/>
    <w:rsid w:val="005D5373"/>
    <w:rsid w:val="005D586B"/>
    <w:rsid w:val="005D5AD3"/>
    <w:rsid w:val="005D5F66"/>
    <w:rsid w:val="005D61F9"/>
    <w:rsid w:val="005D666B"/>
    <w:rsid w:val="005D6736"/>
    <w:rsid w:val="005D67A5"/>
    <w:rsid w:val="005D67CA"/>
    <w:rsid w:val="005D7196"/>
    <w:rsid w:val="005D733B"/>
    <w:rsid w:val="005D76F4"/>
    <w:rsid w:val="005D7A2D"/>
    <w:rsid w:val="005E01FD"/>
    <w:rsid w:val="005E095F"/>
    <w:rsid w:val="005E0B1D"/>
    <w:rsid w:val="005E0C2D"/>
    <w:rsid w:val="005E0D31"/>
    <w:rsid w:val="005E2145"/>
    <w:rsid w:val="005E2F21"/>
    <w:rsid w:val="005E30B9"/>
    <w:rsid w:val="005E3305"/>
    <w:rsid w:val="005E3689"/>
    <w:rsid w:val="005E3B0B"/>
    <w:rsid w:val="005E3B4C"/>
    <w:rsid w:val="005E3FF8"/>
    <w:rsid w:val="005E4415"/>
    <w:rsid w:val="005E4491"/>
    <w:rsid w:val="005E4779"/>
    <w:rsid w:val="005E4783"/>
    <w:rsid w:val="005E47A3"/>
    <w:rsid w:val="005E4DB6"/>
    <w:rsid w:val="005E50B6"/>
    <w:rsid w:val="005E513A"/>
    <w:rsid w:val="005E5339"/>
    <w:rsid w:val="005E56F3"/>
    <w:rsid w:val="005E5934"/>
    <w:rsid w:val="005E5A0E"/>
    <w:rsid w:val="005E5E16"/>
    <w:rsid w:val="005E60D7"/>
    <w:rsid w:val="005E617A"/>
    <w:rsid w:val="005E6C91"/>
    <w:rsid w:val="005E6E51"/>
    <w:rsid w:val="005E6EBB"/>
    <w:rsid w:val="005E6F5E"/>
    <w:rsid w:val="005E76E1"/>
    <w:rsid w:val="005E76F3"/>
    <w:rsid w:val="005E7775"/>
    <w:rsid w:val="005E7D47"/>
    <w:rsid w:val="005F014D"/>
    <w:rsid w:val="005F01CF"/>
    <w:rsid w:val="005F01D1"/>
    <w:rsid w:val="005F0260"/>
    <w:rsid w:val="005F03C0"/>
    <w:rsid w:val="005F0462"/>
    <w:rsid w:val="005F09DC"/>
    <w:rsid w:val="005F0D4E"/>
    <w:rsid w:val="005F1076"/>
    <w:rsid w:val="005F13D1"/>
    <w:rsid w:val="005F14A0"/>
    <w:rsid w:val="005F1D8C"/>
    <w:rsid w:val="005F28DF"/>
    <w:rsid w:val="005F294F"/>
    <w:rsid w:val="005F2A48"/>
    <w:rsid w:val="005F2CD8"/>
    <w:rsid w:val="005F2E44"/>
    <w:rsid w:val="005F312F"/>
    <w:rsid w:val="005F364F"/>
    <w:rsid w:val="005F37CE"/>
    <w:rsid w:val="005F3900"/>
    <w:rsid w:val="005F39E6"/>
    <w:rsid w:val="005F42B5"/>
    <w:rsid w:val="005F4A52"/>
    <w:rsid w:val="005F4FC0"/>
    <w:rsid w:val="005F518E"/>
    <w:rsid w:val="005F59F8"/>
    <w:rsid w:val="005F5F2C"/>
    <w:rsid w:val="005F62DB"/>
    <w:rsid w:val="005F68F9"/>
    <w:rsid w:val="005F69C2"/>
    <w:rsid w:val="005F6EA6"/>
    <w:rsid w:val="005F73C3"/>
    <w:rsid w:val="005F74F7"/>
    <w:rsid w:val="005F7953"/>
    <w:rsid w:val="005F7B4E"/>
    <w:rsid w:val="005F7DFD"/>
    <w:rsid w:val="00600276"/>
    <w:rsid w:val="00600873"/>
    <w:rsid w:val="006009C7"/>
    <w:rsid w:val="00600AED"/>
    <w:rsid w:val="00600D36"/>
    <w:rsid w:val="00600DD8"/>
    <w:rsid w:val="00601297"/>
    <w:rsid w:val="0060153F"/>
    <w:rsid w:val="00601A2B"/>
    <w:rsid w:val="00601D9B"/>
    <w:rsid w:val="00601EAB"/>
    <w:rsid w:val="00601EF1"/>
    <w:rsid w:val="00602111"/>
    <w:rsid w:val="00602570"/>
    <w:rsid w:val="006027FA"/>
    <w:rsid w:val="00602B7A"/>
    <w:rsid w:val="0060321F"/>
    <w:rsid w:val="006038F4"/>
    <w:rsid w:val="006039D3"/>
    <w:rsid w:val="00603D6E"/>
    <w:rsid w:val="00603D90"/>
    <w:rsid w:val="00604050"/>
    <w:rsid w:val="00604B02"/>
    <w:rsid w:val="00604BD4"/>
    <w:rsid w:val="00604D4D"/>
    <w:rsid w:val="006052D4"/>
    <w:rsid w:val="006059F8"/>
    <w:rsid w:val="00606123"/>
    <w:rsid w:val="00606308"/>
    <w:rsid w:val="006063AB"/>
    <w:rsid w:val="006064E7"/>
    <w:rsid w:val="00606814"/>
    <w:rsid w:val="00606D3D"/>
    <w:rsid w:val="00606D83"/>
    <w:rsid w:val="00607001"/>
    <w:rsid w:val="006073ED"/>
    <w:rsid w:val="00607AA4"/>
    <w:rsid w:val="00607B85"/>
    <w:rsid w:val="00607C3E"/>
    <w:rsid w:val="00610095"/>
    <w:rsid w:val="006102C7"/>
    <w:rsid w:val="006104E2"/>
    <w:rsid w:val="00610840"/>
    <w:rsid w:val="006108C1"/>
    <w:rsid w:val="0061090E"/>
    <w:rsid w:val="00610990"/>
    <w:rsid w:val="00610BB3"/>
    <w:rsid w:val="00610F63"/>
    <w:rsid w:val="0061111E"/>
    <w:rsid w:val="0061119A"/>
    <w:rsid w:val="00611476"/>
    <w:rsid w:val="006118E8"/>
    <w:rsid w:val="006121B7"/>
    <w:rsid w:val="006123AA"/>
    <w:rsid w:val="0061264D"/>
    <w:rsid w:val="0061285B"/>
    <w:rsid w:val="00612A7D"/>
    <w:rsid w:val="00612AEB"/>
    <w:rsid w:val="0061311F"/>
    <w:rsid w:val="0061357E"/>
    <w:rsid w:val="006135B8"/>
    <w:rsid w:val="006135CB"/>
    <w:rsid w:val="00613CDA"/>
    <w:rsid w:val="00613D10"/>
    <w:rsid w:val="00614431"/>
    <w:rsid w:val="006145F4"/>
    <w:rsid w:val="00614B19"/>
    <w:rsid w:val="00614E91"/>
    <w:rsid w:val="00614E95"/>
    <w:rsid w:val="006156B2"/>
    <w:rsid w:val="0061579E"/>
    <w:rsid w:val="00615EAF"/>
    <w:rsid w:val="006164E8"/>
    <w:rsid w:val="006168CB"/>
    <w:rsid w:val="00616A51"/>
    <w:rsid w:val="00616A87"/>
    <w:rsid w:val="00616E1A"/>
    <w:rsid w:val="006170D9"/>
    <w:rsid w:val="0061733C"/>
    <w:rsid w:val="00617822"/>
    <w:rsid w:val="006178AF"/>
    <w:rsid w:val="00617FCD"/>
    <w:rsid w:val="006202CB"/>
    <w:rsid w:val="00620580"/>
    <w:rsid w:val="00620CEE"/>
    <w:rsid w:val="00620E68"/>
    <w:rsid w:val="00621576"/>
    <w:rsid w:val="00621586"/>
    <w:rsid w:val="006219B0"/>
    <w:rsid w:val="00621B23"/>
    <w:rsid w:val="00621B7E"/>
    <w:rsid w:val="00621DBE"/>
    <w:rsid w:val="00621E32"/>
    <w:rsid w:val="00621E77"/>
    <w:rsid w:val="00621E79"/>
    <w:rsid w:val="00621FB2"/>
    <w:rsid w:val="00622224"/>
    <w:rsid w:val="00622252"/>
    <w:rsid w:val="006222C9"/>
    <w:rsid w:val="00622418"/>
    <w:rsid w:val="0062282E"/>
    <w:rsid w:val="006228AF"/>
    <w:rsid w:val="006229A6"/>
    <w:rsid w:val="00623052"/>
    <w:rsid w:val="0062314C"/>
    <w:rsid w:val="006231D9"/>
    <w:rsid w:val="00623B38"/>
    <w:rsid w:val="00623BA5"/>
    <w:rsid w:val="00623D0B"/>
    <w:rsid w:val="00623E40"/>
    <w:rsid w:val="00623EA0"/>
    <w:rsid w:val="00624039"/>
    <w:rsid w:val="0062430D"/>
    <w:rsid w:val="006247E9"/>
    <w:rsid w:val="00624A00"/>
    <w:rsid w:val="00624C99"/>
    <w:rsid w:val="00624CE6"/>
    <w:rsid w:val="006254D0"/>
    <w:rsid w:val="0062570E"/>
    <w:rsid w:val="006257F6"/>
    <w:rsid w:val="00625AA7"/>
    <w:rsid w:val="00625C06"/>
    <w:rsid w:val="006274BC"/>
    <w:rsid w:val="00627A36"/>
    <w:rsid w:val="00630594"/>
    <w:rsid w:val="00630C6B"/>
    <w:rsid w:val="00631053"/>
    <w:rsid w:val="006311DE"/>
    <w:rsid w:val="00631614"/>
    <w:rsid w:val="00631DCD"/>
    <w:rsid w:val="00631F5C"/>
    <w:rsid w:val="006320CE"/>
    <w:rsid w:val="00632C17"/>
    <w:rsid w:val="00633500"/>
    <w:rsid w:val="00633565"/>
    <w:rsid w:val="0063392C"/>
    <w:rsid w:val="0063398B"/>
    <w:rsid w:val="00633A97"/>
    <w:rsid w:val="00633D4A"/>
    <w:rsid w:val="00633D5D"/>
    <w:rsid w:val="00634617"/>
    <w:rsid w:val="0063499C"/>
    <w:rsid w:val="00634A35"/>
    <w:rsid w:val="00634B7A"/>
    <w:rsid w:val="00634C68"/>
    <w:rsid w:val="00634CA2"/>
    <w:rsid w:val="00634F78"/>
    <w:rsid w:val="006350E3"/>
    <w:rsid w:val="00635166"/>
    <w:rsid w:val="00635242"/>
    <w:rsid w:val="006353A4"/>
    <w:rsid w:val="00635438"/>
    <w:rsid w:val="006356B2"/>
    <w:rsid w:val="00635992"/>
    <w:rsid w:val="00635ADB"/>
    <w:rsid w:val="00635E8C"/>
    <w:rsid w:val="00636076"/>
    <w:rsid w:val="006363CC"/>
    <w:rsid w:val="00636A24"/>
    <w:rsid w:val="00636E6F"/>
    <w:rsid w:val="006378A5"/>
    <w:rsid w:val="006379A0"/>
    <w:rsid w:val="00637A06"/>
    <w:rsid w:val="00640003"/>
    <w:rsid w:val="006401D7"/>
    <w:rsid w:val="00640330"/>
    <w:rsid w:val="006403B6"/>
    <w:rsid w:val="00640729"/>
    <w:rsid w:val="00640CBE"/>
    <w:rsid w:val="00641E6C"/>
    <w:rsid w:val="00641F59"/>
    <w:rsid w:val="006425ED"/>
    <w:rsid w:val="006433B9"/>
    <w:rsid w:val="00643516"/>
    <w:rsid w:val="006441CE"/>
    <w:rsid w:val="006446F1"/>
    <w:rsid w:val="0064483B"/>
    <w:rsid w:val="00644A3C"/>
    <w:rsid w:val="00644B93"/>
    <w:rsid w:val="00645B9F"/>
    <w:rsid w:val="00646303"/>
    <w:rsid w:val="00646A58"/>
    <w:rsid w:val="0064731F"/>
    <w:rsid w:val="00647549"/>
    <w:rsid w:val="00647A11"/>
    <w:rsid w:val="00647E0F"/>
    <w:rsid w:val="0065019C"/>
    <w:rsid w:val="00650963"/>
    <w:rsid w:val="00650B35"/>
    <w:rsid w:val="00651110"/>
    <w:rsid w:val="00651C70"/>
    <w:rsid w:val="006521E5"/>
    <w:rsid w:val="006523FA"/>
    <w:rsid w:val="00652801"/>
    <w:rsid w:val="00652BD3"/>
    <w:rsid w:val="00652F20"/>
    <w:rsid w:val="006530C2"/>
    <w:rsid w:val="00653294"/>
    <w:rsid w:val="006532EF"/>
    <w:rsid w:val="00653477"/>
    <w:rsid w:val="00653667"/>
    <w:rsid w:val="00653B9B"/>
    <w:rsid w:val="00653C02"/>
    <w:rsid w:val="00653FBE"/>
    <w:rsid w:val="00653FCB"/>
    <w:rsid w:val="006542F8"/>
    <w:rsid w:val="00654302"/>
    <w:rsid w:val="006545D3"/>
    <w:rsid w:val="006546D5"/>
    <w:rsid w:val="00654948"/>
    <w:rsid w:val="0065498C"/>
    <w:rsid w:val="00654A86"/>
    <w:rsid w:val="00655107"/>
    <w:rsid w:val="0065521F"/>
    <w:rsid w:val="00655498"/>
    <w:rsid w:val="006556B2"/>
    <w:rsid w:val="006558B5"/>
    <w:rsid w:val="00656456"/>
    <w:rsid w:val="006569BD"/>
    <w:rsid w:val="00656ABC"/>
    <w:rsid w:val="00656E4D"/>
    <w:rsid w:val="0065718E"/>
    <w:rsid w:val="006572B9"/>
    <w:rsid w:val="00657AD0"/>
    <w:rsid w:val="006600F7"/>
    <w:rsid w:val="006602E6"/>
    <w:rsid w:val="0066045B"/>
    <w:rsid w:val="006605AD"/>
    <w:rsid w:val="00660A5F"/>
    <w:rsid w:val="00660ACC"/>
    <w:rsid w:val="00660CEA"/>
    <w:rsid w:val="00660E34"/>
    <w:rsid w:val="006610C8"/>
    <w:rsid w:val="00661153"/>
    <w:rsid w:val="006614D5"/>
    <w:rsid w:val="006618DD"/>
    <w:rsid w:val="0066220B"/>
    <w:rsid w:val="0066226E"/>
    <w:rsid w:val="0066230E"/>
    <w:rsid w:val="0066232B"/>
    <w:rsid w:val="0066254A"/>
    <w:rsid w:val="00662561"/>
    <w:rsid w:val="00662633"/>
    <w:rsid w:val="0066268D"/>
    <w:rsid w:val="00663160"/>
    <w:rsid w:val="006633BB"/>
    <w:rsid w:val="0066342E"/>
    <w:rsid w:val="0066346B"/>
    <w:rsid w:val="0066395E"/>
    <w:rsid w:val="006639C2"/>
    <w:rsid w:val="006639F9"/>
    <w:rsid w:val="00664562"/>
    <w:rsid w:val="006650E5"/>
    <w:rsid w:val="0066547A"/>
    <w:rsid w:val="00665E66"/>
    <w:rsid w:val="00665ECD"/>
    <w:rsid w:val="00666147"/>
    <w:rsid w:val="006662C2"/>
    <w:rsid w:val="006665A3"/>
    <w:rsid w:val="00667122"/>
    <w:rsid w:val="00667B8E"/>
    <w:rsid w:val="006707E2"/>
    <w:rsid w:val="00670EAB"/>
    <w:rsid w:val="00670EED"/>
    <w:rsid w:val="0067113C"/>
    <w:rsid w:val="006713B2"/>
    <w:rsid w:val="00671948"/>
    <w:rsid w:val="006719AD"/>
    <w:rsid w:val="00671AC6"/>
    <w:rsid w:val="00671B6B"/>
    <w:rsid w:val="00671C1D"/>
    <w:rsid w:val="00671ED7"/>
    <w:rsid w:val="006721A1"/>
    <w:rsid w:val="00672F21"/>
    <w:rsid w:val="0067348F"/>
    <w:rsid w:val="00673CCC"/>
    <w:rsid w:val="006740FF"/>
    <w:rsid w:val="00674225"/>
    <w:rsid w:val="00674850"/>
    <w:rsid w:val="006749E6"/>
    <w:rsid w:val="00674D70"/>
    <w:rsid w:val="00674FC3"/>
    <w:rsid w:val="006750DF"/>
    <w:rsid w:val="0067545E"/>
    <w:rsid w:val="006757A0"/>
    <w:rsid w:val="00675871"/>
    <w:rsid w:val="00675C5C"/>
    <w:rsid w:val="00676638"/>
    <w:rsid w:val="006766A7"/>
    <w:rsid w:val="006769A0"/>
    <w:rsid w:val="006769D7"/>
    <w:rsid w:val="00676B7F"/>
    <w:rsid w:val="00676C26"/>
    <w:rsid w:val="00676C28"/>
    <w:rsid w:val="006778DC"/>
    <w:rsid w:val="00677AE5"/>
    <w:rsid w:val="00677BD5"/>
    <w:rsid w:val="00677C69"/>
    <w:rsid w:val="006800E6"/>
    <w:rsid w:val="00680359"/>
    <w:rsid w:val="006808AD"/>
    <w:rsid w:val="00681936"/>
    <w:rsid w:val="00681ACB"/>
    <w:rsid w:val="00681BD8"/>
    <w:rsid w:val="00682069"/>
    <w:rsid w:val="0068219A"/>
    <w:rsid w:val="00682290"/>
    <w:rsid w:val="0068298D"/>
    <w:rsid w:val="00682E91"/>
    <w:rsid w:val="00682EA8"/>
    <w:rsid w:val="00683350"/>
    <w:rsid w:val="00683428"/>
    <w:rsid w:val="0068383E"/>
    <w:rsid w:val="00683BCA"/>
    <w:rsid w:val="00683C13"/>
    <w:rsid w:val="00684191"/>
    <w:rsid w:val="006843C0"/>
    <w:rsid w:val="00684413"/>
    <w:rsid w:val="0068461C"/>
    <w:rsid w:val="00684694"/>
    <w:rsid w:val="006851DD"/>
    <w:rsid w:val="00685633"/>
    <w:rsid w:val="00685855"/>
    <w:rsid w:val="00685A2C"/>
    <w:rsid w:val="00685A2F"/>
    <w:rsid w:val="00685AA1"/>
    <w:rsid w:val="00685E0D"/>
    <w:rsid w:val="00685EA5"/>
    <w:rsid w:val="00685EF3"/>
    <w:rsid w:val="006865B7"/>
    <w:rsid w:val="006867C2"/>
    <w:rsid w:val="0068689D"/>
    <w:rsid w:val="0068710E"/>
    <w:rsid w:val="006875A2"/>
    <w:rsid w:val="00687FB3"/>
    <w:rsid w:val="00690226"/>
    <w:rsid w:val="0069068C"/>
    <w:rsid w:val="00690EA0"/>
    <w:rsid w:val="0069128A"/>
    <w:rsid w:val="00691EF2"/>
    <w:rsid w:val="00692024"/>
    <w:rsid w:val="006925E7"/>
    <w:rsid w:val="0069277E"/>
    <w:rsid w:val="00692790"/>
    <w:rsid w:val="00692B9A"/>
    <w:rsid w:val="00693042"/>
    <w:rsid w:val="006932C5"/>
    <w:rsid w:val="00693814"/>
    <w:rsid w:val="0069394F"/>
    <w:rsid w:val="00693D9C"/>
    <w:rsid w:val="00693DB0"/>
    <w:rsid w:val="00693DFA"/>
    <w:rsid w:val="00693E6F"/>
    <w:rsid w:val="00694306"/>
    <w:rsid w:val="00694E06"/>
    <w:rsid w:val="00694ED1"/>
    <w:rsid w:val="00694FF9"/>
    <w:rsid w:val="00695568"/>
    <w:rsid w:val="00695662"/>
    <w:rsid w:val="00695DF9"/>
    <w:rsid w:val="00696174"/>
    <w:rsid w:val="006966FA"/>
    <w:rsid w:val="00696ABD"/>
    <w:rsid w:val="00696FEF"/>
    <w:rsid w:val="00697409"/>
    <w:rsid w:val="00697DFA"/>
    <w:rsid w:val="006A013F"/>
    <w:rsid w:val="006A0983"/>
    <w:rsid w:val="006A09D9"/>
    <w:rsid w:val="006A0CE5"/>
    <w:rsid w:val="006A0E06"/>
    <w:rsid w:val="006A1311"/>
    <w:rsid w:val="006A192A"/>
    <w:rsid w:val="006A192E"/>
    <w:rsid w:val="006A1D03"/>
    <w:rsid w:val="006A1EBF"/>
    <w:rsid w:val="006A20E8"/>
    <w:rsid w:val="006A21EC"/>
    <w:rsid w:val="006A2B3E"/>
    <w:rsid w:val="006A2FA2"/>
    <w:rsid w:val="006A3409"/>
    <w:rsid w:val="006A3788"/>
    <w:rsid w:val="006A37DE"/>
    <w:rsid w:val="006A3A48"/>
    <w:rsid w:val="006A3E29"/>
    <w:rsid w:val="006A3F48"/>
    <w:rsid w:val="006A4323"/>
    <w:rsid w:val="006A48B8"/>
    <w:rsid w:val="006A4B4F"/>
    <w:rsid w:val="006A5323"/>
    <w:rsid w:val="006A551E"/>
    <w:rsid w:val="006A5745"/>
    <w:rsid w:val="006A576B"/>
    <w:rsid w:val="006A58EE"/>
    <w:rsid w:val="006A59A2"/>
    <w:rsid w:val="006A59CA"/>
    <w:rsid w:val="006A5B2B"/>
    <w:rsid w:val="006A5CB6"/>
    <w:rsid w:val="006A60A5"/>
    <w:rsid w:val="006A6218"/>
    <w:rsid w:val="006A62B8"/>
    <w:rsid w:val="006A6E47"/>
    <w:rsid w:val="006A6F56"/>
    <w:rsid w:val="006A70B7"/>
    <w:rsid w:val="006A7266"/>
    <w:rsid w:val="006A74CC"/>
    <w:rsid w:val="006A75E0"/>
    <w:rsid w:val="006A75FA"/>
    <w:rsid w:val="006A7C63"/>
    <w:rsid w:val="006B07BC"/>
    <w:rsid w:val="006B09BD"/>
    <w:rsid w:val="006B0F3F"/>
    <w:rsid w:val="006B1014"/>
    <w:rsid w:val="006B110A"/>
    <w:rsid w:val="006B1267"/>
    <w:rsid w:val="006B152F"/>
    <w:rsid w:val="006B17C2"/>
    <w:rsid w:val="006B184F"/>
    <w:rsid w:val="006B1923"/>
    <w:rsid w:val="006B1C4B"/>
    <w:rsid w:val="006B1C7F"/>
    <w:rsid w:val="006B1E7F"/>
    <w:rsid w:val="006B2103"/>
    <w:rsid w:val="006B22D6"/>
    <w:rsid w:val="006B2593"/>
    <w:rsid w:val="006B26D1"/>
    <w:rsid w:val="006B3379"/>
    <w:rsid w:val="006B34C0"/>
    <w:rsid w:val="006B3990"/>
    <w:rsid w:val="006B3B30"/>
    <w:rsid w:val="006B3BCF"/>
    <w:rsid w:val="006B3E6D"/>
    <w:rsid w:val="006B423D"/>
    <w:rsid w:val="006B46AE"/>
    <w:rsid w:val="006B47DB"/>
    <w:rsid w:val="006B4913"/>
    <w:rsid w:val="006B49C0"/>
    <w:rsid w:val="006B4A5A"/>
    <w:rsid w:val="006B52E7"/>
    <w:rsid w:val="006B55D1"/>
    <w:rsid w:val="006B6098"/>
    <w:rsid w:val="006B668F"/>
    <w:rsid w:val="006B6C41"/>
    <w:rsid w:val="006B73CA"/>
    <w:rsid w:val="006B754A"/>
    <w:rsid w:val="006B7768"/>
    <w:rsid w:val="006B7B81"/>
    <w:rsid w:val="006C0191"/>
    <w:rsid w:val="006C1063"/>
    <w:rsid w:val="006C15CC"/>
    <w:rsid w:val="006C1717"/>
    <w:rsid w:val="006C1B60"/>
    <w:rsid w:val="006C1D0A"/>
    <w:rsid w:val="006C1D7B"/>
    <w:rsid w:val="006C208E"/>
    <w:rsid w:val="006C2227"/>
    <w:rsid w:val="006C2A48"/>
    <w:rsid w:val="006C2BDC"/>
    <w:rsid w:val="006C2D86"/>
    <w:rsid w:val="006C2E9D"/>
    <w:rsid w:val="006C32F8"/>
    <w:rsid w:val="006C3394"/>
    <w:rsid w:val="006C37E1"/>
    <w:rsid w:val="006C3804"/>
    <w:rsid w:val="006C383E"/>
    <w:rsid w:val="006C3844"/>
    <w:rsid w:val="006C38D1"/>
    <w:rsid w:val="006C3C40"/>
    <w:rsid w:val="006C3FEC"/>
    <w:rsid w:val="006C4327"/>
    <w:rsid w:val="006C4C32"/>
    <w:rsid w:val="006C62F4"/>
    <w:rsid w:val="006C679F"/>
    <w:rsid w:val="006C67B3"/>
    <w:rsid w:val="006C686D"/>
    <w:rsid w:val="006C6955"/>
    <w:rsid w:val="006C6AEA"/>
    <w:rsid w:val="006C6B84"/>
    <w:rsid w:val="006C6D08"/>
    <w:rsid w:val="006C6EC1"/>
    <w:rsid w:val="006C6FD5"/>
    <w:rsid w:val="006C7488"/>
    <w:rsid w:val="006C7530"/>
    <w:rsid w:val="006C7C1D"/>
    <w:rsid w:val="006C7C8E"/>
    <w:rsid w:val="006C7ED9"/>
    <w:rsid w:val="006D0090"/>
    <w:rsid w:val="006D0403"/>
    <w:rsid w:val="006D0AF8"/>
    <w:rsid w:val="006D0D6B"/>
    <w:rsid w:val="006D0DB1"/>
    <w:rsid w:val="006D148B"/>
    <w:rsid w:val="006D2491"/>
    <w:rsid w:val="006D26A3"/>
    <w:rsid w:val="006D280C"/>
    <w:rsid w:val="006D2B4A"/>
    <w:rsid w:val="006D2E13"/>
    <w:rsid w:val="006D3B6B"/>
    <w:rsid w:val="006D3D90"/>
    <w:rsid w:val="006D3DF5"/>
    <w:rsid w:val="006D3EDF"/>
    <w:rsid w:val="006D3FE4"/>
    <w:rsid w:val="006D411D"/>
    <w:rsid w:val="006D43DD"/>
    <w:rsid w:val="006D45BF"/>
    <w:rsid w:val="006D4773"/>
    <w:rsid w:val="006D4801"/>
    <w:rsid w:val="006D531A"/>
    <w:rsid w:val="006D593B"/>
    <w:rsid w:val="006D5BDB"/>
    <w:rsid w:val="006D5F2E"/>
    <w:rsid w:val="006D645A"/>
    <w:rsid w:val="006D669F"/>
    <w:rsid w:val="006D679C"/>
    <w:rsid w:val="006D69DA"/>
    <w:rsid w:val="006D69F9"/>
    <w:rsid w:val="006D6A36"/>
    <w:rsid w:val="006D6C30"/>
    <w:rsid w:val="006D6CBF"/>
    <w:rsid w:val="006D7006"/>
    <w:rsid w:val="006D7453"/>
    <w:rsid w:val="006D78C1"/>
    <w:rsid w:val="006D7E0B"/>
    <w:rsid w:val="006E01CA"/>
    <w:rsid w:val="006E01D2"/>
    <w:rsid w:val="006E0573"/>
    <w:rsid w:val="006E079D"/>
    <w:rsid w:val="006E0C5E"/>
    <w:rsid w:val="006E126B"/>
    <w:rsid w:val="006E12A8"/>
    <w:rsid w:val="006E1535"/>
    <w:rsid w:val="006E1587"/>
    <w:rsid w:val="006E1745"/>
    <w:rsid w:val="006E19E1"/>
    <w:rsid w:val="006E1BE7"/>
    <w:rsid w:val="006E1E3E"/>
    <w:rsid w:val="006E1E92"/>
    <w:rsid w:val="006E27C4"/>
    <w:rsid w:val="006E29E6"/>
    <w:rsid w:val="006E2B57"/>
    <w:rsid w:val="006E33C4"/>
    <w:rsid w:val="006E341C"/>
    <w:rsid w:val="006E36FE"/>
    <w:rsid w:val="006E386D"/>
    <w:rsid w:val="006E3A42"/>
    <w:rsid w:val="006E3B3C"/>
    <w:rsid w:val="006E3D14"/>
    <w:rsid w:val="006E3E76"/>
    <w:rsid w:val="006E44FF"/>
    <w:rsid w:val="006E46E4"/>
    <w:rsid w:val="006E474B"/>
    <w:rsid w:val="006E4804"/>
    <w:rsid w:val="006E486E"/>
    <w:rsid w:val="006E4C58"/>
    <w:rsid w:val="006E5003"/>
    <w:rsid w:val="006E5241"/>
    <w:rsid w:val="006E52C6"/>
    <w:rsid w:val="006E58CC"/>
    <w:rsid w:val="006E5E41"/>
    <w:rsid w:val="006E6407"/>
    <w:rsid w:val="006E6B40"/>
    <w:rsid w:val="006E6D87"/>
    <w:rsid w:val="006E70AD"/>
    <w:rsid w:val="006E7687"/>
    <w:rsid w:val="006F00EB"/>
    <w:rsid w:val="006F048F"/>
    <w:rsid w:val="006F0B1C"/>
    <w:rsid w:val="006F0C4E"/>
    <w:rsid w:val="006F0D89"/>
    <w:rsid w:val="006F0DA7"/>
    <w:rsid w:val="006F1722"/>
    <w:rsid w:val="006F1843"/>
    <w:rsid w:val="006F1AEF"/>
    <w:rsid w:val="006F1BD6"/>
    <w:rsid w:val="006F1F62"/>
    <w:rsid w:val="006F25FC"/>
    <w:rsid w:val="006F26E8"/>
    <w:rsid w:val="006F2B43"/>
    <w:rsid w:val="006F2C32"/>
    <w:rsid w:val="006F2EB5"/>
    <w:rsid w:val="006F2F1B"/>
    <w:rsid w:val="006F3752"/>
    <w:rsid w:val="006F3B38"/>
    <w:rsid w:val="006F4254"/>
    <w:rsid w:val="006F483D"/>
    <w:rsid w:val="006F5338"/>
    <w:rsid w:val="006F56FC"/>
    <w:rsid w:val="006F5B28"/>
    <w:rsid w:val="006F5C37"/>
    <w:rsid w:val="006F6973"/>
    <w:rsid w:val="006F6C6F"/>
    <w:rsid w:val="006F77E1"/>
    <w:rsid w:val="006F7855"/>
    <w:rsid w:val="006F79F9"/>
    <w:rsid w:val="0070007F"/>
    <w:rsid w:val="00700421"/>
    <w:rsid w:val="00700468"/>
    <w:rsid w:val="007004DB"/>
    <w:rsid w:val="00700639"/>
    <w:rsid w:val="00700ADF"/>
    <w:rsid w:val="00700BC4"/>
    <w:rsid w:val="00700CDE"/>
    <w:rsid w:val="00700DD8"/>
    <w:rsid w:val="00701215"/>
    <w:rsid w:val="00701249"/>
    <w:rsid w:val="007015CC"/>
    <w:rsid w:val="0070188E"/>
    <w:rsid w:val="00701EA4"/>
    <w:rsid w:val="00702166"/>
    <w:rsid w:val="00702254"/>
    <w:rsid w:val="00702658"/>
    <w:rsid w:val="007029B9"/>
    <w:rsid w:val="00703005"/>
    <w:rsid w:val="00703193"/>
    <w:rsid w:val="00703460"/>
    <w:rsid w:val="00703891"/>
    <w:rsid w:val="00704392"/>
    <w:rsid w:val="007044A1"/>
    <w:rsid w:val="007046FA"/>
    <w:rsid w:val="00704925"/>
    <w:rsid w:val="00704C5F"/>
    <w:rsid w:val="00705641"/>
    <w:rsid w:val="0070592D"/>
    <w:rsid w:val="0070599E"/>
    <w:rsid w:val="00705A2D"/>
    <w:rsid w:val="00705AE7"/>
    <w:rsid w:val="00705C3D"/>
    <w:rsid w:val="00705E3F"/>
    <w:rsid w:val="007062AE"/>
    <w:rsid w:val="00706851"/>
    <w:rsid w:val="00706B5A"/>
    <w:rsid w:val="00706F61"/>
    <w:rsid w:val="00707113"/>
    <w:rsid w:val="00707CDE"/>
    <w:rsid w:val="00707FBC"/>
    <w:rsid w:val="007118D9"/>
    <w:rsid w:val="00711B71"/>
    <w:rsid w:val="00712298"/>
    <w:rsid w:val="007126EB"/>
    <w:rsid w:val="00712C0A"/>
    <w:rsid w:val="00712C7A"/>
    <w:rsid w:val="007130DB"/>
    <w:rsid w:val="007132FB"/>
    <w:rsid w:val="00713487"/>
    <w:rsid w:val="00713536"/>
    <w:rsid w:val="00713EBF"/>
    <w:rsid w:val="00714074"/>
    <w:rsid w:val="0071458C"/>
    <w:rsid w:val="00714863"/>
    <w:rsid w:val="00714DB3"/>
    <w:rsid w:val="00714F01"/>
    <w:rsid w:val="00715112"/>
    <w:rsid w:val="0071531F"/>
    <w:rsid w:val="0071562D"/>
    <w:rsid w:val="00715AA3"/>
    <w:rsid w:val="00715C73"/>
    <w:rsid w:val="00716035"/>
    <w:rsid w:val="007160B7"/>
    <w:rsid w:val="00716347"/>
    <w:rsid w:val="00716775"/>
    <w:rsid w:val="00716AB1"/>
    <w:rsid w:val="00716B07"/>
    <w:rsid w:val="00717452"/>
    <w:rsid w:val="007176FC"/>
    <w:rsid w:val="00717954"/>
    <w:rsid w:val="00717BED"/>
    <w:rsid w:val="007204B3"/>
    <w:rsid w:val="007207AF"/>
    <w:rsid w:val="00720A32"/>
    <w:rsid w:val="00720ADA"/>
    <w:rsid w:val="00720C39"/>
    <w:rsid w:val="0072103D"/>
    <w:rsid w:val="007213BD"/>
    <w:rsid w:val="0072178B"/>
    <w:rsid w:val="007217AF"/>
    <w:rsid w:val="00721AED"/>
    <w:rsid w:val="00722320"/>
    <w:rsid w:val="0072247A"/>
    <w:rsid w:val="00722625"/>
    <w:rsid w:val="0072296A"/>
    <w:rsid w:val="00723454"/>
    <w:rsid w:val="00723548"/>
    <w:rsid w:val="00723860"/>
    <w:rsid w:val="00723867"/>
    <w:rsid w:val="00723A3C"/>
    <w:rsid w:val="00723B0A"/>
    <w:rsid w:val="00723E2B"/>
    <w:rsid w:val="00723E76"/>
    <w:rsid w:val="007247F4"/>
    <w:rsid w:val="00724A18"/>
    <w:rsid w:val="00724A8A"/>
    <w:rsid w:val="00724AE3"/>
    <w:rsid w:val="00725450"/>
    <w:rsid w:val="00725EFF"/>
    <w:rsid w:val="007268D5"/>
    <w:rsid w:val="007269B2"/>
    <w:rsid w:val="00726A04"/>
    <w:rsid w:val="0072766A"/>
    <w:rsid w:val="007277E7"/>
    <w:rsid w:val="00727E2E"/>
    <w:rsid w:val="007300F5"/>
    <w:rsid w:val="007309C9"/>
    <w:rsid w:val="00730E3B"/>
    <w:rsid w:val="00730F2E"/>
    <w:rsid w:val="0073101D"/>
    <w:rsid w:val="00731653"/>
    <w:rsid w:val="007318EF"/>
    <w:rsid w:val="00731B11"/>
    <w:rsid w:val="00731FB4"/>
    <w:rsid w:val="00732061"/>
    <w:rsid w:val="007322CA"/>
    <w:rsid w:val="00732493"/>
    <w:rsid w:val="0073253A"/>
    <w:rsid w:val="00732572"/>
    <w:rsid w:val="007326AB"/>
    <w:rsid w:val="00732764"/>
    <w:rsid w:val="00732EDD"/>
    <w:rsid w:val="0073318F"/>
    <w:rsid w:val="00733ACA"/>
    <w:rsid w:val="00734191"/>
    <w:rsid w:val="007341AF"/>
    <w:rsid w:val="0073447A"/>
    <w:rsid w:val="00734530"/>
    <w:rsid w:val="0073467F"/>
    <w:rsid w:val="007347FC"/>
    <w:rsid w:val="0073482A"/>
    <w:rsid w:val="0073484A"/>
    <w:rsid w:val="00734AFA"/>
    <w:rsid w:val="0073528F"/>
    <w:rsid w:val="0073582F"/>
    <w:rsid w:val="00735E96"/>
    <w:rsid w:val="007363FF"/>
    <w:rsid w:val="0073682E"/>
    <w:rsid w:val="0073712C"/>
    <w:rsid w:val="0073727D"/>
    <w:rsid w:val="007373A7"/>
    <w:rsid w:val="007375CF"/>
    <w:rsid w:val="00737656"/>
    <w:rsid w:val="00737A34"/>
    <w:rsid w:val="00737B7B"/>
    <w:rsid w:val="00737DE6"/>
    <w:rsid w:val="00740A4B"/>
    <w:rsid w:val="00740BB8"/>
    <w:rsid w:val="00740E2C"/>
    <w:rsid w:val="007410B5"/>
    <w:rsid w:val="007414D5"/>
    <w:rsid w:val="00741950"/>
    <w:rsid w:val="00741EBB"/>
    <w:rsid w:val="0074224F"/>
    <w:rsid w:val="007425D6"/>
    <w:rsid w:val="007427D5"/>
    <w:rsid w:val="00742AF3"/>
    <w:rsid w:val="00742BDE"/>
    <w:rsid w:val="0074313A"/>
    <w:rsid w:val="0074356E"/>
    <w:rsid w:val="00743BE2"/>
    <w:rsid w:val="007441DC"/>
    <w:rsid w:val="00744336"/>
    <w:rsid w:val="00744422"/>
    <w:rsid w:val="0074458D"/>
    <w:rsid w:val="007445A0"/>
    <w:rsid w:val="0074482E"/>
    <w:rsid w:val="007450A7"/>
    <w:rsid w:val="007451ED"/>
    <w:rsid w:val="0074541E"/>
    <w:rsid w:val="00745611"/>
    <w:rsid w:val="00745A0B"/>
    <w:rsid w:val="00745A91"/>
    <w:rsid w:val="00745B28"/>
    <w:rsid w:val="00745D50"/>
    <w:rsid w:val="00746BAF"/>
    <w:rsid w:val="00746DA2"/>
    <w:rsid w:val="007470FD"/>
    <w:rsid w:val="0074713E"/>
    <w:rsid w:val="0074716E"/>
    <w:rsid w:val="007473AC"/>
    <w:rsid w:val="007476DA"/>
    <w:rsid w:val="007476EA"/>
    <w:rsid w:val="00747AFD"/>
    <w:rsid w:val="00747C62"/>
    <w:rsid w:val="00747D80"/>
    <w:rsid w:val="00747FA5"/>
    <w:rsid w:val="0075052D"/>
    <w:rsid w:val="00750609"/>
    <w:rsid w:val="00750896"/>
    <w:rsid w:val="00750C43"/>
    <w:rsid w:val="007511D0"/>
    <w:rsid w:val="0075162E"/>
    <w:rsid w:val="0075182A"/>
    <w:rsid w:val="00751D58"/>
    <w:rsid w:val="007524D7"/>
    <w:rsid w:val="00752B4B"/>
    <w:rsid w:val="00753AE7"/>
    <w:rsid w:val="00753CF7"/>
    <w:rsid w:val="00753DD9"/>
    <w:rsid w:val="00753FE9"/>
    <w:rsid w:val="0075416E"/>
    <w:rsid w:val="00754458"/>
    <w:rsid w:val="0075465D"/>
    <w:rsid w:val="00754CA5"/>
    <w:rsid w:val="00754F17"/>
    <w:rsid w:val="00755274"/>
    <w:rsid w:val="00755336"/>
    <w:rsid w:val="0075537C"/>
    <w:rsid w:val="0075581E"/>
    <w:rsid w:val="0075583D"/>
    <w:rsid w:val="00756593"/>
    <w:rsid w:val="007567BA"/>
    <w:rsid w:val="007569D5"/>
    <w:rsid w:val="00756C88"/>
    <w:rsid w:val="00756EF3"/>
    <w:rsid w:val="0075748F"/>
    <w:rsid w:val="007577ED"/>
    <w:rsid w:val="00757E24"/>
    <w:rsid w:val="00757EA5"/>
    <w:rsid w:val="0076002F"/>
    <w:rsid w:val="00760534"/>
    <w:rsid w:val="00761129"/>
    <w:rsid w:val="007617FC"/>
    <w:rsid w:val="007619E9"/>
    <w:rsid w:val="007619F7"/>
    <w:rsid w:val="00761B24"/>
    <w:rsid w:val="00761DF2"/>
    <w:rsid w:val="00761F9A"/>
    <w:rsid w:val="00762077"/>
    <w:rsid w:val="007624F5"/>
    <w:rsid w:val="00762545"/>
    <w:rsid w:val="007625E7"/>
    <w:rsid w:val="0076267E"/>
    <w:rsid w:val="00762683"/>
    <w:rsid w:val="00762CE7"/>
    <w:rsid w:val="00763443"/>
    <w:rsid w:val="007634C5"/>
    <w:rsid w:val="007638C5"/>
    <w:rsid w:val="00763D2D"/>
    <w:rsid w:val="00763DDB"/>
    <w:rsid w:val="0076441E"/>
    <w:rsid w:val="007646CD"/>
    <w:rsid w:val="00764705"/>
    <w:rsid w:val="0076474D"/>
    <w:rsid w:val="00764B1F"/>
    <w:rsid w:val="007650EE"/>
    <w:rsid w:val="007655A6"/>
    <w:rsid w:val="007657C9"/>
    <w:rsid w:val="00765AF9"/>
    <w:rsid w:val="007661C4"/>
    <w:rsid w:val="007669D2"/>
    <w:rsid w:val="00766A90"/>
    <w:rsid w:val="00766F5D"/>
    <w:rsid w:val="00766FB1"/>
    <w:rsid w:val="007672D5"/>
    <w:rsid w:val="00767404"/>
    <w:rsid w:val="00767447"/>
    <w:rsid w:val="00767745"/>
    <w:rsid w:val="00767B3A"/>
    <w:rsid w:val="00770068"/>
    <w:rsid w:val="00770278"/>
    <w:rsid w:val="00770366"/>
    <w:rsid w:val="00770C99"/>
    <w:rsid w:val="007710B3"/>
    <w:rsid w:val="00771281"/>
    <w:rsid w:val="007712CE"/>
    <w:rsid w:val="007719CB"/>
    <w:rsid w:val="007719CE"/>
    <w:rsid w:val="00771BE2"/>
    <w:rsid w:val="007721CD"/>
    <w:rsid w:val="007725FC"/>
    <w:rsid w:val="00772774"/>
    <w:rsid w:val="00772D01"/>
    <w:rsid w:val="00772E63"/>
    <w:rsid w:val="00773816"/>
    <w:rsid w:val="007738E2"/>
    <w:rsid w:val="00773B59"/>
    <w:rsid w:val="00773F4F"/>
    <w:rsid w:val="00774BA2"/>
    <w:rsid w:val="00774D37"/>
    <w:rsid w:val="00774FD2"/>
    <w:rsid w:val="007750A5"/>
    <w:rsid w:val="007750E9"/>
    <w:rsid w:val="00775165"/>
    <w:rsid w:val="0077545E"/>
    <w:rsid w:val="00775665"/>
    <w:rsid w:val="00775891"/>
    <w:rsid w:val="00775ABB"/>
    <w:rsid w:val="0077622F"/>
    <w:rsid w:val="00776484"/>
    <w:rsid w:val="00776AF5"/>
    <w:rsid w:val="00776B42"/>
    <w:rsid w:val="00776C54"/>
    <w:rsid w:val="00776DE5"/>
    <w:rsid w:val="007774FB"/>
    <w:rsid w:val="0077752F"/>
    <w:rsid w:val="00777B09"/>
    <w:rsid w:val="00777B37"/>
    <w:rsid w:val="00777CDE"/>
    <w:rsid w:val="00777FA4"/>
    <w:rsid w:val="00777FE7"/>
    <w:rsid w:val="00780112"/>
    <w:rsid w:val="00780300"/>
    <w:rsid w:val="0078035A"/>
    <w:rsid w:val="00780686"/>
    <w:rsid w:val="00780946"/>
    <w:rsid w:val="00780E14"/>
    <w:rsid w:val="0078109E"/>
    <w:rsid w:val="00781292"/>
    <w:rsid w:val="007813F9"/>
    <w:rsid w:val="00781574"/>
    <w:rsid w:val="0078159D"/>
    <w:rsid w:val="00781AA9"/>
    <w:rsid w:val="00781B1C"/>
    <w:rsid w:val="00781D15"/>
    <w:rsid w:val="00781EFB"/>
    <w:rsid w:val="00781F7B"/>
    <w:rsid w:val="0078212B"/>
    <w:rsid w:val="0078242C"/>
    <w:rsid w:val="007824CC"/>
    <w:rsid w:val="007824E4"/>
    <w:rsid w:val="00782851"/>
    <w:rsid w:val="00782CD4"/>
    <w:rsid w:val="007831EC"/>
    <w:rsid w:val="007831FD"/>
    <w:rsid w:val="007835D1"/>
    <w:rsid w:val="0078364B"/>
    <w:rsid w:val="00783961"/>
    <w:rsid w:val="00783D5C"/>
    <w:rsid w:val="00783EEA"/>
    <w:rsid w:val="00783EFE"/>
    <w:rsid w:val="0078464C"/>
    <w:rsid w:val="00784C9D"/>
    <w:rsid w:val="00784FF2"/>
    <w:rsid w:val="0078500A"/>
    <w:rsid w:val="00785061"/>
    <w:rsid w:val="0078526C"/>
    <w:rsid w:val="007856C0"/>
    <w:rsid w:val="00786635"/>
    <w:rsid w:val="0078666C"/>
    <w:rsid w:val="0078675F"/>
    <w:rsid w:val="0078683D"/>
    <w:rsid w:val="007868AC"/>
    <w:rsid w:val="00786BBA"/>
    <w:rsid w:val="00787048"/>
    <w:rsid w:val="00787EDE"/>
    <w:rsid w:val="00787EEB"/>
    <w:rsid w:val="00790697"/>
    <w:rsid w:val="007906C8"/>
    <w:rsid w:val="007908F6"/>
    <w:rsid w:val="00790A47"/>
    <w:rsid w:val="00790CA1"/>
    <w:rsid w:val="0079112F"/>
    <w:rsid w:val="0079128F"/>
    <w:rsid w:val="007913F6"/>
    <w:rsid w:val="00791652"/>
    <w:rsid w:val="0079166F"/>
    <w:rsid w:val="00791834"/>
    <w:rsid w:val="00791954"/>
    <w:rsid w:val="00791C15"/>
    <w:rsid w:val="00791C8A"/>
    <w:rsid w:val="00791DE3"/>
    <w:rsid w:val="00792236"/>
    <w:rsid w:val="0079236C"/>
    <w:rsid w:val="00792488"/>
    <w:rsid w:val="00792C99"/>
    <w:rsid w:val="00793210"/>
    <w:rsid w:val="00793489"/>
    <w:rsid w:val="007934D3"/>
    <w:rsid w:val="00793850"/>
    <w:rsid w:val="007940DF"/>
    <w:rsid w:val="00794366"/>
    <w:rsid w:val="00794670"/>
    <w:rsid w:val="00794C84"/>
    <w:rsid w:val="007953C1"/>
    <w:rsid w:val="007964DE"/>
    <w:rsid w:val="0079658F"/>
    <w:rsid w:val="00796959"/>
    <w:rsid w:val="007969AE"/>
    <w:rsid w:val="00796BE0"/>
    <w:rsid w:val="00796DCF"/>
    <w:rsid w:val="00797044"/>
    <w:rsid w:val="007973C2"/>
    <w:rsid w:val="00797519"/>
    <w:rsid w:val="00797B2C"/>
    <w:rsid w:val="007A00A0"/>
    <w:rsid w:val="007A0591"/>
    <w:rsid w:val="007A0E43"/>
    <w:rsid w:val="007A13BB"/>
    <w:rsid w:val="007A1494"/>
    <w:rsid w:val="007A1CFB"/>
    <w:rsid w:val="007A1D7A"/>
    <w:rsid w:val="007A1EBB"/>
    <w:rsid w:val="007A24F6"/>
    <w:rsid w:val="007A2607"/>
    <w:rsid w:val="007A287D"/>
    <w:rsid w:val="007A2E3C"/>
    <w:rsid w:val="007A30B3"/>
    <w:rsid w:val="007A3B2A"/>
    <w:rsid w:val="007A3DA4"/>
    <w:rsid w:val="007A40AC"/>
    <w:rsid w:val="007A455E"/>
    <w:rsid w:val="007A490D"/>
    <w:rsid w:val="007A4C6F"/>
    <w:rsid w:val="007A4CE8"/>
    <w:rsid w:val="007A5302"/>
    <w:rsid w:val="007A5590"/>
    <w:rsid w:val="007A559B"/>
    <w:rsid w:val="007A55DF"/>
    <w:rsid w:val="007A6189"/>
    <w:rsid w:val="007A6202"/>
    <w:rsid w:val="007A6324"/>
    <w:rsid w:val="007A681E"/>
    <w:rsid w:val="007A68F0"/>
    <w:rsid w:val="007A696E"/>
    <w:rsid w:val="007A6A13"/>
    <w:rsid w:val="007A6E1B"/>
    <w:rsid w:val="007A6F00"/>
    <w:rsid w:val="007A73CA"/>
    <w:rsid w:val="007A75E5"/>
    <w:rsid w:val="007A75E6"/>
    <w:rsid w:val="007A78EB"/>
    <w:rsid w:val="007A7937"/>
    <w:rsid w:val="007B0192"/>
    <w:rsid w:val="007B06BB"/>
    <w:rsid w:val="007B07C4"/>
    <w:rsid w:val="007B1341"/>
    <w:rsid w:val="007B23BC"/>
    <w:rsid w:val="007B23C0"/>
    <w:rsid w:val="007B25D0"/>
    <w:rsid w:val="007B28EE"/>
    <w:rsid w:val="007B2A28"/>
    <w:rsid w:val="007B3314"/>
    <w:rsid w:val="007B3727"/>
    <w:rsid w:val="007B3B83"/>
    <w:rsid w:val="007B3C8B"/>
    <w:rsid w:val="007B4AC4"/>
    <w:rsid w:val="007B4CFB"/>
    <w:rsid w:val="007B4DD9"/>
    <w:rsid w:val="007B5638"/>
    <w:rsid w:val="007B589E"/>
    <w:rsid w:val="007B5A2D"/>
    <w:rsid w:val="007B5C56"/>
    <w:rsid w:val="007B66D8"/>
    <w:rsid w:val="007B68AE"/>
    <w:rsid w:val="007B6CDC"/>
    <w:rsid w:val="007B6F93"/>
    <w:rsid w:val="007B709F"/>
    <w:rsid w:val="007B7193"/>
    <w:rsid w:val="007B7468"/>
    <w:rsid w:val="007B7766"/>
    <w:rsid w:val="007B7FDC"/>
    <w:rsid w:val="007B7FFC"/>
    <w:rsid w:val="007C00F7"/>
    <w:rsid w:val="007C0531"/>
    <w:rsid w:val="007C079B"/>
    <w:rsid w:val="007C07C8"/>
    <w:rsid w:val="007C0922"/>
    <w:rsid w:val="007C09A9"/>
    <w:rsid w:val="007C0AA1"/>
    <w:rsid w:val="007C1316"/>
    <w:rsid w:val="007C159F"/>
    <w:rsid w:val="007C1734"/>
    <w:rsid w:val="007C1F9A"/>
    <w:rsid w:val="007C261C"/>
    <w:rsid w:val="007C2662"/>
    <w:rsid w:val="007C27A6"/>
    <w:rsid w:val="007C363B"/>
    <w:rsid w:val="007C3F2E"/>
    <w:rsid w:val="007C3FB3"/>
    <w:rsid w:val="007C4075"/>
    <w:rsid w:val="007C52B1"/>
    <w:rsid w:val="007C5413"/>
    <w:rsid w:val="007C54D2"/>
    <w:rsid w:val="007C58B8"/>
    <w:rsid w:val="007C5C4E"/>
    <w:rsid w:val="007C5DD2"/>
    <w:rsid w:val="007C61B5"/>
    <w:rsid w:val="007C6838"/>
    <w:rsid w:val="007C6920"/>
    <w:rsid w:val="007C75BB"/>
    <w:rsid w:val="007C75C1"/>
    <w:rsid w:val="007C7886"/>
    <w:rsid w:val="007C7942"/>
    <w:rsid w:val="007D04AA"/>
    <w:rsid w:val="007D080D"/>
    <w:rsid w:val="007D0872"/>
    <w:rsid w:val="007D0A96"/>
    <w:rsid w:val="007D0DC9"/>
    <w:rsid w:val="007D14A6"/>
    <w:rsid w:val="007D1777"/>
    <w:rsid w:val="007D180F"/>
    <w:rsid w:val="007D18C3"/>
    <w:rsid w:val="007D2553"/>
    <w:rsid w:val="007D28EF"/>
    <w:rsid w:val="007D2F6C"/>
    <w:rsid w:val="007D32E1"/>
    <w:rsid w:val="007D3376"/>
    <w:rsid w:val="007D3393"/>
    <w:rsid w:val="007D33ED"/>
    <w:rsid w:val="007D3781"/>
    <w:rsid w:val="007D37FC"/>
    <w:rsid w:val="007D3870"/>
    <w:rsid w:val="007D391E"/>
    <w:rsid w:val="007D3937"/>
    <w:rsid w:val="007D3EE3"/>
    <w:rsid w:val="007D463D"/>
    <w:rsid w:val="007D463F"/>
    <w:rsid w:val="007D47F7"/>
    <w:rsid w:val="007D4ACB"/>
    <w:rsid w:val="007D4DC0"/>
    <w:rsid w:val="007D4E4A"/>
    <w:rsid w:val="007D4E56"/>
    <w:rsid w:val="007D52F4"/>
    <w:rsid w:val="007D547C"/>
    <w:rsid w:val="007D5813"/>
    <w:rsid w:val="007D5ACE"/>
    <w:rsid w:val="007D5B34"/>
    <w:rsid w:val="007D5DCD"/>
    <w:rsid w:val="007D6398"/>
    <w:rsid w:val="007D640B"/>
    <w:rsid w:val="007D6625"/>
    <w:rsid w:val="007D6927"/>
    <w:rsid w:val="007D6E47"/>
    <w:rsid w:val="007D6EA2"/>
    <w:rsid w:val="007D7136"/>
    <w:rsid w:val="007D715D"/>
    <w:rsid w:val="007D761C"/>
    <w:rsid w:val="007D766F"/>
    <w:rsid w:val="007D7729"/>
    <w:rsid w:val="007D7C27"/>
    <w:rsid w:val="007E0345"/>
    <w:rsid w:val="007E056F"/>
    <w:rsid w:val="007E07C9"/>
    <w:rsid w:val="007E0899"/>
    <w:rsid w:val="007E0951"/>
    <w:rsid w:val="007E0AC9"/>
    <w:rsid w:val="007E0C91"/>
    <w:rsid w:val="007E0C9F"/>
    <w:rsid w:val="007E0DFB"/>
    <w:rsid w:val="007E1761"/>
    <w:rsid w:val="007E1933"/>
    <w:rsid w:val="007E1977"/>
    <w:rsid w:val="007E1AF4"/>
    <w:rsid w:val="007E1B2A"/>
    <w:rsid w:val="007E1E7E"/>
    <w:rsid w:val="007E2216"/>
    <w:rsid w:val="007E2231"/>
    <w:rsid w:val="007E22F8"/>
    <w:rsid w:val="007E2781"/>
    <w:rsid w:val="007E2D12"/>
    <w:rsid w:val="007E3DF1"/>
    <w:rsid w:val="007E409E"/>
    <w:rsid w:val="007E40B9"/>
    <w:rsid w:val="007E4392"/>
    <w:rsid w:val="007E4446"/>
    <w:rsid w:val="007E45F7"/>
    <w:rsid w:val="007E4787"/>
    <w:rsid w:val="007E4930"/>
    <w:rsid w:val="007E4C9C"/>
    <w:rsid w:val="007E4D5D"/>
    <w:rsid w:val="007E508F"/>
    <w:rsid w:val="007E5653"/>
    <w:rsid w:val="007E5BE2"/>
    <w:rsid w:val="007E5E63"/>
    <w:rsid w:val="007E649B"/>
    <w:rsid w:val="007E6A9D"/>
    <w:rsid w:val="007E6C50"/>
    <w:rsid w:val="007E6E86"/>
    <w:rsid w:val="007E6F8D"/>
    <w:rsid w:val="007E7576"/>
    <w:rsid w:val="007E7B66"/>
    <w:rsid w:val="007E7BF8"/>
    <w:rsid w:val="007E7E16"/>
    <w:rsid w:val="007E7F22"/>
    <w:rsid w:val="007F09A4"/>
    <w:rsid w:val="007F0BA5"/>
    <w:rsid w:val="007F1051"/>
    <w:rsid w:val="007F13B8"/>
    <w:rsid w:val="007F13D1"/>
    <w:rsid w:val="007F14B9"/>
    <w:rsid w:val="007F14F8"/>
    <w:rsid w:val="007F1D06"/>
    <w:rsid w:val="007F205D"/>
    <w:rsid w:val="007F2332"/>
    <w:rsid w:val="007F2435"/>
    <w:rsid w:val="007F257E"/>
    <w:rsid w:val="007F2A0C"/>
    <w:rsid w:val="007F2C15"/>
    <w:rsid w:val="007F2E4C"/>
    <w:rsid w:val="007F2E8C"/>
    <w:rsid w:val="007F319A"/>
    <w:rsid w:val="007F319C"/>
    <w:rsid w:val="007F37B1"/>
    <w:rsid w:val="007F384F"/>
    <w:rsid w:val="007F3AEA"/>
    <w:rsid w:val="007F3B59"/>
    <w:rsid w:val="007F3EA8"/>
    <w:rsid w:val="007F41D1"/>
    <w:rsid w:val="007F4A7A"/>
    <w:rsid w:val="007F4FD4"/>
    <w:rsid w:val="007F5960"/>
    <w:rsid w:val="007F5B51"/>
    <w:rsid w:val="007F615E"/>
    <w:rsid w:val="007F62F1"/>
    <w:rsid w:val="007F64C2"/>
    <w:rsid w:val="007F6562"/>
    <w:rsid w:val="007F65CA"/>
    <w:rsid w:val="007F65D9"/>
    <w:rsid w:val="007F6B46"/>
    <w:rsid w:val="007F6B92"/>
    <w:rsid w:val="007F721D"/>
    <w:rsid w:val="007F72DA"/>
    <w:rsid w:val="007F784D"/>
    <w:rsid w:val="007F7B45"/>
    <w:rsid w:val="007F7F4A"/>
    <w:rsid w:val="0080005B"/>
    <w:rsid w:val="00800111"/>
    <w:rsid w:val="00800166"/>
    <w:rsid w:val="0080016B"/>
    <w:rsid w:val="00800432"/>
    <w:rsid w:val="00800490"/>
    <w:rsid w:val="00800721"/>
    <w:rsid w:val="00800759"/>
    <w:rsid w:val="00800B5C"/>
    <w:rsid w:val="00800DBB"/>
    <w:rsid w:val="008012F8"/>
    <w:rsid w:val="008014DA"/>
    <w:rsid w:val="0080170D"/>
    <w:rsid w:val="0080179D"/>
    <w:rsid w:val="00801B1D"/>
    <w:rsid w:val="00801B49"/>
    <w:rsid w:val="00801C60"/>
    <w:rsid w:val="00802028"/>
    <w:rsid w:val="00802595"/>
    <w:rsid w:val="008028E6"/>
    <w:rsid w:val="00802C66"/>
    <w:rsid w:val="00802F8C"/>
    <w:rsid w:val="008030E0"/>
    <w:rsid w:val="008030ED"/>
    <w:rsid w:val="00803B01"/>
    <w:rsid w:val="00803C91"/>
    <w:rsid w:val="00804719"/>
    <w:rsid w:val="00804B7D"/>
    <w:rsid w:val="00804FBA"/>
    <w:rsid w:val="00805086"/>
    <w:rsid w:val="008050F8"/>
    <w:rsid w:val="00805119"/>
    <w:rsid w:val="008052E7"/>
    <w:rsid w:val="0080583C"/>
    <w:rsid w:val="008058DB"/>
    <w:rsid w:val="0080666E"/>
    <w:rsid w:val="008067BB"/>
    <w:rsid w:val="00806B8A"/>
    <w:rsid w:val="00806FA7"/>
    <w:rsid w:val="00807037"/>
    <w:rsid w:val="008075BA"/>
    <w:rsid w:val="008076ED"/>
    <w:rsid w:val="00807966"/>
    <w:rsid w:val="008079A0"/>
    <w:rsid w:val="00807A5C"/>
    <w:rsid w:val="00807AAF"/>
    <w:rsid w:val="00807DE0"/>
    <w:rsid w:val="00810049"/>
    <w:rsid w:val="008101E1"/>
    <w:rsid w:val="0081044C"/>
    <w:rsid w:val="00810671"/>
    <w:rsid w:val="00810AF2"/>
    <w:rsid w:val="00810C08"/>
    <w:rsid w:val="0081125E"/>
    <w:rsid w:val="008112DD"/>
    <w:rsid w:val="0081243A"/>
    <w:rsid w:val="00812475"/>
    <w:rsid w:val="008127D8"/>
    <w:rsid w:val="00812D00"/>
    <w:rsid w:val="00812F0C"/>
    <w:rsid w:val="00813101"/>
    <w:rsid w:val="008132AB"/>
    <w:rsid w:val="00813501"/>
    <w:rsid w:val="008135F3"/>
    <w:rsid w:val="00813B04"/>
    <w:rsid w:val="00814150"/>
    <w:rsid w:val="0081475B"/>
    <w:rsid w:val="00814785"/>
    <w:rsid w:val="0081488A"/>
    <w:rsid w:val="00814AE4"/>
    <w:rsid w:val="00814F5E"/>
    <w:rsid w:val="00815760"/>
    <w:rsid w:val="008159EB"/>
    <w:rsid w:val="00816600"/>
    <w:rsid w:val="0081661B"/>
    <w:rsid w:val="00816793"/>
    <w:rsid w:val="008167F1"/>
    <w:rsid w:val="00816D28"/>
    <w:rsid w:val="008179B8"/>
    <w:rsid w:val="00817C5A"/>
    <w:rsid w:val="008204E8"/>
    <w:rsid w:val="00820581"/>
    <w:rsid w:val="00820ABA"/>
    <w:rsid w:val="008213F6"/>
    <w:rsid w:val="008219B2"/>
    <w:rsid w:val="008220A1"/>
    <w:rsid w:val="00822775"/>
    <w:rsid w:val="00822B12"/>
    <w:rsid w:val="00822B3F"/>
    <w:rsid w:val="00822B60"/>
    <w:rsid w:val="00822ECF"/>
    <w:rsid w:val="00822FDE"/>
    <w:rsid w:val="008237F1"/>
    <w:rsid w:val="00823F27"/>
    <w:rsid w:val="008242BE"/>
    <w:rsid w:val="008242C3"/>
    <w:rsid w:val="00824383"/>
    <w:rsid w:val="00824430"/>
    <w:rsid w:val="008246EC"/>
    <w:rsid w:val="008248E9"/>
    <w:rsid w:val="008248F0"/>
    <w:rsid w:val="00824DC3"/>
    <w:rsid w:val="008250B5"/>
    <w:rsid w:val="0082585F"/>
    <w:rsid w:val="0082593C"/>
    <w:rsid w:val="00825C91"/>
    <w:rsid w:val="00825DD0"/>
    <w:rsid w:val="00826071"/>
    <w:rsid w:val="00826398"/>
    <w:rsid w:val="00826534"/>
    <w:rsid w:val="0082654D"/>
    <w:rsid w:val="008268A5"/>
    <w:rsid w:val="008269C4"/>
    <w:rsid w:val="00826D27"/>
    <w:rsid w:val="008271DA"/>
    <w:rsid w:val="008273DB"/>
    <w:rsid w:val="008273F6"/>
    <w:rsid w:val="00827639"/>
    <w:rsid w:val="0082767B"/>
    <w:rsid w:val="008276A1"/>
    <w:rsid w:val="00827DC7"/>
    <w:rsid w:val="008301AA"/>
    <w:rsid w:val="00830438"/>
    <w:rsid w:val="0083067E"/>
    <w:rsid w:val="008308EF"/>
    <w:rsid w:val="00830902"/>
    <w:rsid w:val="00830AA7"/>
    <w:rsid w:val="008310A9"/>
    <w:rsid w:val="00831393"/>
    <w:rsid w:val="00831EBD"/>
    <w:rsid w:val="008322AC"/>
    <w:rsid w:val="00832502"/>
    <w:rsid w:val="0083257C"/>
    <w:rsid w:val="00832B03"/>
    <w:rsid w:val="0083330D"/>
    <w:rsid w:val="008334DF"/>
    <w:rsid w:val="00833600"/>
    <w:rsid w:val="0083382F"/>
    <w:rsid w:val="00833C9E"/>
    <w:rsid w:val="00833D81"/>
    <w:rsid w:val="00833E74"/>
    <w:rsid w:val="00833F2D"/>
    <w:rsid w:val="00833FEA"/>
    <w:rsid w:val="00834120"/>
    <w:rsid w:val="00834335"/>
    <w:rsid w:val="00834399"/>
    <w:rsid w:val="008346C1"/>
    <w:rsid w:val="00834918"/>
    <w:rsid w:val="00834CEC"/>
    <w:rsid w:val="00834D6A"/>
    <w:rsid w:val="00834F1A"/>
    <w:rsid w:val="00835210"/>
    <w:rsid w:val="0083522A"/>
    <w:rsid w:val="0083530D"/>
    <w:rsid w:val="0083533E"/>
    <w:rsid w:val="00835365"/>
    <w:rsid w:val="008354E6"/>
    <w:rsid w:val="008355A1"/>
    <w:rsid w:val="00835A43"/>
    <w:rsid w:val="00835C25"/>
    <w:rsid w:val="008360B5"/>
    <w:rsid w:val="00836469"/>
    <w:rsid w:val="00836895"/>
    <w:rsid w:val="00836906"/>
    <w:rsid w:val="00836AD5"/>
    <w:rsid w:val="00836C44"/>
    <w:rsid w:val="0083768C"/>
    <w:rsid w:val="00837863"/>
    <w:rsid w:val="00837879"/>
    <w:rsid w:val="0083788B"/>
    <w:rsid w:val="00837953"/>
    <w:rsid w:val="008379BF"/>
    <w:rsid w:val="00837B2C"/>
    <w:rsid w:val="00837D88"/>
    <w:rsid w:val="00837F3E"/>
    <w:rsid w:val="008404E1"/>
    <w:rsid w:val="0084085C"/>
    <w:rsid w:val="00840952"/>
    <w:rsid w:val="00840D1F"/>
    <w:rsid w:val="00840E92"/>
    <w:rsid w:val="00841A79"/>
    <w:rsid w:val="00841F25"/>
    <w:rsid w:val="008420A7"/>
    <w:rsid w:val="008422F9"/>
    <w:rsid w:val="00842DC2"/>
    <w:rsid w:val="0084309C"/>
    <w:rsid w:val="0084309D"/>
    <w:rsid w:val="0084331C"/>
    <w:rsid w:val="00843357"/>
    <w:rsid w:val="0084337A"/>
    <w:rsid w:val="008437FA"/>
    <w:rsid w:val="00843961"/>
    <w:rsid w:val="008439EE"/>
    <w:rsid w:val="00843A2B"/>
    <w:rsid w:val="00843CC4"/>
    <w:rsid w:val="00843F7C"/>
    <w:rsid w:val="008440D0"/>
    <w:rsid w:val="00844246"/>
    <w:rsid w:val="008446E3"/>
    <w:rsid w:val="008449BC"/>
    <w:rsid w:val="00844B48"/>
    <w:rsid w:val="008450E7"/>
    <w:rsid w:val="00845808"/>
    <w:rsid w:val="008458D6"/>
    <w:rsid w:val="008459A0"/>
    <w:rsid w:val="00845B2A"/>
    <w:rsid w:val="0084605C"/>
    <w:rsid w:val="00846322"/>
    <w:rsid w:val="00846689"/>
    <w:rsid w:val="00846988"/>
    <w:rsid w:val="00846B2A"/>
    <w:rsid w:val="00846DE1"/>
    <w:rsid w:val="00847241"/>
    <w:rsid w:val="008478E9"/>
    <w:rsid w:val="00847D53"/>
    <w:rsid w:val="00847E30"/>
    <w:rsid w:val="008501BD"/>
    <w:rsid w:val="0085071D"/>
    <w:rsid w:val="00850A9E"/>
    <w:rsid w:val="00850CF1"/>
    <w:rsid w:val="00851468"/>
    <w:rsid w:val="00851B6C"/>
    <w:rsid w:val="00851DA0"/>
    <w:rsid w:val="008524DB"/>
    <w:rsid w:val="0085286F"/>
    <w:rsid w:val="00852AD7"/>
    <w:rsid w:val="00852B95"/>
    <w:rsid w:val="00852C83"/>
    <w:rsid w:val="0085370E"/>
    <w:rsid w:val="00853A52"/>
    <w:rsid w:val="00853CE5"/>
    <w:rsid w:val="00853EA8"/>
    <w:rsid w:val="00854284"/>
    <w:rsid w:val="008546A6"/>
    <w:rsid w:val="00854703"/>
    <w:rsid w:val="0085474D"/>
    <w:rsid w:val="00854C0A"/>
    <w:rsid w:val="00854D2E"/>
    <w:rsid w:val="008550BC"/>
    <w:rsid w:val="0085539B"/>
    <w:rsid w:val="008553F8"/>
    <w:rsid w:val="00855E82"/>
    <w:rsid w:val="00855ED9"/>
    <w:rsid w:val="00855F8D"/>
    <w:rsid w:val="0085618D"/>
    <w:rsid w:val="00856B2F"/>
    <w:rsid w:val="00856D52"/>
    <w:rsid w:val="008578A9"/>
    <w:rsid w:val="0085798E"/>
    <w:rsid w:val="00857A08"/>
    <w:rsid w:val="00857C42"/>
    <w:rsid w:val="00857E9D"/>
    <w:rsid w:val="00857F23"/>
    <w:rsid w:val="0086001F"/>
    <w:rsid w:val="00860228"/>
    <w:rsid w:val="00860611"/>
    <w:rsid w:val="00860BE4"/>
    <w:rsid w:val="00862079"/>
    <w:rsid w:val="0086317A"/>
    <w:rsid w:val="0086327E"/>
    <w:rsid w:val="008633CF"/>
    <w:rsid w:val="00863BA1"/>
    <w:rsid w:val="00863C65"/>
    <w:rsid w:val="00863E3D"/>
    <w:rsid w:val="00863E4F"/>
    <w:rsid w:val="00863EFF"/>
    <w:rsid w:val="00864419"/>
    <w:rsid w:val="00864446"/>
    <w:rsid w:val="008646AF"/>
    <w:rsid w:val="008647FE"/>
    <w:rsid w:val="00864C47"/>
    <w:rsid w:val="0086519A"/>
    <w:rsid w:val="00865449"/>
    <w:rsid w:val="008655E7"/>
    <w:rsid w:val="00865EDE"/>
    <w:rsid w:val="00866989"/>
    <w:rsid w:val="008675CB"/>
    <w:rsid w:val="008708B8"/>
    <w:rsid w:val="00870A28"/>
    <w:rsid w:val="00870DC1"/>
    <w:rsid w:val="00871438"/>
    <w:rsid w:val="0087160F"/>
    <w:rsid w:val="008716EE"/>
    <w:rsid w:val="008717BC"/>
    <w:rsid w:val="00871888"/>
    <w:rsid w:val="008719A5"/>
    <w:rsid w:val="00871E67"/>
    <w:rsid w:val="00872409"/>
    <w:rsid w:val="008729AB"/>
    <w:rsid w:val="00872B52"/>
    <w:rsid w:val="00872F3B"/>
    <w:rsid w:val="00872F60"/>
    <w:rsid w:val="00873032"/>
    <w:rsid w:val="00873219"/>
    <w:rsid w:val="00873288"/>
    <w:rsid w:val="00873565"/>
    <w:rsid w:val="00873C5E"/>
    <w:rsid w:val="00873C7C"/>
    <w:rsid w:val="00873DC3"/>
    <w:rsid w:val="00873F98"/>
    <w:rsid w:val="00874357"/>
    <w:rsid w:val="00874B06"/>
    <w:rsid w:val="0087528C"/>
    <w:rsid w:val="00875522"/>
    <w:rsid w:val="00875C0E"/>
    <w:rsid w:val="00875C8D"/>
    <w:rsid w:val="00876200"/>
    <w:rsid w:val="00876476"/>
    <w:rsid w:val="008764B8"/>
    <w:rsid w:val="0087658C"/>
    <w:rsid w:val="00876789"/>
    <w:rsid w:val="00876DA4"/>
    <w:rsid w:val="008772A1"/>
    <w:rsid w:val="008777D9"/>
    <w:rsid w:val="008779FD"/>
    <w:rsid w:val="00877AF9"/>
    <w:rsid w:val="00877E9F"/>
    <w:rsid w:val="00880096"/>
    <w:rsid w:val="00880206"/>
    <w:rsid w:val="0088059F"/>
    <w:rsid w:val="00881200"/>
    <w:rsid w:val="008815E0"/>
    <w:rsid w:val="00881ADE"/>
    <w:rsid w:val="00881B53"/>
    <w:rsid w:val="00881FDB"/>
    <w:rsid w:val="008822E5"/>
    <w:rsid w:val="0088278F"/>
    <w:rsid w:val="00882846"/>
    <w:rsid w:val="00882896"/>
    <w:rsid w:val="008832D4"/>
    <w:rsid w:val="0088390D"/>
    <w:rsid w:val="00883F8D"/>
    <w:rsid w:val="00883F91"/>
    <w:rsid w:val="008841F6"/>
    <w:rsid w:val="0088430B"/>
    <w:rsid w:val="0088458B"/>
    <w:rsid w:val="008847A6"/>
    <w:rsid w:val="00884849"/>
    <w:rsid w:val="00884DF9"/>
    <w:rsid w:val="0088504E"/>
    <w:rsid w:val="00885118"/>
    <w:rsid w:val="00885232"/>
    <w:rsid w:val="0088526E"/>
    <w:rsid w:val="0088550C"/>
    <w:rsid w:val="00885F97"/>
    <w:rsid w:val="00886011"/>
    <w:rsid w:val="0088657D"/>
    <w:rsid w:val="00886BF8"/>
    <w:rsid w:val="00886CFB"/>
    <w:rsid w:val="008870B8"/>
    <w:rsid w:val="0088717A"/>
    <w:rsid w:val="008872B0"/>
    <w:rsid w:val="008876F5"/>
    <w:rsid w:val="008877C0"/>
    <w:rsid w:val="00887A61"/>
    <w:rsid w:val="008900D9"/>
    <w:rsid w:val="0089087D"/>
    <w:rsid w:val="00891588"/>
    <w:rsid w:val="00891A57"/>
    <w:rsid w:val="00891D4F"/>
    <w:rsid w:val="00891EAC"/>
    <w:rsid w:val="0089200D"/>
    <w:rsid w:val="00892017"/>
    <w:rsid w:val="0089204B"/>
    <w:rsid w:val="00892107"/>
    <w:rsid w:val="00892112"/>
    <w:rsid w:val="00892429"/>
    <w:rsid w:val="00892496"/>
    <w:rsid w:val="008926B8"/>
    <w:rsid w:val="00892C5D"/>
    <w:rsid w:val="00892D58"/>
    <w:rsid w:val="00892E2D"/>
    <w:rsid w:val="00893058"/>
    <w:rsid w:val="00893221"/>
    <w:rsid w:val="008938E3"/>
    <w:rsid w:val="008939F5"/>
    <w:rsid w:val="00893E91"/>
    <w:rsid w:val="00893EC7"/>
    <w:rsid w:val="0089419A"/>
    <w:rsid w:val="00894205"/>
    <w:rsid w:val="00894242"/>
    <w:rsid w:val="008942B9"/>
    <w:rsid w:val="0089493D"/>
    <w:rsid w:val="00894F33"/>
    <w:rsid w:val="00895174"/>
    <w:rsid w:val="00895320"/>
    <w:rsid w:val="00895333"/>
    <w:rsid w:val="008955F8"/>
    <w:rsid w:val="00895B0D"/>
    <w:rsid w:val="00895D05"/>
    <w:rsid w:val="00895F83"/>
    <w:rsid w:val="00895FD3"/>
    <w:rsid w:val="00896124"/>
    <w:rsid w:val="008966D1"/>
    <w:rsid w:val="0089677D"/>
    <w:rsid w:val="00896971"/>
    <w:rsid w:val="00896B37"/>
    <w:rsid w:val="00896D64"/>
    <w:rsid w:val="00896E1F"/>
    <w:rsid w:val="00897243"/>
    <w:rsid w:val="0089753D"/>
    <w:rsid w:val="008975CA"/>
    <w:rsid w:val="00897782"/>
    <w:rsid w:val="008977FF"/>
    <w:rsid w:val="0089790E"/>
    <w:rsid w:val="00897D60"/>
    <w:rsid w:val="00897EB9"/>
    <w:rsid w:val="008A05D6"/>
    <w:rsid w:val="008A0EC1"/>
    <w:rsid w:val="008A1054"/>
    <w:rsid w:val="008A116D"/>
    <w:rsid w:val="008A15E3"/>
    <w:rsid w:val="008A18C7"/>
    <w:rsid w:val="008A18F2"/>
    <w:rsid w:val="008A1C54"/>
    <w:rsid w:val="008A1FB9"/>
    <w:rsid w:val="008A22B1"/>
    <w:rsid w:val="008A24E7"/>
    <w:rsid w:val="008A29AD"/>
    <w:rsid w:val="008A2A5E"/>
    <w:rsid w:val="008A2AE0"/>
    <w:rsid w:val="008A2BC3"/>
    <w:rsid w:val="008A33CD"/>
    <w:rsid w:val="008A33E9"/>
    <w:rsid w:val="008A395A"/>
    <w:rsid w:val="008A3DF6"/>
    <w:rsid w:val="008A3E8C"/>
    <w:rsid w:val="008A3F3F"/>
    <w:rsid w:val="008A436D"/>
    <w:rsid w:val="008A4377"/>
    <w:rsid w:val="008A4588"/>
    <w:rsid w:val="008A4742"/>
    <w:rsid w:val="008A499B"/>
    <w:rsid w:val="008A4BD9"/>
    <w:rsid w:val="008A596C"/>
    <w:rsid w:val="008A5C3C"/>
    <w:rsid w:val="008A5F3E"/>
    <w:rsid w:val="008A6287"/>
    <w:rsid w:val="008A6D52"/>
    <w:rsid w:val="008A717A"/>
    <w:rsid w:val="008A74E2"/>
    <w:rsid w:val="008A7823"/>
    <w:rsid w:val="008A78CB"/>
    <w:rsid w:val="008A78FA"/>
    <w:rsid w:val="008B0248"/>
    <w:rsid w:val="008B05E4"/>
    <w:rsid w:val="008B0A03"/>
    <w:rsid w:val="008B0A4A"/>
    <w:rsid w:val="008B0BD3"/>
    <w:rsid w:val="008B0C73"/>
    <w:rsid w:val="008B0FC6"/>
    <w:rsid w:val="008B1514"/>
    <w:rsid w:val="008B1807"/>
    <w:rsid w:val="008B1940"/>
    <w:rsid w:val="008B1C8F"/>
    <w:rsid w:val="008B2C39"/>
    <w:rsid w:val="008B2CDA"/>
    <w:rsid w:val="008B2FCA"/>
    <w:rsid w:val="008B309D"/>
    <w:rsid w:val="008B3458"/>
    <w:rsid w:val="008B3A67"/>
    <w:rsid w:val="008B3D62"/>
    <w:rsid w:val="008B3DF4"/>
    <w:rsid w:val="008B3F13"/>
    <w:rsid w:val="008B4082"/>
    <w:rsid w:val="008B425A"/>
    <w:rsid w:val="008B436D"/>
    <w:rsid w:val="008B4678"/>
    <w:rsid w:val="008B4696"/>
    <w:rsid w:val="008B477F"/>
    <w:rsid w:val="008B4E84"/>
    <w:rsid w:val="008B510E"/>
    <w:rsid w:val="008B57A3"/>
    <w:rsid w:val="008B5A2D"/>
    <w:rsid w:val="008B6A62"/>
    <w:rsid w:val="008B6B6D"/>
    <w:rsid w:val="008B6DC8"/>
    <w:rsid w:val="008B7CBD"/>
    <w:rsid w:val="008B7E57"/>
    <w:rsid w:val="008B7FC7"/>
    <w:rsid w:val="008C0DD7"/>
    <w:rsid w:val="008C0EC0"/>
    <w:rsid w:val="008C1777"/>
    <w:rsid w:val="008C196B"/>
    <w:rsid w:val="008C1A29"/>
    <w:rsid w:val="008C1A70"/>
    <w:rsid w:val="008C2439"/>
    <w:rsid w:val="008C26E6"/>
    <w:rsid w:val="008C2766"/>
    <w:rsid w:val="008C2915"/>
    <w:rsid w:val="008C296C"/>
    <w:rsid w:val="008C2DCA"/>
    <w:rsid w:val="008C3069"/>
    <w:rsid w:val="008C30A1"/>
    <w:rsid w:val="008C3159"/>
    <w:rsid w:val="008C353F"/>
    <w:rsid w:val="008C358C"/>
    <w:rsid w:val="008C362D"/>
    <w:rsid w:val="008C3786"/>
    <w:rsid w:val="008C3811"/>
    <w:rsid w:val="008C44EF"/>
    <w:rsid w:val="008C4D0E"/>
    <w:rsid w:val="008C4D62"/>
    <w:rsid w:val="008C4FAF"/>
    <w:rsid w:val="008C50FF"/>
    <w:rsid w:val="008C516E"/>
    <w:rsid w:val="008C5237"/>
    <w:rsid w:val="008C5682"/>
    <w:rsid w:val="008C5B3D"/>
    <w:rsid w:val="008C5C9B"/>
    <w:rsid w:val="008C63DA"/>
    <w:rsid w:val="008C67EF"/>
    <w:rsid w:val="008C6947"/>
    <w:rsid w:val="008C69D6"/>
    <w:rsid w:val="008C69DD"/>
    <w:rsid w:val="008C6BED"/>
    <w:rsid w:val="008C708E"/>
    <w:rsid w:val="008C7185"/>
    <w:rsid w:val="008C71B3"/>
    <w:rsid w:val="008C7220"/>
    <w:rsid w:val="008C732B"/>
    <w:rsid w:val="008C75B7"/>
    <w:rsid w:val="008C7871"/>
    <w:rsid w:val="008C787C"/>
    <w:rsid w:val="008C790A"/>
    <w:rsid w:val="008C7DEB"/>
    <w:rsid w:val="008C7E7E"/>
    <w:rsid w:val="008C7F75"/>
    <w:rsid w:val="008D065A"/>
    <w:rsid w:val="008D0797"/>
    <w:rsid w:val="008D0828"/>
    <w:rsid w:val="008D0858"/>
    <w:rsid w:val="008D0FBE"/>
    <w:rsid w:val="008D18B6"/>
    <w:rsid w:val="008D1A1F"/>
    <w:rsid w:val="008D1A97"/>
    <w:rsid w:val="008D1C6F"/>
    <w:rsid w:val="008D1D50"/>
    <w:rsid w:val="008D1DE8"/>
    <w:rsid w:val="008D1F1C"/>
    <w:rsid w:val="008D1F60"/>
    <w:rsid w:val="008D2153"/>
    <w:rsid w:val="008D2B3C"/>
    <w:rsid w:val="008D31B6"/>
    <w:rsid w:val="008D31C9"/>
    <w:rsid w:val="008D33AE"/>
    <w:rsid w:val="008D349E"/>
    <w:rsid w:val="008D35DE"/>
    <w:rsid w:val="008D3670"/>
    <w:rsid w:val="008D3A77"/>
    <w:rsid w:val="008D41BE"/>
    <w:rsid w:val="008D4C8F"/>
    <w:rsid w:val="008D4EBF"/>
    <w:rsid w:val="008D4FAC"/>
    <w:rsid w:val="008D53C1"/>
    <w:rsid w:val="008D5A85"/>
    <w:rsid w:val="008D5DCD"/>
    <w:rsid w:val="008D666B"/>
    <w:rsid w:val="008D66B7"/>
    <w:rsid w:val="008D6A6F"/>
    <w:rsid w:val="008D6E3E"/>
    <w:rsid w:val="008D6FC0"/>
    <w:rsid w:val="008D70BB"/>
    <w:rsid w:val="008D7A86"/>
    <w:rsid w:val="008E021D"/>
    <w:rsid w:val="008E0361"/>
    <w:rsid w:val="008E0510"/>
    <w:rsid w:val="008E080F"/>
    <w:rsid w:val="008E1360"/>
    <w:rsid w:val="008E143A"/>
    <w:rsid w:val="008E170C"/>
    <w:rsid w:val="008E1A1A"/>
    <w:rsid w:val="008E2513"/>
    <w:rsid w:val="008E2812"/>
    <w:rsid w:val="008E28AF"/>
    <w:rsid w:val="008E2936"/>
    <w:rsid w:val="008E2CCB"/>
    <w:rsid w:val="008E2D4C"/>
    <w:rsid w:val="008E3504"/>
    <w:rsid w:val="008E3913"/>
    <w:rsid w:val="008E39D0"/>
    <w:rsid w:val="008E43F2"/>
    <w:rsid w:val="008E4B98"/>
    <w:rsid w:val="008E4F2F"/>
    <w:rsid w:val="008E51F3"/>
    <w:rsid w:val="008E575D"/>
    <w:rsid w:val="008E58EF"/>
    <w:rsid w:val="008E614B"/>
    <w:rsid w:val="008E6209"/>
    <w:rsid w:val="008E647C"/>
    <w:rsid w:val="008E69FA"/>
    <w:rsid w:val="008E6A2B"/>
    <w:rsid w:val="008E6FA3"/>
    <w:rsid w:val="008E7523"/>
    <w:rsid w:val="008E7953"/>
    <w:rsid w:val="008E7A46"/>
    <w:rsid w:val="008E7BA3"/>
    <w:rsid w:val="008F0D4C"/>
    <w:rsid w:val="008F13F4"/>
    <w:rsid w:val="008F14A1"/>
    <w:rsid w:val="008F1811"/>
    <w:rsid w:val="008F1A77"/>
    <w:rsid w:val="008F1AF8"/>
    <w:rsid w:val="008F1B0B"/>
    <w:rsid w:val="008F2015"/>
    <w:rsid w:val="008F2263"/>
    <w:rsid w:val="008F2495"/>
    <w:rsid w:val="008F2827"/>
    <w:rsid w:val="008F2D27"/>
    <w:rsid w:val="008F2F16"/>
    <w:rsid w:val="008F323F"/>
    <w:rsid w:val="008F34B9"/>
    <w:rsid w:val="008F385C"/>
    <w:rsid w:val="008F3880"/>
    <w:rsid w:val="008F3A72"/>
    <w:rsid w:val="008F3C02"/>
    <w:rsid w:val="008F3EA9"/>
    <w:rsid w:val="008F436D"/>
    <w:rsid w:val="008F43CE"/>
    <w:rsid w:val="008F44E3"/>
    <w:rsid w:val="008F45B4"/>
    <w:rsid w:val="008F47ED"/>
    <w:rsid w:val="008F4867"/>
    <w:rsid w:val="008F526B"/>
    <w:rsid w:val="008F542E"/>
    <w:rsid w:val="008F6066"/>
    <w:rsid w:val="008F6169"/>
    <w:rsid w:val="008F6A28"/>
    <w:rsid w:val="008F747C"/>
    <w:rsid w:val="008F7681"/>
    <w:rsid w:val="008F76AC"/>
    <w:rsid w:val="009006A5"/>
    <w:rsid w:val="00900972"/>
    <w:rsid w:val="00900FC7"/>
    <w:rsid w:val="0090107B"/>
    <w:rsid w:val="00901232"/>
    <w:rsid w:val="0090170F"/>
    <w:rsid w:val="00901794"/>
    <w:rsid w:val="0090192B"/>
    <w:rsid w:val="00901B4E"/>
    <w:rsid w:val="00901B58"/>
    <w:rsid w:val="00901CA9"/>
    <w:rsid w:val="0090228C"/>
    <w:rsid w:val="009024C0"/>
    <w:rsid w:val="00902721"/>
    <w:rsid w:val="0090289A"/>
    <w:rsid w:val="009034F1"/>
    <w:rsid w:val="0090391A"/>
    <w:rsid w:val="00903A80"/>
    <w:rsid w:val="00903B7D"/>
    <w:rsid w:val="00903C2A"/>
    <w:rsid w:val="00903F9F"/>
    <w:rsid w:val="009040DC"/>
    <w:rsid w:val="0090429D"/>
    <w:rsid w:val="009043A4"/>
    <w:rsid w:val="00904637"/>
    <w:rsid w:val="009049AD"/>
    <w:rsid w:val="00904D2C"/>
    <w:rsid w:val="00904D39"/>
    <w:rsid w:val="009055D8"/>
    <w:rsid w:val="0090585A"/>
    <w:rsid w:val="00905DDE"/>
    <w:rsid w:val="009064EC"/>
    <w:rsid w:val="009067B5"/>
    <w:rsid w:val="009075BB"/>
    <w:rsid w:val="009077B9"/>
    <w:rsid w:val="0090794F"/>
    <w:rsid w:val="00907AF7"/>
    <w:rsid w:val="00907B62"/>
    <w:rsid w:val="00907C95"/>
    <w:rsid w:val="00907FAC"/>
    <w:rsid w:val="00907FAF"/>
    <w:rsid w:val="00907FD5"/>
    <w:rsid w:val="0091022C"/>
    <w:rsid w:val="00910913"/>
    <w:rsid w:val="00910D8C"/>
    <w:rsid w:val="00911A34"/>
    <w:rsid w:val="00911EB5"/>
    <w:rsid w:val="00911F56"/>
    <w:rsid w:val="00912C3A"/>
    <w:rsid w:val="009133C4"/>
    <w:rsid w:val="009133F1"/>
    <w:rsid w:val="00913B3D"/>
    <w:rsid w:val="00913D3F"/>
    <w:rsid w:val="00913E49"/>
    <w:rsid w:val="00913FC5"/>
    <w:rsid w:val="00914784"/>
    <w:rsid w:val="00914D2B"/>
    <w:rsid w:val="009152A2"/>
    <w:rsid w:val="00915CE3"/>
    <w:rsid w:val="00915D19"/>
    <w:rsid w:val="00915F70"/>
    <w:rsid w:val="009161AC"/>
    <w:rsid w:val="0091627A"/>
    <w:rsid w:val="00916622"/>
    <w:rsid w:val="0091740C"/>
    <w:rsid w:val="0091752D"/>
    <w:rsid w:val="009176FE"/>
    <w:rsid w:val="009177D7"/>
    <w:rsid w:val="00917AD6"/>
    <w:rsid w:val="00917B81"/>
    <w:rsid w:val="00917EEE"/>
    <w:rsid w:val="009205B6"/>
    <w:rsid w:val="00920C39"/>
    <w:rsid w:val="00920F55"/>
    <w:rsid w:val="0092128F"/>
    <w:rsid w:val="0092193E"/>
    <w:rsid w:val="00921E04"/>
    <w:rsid w:val="0092238B"/>
    <w:rsid w:val="00922736"/>
    <w:rsid w:val="00922988"/>
    <w:rsid w:val="00922B1D"/>
    <w:rsid w:val="00922E80"/>
    <w:rsid w:val="00922FF5"/>
    <w:rsid w:val="00923029"/>
    <w:rsid w:val="009230D9"/>
    <w:rsid w:val="009230E1"/>
    <w:rsid w:val="00923BA1"/>
    <w:rsid w:val="00924E36"/>
    <w:rsid w:val="009254EC"/>
    <w:rsid w:val="009255E7"/>
    <w:rsid w:val="00925669"/>
    <w:rsid w:val="00925734"/>
    <w:rsid w:val="00925836"/>
    <w:rsid w:val="00925ABA"/>
    <w:rsid w:val="00925ECD"/>
    <w:rsid w:val="00925FCB"/>
    <w:rsid w:val="009260AD"/>
    <w:rsid w:val="0092615C"/>
    <w:rsid w:val="009266C9"/>
    <w:rsid w:val="009266DB"/>
    <w:rsid w:val="00926978"/>
    <w:rsid w:val="00926D60"/>
    <w:rsid w:val="00926F7C"/>
    <w:rsid w:val="0092709C"/>
    <w:rsid w:val="00927249"/>
    <w:rsid w:val="00927AC3"/>
    <w:rsid w:val="00927BF5"/>
    <w:rsid w:val="00927DD3"/>
    <w:rsid w:val="00930202"/>
    <w:rsid w:val="0093025E"/>
    <w:rsid w:val="00930B13"/>
    <w:rsid w:val="00930C81"/>
    <w:rsid w:val="00930D44"/>
    <w:rsid w:val="009312CB"/>
    <w:rsid w:val="00931C13"/>
    <w:rsid w:val="00931CB6"/>
    <w:rsid w:val="00932088"/>
    <w:rsid w:val="0093245E"/>
    <w:rsid w:val="00932BA9"/>
    <w:rsid w:val="009336E2"/>
    <w:rsid w:val="00933C78"/>
    <w:rsid w:val="00933D84"/>
    <w:rsid w:val="00933E74"/>
    <w:rsid w:val="00933F58"/>
    <w:rsid w:val="0093417D"/>
    <w:rsid w:val="009341C3"/>
    <w:rsid w:val="009342BF"/>
    <w:rsid w:val="009342E3"/>
    <w:rsid w:val="0093494D"/>
    <w:rsid w:val="0093495A"/>
    <w:rsid w:val="00934C90"/>
    <w:rsid w:val="00934E0B"/>
    <w:rsid w:val="0093512B"/>
    <w:rsid w:val="00935AA1"/>
    <w:rsid w:val="00935B21"/>
    <w:rsid w:val="00935B60"/>
    <w:rsid w:val="00935CAB"/>
    <w:rsid w:val="00936161"/>
    <w:rsid w:val="009367E3"/>
    <w:rsid w:val="00936C99"/>
    <w:rsid w:val="009370A1"/>
    <w:rsid w:val="009375D8"/>
    <w:rsid w:val="00937BA3"/>
    <w:rsid w:val="00940168"/>
    <w:rsid w:val="0094018F"/>
    <w:rsid w:val="0094069E"/>
    <w:rsid w:val="00940BAC"/>
    <w:rsid w:val="00940BE0"/>
    <w:rsid w:val="009415C5"/>
    <w:rsid w:val="00941973"/>
    <w:rsid w:val="00941ABE"/>
    <w:rsid w:val="009424FE"/>
    <w:rsid w:val="00942BBB"/>
    <w:rsid w:val="00942DB3"/>
    <w:rsid w:val="00942E7A"/>
    <w:rsid w:val="00943075"/>
    <w:rsid w:val="009435AA"/>
    <w:rsid w:val="00943694"/>
    <w:rsid w:val="0094384D"/>
    <w:rsid w:val="009438FF"/>
    <w:rsid w:val="00943951"/>
    <w:rsid w:val="0094398E"/>
    <w:rsid w:val="009439AE"/>
    <w:rsid w:val="00943CE9"/>
    <w:rsid w:val="009444F8"/>
    <w:rsid w:val="009455AC"/>
    <w:rsid w:val="00945877"/>
    <w:rsid w:val="00945C13"/>
    <w:rsid w:val="00945FEE"/>
    <w:rsid w:val="0094632D"/>
    <w:rsid w:val="00946489"/>
    <w:rsid w:val="00946686"/>
    <w:rsid w:val="009467CC"/>
    <w:rsid w:val="00946C80"/>
    <w:rsid w:val="00946DE1"/>
    <w:rsid w:val="0094706E"/>
    <w:rsid w:val="00947CB8"/>
    <w:rsid w:val="00947D42"/>
    <w:rsid w:val="00947EE9"/>
    <w:rsid w:val="00947F2F"/>
    <w:rsid w:val="00947F57"/>
    <w:rsid w:val="00947F5A"/>
    <w:rsid w:val="00950146"/>
    <w:rsid w:val="009502AC"/>
    <w:rsid w:val="00950398"/>
    <w:rsid w:val="009504DE"/>
    <w:rsid w:val="0095088D"/>
    <w:rsid w:val="00950A2C"/>
    <w:rsid w:val="009511D9"/>
    <w:rsid w:val="00951F28"/>
    <w:rsid w:val="0095238E"/>
    <w:rsid w:val="009527E4"/>
    <w:rsid w:val="00953169"/>
    <w:rsid w:val="009531B2"/>
    <w:rsid w:val="009532BC"/>
    <w:rsid w:val="00954182"/>
    <w:rsid w:val="009541C1"/>
    <w:rsid w:val="009541FD"/>
    <w:rsid w:val="00954603"/>
    <w:rsid w:val="009546CE"/>
    <w:rsid w:val="00954883"/>
    <w:rsid w:val="00954B17"/>
    <w:rsid w:val="00955243"/>
    <w:rsid w:val="00955300"/>
    <w:rsid w:val="00955366"/>
    <w:rsid w:val="00955EB5"/>
    <w:rsid w:val="00956088"/>
    <w:rsid w:val="00956266"/>
    <w:rsid w:val="009562A0"/>
    <w:rsid w:val="0095632F"/>
    <w:rsid w:val="009564A9"/>
    <w:rsid w:val="00956851"/>
    <w:rsid w:val="00956E80"/>
    <w:rsid w:val="00956E88"/>
    <w:rsid w:val="00956EF1"/>
    <w:rsid w:val="00956F9A"/>
    <w:rsid w:val="0096056B"/>
    <w:rsid w:val="009608F5"/>
    <w:rsid w:val="00960F49"/>
    <w:rsid w:val="009618D8"/>
    <w:rsid w:val="00961A2B"/>
    <w:rsid w:val="00961E8A"/>
    <w:rsid w:val="009620F2"/>
    <w:rsid w:val="00962169"/>
    <w:rsid w:val="009624EF"/>
    <w:rsid w:val="009629C0"/>
    <w:rsid w:val="00962A50"/>
    <w:rsid w:val="00962DB3"/>
    <w:rsid w:val="0096315F"/>
    <w:rsid w:val="00963206"/>
    <w:rsid w:val="0096351B"/>
    <w:rsid w:val="00963D63"/>
    <w:rsid w:val="0096411E"/>
    <w:rsid w:val="009641F8"/>
    <w:rsid w:val="009642CE"/>
    <w:rsid w:val="00964421"/>
    <w:rsid w:val="00964A26"/>
    <w:rsid w:val="00964B31"/>
    <w:rsid w:val="00965294"/>
    <w:rsid w:val="00965307"/>
    <w:rsid w:val="00965351"/>
    <w:rsid w:val="009653D1"/>
    <w:rsid w:val="009658C8"/>
    <w:rsid w:val="00965F46"/>
    <w:rsid w:val="00965FEA"/>
    <w:rsid w:val="00966697"/>
    <w:rsid w:val="009672E8"/>
    <w:rsid w:val="0096739F"/>
    <w:rsid w:val="009675B1"/>
    <w:rsid w:val="00967A50"/>
    <w:rsid w:val="00967BDC"/>
    <w:rsid w:val="00970405"/>
    <w:rsid w:val="00970602"/>
    <w:rsid w:val="00970CE4"/>
    <w:rsid w:val="00970DC5"/>
    <w:rsid w:val="00970E9A"/>
    <w:rsid w:val="00971453"/>
    <w:rsid w:val="00971480"/>
    <w:rsid w:val="00972313"/>
    <w:rsid w:val="009723D8"/>
    <w:rsid w:val="00972D91"/>
    <w:rsid w:val="00972F50"/>
    <w:rsid w:val="009730F1"/>
    <w:rsid w:val="00973328"/>
    <w:rsid w:val="00973669"/>
    <w:rsid w:val="00974A01"/>
    <w:rsid w:val="00974ABE"/>
    <w:rsid w:val="00974F1B"/>
    <w:rsid w:val="00974F2F"/>
    <w:rsid w:val="00974FAC"/>
    <w:rsid w:val="009756AB"/>
    <w:rsid w:val="00975918"/>
    <w:rsid w:val="00975DBA"/>
    <w:rsid w:val="00975DBB"/>
    <w:rsid w:val="00976313"/>
    <w:rsid w:val="0097633E"/>
    <w:rsid w:val="009764CF"/>
    <w:rsid w:val="00976B54"/>
    <w:rsid w:val="00976BE9"/>
    <w:rsid w:val="00976E03"/>
    <w:rsid w:val="009770C0"/>
    <w:rsid w:val="009770ED"/>
    <w:rsid w:val="0097720B"/>
    <w:rsid w:val="0097738A"/>
    <w:rsid w:val="00977580"/>
    <w:rsid w:val="00977A2D"/>
    <w:rsid w:val="00977B33"/>
    <w:rsid w:val="00977BCC"/>
    <w:rsid w:val="00977C59"/>
    <w:rsid w:val="009803BE"/>
    <w:rsid w:val="00980652"/>
    <w:rsid w:val="00980922"/>
    <w:rsid w:val="009811B2"/>
    <w:rsid w:val="009813C2"/>
    <w:rsid w:val="00981D29"/>
    <w:rsid w:val="00981FD9"/>
    <w:rsid w:val="0098207B"/>
    <w:rsid w:val="00982BC8"/>
    <w:rsid w:val="00982ED7"/>
    <w:rsid w:val="00982EF5"/>
    <w:rsid w:val="00982F6F"/>
    <w:rsid w:val="00983521"/>
    <w:rsid w:val="00983E78"/>
    <w:rsid w:val="00984A1C"/>
    <w:rsid w:val="00984AA3"/>
    <w:rsid w:val="00985550"/>
    <w:rsid w:val="0098560E"/>
    <w:rsid w:val="009859A5"/>
    <w:rsid w:val="00985B93"/>
    <w:rsid w:val="009860C4"/>
    <w:rsid w:val="009863DD"/>
    <w:rsid w:val="0098666B"/>
    <w:rsid w:val="009866C3"/>
    <w:rsid w:val="00986A11"/>
    <w:rsid w:val="00986F2E"/>
    <w:rsid w:val="00987391"/>
    <w:rsid w:val="00987559"/>
    <w:rsid w:val="009876A0"/>
    <w:rsid w:val="009876D1"/>
    <w:rsid w:val="0098771B"/>
    <w:rsid w:val="009878F6"/>
    <w:rsid w:val="00990587"/>
    <w:rsid w:val="009906DE"/>
    <w:rsid w:val="00990CD1"/>
    <w:rsid w:val="00991245"/>
    <w:rsid w:val="00991430"/>
    <w:rsid w:val="00991DA3"/>
    <w:rsid w:val="00992022"/>
    <w:rsid w:val="0099245E"/>
    <w:rsid w:val="00992B19"/>
    <w:rsid w:val="00992E1D"/>
    <w:rsid w:val="00993367"/>
    <w:rsid w:val="009933C1"/>
    <w:rsid w:val="0099340C"/>
    <w:rsid w:val="00993505"/>
    <w:rsid w:val="009946CB"/>
    <w:rsid w:val="00994A3D"/>
    <w:rsid w:val="00994E5C"/>
    <w:rsid w:val="00994FB7"/>
    <w:rsid w:val="0099541A"/>
    <w:rsid w:val="009956CB"/>
    <w:rsid w:val="00995738"/>
    <w:rsid w:val="00995CE5"/>
    <w:rsid w:val="00996062"/>
    <w:rsid w:val="009965AE"/>
    <w:rsid w:val="00996E0D"/>
    <w:rsid w:val="00997189"/>
    <w:rsid w:val="009972FC"/>
    <w:rsid w:val="0099779B"/>
    <w:rsid w:val="00997DE8"/>
    <w:rsid w:val="00997E53"/>
    <w:rsid w:val="009A0DD9"/>
    <w:rsid w:val="009A11D3"/>
    <w:rsid w:val="009A167A"/>
    <w:rsid w:val="009A1831"/>
    <w:rsid w:val="009A18D0"/>
    <w:rsid w:val="009A1BBF"/>
    <w:rsid w:val="009A1E0B"/>
    <w:rsid w:val="009A205F"/>
    <w:rsid w:val="009A227A"/>
    <w:rsid w:val="009A22ED"/>
    <w:rsid w:val="009A250D"/>
    <w:rsid w:val="009A2730"/>
    <w:rsid w:val="009A3189"/>
    <w:rsid w:val="009A39B9"/>
    <w:rsid w:val="009A3D10"/>
    <w:rsid w:val="009A3D1F"/>
    <w:rsid w:val="009A4667"/>
    <w:rsid w:val="009A4D05"/>
    <w:rsid w:val="009A5201"/>
    <w:rsid w:val="009A53E7"/>
    <w:rsid w:val="009A5523"/>
    <w:rsid w:val="009A582B"/>
    <w:rsid w:val="009A5935"/>
    <w:rsid w:val="009A5BBA"/>
    <w:rsid w:val="009A6090"/>
    <w:rsid w:val="009A61CF"/>
    <w:rsid w:val="009A6747"/>
    <w:rsid w:val="009A6B3D"/>
    <w:rsid w:val="009A753D"/>
    <w:rsid w:val="009A76BC"/>
    <w:rsid w:val="009B00BC"/>
    <w:rsid w:val="009B0555"/>
    <w:rsid w:val="009B0ABC"/>
    <w:rsid w:val="009B0B90"/>
    <w:rsid w:val="009B0B92"/>
    <w:rsid w:val="009B0C48"/>
    <w:rsid w:val="009B1580"/>
    <w:rsid w:val="009B1B02"/>
    <w:rsid w:val="009B1B05"/>
    <w:rsid w:val="009B1E25"/>
    <w:rsid w:val="009B22FD"/>
    <w:rsid w:val="009B2585"/>
    <w:rsid w:val="009B2777"/>
    <w:rsid w:val="009B3268"/>
    <w:rsid w:val="009B32A5"/>
    <w:rsid w:val="009B37CF"/>
    <w:rsid w:val="009B4609"/>
    <w:rsid w:val="009B4A0A"/>
    <w:rsid w:val="009B54A1"/>
    <w:rsid w:val="009B554D"/>
    <w:rsid w:val="009B5605"/>
    <w:rsid w:val="009B5EC4"/>
    <w:rsid w:val="009B6108"/>
    <w:rsid w:val="009B7241"/>
    <w:rsid w:val="009B7254"/>
    <w:rsid w:val="009B735C"/>
    <w:rsid w:val="009B7A37"/>
    <w:rsid w:val="009B7A47"/>
    <w:rsid w:val="009B7ABE"/>
    <w:rsid w:val="009B7BE9"/>
    <w:rsid w:val="009C00F0"/>
    <w:rsid w:val="009C0446"/>
    <w:rsid w:val="009C0B77"/>
    <w:rsid w:val="009C0F6E"/>
    <w:rsid w:val="009C16A2"/>
    <w:rsid w:val="009C16E7"/>
    <w:rsid w:val="009C1833"/>
    <w:rsid w:val="009C18A9"/>
    <w:rsid w:val="009C1C92"/>
    <w:rsid w:val="009C1CE1"/>
    <w:rsid w:val="009C2321"/>
    <w:rsid w:val="009C29F7"/>
    <w:rsid w:val="009C2AC6"/>
    <w:rsid w:val="009C2ED8"/>
    <w:rsid w:val="009C32F7"/>
    <w:rsid w:val="009C3414"/>
    <w:rsid w:val="009C36A4"/>
    <w:rsid w:val="009C36AA"/>
    <w:rsid w:val="009C38A2"/>
    <w:rsid w:val="009C3B01"/>
    <w:rsid w:val="009C3FB5"/>
    <w:rsid w:val="009C43A4"/>
    <w:rsid w:val="009C43D0"/>
    <w:rsid w:val="009C4413"/>
    <w:rsid w:val="009C48F1"/>
    <w:rsid w:val="009C4B77"/>
    <w:rsid w:val="009C51EC"/>
    <w:rsid w:val="009C5213"/>
    <w:rsid w:val="009C5323"/>
    <w:rsid w:val="009C6030"/>
    <w:rsid w:val="009C6621"/>
    <w:rsid w:val="009C68E6"/>
    <w:rsid w:val="009C6D53"/>
    <w:rsid w:val="009C6FDF"/>
    <w:rsid w:val="009C781B"/>
    <w:rsid w:val="009C7BE1"/>
    <w:rsid w:val="009D064E"/>
    <w:rsid w:val="009D088E"/>
    <w:rsid w:val="009D0F5F"/>
    <w:rsid w:val="009D0F80"/>
    <w:rsid w:val="009D1020"/>
    <w:rsid w:val="009D112B"/>
    <w:rsid w:val="009D17DA"/>
    <w:rsid w:val="009D1F47"/>
    <w:rsid w:val="009D224A"/>
    <w:rsid w:val="009D2261"/>
    <w:rsid w:val="009D245F"/>
    <w:rsid w:val="009D2467"/>
    <w:rsid w:val="009D289C"/>
    <w:rsid w:val="009D2CB1"/>
    <w:rsid w:val="009D2D67"/>
    <w:rsid w:val="009D3230"/>
    <w:rsid w:val="009D348C"/>
    <w:rsid w:val="009D34EB"/>
    <w:rsid w:val="009D3524"/>
    <w:rsid w:val="009D359A"/>
    <w:rsid w:val="009D360B"/>
    <w:rsid w:val="009D3716"/>
    <w:rsid w:val="009D3C7E"/>
    <w:rsid w:val="009D42EF"/>
    <w:rsid w:val="009D4AD7"/>
    <w:rsid w:val="009D4CDF"/>
    <w:rsid w:val="009D513A"/>
    <w:rsid w:val="009D51C9"/>
    <w:rsid w:val="009D527C"/>
    <w:rsid w:val="009D5578"/>
    <w:rsid w:val="009D579B"/>
    <w:rsid w:val="009D5C69"/>
    <w:rsid w:val="009D5DF4"/>
    <w:rsid w:val="009D6365"/>
    <w:rsid w:val="009D6E12"/>
    <w:rsid w:val="009D6EDB"/>
    <w:rsid w:val="009D756D"/>
    <w:rsid w:val="009D765B"/>
    <w:rsid w:val="009D7B14"/>
    <w:rsid w:val="009D7BC7"/>
    <w:rsid w:val="009D7DD2"/>
    <w:rsid w:val="009E010F"/>
    <w:rsid w:val="009E0185"/>
    <w:rsid w:val="009E0F15"/>
    <w:rsid w:val="009E102A"/>
    <w:rsid w:val="009E1089"/>
    <w:rsid w:val="009E115C"/>
    <w:rsid w:val="009E1370"/>
    <w:rsid w:val="009E14FB"/>
    <w:rsid w:val="009E28E8"/>
    <w:rsid w:val="009E29AF"/>
    <w:rsid w:val="009E2A0B"/>
    <w:rsid w:val="009E3189"/>
    <w:rsid w:val="009E321C"/>
    <w:rsid w:val="009E3506"/>
    <w:rsid w:val="009E37F1"/>
    <w:rsid w:val="009E380C"/>
    <w:rsid w:val="009E39D7"/>
    <w:rsid w:val="009E3AE4"/>
    <w:rsid w:val="009E3CAB"/>
    <w:rsid w:val="009E42BC"/>
    <w:rsid w:val="009E42DC"/>
    <w:rsid w:val="009E459E"/>
    <w:rsid w:val="009E4B0B"/>
    <w:rsid w:val="009E549D"/>
    <w:rsid w:val="009E5BBD"/>
    <w:rsid w:val="009E5D70"/>
    <w:rsid w:val="009E6101"/>
    <w:rsid w:val="009E6157"/>
    <w:rsid w:val="009E657F"/>
    <w:rsid w:val="009E66C4"/>
    <w:rsid w:val="009E68E5"/>
    <w:rsid w:val="009E693D"/>
    <w:rsid w:val="009E6E2C"/>
    <w:rsid w:val="009E7013"/>
    <w:rsid w:val="009E79EF"/>
    <w:rsid w:val="009E7DD5"/>
    <w:rsid w:val="009E7E7A"/>
    <w:rsid w:val="009E7E83"/>
    <w:rsid w:val="009F03E1"/>
    <w:rsid w:val="009F0495"/>
    <w:rsid w:val="009F0A7F"/>
    <w:rsid w:val="009F0C15"/>
    <w:rsid w:val="009F0D40"/>
    <w:rsid w:val="009F0E19"/>
    <w:rsid w:val="009F0F1E"/>
    <w:rsid w:val="009F1049"/>
    <w:rsid w:val="009F1058"/>
    <w:rsid w:val="009F140E"/>
    <w:rsid w:val="009F1892"/>
    <w:rsid w:val="009F1E7C"/>
    <w:rsid w:val="009F23A8"/>
    <w:rsid w:val="009F2575"/>
    <w:rsid w:val="009F2651"/>
    <w:rsid w:val="009F26E0"/>
    <w:rsid w:val="009F2933"/>
    <w:rsid w:val="009F2C28"/>
    <w:rsid w:val="009F2F2D"/>
    <w:rsid w:val="009F32D5"/>
    <w:rsid w:val="009F38F1"/>
    <w:rsid w:val="009F3A89"/>
    <w:rsid w:val="009F3CAF"/>
    <w:rsid w:val="009F3D97"/>
    <w:rsid w:val="009F44FB"/>
    <w:rsid w:val="009F453C"/>
    <w:rsid w:val="009F480D"/>
    <w:rsid w:val="009F4AC6"/>
    <w:rsid w:val="009F4B67"/>
    <w:rsid w:val="009F4B69"/>
    <w:rsid w:val="009F53FC"/>
    <w:rsid w:val="009F5425"/>
    <w:rsid w:val="009F5A12"/>
    <w:rsid w:val="009F64F1"/>
    <w:rsid w:val="009F67E7"/>
    <w:rsid w:val="009F6931"/>
    <w:rsid w:val="009F7041"/>
    <w:rsid w:val="009F7720"/>
    <w:rsid w:val="009F792B"/>
    <w:rsid w:val="009F7E70"/>
    <w:rsid w:val="00A00097"/>
    <w:rsid w:val="00A003DE"/>
    <w:rsid w:val="00A004F7"/>
    <w:rsid w:val="00A00552"/>
    <w:rsid w:val="00A00878"/>
    <w:rsid w:val="00A00B7C"/>
    <w:rsid w:val="00A00E66"/>
    <w:rsid w:val="00A0118B"/>
    <w:rsid w:val="00A01601"/>
    <w:rsid w:val="00A01675"/>
    <w:rsid w:val="00A0170F"/>
    <w:rsid w:val="00A01746"/>
    <w:rsid w:val="00A01785"/>
    <w:rsid w:val="00A017A7"/>
    <w:rsid w:val="00A01C3C"/>
    <w:rsid w:val="00A01FA1"/>
    <w:rsid w:val="00A025DA"/>
    <w:rsid w:val="00A0279B"/>
    <w:rsid w:val="00A02BDB"/>
    <w:rsid w:val="00A02CBE"/>
    <w:rsid w:val="00A031F1"/>
    <w:rsid w:val="00A036AC"/>
    <w:rsid w:val="00A0377B"/>
    <w:rsid w:val="00A039E4"/>
    <w:rsid w:val="00A03A9C"/>
    <w:rsid w:val="00A03CB1"/>
    <w:rsid w:val="00A03E5C"/>
    <w:rsid w:val="00A03F65"/>
    <w:rsid w:val="00A04050"/>
    <w:rsid w:val="00A04164"/>
    <w:rsid w:val="00A04223"/>
    <w:rsid w:val="00A04865"/>
    <w:rsid w:val="00A04DE3"/>
    <w:rsid w:val="00A04E60"/>
    <w:rsid w:val="00A04EFF"/>
    <w:rsid w:val="00A05084"/>
    <w:rsid w:val="00A05279"/>
    <w:rsid w:val="00A0585A"/>
    <w:rsid w:val="00A05F23"/>
    <w:rsid w:val="00A06258"/>
    <w:rsid w:val="00A0698C"/>
    <w:rsid w:val="00A06C50"/>
    <w:rsid w:val="00A06E64"/>
    <w:rsid w:val="00A077DE"/>
    <w:rsid w:val="00A07E58"/>
    <w:rsid w:val="00A10008"/>
    <w:rsid w:val="00A106F3"/>
    <w:rsid w:val="00A108E8"/>
    <w:rsid w:val="00A10A81"/>
    <w:rsid w:val="00A10A8D"/>
    <w:rsid w:val="00A10BB9"/>
    <w:rsid w:val="00A10DBF"/>
    <w:rsid w:val="00A11540"/>
    <w:rsid w:val="00A116F8"/>
    <w:rsid w:val="00A11CCD"/>
    <w:rsid w:val="00A1217C"/>
    <w:rsid w:val="00A123FC"/>
    <w:rsid w:val="00A12ED4"/>
    <w:rsid w:val="00A12EDE"/>
    <w:rsid w:val="00A130F3"/>
    <w:rsid w:val="00A134A4"/>
    <w:rsid w:val="00A13FCE"/>
    <w:rsid w:val="00A1411D"/>
    <w:rsid w:val="00A14233"/>
    <w:rsid w:val="00A14593"/>
    <w:rsid w:val="00A147E2"/>
    <w:rsid w:val="00A1486A"/>
    <w:rsid w:val="00A1491E"/>
    <w:rsid w:val="00A1495B"/>
    <w:rsid w:val="00A1499D"/>
    <w:rsid w:val="00A14B5E"/>
    <w:rsid w:val="00A14C70"/>
    <w:rsid w:val="00A14C88"/>
    <w:rsid w:val="00A14D33"/>
    <w:rsid w:val="00A14E4E"/>
    <w:rsid w:val="00A14F53"/>
    <w:rsid w:val="00A151ED"/>
    <w:rsid w:val="00A15D50"/>
    <w:rsid w:val="00A15E90"/>
    <w:rsid w:val="00A15ED6"/>
    <w:rsid w:val="00A16EB6"/>
    <w:rsid w:val="00A16F93"/>
    <w:rsid w:val="00A16FBD"/>
    <w:rsid w:val="00A17A66"/>
    <w:rsid w:val="00A17C4B"/>
    <w:rsid w:val="00A17D8B"/>
    <w:rsid w:val="00A17E3E"/>
    <w:rsid w:val="00A20573"/>
    <w:rsid w:val="00A20B64"/>
    <w:rsid w:val="00A20B8D"/>
    <w:rsid w:val="00A20FDB"/>
    <w:rsid w:val="00A21330"/>
    <w:rsid w:val="00A21855"/>
    <w:rsid w:val="00A21DBA"/>
    <w:rsid w:val="00A22283"/>
    <w:rsid w:val="00A22526"/>
    <w:rsid w:val="00A225D3"/>
    <w:rsid w:val="00A22775"/>
    <w:rsid w:val="00A22A9F"/>
    <w:rsid w:val="00A22B83"/>
    <w:rsid w:val="00A22F96"/>
    <w:rsid w:val="00A238C7"/>
    <w:rsid w:val="00A23C48"/>
    <w:rsid w:val="00A2435F"/>
    <w:rsid w:val="00A24364"/>
    <w:rsid w:val="00A246ED"/>
    <w:rsid w:val="00A24C6C"/>
    <w:rsid w:val="00A24E3A"/>
    <w:rsid w:val="00A254C7"/>
    <w:rsid w:val="00A254F1"/>
    <w:rsid w:val="00A256BC"/>
    <w:rsid w:val="00A25B0B"/>
    <w:rsid w:val="00A25E03"/>
    <w:rsid w:val="00A26079"/>
    <w:rsid w:val="00A26358"/>
    <w:rsid w:val="00A26360"/>
    <w:rsid w:val="00A26383"/>
    <w:rsid w:val="00A26B44"/>
    <w:rsid w:val="00A26E1F"/>
    <w:rsid w:val="00A26E9F"/>
    <w:rsid w:val="00A271B3"/>
    <w:rsid w:val="00A27596"/>
    <w:rsid w:val="00A2770B"/>
    <w:rsid w:val="00A27713"/>
    <w:rsid w:val="00A277D5"/>
    <w:rsid w:val="00A27EC9"/>
    <w:rsid w:val="00A30266"/>
    <w:rsid w:val="00A30741"/>
    <w:rsid w:val="00A30B16"/>
    <w:rsid w:val="00A31466"/>
    <w:rsid w:val="00A31708"/>
    <w:rsid w:val="00A318F0"/>
    <w:rsid w:val="00A31CEA"/>
    <w:rsid w:val="00A3247E"/>
    <w:rsid w:val="00A3277C"/>
    <w:rsid w:val="00A327A8"/>
    <w:rsid w:val="00A3282C"/>
    <w:rsid w:val="00A32EDA"/>
    <w:rsid w:val="00A330C1"/>
    <w:rsid w:val="00A331F3"/>
    <w:rsid w:val="00A3393E"/>
    <w:rsid w:val="00A33B89"/>
    <w:rsid w:val="00A33BF2"/>
    <w:rsid w:val="00A3421C"/>
    <w:rsid w:val="00A342C0"/>
    <w:rsid w:val="00A3476B"/>
    <w:rsid w:val="00A3489D"/>
    <w:rsid w:val="00A34B36"/>
    <w:rsid w:val="00A34C36"/>
    <w:rsid w:val="00A34CC4"/>
    <w:rsid w:val="00A34CE4"/>
    <w:rsid w:val="00A34F2A"/>
    <w:rsid w:val="00A35506"/>
    <w:rsid w:val="00A35CD2"/>
    <w:rsid w:val="00A35FBB"/>
    <w:rsid w:val="00A36B6F"/>
    <w:rsid w:val="00A36CFA"/>
    <w:rsid w:val="00A36D64"/>
    <w:rsid w:val="00A36E14"/>
    <w:rsid w:val="00A36EA4"/>
    <w:rsid w:val="00A375A9"/>
    <w:rsid w:val="00A375B3"/>
    <w:rsid w:val="00A377DE"/>
    <w:rsid w:val="00A37C67"/>
    <w:rsid w:val="00A4020C"/>
    <w:rsid w:val="00A4025C"/>
    <w:rsid w:val="00A4025E"/>
    <w:rsid w:val="00A40297"/>
    <w:rsid w:val="00A405D0"/>
    <w:rsid w:val="00A40746"/>
    <w:rsid w:val="00A40983"/>
    <w:rsid w:val="00A40D31"/>
    <w:rsid w:val="00A40D97"/>
    <w:rsid w:val="00A40E4E"/>
    <w:rsid w:val="00A40ED9"/>
    <w:rsid w:val="00A410F7"/>
    <w:rsid w:val="00A41144"/>
    <w:rsid w:val="00A41189"/>
    <w:rsid w:val="00A41202"/>
    <w:rsid w:val="00A413F8"/>
    <w:rsid w:val="00A417DA"/>
    <w:rsid w:val="00A418F3"/>
    <w:rsid w:val="00A4196E"/>
    <w:rsid w:val="00A41B94"/>
    <w:rsid w:val="00A41CB0"/>
    <w:rsid w:val="00A41EDC"/>
    <w:rsid w:val="00A41FAA"/>
    <w:rsid w:val="00A42010"/>
    <w:rsid w:val="00A421AA"/>
    <w:rsid w:val="00A421ED"/>
    <w:rsid w:val="00A42DB6"/>
    <w:rsid w:val="00A43244"/>
    <w:rsid w:val="00A43B68"/>
    <w:rsid w:val="00A44226"/>
    <w:rsid w:val="00A44937"/>
    <w:rsid w:val="00A44BCB"/>
    <w:rsid w:val="00A44DA7"/>
    <w:rsid w:val="00A44DFB"/>
    <w:rsid w:val="00A456AB"/>
    <w:rsid w:val="00A45ACF"/>
    <w:rsid w:val="00A45FF6"/>
    <w:rsid w:val="00A4653E"/>
    <w:rsid w:val="00A46C61"/>
    <w:rsid w:val="00A46D72"/>
    <w:rsid w:val="00A46E6E"/>
    <w:rsid w:val="00A46F16"/>
    <w:rsid w:val="00A46F43"/>
    <w:rsid w:val="00A46F9C"/>
    <w:rsid w:val="00A47206"/>
    <w:rsid w:val="00A4729F"/>
    <w:rsid w:val="00A47498"/>
    <w:rsid w:val="00A47911"/>
    <w:rsid w:val="00A47C3B"/>
    <w:rsid w:val="00A50155"/>
    <w:rsid w:val="00A50602"/>
    <w:rsid w:val="00A50757"/>
    <w:rsid w:val="00A50993"/>
    <w:rsid w:val="00A50E55"/>
    <w:rsid w:val="00A5135B"/>
    <w:rsid w:val="00A5163F"/>
    <w:rsid w:val="00A51B99"/>
    <w:rsid w:val="00A51CB3"/>
    <w:rsid w:val="00A51EED"/>
    <w:rsid w:val="00A521AA"/>
    <w:rsid w:val="00A52879"/>
    <w:rsid w:val="00A52961"/>
    <w:rsid w:val="00A52E3B"/>
    <w:rsid w:val="00A54634"/>
    <w:rsid w:val="00A54674"/>
    <w:rsid w:val="00A54F3D"/>
    <w:rsid w:val="00A5520F"/>
    <w:rsid w:val="00A55931"/>
    <w:rsid w:val="00A55CFB"/>
    <w:rsid w:val="00A5635F"/>
    <w:rsid w:val="00A5654E"/>
    <w:rsid w:val="00A56E38"/>
    <w:rsid w:val="00A5748F"/>
    <w:rsid w:val="00A574ED"/>
    <w:rsid w:val="00A575A5"/>
    <w:rsid w:val="00A57700"/>
    <w:rsid w:val="00A57949"/>
    <w:rsid w:val="00A57C41"/>
    <w:rsid w:val="00A57EAD"/>
    <w:rsid w:val="00A6008E"/>
    <w:rsid w:val="00A6034C"/>
    <w:rsid w:val="00A60937"/>
    <w:rsid w:val="00A60F1B"/>
    <w:rsid w:val="00A60FC7"/>
    <w:rsid w:val="00A61430"/>
    <w:rsid w:val="00A61633"/>
    <w:rsid w:val="00A61E6B"/>
    <w:rsid w:val="00A6226B"/>
    <w:rsid w:val="00A623BE"/>
    <w:rsid w:val="00A63012"/>
    <w:rsid w:val="00A63558"/>
    <w:rsid w:val="00A63AC9"/>
    <w:rsid w:val="00A63CF1"/>
    <w:rsid w:val="00A63ED7"/>
    <w:rsid w:val="00A63EF0"/>
    <w:rsid w:val="00A64420"/>
    <w:rsid w:val="00A648E0"/>
    <w:rsid w:val="00A6493D"/>
    <w:rsid w:val="00A64DD3"/>
    <w:rsid w:val="00A650A4"/>
    <w:rsid w:val="00A65169"/>
    <w:rsid w:val="00A66358"/>
    <w:rsid w:val="00A66478"/>
    <w:rsid w:val="00A6658B"/>
    <w:rsid w:val="00A66881"/>
    <w:rsid w:val="00A66C55"/>
    <w:rsid w:val="00A66D1A"/>
    <w:rsid w:val="00A67286"/>
    <w:rsid w:val="00A67BDE"/>
    <w:rsid w:val="00A67E2F"/>
    <w:rsid w:val="00A7086B"/>
    <w:rsid w:val="00A70AD7"/>
    <w:rsid w:val="00A70ECC"/>
    <w:rsid w:val="00A70F8D"/>
    <w:rsid w:val="00A71936"/>
    <w:rsid w:val="00A71C5B"/>
    <w:rsid w:val="00A71ED9"/>
    <w:rsid w:val="00A723C5"/>
    <w:rsid w:val="00A7286F"/>
    <w:rsid w:val="00A73727"/>
    <w:rsid w:val="00A73804"/>
    <w:rsid w:val="00A739A3"/>
    <w:rsid w:val="00A73AAD"/>
    <w:rsid w:val="00A73BAB"/>
    <w:rsid w:val="00A743CF"/>
    <w:rsid w:val="00A74895"/>
    <w:rsid w:val="00A748E3"/>
    <w:rsid w:val="00A74D19"/>
    <w:rsid w:val="00A75093"/>
    <w:rsid w:val="00A7534A"/>
    <w:rsid w:val="00A7537F"/>
    <w:rsid w:val="00A75EC0"/>
    <w:rsid w:val="00A761CF"/>
    <w:rsid w:val="00A76204"/>
    <w:rsid w:val="00A76387"/>
    <w:rsid w:val="00A770EB"/>
    <w:rsid w:val="00A772F8"/>
    <w:rsid w:val="00A7789C"/>
    <w:rsid w:val="00A80152"/>
    <w:rsid w:val="00A80815"/>
    <w:rsid w:val="00A80C70"/>
    <w:rsid w:val="00A8158B"/>
    <w:rsid w:val="00A81AD9"/>
    <w:rsid w:val="00A81B45"/>
    <w:rsid w:val="00A81C41"/>
    <w:rsid w:val="00A81C7A"/>
    <w:rsid w:val="00A82411"/>
    <w:rsid w:val="00A82751"/>
    <w:rsid w:val="00A82955"/>
    <w:rsid w:val="00A82CC2"/>
    <w:rsid w:val="00A82CC6"/>
    <w:rsid w:val="00A82D35"/>
    <w:rsid w:val="00A82F65"/>
    <w:rsid w:val="00A8364F"/>
    <w:rsid w:val="00A83FA0"/>
    <w:rsid w:val="00A8446F"/>
    <w:rsid w:val="00A844B9"/>
    <w:rsid w:val="00A84AFE"/>
    <w:rsid w:val="00A854B7"/>
    <w:rsid w:val="00A85B43"/>
    <w:rsid w:val="00A867F8"/>
    <w:rsid w:val="00A86A0C"/>
    <w:rsid w:val="00A86E6E"/>
    <w:rsid w:val="00A86FA5"/>
    <w:rsid w:val="00A87121"/>
    <w:rsid w:val="00A876F0"/>
    <w:rsid w:val="00A87887"/>
    <w:rsid w:val="00A87940"/>
    <w:rsid w:val="00A87C3D"/>
    <w:rsid w:val="00A87D57"/>
    <w:rsid w:val="00A90430"/>
    <w:rsid w:val="00A905F9"/>
    <w:rsid w:val="00A907FE"/>
    <w:rsid w:val="00A908AF"/>
    <w:rsid w:val="00A90A32"/>
    <w:rsid w:val="00A90F3B"/>
    <w:rsid w:val="00A914C1"/>
    <w:rsid w:val="00A9183E"/>
    <w:rsid w:val="00A91FA1"/>
    <w:rsid w:val="00A9200E"/>
    <w:rsid w:val="00A922C0"/>
    <w:rsid w:val="00A923DD"/>
    <w:rsid w:val="00A928DC"/>
    <w:rsid w:val="00A928F3"/>
    <w:rsid w:val="00A92A17"/>
    <w:rsid w:val="00A92EC5"/>
    <w:rsid w:val="00A93292"/>
    <w:rsid w:val="00A93576"/>
    <w:rsid w:val="00A93ABF"/>
    <w:rsid w:val="00A943CA"/>
    <w:rsid w:val="00A944FC"/>
    <w:rsid w:val="00A94525"/>
    <w:rsid w:val="00A946B4"/>
    <w:rsid w:val="00A947B2"/>
    <w:rsid w:val="00A9486C"/>
    <w:rsid w:val="00A94A58"/>
    <w:rsid w:val="00A95163"/>
    <w:rsid w:val="00A964FD"/>
    <w:rsid w:val="00A9670A"/>
    <w:rsid w:val="00A967CA"/>
    <w:rsid w:val="00A96984"/>
    <w:rsid w:val="00A96A54"/>
    <w:rsid w:val="00A970B7"/>
    <w:rsid w:val="00A97329"/>
    <w:rsid w:val="00A97760"/>
    <w:rsid w:val="00A97770"/>
    <w:rsid w:val="00A97B0C"/>
    <w:rsid w:val="00A97B86"/>
    <w:rsid w:val="00A97D03"/>
    <w:rsid w:val="00AA03D9"/>
    <w:rsid w:val="00AA0955"/>
    <w:rsid w:val="00AA0C4E"/>
    <w:rsid w:val="00AA101E"/>
    <w:rsid w:val="00AA13C2"/>
    <w:rsid w:val="00AA14E7"/>
    <w:rsid w:val="00AA199E"/>
    <w:rsid w:val="00AA19CA"/>
    <w:rsid w:val="00AA1BF6"/>
    <w:rsid w:val="00AA1CE5"/>
    <w:rsid w:val="00AA1D04"/>
    <w:rsid w:val="00AA23AF"/>
    <w:rsid w:val="00AA261B"/>
    <w:rsid w:val="00AA26DA"/>
    <w:rsid w:val="00AA27D2"/>
    <w:rsid w:val="00AA297C"/>
    <w:rsid w:val="00AA2A58"/>
    <w:rsid w:val="00AA2BE4"/>
    <w:rsid w:val="00AA2CF7"/>
    <w:rsid w:val="00AA2EE9"/>
    <w:rsid w:val="00AA31C0"/>
    <w:rsid w:val="00AA3566"/>
    <w:rsid w:val="00AA3915"/>
    <w:rsid w:val="00AA3C95"/>
    <w:rsid w:val="00AA3DEC"/>
    <w:rsid w:val="00AA3E3F"/>
    <w:rsid w:val="00AA3F32"/>
    <w:rsid w:val="00AA4E02"/>
    <w:rsid w:val="00AA4E66"/>
    <w:rsid w:val="00AA520B"/>
    <w:rsid w:val="00AA5553"/>
    <w:rsid w:val="00AA5BC3"/>
    <w:rsid w:val="00AA5D7E"/>
    <w:rsid w:val="00AA5D97"/>
    <w:rsid w:val="00AA6114"/>
    <w:rsid w:val="00AA6259"/>
    <w:rsid w:val="00AA6702"/>
    <w:rsid w:val="00AA67CF"/>
    <w:rsid w:val="00AA781D"/>
    <w:rsid w:val="00AA7883"/>
    <w:rsid w:val="00AA78D1"/>
    <w:rsid w:val="00AA7AA8"/>
    <w:rsid w:val="00AA7D0C"/>
    <w:rsid w:val="00AB01B0"/>
    <w:rsid w:val="00AB0384"/>
    <w:rsid w:val="00AB082A"/>
    <w:rsid w:val="00AB097E"/>
    <w:rsid w:val="00AB0A32"/>
    <w:rsid w:val="00AB0DCE"/>
    <w:rsid w:val="00AB0E4C"/>
    <w:rsid w:val="00AB1317"/>
    <w:rsid w:val="00AB15BD"/>
    <w:rsid w:val="00AB16AD"/>
    <w:rsid w:val="00AB16D0"/>
    <w:rsid w:val="00AB172A"/>
    <w:rsid w:val="00AB1943"/>
    <w:rsid w:val="00AB1C60"/>
    <w:rsid w:val="00AB25A2"/>
    <w:rsid w:val="00AB2728"/>
    <w:rsid w:val="00AB2E72"/>
    <w:rsid w:val="00AB35F4"/>
    <w:rsid w:val="00AB36DD"/>
    <w:rsid w:val="00AB37CD"/>
    <w:rsid w:val="00AB3BBA"/>
    <w:rsid w:val="00AB3FBA"/>
    <w:rsid w:val="00AB4091"/>
    <w:rsid w:val="00AB40AF"/>
    <w:rsid w:val="00AB41BC"/>
    <w:rsid w:val="00AB43C2"/>
    <w:rsid w:val="00AB4408"/>
    <w:rsid w:val="00AB447B"/>
    <w:rsid w:val="00AB4845"/>
    <w:rsid w:val="00AB48D3"/>
    <w:rsid w:val="00AB4A65"/>
    <w:rsid w:val="00AB4BCE"/>
    <w:rsid w:val="00AB50AF"/>
    <w:rsid w:val="00AB5157"/>
    <w:rsid w:val="00AB51A6"/>
    <w:rsid w:val="00AB5233"/>
    <w:rsid w:val="00AB5329"/>
    <w:rsid w:val="00AB5469"/>
    <w:rsid w:val="00AB561B"/>
    <w:rsid w:val="00AB5624"/>
    <w:rsid w:val="00AB585D"/>
    <w:rsid w:val="00AB58F4"/>
    <w:rsid w:val="00AB5D13"/>
    <w:rsid w:val="00AB6209"/>
    <w:rsid w:val="00AB6291"/>
    <w:rsid w:val="00AB63DE"/>
    <w:rsid w:val="00AB668E"/>
    <w:rsid w:val="00AB66D1"/>
    <w:rsid w:val="00AB6A8E"/>
    <w:rsid w:val="00AB6F99"/>
    <w:rsid w:val="00AB7256"/>
    <w:rsid w:val="00AB7291"/>
    <w:rsid w:val="00AB7451"/>
    <w:rsid w:val="00AB74A7"/>
    <w:rsid w:val="00AB7AD9"/>
    <w:rsid w:val="00AB7B5A"/>
    <w:rsid w:val="00AB7E3B"/>
    <w:rsid w:val="00AC0E0A"/>
    <w:rsid w:val="00AC145F"/>
    <w:rsid w:val="00AC149F"/>
    <w:rsid w:val="00AC14E6"/>
    <w:rsid w:val="00AC1963"/>
    <w:rsid w:val="00AC196B"/>
    <w:rsid w:val="00AC1CE0"/>
    <w:rsid w:val="00AC1F87"/>
    <w:rsid w:val="00AC1FC5"/>
    <w:rsid w:val="00AC2585"/>
    <w:rsid w:val="00AC28A4"/>
    <w:rsid w:val="00AC2D90"/>
    <w:rsid w:val="00AC2EEA"/>
    <w:rsid w:val="00AC2F02"/>
    <w:rsid w:val="00AC33C8"/>
    <w:rsid w:val="00AC3C2F"/>
    <w:rsid w:val="00AC3C80"/>
    <w:rsid w:val="00AC3FE9"/>
    <w:rsid w:val="00AC403F"/>
    <w:rsid w:val="00AC4260"/>
    <w:rsid w:val="00AC42A6"/>
    <w:rsid w:val="00AC4615"/>
    <w:rsid w:val="00AC4C9E"/>
    <w:rsid w:val="00AC59DA"/>
    <w:rsid w:val="00AC5AF9"/>
    <w:rsid w:val="00AC5C4D"/>
    <w:rsid w:val="00AC5D42"/>
    <w:rsid w:val="00AC6754"/>
    <w:rsid w:val="00AC6B36"/>
    <w:rsid w:val="00AC6C52"/>
    <w:rsid w:val="00AC6CB7"/>
    <w:rsid w:val="00AC704C"/>
    <w:rsid w:val="00AC75B0"/>
    <w:rsid w:val="00AC768B"/>
    <w:rsid w:val="00AD0060"/>
    <w:rsid w:val="00AD0292"/>
    <w:rsid w:val="00AD0667"/>
    <w:rsid w:val="00AD09D3"/>
    <w:rsid w:val="00AD0C50"/>
    <w:rsid w:val="00AD0EC7"/>
    <w:rsid w:val="00AD0EFD"/>
    <w:rsid w:val="00AD11E1"/>
    <w:rsid w:val="00AD1269"/>
    <w:rsid w:val="00AD1361"/>
    <w:rsid w:val="00AD174C"/>
    <w:rsid w:val="00AD1DF8"/>
    <w:rsid w:val="00AD1EBF"/>
    <w:rsid w:val="00AD1EF2"/>
    <w:rsid w:val="00AD29FB"/>
    <w:rsid w:val="00AD2A01"/>
    <w:rsid w:val="00AD2C8B"/>
    <w:rsid w:val="00AD3101"/>
    <w:rsid w:val="00AD3353"/>
    <w:rsid w:val="00AD3530"/>
    <w:rsid w:val="00AD3842"/>
    <w:rsid w:val="00AD395C"/>
    <w:rsid w:val="00AD3A53"/>
    <w:rsid w:val="00AD3BC4"/>
    <w:rsid w:val="00AD4BFD"/>
    <w:rsid w:val="00AD4C87"/>
    <w:rsid w:val="00AD4CCF"/>
    <w:rsid w:val="00AD4DE9"/>
    <w:rsid w:val="00AD5340"/>
    <w:rsid w:val="00AD553C"/>
    <w:rsid w:val="00AD573C"/>
    <w:rsid w:val="00AD5960"/>
    <w:rsid w:val="00AD5B32"/>
    <w:rsid w:val="00AD5B37"/>
    <w:rsid w:val="00AD5DC5"/>
    <w:rsid w:val="00AD6B44"/>
    <w:rsid w:val="00AD74CB"/>
    <w:rsid w:val="00AD7540"/>
    <w:rsid w:val="00AD78B2"/>
    <w:rsid w:val="00AD7D0D"/>
    <w:rsid w:val="00AD7E85"/>
    <w:rsid w:val="00AD7F84"/>
    <w:rsid w:val="00AE020B"/>
    <w:rsid w:val="00AE0CFF"/>
    <w:rsid w:val="00AE124F"/>
    <w:rsid w:val="00AE1554"/>
    <w:rsid w:val="00AE15EF"/>
    <w:rsid w:val="00AE1F3D"/>
    <w:rsid w:val="00AE25A4"/>
    <w:rsid w:val="00AE26CF"/>
    <w:rsid w:val="00AE28E7"/>
    <w:rsid w:val="00AE3620"/>
    <w:rsid w:val="00AE36FA"/>
    <w:rsid w:val="00AE3A38"/>
    <w:rsid w:val="00AE3ADA"/>
    <w:rsid w:val="00AE3B67"/>
    <w:rsid w:val="00AE3C09"/>
    <w:rsid w:val="00AE3D31"/>
    <w:rsid w:val="00AE3ED3"/>
    <w:rsid w:val="00AE3F1D"/>
    <w:rsid w:val="00AE3F71"/>
    <w:rsid w:val="00AE403F"/>
    <w:rsid w:val="00AE42D2"/>
    <w:rsid w:val="00AE4491"/>
    <w:rsid w:val="00AE4B93"/>
    <w:rsid w:val="00AE4F45"/>
    <w:rsid w:val="00AE55E5"/>
    <w:rsid w:val="00AE58D9"/>
    <w:rsid w:val="00AE617F"/>
    <w:rsid w:val="00AE66BA"/>
    <w:rsid w:val="00AE6BE7"/>
    <w:rsid w:val="00AE6D2F"/>
    <w:rsid w:val="00AE6F15"/>
    <w:rsid w:val="00AE7452"/>
    <w:rsid w:val="00AE7833"/>
    <w:rsid w:val="00AE7852"/>
    <w:rsid w:val="00AE7987"/>
    <w:rsid w:val="00AE7FAF"/>
    <w:rsid w:val="00AF04AD"/>
    <w:rsid w:val="00AF08F5"/>
    <w:rsid w:val="00AF0BC3"/>
    <w:rsid w:val="00AF150D"/>
    <w:rsid w:val="00AF1651"/>
    <w:rsid w:val="00AF1807"/>
    <w:rsid w:val="00AF1BDB"/>
    <w:rsid w:val="00AF1F1F"/>
    <w:rsid w:val="00AF2060"/>
    <w:rsid w:val="00AF2325"/>
    <w:rsid w:val="00AF23C8"/>
    <w:rsid w:val="00AF2846"/>
    <w:rsid w:val="00AF29B7"/>
    <w:rsid w:val="00AF2BF7"/>
    <w:rsid w:val="00AF2F1C"/>
    <w:rsid w:val="00AF2F4B"/>
    <w:rsid w:val="00AF30E6"/>
    <w:rsid w:val="00AF327E"/>
    <w:rsid w:val="00AF3339"/>
    <w:rsid w:val="00AF3404"/>
    <w:rsid w:val="00AF3452"/>
    <w:rsid w:val="00AF3D6A"/>
    <w:rsid w:val="00AF3E13"/>
    <w:rsid w:val="00AF3E57"/>
    <w:rsid w:val="00AF4137"/>
    <w:rsid w:val="00AF46CE"/>
    <w:rsid w:val="00AF4E77"/>
    <w:rsid w:val="00AF4FCF"/>
    <w:rsid w:val="00AF5475"/>
    <w:rsid w:val="00AF62A0"/>
    <w:rsid w:val="00AF62B4"/>
    <w:rsid w:val="00AF65DF"/>
    <w:rsid w:val="00AF6678"/>
    <w:rsid w:val="00AF6A43"/>
    <w:rsid w:val="00AF6C09"/>
    <w:rsid w:val="00AF7227"/>
    <w:rsid w:val="00AF76D1"/>
    <w:rsid w:val="00AF7770"/>
    <w:rsid w:val="00AF78BB"/>
    <w:rsid w:val="00AF798C"/>
    <w:rsid w:val="00AF7AD4"/>
    <w:rsid w:val="00B00389"/>
    <w:rsid w:val="00B003EA"/>
    <w:rsid w:val="00B00708"/>
    <w:rsid w:val="00B00A77"/>
    <w:rsid w:val="00B00F64"/>
    <w:rsid w:val="00B011CA"/>
    <w:rsid w:val="00B0143D"/>
    <w:rsid w:val="00B01A05"/>
    <w:rsid w:val="00B01E66"/>
    <w:rsid w:val="00B02141"/>
    <w:rsid w:val="00B024D0"/>
    <w:rsid w:val="00B02739"/>
    <w:rsid w:val="00B02F82"/>
    <w:rsid w:val="00B03DCB"/>
    <w:rsid w:val="00B0415D"/>
    <w:rsid w:val="00B04974"/>
    <w:rsid w:val="00B051B3"/>
    <w:rsid w:val="00B053C0"/>
    <w:rsid w:val="00B053EE"/>
    <w:rsid w:val="00B05690"/>
    <w:rsid w:val="00B05709"/>
    <w:rsid w:val="00B059A6"/>
    <w:rsid w:val="00B05B2A"/>
    <w:rsid w:val="00B05F8A"/>
    <w:rsid w:val="00B0605E"/>
    <w:rsid w:val="00B060FA"/>
    <w:rsid w:val="00B061AE"/>
    <w:rsid w:val="00B061B1"/>
    <w:rsid w:val="00B061D7"/>
    <w:rsid w:val="00B06324"/>
    <w:rsid w:val="00B063BD"/>
    <w:rsid w:val="00B064A1"/>
    <w:rsid w:val="00B06764"/>
    <w:rsid w:val="00B069FF"/>
    <w:rsid w:val="00B06A59"/>
    <w:rsid w:val="00B076FC"/>
    <w:rsid w:val="00B079E1"/>
    <w:rsid w:val="00B101D9"/>
    <w:rsid w:val="00B1037E"/>
    <w:rsid w:val="00B10939"/>
    <w:rsid w:val="00B10B65"/>
    <w:rsid w:val="00B10DB8"/>
    <w:rsid w:val="00B10E0A"/>
    <w:rsid w:val="00B10F50"/>
    <w:rsid w:val="00B11155"/>
    <w:rsid w:val="00B113B0"/>
    <w:rsid w:val="00B11669"/>
    <w:rsid w:val="00B1181C"/>
    <w:rsid w:val="00B1214E"/>
    <w:rsid w:val="00B12221"/>
    <w:rsid w:val="00B126F9"/>
    <w:rsid w:val="00B12715"/>
    <w:rsid w:val="00B12873"/>
    <w:rsid w:val="00B133C7"/>
    <w:rsid w:val="00B1348E"/>
    <w:rsid w:val="00B136C3"/>
    <w:rsid w:val="00B13AFC"/>
    <w:rsid w:val="00B13BFB"/>
    <w:rsid w:val="00B13C17"/>
    <w:rsid w:val="00B14026"/>
    <w:rsid w:val="00B141B7"/>
    <w:rsid w:val="00B142E4"/>
    <w:rsid w:val="00B14645"/>
    <w:rsid w:val="00B14B89"/>
    <w:rsid w:val="00B15092"/>
    <w:rsid w:val="00B15252"/>
    <w:rsid w:val="00B15781"/>
    <w:rsid w:val="00B15E7D"/>
    <w:rsid w:val="00B16219"/>
    <w:rsid w:val="00B16395"/>
    <w:rsid w:val="00B16438"/>
    <w:rsid w:val="00B164D5"/>
    <w:rsid w:val="00B1661D"/>
    <w:rsid w:val="00B166E4"/>
    <w:rsid w:val="00B169C6"/>
    <w:rsid w:val="00B16C97"/>
    <w:rsid w:val="00B1714A"/>
    <w:rsid w:val="00B1731D"/>
    <w:rsid w:val="00B17363"/>
    <w:rsid w:val="00B17AA1"/>
    <w:rsid w:val="00B20000"/>
    <w:rsid w:val="00B20283"/>
    <w:rsid w:val="00B20371"/>
    <w:rsid w:val="00B207FD"/>
    <w:rsid w:val="00B209F8"/>
    <w:rsid w:val="00B20B34"/>
    <w:rsid w:val="00B20E73"/>
    <w:rsid w:val="00B20E88"/>
    <w:rsid w:val="00B20EF4"/>
    <w:rsid w:val="00B21171"/>
    <w:rsid w:val="00B215E9"/>
    <w:rsid w:val="00B215F7"/>
    <w:rsid w:val="00B21801"/>
    <w:rsid w:val="00B21813"/>
    <w:rsid w:val="00B21845"/>
    <w:rsid w:val="00B220F3"/>
    <w:rsid w:val="00B22244"/>
    <w:rsid w:val="00B2245E"/>
    <w:rsid w:val="00B226A5"/>
    <w:rsid w:val="00B228B9"/>
    <w:rsid w:val="00B229C4"/>
    <w:rsid w:val="00B22B39"/>
    <w:rsid w:val="00B236E9"/>
    <w:rsid w:val="00B2392F"/>
    <w:rsid w:val="00B23A43"/>
    <w:rsid w:val="00B23B63"/>
    <w:rsid w:val="00B23C28"/>
    <w:rsid w:val="00B23ECB"/>
    <w:rsid w:val="00B2423A"/>
    <w:rsid w:val="00B2437D"/>
    <w:rsid w:val="00B24B27"/>
    <w:rsid w:val="00B24C3A"/>
    <w:rsid w:val="00B24C7E"/>
    <w:rsid w:val="00B2507A"/>
    <w:rsid w:val="00B25577"/>
    <w:rsid w:val="00B2559A"/>
    <w:rsid w:val="00B25600"/>
    <w:rsid w:val="00B25C3F"/>
    <w:rsid w:val="00B25F60"/>
    <w:rsid w:val="00B25FC7"/>
    <w:rsid w:val="00B2646C"/>
    <w:rsid w:val="00B2649E"/>
    <w:rsid w:val="00B26783"/>
    <w:rsid w:val="00B267BF"/>
    <w:rsid w:val="00B26825"/>
    <w:rsid w:val="00B26B84"/>
    <w:rsid w:val="00B26BD8"/>
    <w:rsid w:val="00B26FA2"/>
    <w:rsid w:val="00B27524"/>
    <w:rsid w:val="00B3006A"/>
    <w:rsid w:val="00B307C3"/>
    <w:rsid w:val="00B30A42"/>
    <w:rsid w:val="00B30C58"/>
    <w:rsid w:val="00B3114E"/>
    <w:rsid w:val="00B312AC"/>
    <w:rsid w:val="00B31639"/>
    <w:rsid w:val="00B31799"/>
    <w:rsid w:val="00B31F0A"/>
    <w:rsid w:val="00B320F8"/>
    <w:rsid w:val="00B326F4"/>
    <w:rsid w:val="00B32BCA"/>
    <w:rsid w:val="00B33036"/>
    <w:rsid w:val="00B3335F"/>
    <w:rsid w:val="00B334B3"/>
    <w:rsid w:val="00B33A01"/>
    <w:rsid w:val="00B33FCB"/>
    <w:rsid w:val="00B34CCE"/>
    <w:rsid w:val="00B34DC4"/>
    <w:rsid w:val="00B3517E"/>
    <w:rsid w:val="00B35A14"/>
    <w:rsid w:val="00B35A6D"/>
    <w:rsid w:val="00B35F09"/>
    <w:rsid w:val="00B3628D"/>
    <w:rsid w:val="00B36505"/>
    <w:rsid w:val="00B367B7"/>
    <w:rsid w:val="00B36DDA"/>
    <w:rsid w:val="00B36DF0"/>
    <w:rsid w:val="00B36F28"/>
    <w:rsid w:val="00B37150"/>
    <w:rsid w:val="00B376B1"/>
    <w:rsid w:val="00B37A70"/>
    <w:rsid w:val="00B37D35"/>
    <w:rsid w:val="00B37D65"/>
    <w:rsid w:val="00B37D9A"/>
    <w:rsid w:val="00B40630"/>
    <w:rsid w:val="00B4065B"/>
    <w:rsid w:val="00B40688"/>
    <w:rsid w:val="00B40799"/>
    <w:rsid w:val="00B40D9E"/>
    <w:rsid w:val="00B411C2"/>
    <w:rsid w:val="00B41B70"/>
    <w:rsid w:val="00B41C06"/>
    <w:rsid w:val="00B41E25"/>
    <w:rsid w:val="00B41F9A"/>
    <w:rsid w:val="00B423CB"/>
    <w:rsid w:val="00B42A92"/>
    <w:rsid w:val="00B42CD1"/>
    <w:rsid w:val="00B42CF1"/>
    <w:rsid w:val="00B42E55"/>
    <w:rsid w:val="00B430FE"/>
    <w:rsid w:val="00B43620"/>
    <w:rsid w:val="00B4362B"/>
    <w:rsid w:val="00B43743"/>
    <w:rsid w:val="00B43835"/>
    <w:rsid w:val="00B43C34"/>
    <w:rsid w:val="00B43C7D"/>
    <w:rsid w:val="00B43E05"/>
    <w:rsid w:val="00B44080"/>
    <w:rsid w:val="00B44248"/>
    <w:rsid w:val="00B4427E"/>
    <w:rsid w:val="00B44327"/>
    <w:rsid w:val="00B44963"/>
    <w:rsid w:val="00B44B4F"/>
    <w:rsid w:val="00B44D25"/>
    <w:rsid w:val="00B44F37"/>
    <w:rsid w:val="00B4502D"/>
    <w:rsid w:val="00B45EB0"/>
    <w:rsid w:val="00B45F75"/>
    <w:rsid w:val="00B4601E"/>
    <w:rsid w:val="00B4635F"/>
    <w:rsid w:val="00B467E9"/>
    <w:rsid w:val="00B46D85"/>
    <w:rsid w:val="00B46DCF"/>
    <w:rsid w:val="00B46F67"/>
    <w:rsid w:val="00B47245"/>
    <w:rsid w:val="00B47F84"/>
    <w:rsid w:val="00B50031"/>
    <w:rsid w:val="00B508DE"/>
    <w:rsid w:val="00B50E59"/>
    <w:rsid w:val="00B50FBD"/>
    <w:rsid w:val="00B5122A"/>
    <w:rsid w:val="00B51C5D"/>
    <w:rsid w:val="00B51F95"/>
    <w:rsid w:val="00B523D2"/>
    <w:rsid w:val="00B52690"/>
    <w:rsid w:val="00B527A7"/>
    <w:rsid w:val="00B52975"/>
    <w:rsid w:val="00B531C6"/>
    <w:rsid w:val="00B5344B"/>
    <w:rsid w:val="00B537ED"/>
    <w:rsid w:val="00B53D05"/>
    <w:rsid w:val="00B5444B"/>
    <w:rsid w:val="00B5459F"/>
    <w:rsid w:val="00B545C4"/>
    <w:rsid w:val="00B545D3"/>
    <w:rsid w:val="00B5496A"/>
    <w:rsid w:val="00B54D7D"/>
    <w:rsid w:val="00B54FE4"/>
    <w:rsid w:val="00B55999"/>
    <w:rsid w:val="00B55E20"/>
    <w:rsid w:val="00B56343"/>
    <w:rsid w:val="00B57645"/>
    <w:rsid w:val="00B5773A"/>
    <w:rsid w:val="00B57779"/>
    <w:rsid w:val="00B578BB"/>
    <w:rsid w:val="00B57AD7"/>
    <w:rsid w:val="00B57F26"/>
    <w:rsid w:val="00B601B7"/>
    <w:rsid w:val="00B60224"/>
    <w:rsid w:val="00B60619"/>
    <w:rsid w:val="00B609A9"/>
    <w:rsid w:val="00B6145D"/>
    <w:rsid w:val="00B61F59"/>
    <w:rsid w:val="00B620A9"/>
    <w:rsid w:val="00B62172"/>
    <w:rsid w:val="00B62593"/>
    <w:rsid w:val="00B62A70"/>
    <w:rsid w:val="00B62A9F"/>
    <w:rsid w:val="00B62B40"/>
    <w:rsid w:val="00B63525"/>
    <w:rsid w:val="00B63A25"/>
    <w:rsid w:val="00B63ACA"/>
    <w:rsid w:val="00B63F0C"/>
    <w:rsid w:val="00B643C0"/>
    <w:rsid w:val="00B6442C"/>
    <w:rsid w:val="00B64731"/>
    <w:rsid w:val="00B64887"/>
    <w:rsid w:val="00B64B6C"/>
    <w:rsid w:val="00B64E82"/>
    <w:rsid w:val="00B650F7"/>
    <w:rsid w:val="00B65115"/>
    <w:rsid w:val="00B6513A"/>
    <w:rsid w:val="00B654CF"/>
    <w:rsid w:val="00B65627"/>
    <w:rsid w:val="00B65728"/>
    <w:rsid w:val="00B65747"/>
    <w:rsid w:val="00B65942"/>
    <w:rsid w:val="00B65BB7"/>
    <w:rsid w:val="00B65CBB"/>
    <w:rsid w:val="00B65F88"/>
    <w:rsid w:val="00B66294"/>
    <w:rsid w:val="00B66BEA"/>
    <w:rsid w:val="00B66C6A"/>
    <w:rsid w:val="00B66D98"/>
    <w:rsid w:val="00B672DD"/>
    <w:rsid w:val="00B6748B"/>
    <w:rsid w:val="00B67608"/>
    <w:rsid w:val="00B67AD4"/>
    <w:rsid w:val="00B67B57"/>
    <w:rsid w:val="00B70118"/>
    <w:rsid w:val="00B7089E"/>
    <w:rsid w:val="00B708C0"/>
    <w:rsid w:val="00B7093F"/>
    <w:rsid w:val="00B70FA5"/>
    <w:rsid w:val="00B70FFD"/>
    <w:rsid w:val="00B7116A"/>
    <w:rsid w:val="00B715B1"/>
    <w:rsid w:val="00B72054"/>
    <w:rsid w:val="00B720FE"/>
    <w:rsid w:val="00B728E0"/>
    <w:rsid w:val="00B7290A"/>
    <w:rsid w:val="00B731B2"/>
    <w:rsid w:val="00B73242"/>
    <w:rsid w:val="00B73306"/>
    <w:rsid w:val="00B737AD"/>
    <w:rsid w:val="00B737FA"/>
    <w:rsid w:val="00B738A4"/>
    <w:rsid w:val="00B73B0D"/>
    <w:rsid w:val="00B73FE5"/>
    <w:rsid w:val="00B740FB"/>
    <w:rsid w:val="00B744D0"/>
    <w:rsid w:val="00B74F1C"/>
    <w:rsid w:val="00B7561B"/>
    <w:rsid w:val="00B756C0"/>
    <w:rsid w:val="00B75ABD"/>
    <w:rsid w:val="00B75B7D"/>
    <w:rsid w:val="00B75C83"/>
    <w:rsid w:val="00B761D4"/>
    <w:rsid w:val="00B7660F"/>
    <w:rsid w:val="00B7699D"/>
    <w:rsid w:val="00B76A58"/>
    <w:rsid w:val="00B76B9F"/>
    <w:rsid w:val="00B7760F"/>
    <w:rsid w:val="00B77710"/>
    <w:rsid w:val="00B77BA1"/>
    <w:rsid w:val="00B77BB5"/>
    <w:rsid w:val="00B80AFC"/>
    <w:rsid w:val="00B80F43"/>
    <w:rsid w:val="00B8121C"/>
    <w:rsid w:val="00B8137E"/>
    <w:rsid w:val="00B81966"/>
    <w:rsid w:val="00B8196B"/>
    <w:rsid w:val="00B81E55"/>
    <w:rsid w:val="00B81E6C"/>
    <w:rsid w:val="00B8223B"/>
    <w:rsid w:val="00B82AFD"/>
    <w:rsid w:val="00B83181"/>
    <w:rsid w:val="00B8355F"/>
    <w:rsid w:val="00B838F8"/>
    <w:rsid w:val="00B839CB"/>
    <w:rsid w:val="00B83A8C"/>
    <w:rsid w:val="00B83AEA"/>
    <w:rsid w:val="00B83CC0"/>
    <w:rsid w:val="00B83E10"/>
    <w:rsid w:val="00B83FF2"/>
    <w:rsid w:val="00B840BF"/>
    <w:rsid w:val="00B8422C"/>
    <w:rsid w:val="00B847CF"/>
    <w:rsid w:val="00B849BA"/>
    <w:rsid w:val="00B84A00"/>
    <w:rsid w:val="00B8502C"/>
    <w:rsid w:val="00B8511D"/>
    <w:rsid w:val="00B852D2"/>
    <w:rsid w:val="00B858FB"/>
    <w:rsid w:val="00B8597D"/>
    <w:rsid w:val="00B859A1"/>
    <w:rsid w:val="00B85AD4"/>
    <w:rsid w:val="00B85FAA"/>
    <w:rsid w:val="00B8671A"/>
    <w:rsid w:val="00B873DF"/>
    <w:rsid w:val="00B875E8"/>
    <w:rsid w:val="00B87918"/>
    <w:rsid w:val="00B9021E"/>
    <w:rsid w:val="00B9076F"/>
    <w:rsid w:val="00B907CC"/>
    <w:rsid w:val="00B9081F"/>
    <w:rsid w:val="00B90ABF"/>
    <w:rsid w:val="00B90F26"/>
    <w:rsid w:val="00B90F4B"/>
    <w:rsid w:val="00B91012"/>
    <w:rsid w:val="00B912A2"/>
    <w:rsid w:val="00B915AB"/>
    <w:rsid w:val="00B917BC"/>
    <w:rsid w:val="00B926E0"/>
    <w:rsid w:val="00B92783"/>
    <w:rsid w:val="00B92F88"/>
    <w:rsid w:val="00B93497"/>
    <w:rsid w:val="00B93F10"/>
    <w:rsid w:val="00B946F7"/>
    <w:rsid w:val="00B94782"/>
    <w:rsid w:val="00B94C85"/>
    <w:rsid w:val="00B954D6"/>
    <w:rsid w:val="00B95538"/>
    <w:rsid w:val="00B9579A"/>
    <w:rsid w:val="00B95879"/>
    <w:rsid w:val="00B95B4E"/>
    <w:rsid w:val="00B95C70"/>
    <w:rsid w:val="00B95D99"/>
    <w:rsid w:val="00B95E62"/>
    <w:rsid w:val="00B9618B"/>
    <w:rsid w:val="00B9646E"/>
    <w:rsid w:val="00B96729"/>
    <w:rsid w:val="00B96B22"/>
    <w:rsid w:val="00B96BEC"/>
    <w:rsid w:val="00B97050"/>
    <w:rsid w:val="00B973E3"/>
    <w:rsid w:val="00B97E79"/>
    <w:rsid w:val="00BA02E3"/>
    <w:rsid w:val="00BA0430"/>
    <w:rsid w:val="00BA0483"/>
    <w:rsid w:val="00BA093F"/>
    <w:rsid w:val="00BA0A83"/>
    <w:rsid w:val="00BA1097"/>
    <w:rsid w:val="00BA11DF"/>
    <w:rsid w:val="00BA1285"/>
    <w:rsid w:val="00BA1319"/>
    <w:rsid w:val="00BA14BB"/>
    <w:rsid w:val="00BA1582"/>
    <w:rsid w:val="00BA179C"/>
    <w:rsid w:val="00BA1BC3"/>
    <w:rsid w:val="00BA1BE4"/>
    <w:rsid w:val="00BA1F4E"/>
    <w:rsid w:val="00BA211D"/>
    <w:rsid w:val="00BA237A"/>
    <w:rsid w:val="00BA2727"/>
    <w:rsid w:val="00BA2B4A"/>
    <w:rsid w:val="00BA2CBD"/>
    <w:rsid w:val="00BA2D33"/>
    <w:rsid w:val="00BA2DA7"/>
    <w:rsid w:val="00BA34BC"/>
    <w:rsid w:val="00BA396B"/>
    <w:rsid w:val="00BA3A2A"/>
    <w:rsid w:val="00BA3BFE"/>
    <w:rsid w:val="00BA3D73"/>
    <w:rsid w:val="00BA3FA3"/>
    <w:rsid w:val="00BA408E"/>
    <w:rsid w:val="00BA4238"/>
    <w:rsid w:val="00BA4A2C"/>
    <w:rsid w:val="00BA5D30"/>
    <w:rsid w:val="00BA5DA1"/>
    <w:rsid w:val="00BA6307"/>
    <w:rsid w:val="00BA631C"/>
    <w:rsid w:val="00BA67BC"/>
    <w:rsid w:val="00BA6AA9"/>
    <w:rsid w:val="00BA6E26"/>
    <w:rsid w:val="00BA75B4"/>
    <w:rsid w:val="00BA7AED"/>
    <w:rsid w:val="00BA7BC7"/>
    <w:rsid w:val="00BA7FBF"/>
    <w:rsid w:val="00BA7FE3"/>
    <w:rsid w:val="00BB002A"/>
    <w:rsid w:val="00BB0162"/>
    <w:rsid w:val="00BB0336"/>
    <w:rsid w:val="00BB060D"/>
    <w:rsid w:val="00BB080A"/>
    <w:rsid w:val="00BB09F1"/>
    <w:rsid w:val="00BB150F"/>
    <w:rsid w:val="00BB18AD"/>
    <w:rsid w:val="00BB18BD"/>
    <w:rsid w:val="00BB1955"/>
    <w:rsid w:val="00BB195D"/>
    <w:rsid w:val="00BB1F0D"/>
    <w:rsid w:val="00BB2019"/>
    <w:rsid w:val="00BB20BE"/>
    <w:rsid w:val="00BB2674"/>
    <w:rsid w:val="00BB2901"/>
    <w:rsid w:val="00BB2966"/>
    <w:rsid w:val="00BB2B3F"/>
    <w:rsid w:val="00BB304F"/>
    <w:rsid w:val="00BB3231"/>
    <w:rsid w:val="00BB33E9"/>
    <w:rsid w:val="00BB3478"/>
    <w:rsid w:val="00BB389B"/>
    <w:rsid w:val="00BB38BE"/>
    <w:rsid w:val="00BB39D8"/>
    <w:rsid w:val="00BB3AE8"/>
    <w:rsid w:val="00BB4021"/>
    <w:rsid w:val="00BB418F"/>
    <w:rsid w:val="00BB41BB"/>
    <w:rsid w:val="00BB4897"/>
    <w:rsid w:val="00BB4AED"/>
    <w:rsid w:val="00BB4F90"/>
    <w:rsid w:val="00BB555F"/>
    <w:rsid w:val="00BB5789"/>
    <w:rsid w:val="00BB58D2"/>
    <w:rsid w:val="00BB5B93"/>
    <w:rsid w:val="00BB5E85"/>
    <w:rsid w:val="00BB6062"/>
    <w:rsid w:val="00BB6271"/>
    <w:rsid w:val="00BB6489"/>
    <w:rsid w:val="00BB6596"/>
    <w:rsid w:val="00BB6D22"/>
    <w:rsid w:val="00BB6ED9"/>
    <w:rsid w:val="00BB7237"/>
    <w:rsid w:val="00BB7B5B"/>
    <w:rsid w:val="00BB7E8A"/>
    <w:rsid w:val="00BB7FD7"/>
    <w:rsid w:val="00BC0220"/>
    <w:rsid w:val="00BC0305"/>
    <w:rsid w:val="00BC03F4"/>
    <w:rsid w:val="00BC0417"/>
    <w:rsid w:val="00BC05F3"/>
    <w:rsid w:val="00BC074D"/>
    <w:rsid w:val="00BC0ACB"/>
    <w:rsid w:val="00BC0CCE"/>
    <w:rsid w:val="00BC0D28"/>
    <w:rsid w:val="00BC11B3"/>
    <w:rsid w:val="00BC13D0"/>
    <w:rsid w:val="00BC149F"/>
    <w:rsid w:val="00BC1524"/>
    <w:rsid w:val="00BC1BAC"/>
    <w:rsid w:val="00BC1CCC"/>
    <w:rsid w:val="00BC1D0F"/>
    <w:rsid w:val="00BC1DC4"/>
    <w:rsid w:val="00BC1DF2"/>
    <w:rsid w:val="00BC22EE"/>
    <w:rsid w:val="00BC27A7"/>
    <w:rsid w:val="00BC29AF"/>
    <w:rsid w:val="00BC3645"/>
    <w:rsid w:val="00BC3648"/>
    <w:rsid w:val="00BC3C56"/>
    <w:rsid w:val="00BC46FA"/>
    <w:rsid w:val="00BC47EE"/>
    <w:rsid w:val="00BC55DB"/>
    <w:rsid w:val="00BC5905"/>
    <w:rsid w:val="00BC5C01"/>
    <w:rsid w:val="00BC5DA9"/>
    <w:rsid w:val="00BC5F20"/>
    <w:rsid w:val="00BC680E"/>
    <w:rsid w:val="00BC6895"/>
    <w:rsid w:val="00BC6C8A"/>
    <w:rsid w:val="00BC7248"/>
    <w:rsid w:val="00BD0592"/>
    <w:rsid w:val="00BD074A"/>
    <w:rsid w:val="00BD0A41"/>
    <w:rsid w:val="00BD0E08"/>
    <w:rsid w:val="00BD0EF0"/>
    <w:rsid w:val="00BD1908"/>
    <w:rsid w:val="00BD1CF1"/>
    <w:rsid w:val="00BD1D4B"/>
    <w:rsid w:val="00BD1D5D"/>
    <w:rsid w:val="00BD1FB6"/>
    <w:rsid w:val="00BD2015"/>
    <w:rsid w:val="00BD2198"/>
    <w:rsid w:val="00BD29EC"/>
    <w:rsid w:val="00BD321C"/>
    <w:rsid w:val="00BD3440"/>
    <w:rsid w:val="00BD36EF"/>
    <w:rsid w:val="00BD38E2"/>
    <w:rsid w:val="00BD3A97"/>
    <w:rsid w:val="00BD41CD"/>
    <w:rsid w:val="00BD461C"/>
    <w:rsid w:val="00BD4664"/>
    <w:rsid w:val="00BD52DC"/>
    <w:rsid w:val="00BD56AE"/>
    <w:rsid w:val="00BD5807"/>
    <w:rsid w:val="00BD587C"/>
    <w:rsid w:val="00BD5919"/>
    <w:rsid w:val="00BD59D1"/>
    <w:rsid w:val="00BD605E"/>
    <w:rsid w:val="00BD6521"/>
    <w:rsid w:val="00BD6F05"/>
    <w:rsid w:val="00BD6F21"/>
    <w:rsid w:val="00BD72B0"/>
    <w:rsid w:val="00BD72C4"/>
    <w:rsid w:val="00BD7DC8"/>
    <w:rsid w:val="00BD7E98"/>
    <w:rsid w:val="00BD7EEA"/>
    <w:rsid w:val="00BE024A"/>
    <w:rsid w:val="00BE0347"/>
    <w:rsid w:val="00BE072D"/>
    <w:rsid w:val="00BE0B6D"/>
    <w:rsid w:val="00BE0D4B"/>
    <w:rsid w:val="00BE108E"/>
    <w:rsid w:val="00BE1723"/>
    <w:rsid w:val="00BE18AB"/>
    <w:rsid w:val="00BE18CC"/>
    <w:rsid w:val="00BE1ACC"/>
    <w:rsid w:val="00BE1B20"/>
    <w:rsid w:val="00BE1B80"/>
    <w:rsid w:val="00BE2022"/>
    <w:rsid w:val="00BE2444"/>
    <w:rsid w:val="00BE2E32"/>
    <w:rsid w:val="00BE2F12"/>
    <w:rsid w:val="00BE3192"/>
    <w:rsid w:val="00BE3309"/>
    <w:rsid w:val="00BE3629"/>
    <w:rsid w:val="00BE395A"/>
    <w:rsid w:val="00BE434A"/>
    <w:rsid w:val="00BE4550"/>
    <w:rsid w:val="00BE4B60"/>
    <w:rsid w:val="00BE5244"/>
    <w:rsid w:val="00BE5694"/>
    <w:rsid w:val="00BE570B"/>
    <w:rsid w:val="00BE5AF1"/>
    <w:rsid w:val="00BE5BB3"/>
    <w:rsid w:val="00BE5E85"/>
    <w:rsid w:val="00BE5FAE"/>
    <w:rsid w:val="00BE681A"/>
    <w:rsid w:val="00BE689B"/>
    <w:rsid w:val="00BE6B75"/>
    <w:rsid w:val="00BE6E1E"/>
    <w:rsid w:val="00BE6E7A"/>
    <w:rsid w:val="00BE6FF2"/>
    <w:rsid w:val="00BE789F"/>
    <w:rsid w:val="00BE79E1"/>
    <w:rsid w:val="00BF00A6"/>
    <w:rsid w:val="00BF00F9"/>
    <w:rsid w:val="00BF04ED"/>
    <w:rsid w:val="00BF0878"/>
    <w:rsid w:val="00BF0A05"/>
    <w:rsid w:val="00BF0D38"/>
    <w:rsid w:val="00BF0E96"/>
    <w:rsid w:val="00BF1729"/>
    <w:rsid w:val="00BF1B1B"/>
    <w:rsid w:val="00BF21AA"/>
    <w:rsid w:val="00BF2380"/>
    <w:rsid w:val="00BF24A7"/>
    <w:rsid w:val="00BF2DE8"/>
    <w:rsid w:val="00BF2DEA"/>
    <w:rsid w:val="00BF2F4C"/>
    <w:rsid w:val="00BF3760"/>
    <w:rsid w:val="00BF3769"/>
    <w:rsid w:val="00BF405F"/>
    <w:rsid w:val="00BF44FE"/>
    <w:rsid w:val="00BF47B4"/>
    <w:rsid w:val="00BF4A58"/>
    <w:rsid w:val="00BF5160"/>
    <w:rsid w:val="00BF5577"/>
    <w:rsid w:val="00BF5970"/>
    <w:rsid w:val="00BF5AE2"/>
    <w:rsid w:val="00BF5B2B"/>
    <w:rsid w:val="00BF5EF6"/>
    <w:rsid w:val="00BF61E5"/>
    <w:rsid w:val="00BF662B"/>
    <w:rsid w:val="00BF6BAC"/>
    <w:rsid w:val="00BF7292"/>
    <w:rsid w:val="00C0030D"/>
    <w:rsid w:val="00C0051D"/>
    <w:rsid w:val="00C005ED"/>
    <w:rsid w:val="00C0084C"/>
    <w:rsid w:val="00C00BEC"/>
    <w:rsid w:val="00C00D19"/>
    <w:rsid w:val="00C0114D"/>
    <w:rsid w:val="00C014E8"/>
    <w:rsid w:val="00C01876"/>
    <w:rsid w:val="00C01927"/>
    <w:rsid w:val="00C02000"/>
    <w:rsid w:val="00C02095"/>
    <w:rsid w:val="00C0239F"/>
    <w:rsid w:val="00C027FD"/>
    <w:rsid w:val="00C028B2"/>
    <w:rsid w:val="00C02ABC"/>
    <w:rsid w:val="00C02B00"/>
    <w:rsid w:val="00C02C3B"/>
    <w:rsid w:val="00C02E48"/>
    <w:rsid w:val="00C02F61"/>
    <w:rsid w:val="00C030C2"/>
    <w:rsid w:val="00C0368F"/>
    <w:rsid w:val="00C03741"/>
    <w:rsid w:val="00C037A1"/>
    <w:rsid w:val="00C03A38"/>
    <w:rsid w:val="00C03A45"/>
    <w:rsid w:val="00C03B4D"/>
    <w:rsid w:val="00C0400C"/>
    <w:rsid w:val="00C045D3"/>
    <w:rsid w:val="00C04F3E"/>
    <w:rsid w:val="00C0594B"/>
    <w:rsid w:val="00C060BF"/>
    <w:rsid w:val="00C06B12"/>
    <w:rsid w:val="00C06BC9"/>
    <w:rsid w:val="00C06DB2"/>
    <w:rsid w:val="00C077B9"/>
    <w:rsid w:val="00C100D7"/>
    <w:rsid w:val="00C10439"/>
    <w:rsid w:val="00C10965"/>
    <w:rsid w:val="00C109F2"/>
    <w:rsid w:val="00C10B42"/>
    <w:rsid w:val="00C11080"/>
    <w:rsid w:val="00C114B1"/>
    <w:rsid w:val="00C11AB6"/>
    <w:rsid w:val="00C11C79"/>
    <w:rsid w:val="00C11E2D"/>
    <w:rsid w:val="00C12094"/>
    <w:rsid w:val="00C120E5"/>
    <w:rsid w:val="00C121D4"/>
    <w:rsid w:val="00C12490"/>
    <w:rsid w:val="00C13596"/>
    <w:rsid w:val="00C13D23"/>
    <w:rsid w:val="00C14279"/>
    <w:rsid w:val="00C1434F"/>
    <w:rsid w:val="00C14425"/>
    <w:rsid w:val="00C1464A"/>
    <w:rsid w:val="00C14763"/>
    <w:rsid w:val="00C14943"/>
    <w:rsid w:val="00C14C31"/>
    <w:rsid w:val="00C154BF"/>
    <w:rsid w:val="00C15551"/>
    <w:rsid w:val="00C1583C"/>
    <w:rsid w:val="00C15887"/>
    <w:rsid w:val="00C15F7E"/>
    <w:rsid w:val="00C1655D"/>
    <w:rsid w:val="00C16627"/>
    <w:rsid w:val="00C167EB"/>
    <w:rsid w:val="00C16B85"/>
    <w:rsid w:val="00C1762A"/>
    <w:rsid w:val="00C1764A"/>
    <w:rsid w:val="00C17B05"/>
    <w:rsid w:val="00C17BBD"/>
    <w:rsid w:val="00C17CED"/>
    <w:rsid w:val="00C17F7A"/>
    <w:rsid w:val="00C20020"/>
    <w:rsid w:val="00C200A1"/>
    <w:rsid w:val="00C20114"/>
    <w:rsid w:val="00C206D5"/>
    <w:rsid w:val="00C20A4B"/>
    <w:rsid w:val="00C20B02"/>
    <w:rsid w:val="00C20B1C"/>
    <w:rsid w:val="00C20B4C"/>
    <w:rsid w:val="00C20DAB"/>
    <w:rsid w:val="00C2148E"/>
    <w:rsid w:val="00C2149C"/>
    <w:rsid w:val="00C21AB7"/>
    <w:rsid w:val="00C21B2B"/>
    <w:rsid w:val="00C220A9"/>
    <w:rsid w:val="00C2285C"/>
    <w:rsid w:val="00C22D1F"/>
    <w:rsid w:val="00C22F80"/>
    <w:rsid w:val="00C232FC"/>
    <w:rsid w:val="00C2399F"/>
    <w:rsid w:val="00C23E23"/>
    <w:rsid w:val="00C23FEB"/>
    <w:rsid w:val="00C242A4"/>
    <w:rsid w:val="00C2568A"/>
    <w:rsid w:val="00C2590B"/>
    <w:rsid w:val="00C25B79"/>
    <w:rsid w:val="00C25CEE"/>
    <w:rsid w:val="00C2608C"/>
    <w:rsid w:val="00C261DC"/>
    <w:rsid w:val="00C261EA"/>
    <w:rsid w:val="00C26514"/>
    <w:rsid w:val="00C26561"/>
    <w:rsid w:val="00C26932"/>
    <w:rsid w:val="00C26D1B"/>
    <w:rsid w:val="00C26E7D"/>
    <w:rsid w:val="00C26EE0"/>
    <w:rsid w:val="00C27016"/>
    <w:rsid w:val="00C27357"/>
    <w:rsid w:val="00C27AA1"/>
    <w:rsid w:val="00C300C7"/>
    <w:rsid w:val="00C30298"/>
    <w:rsid w:val="00C305E9"/>
    <w:rsid w:val="00C30897"/>
    <w:rsid w:val="00C30CA6"/>
    <w:rsid w:val="00C30E33"/>
    <w:rsid w:val="00C311FF"/>
    <w:rsid w:val="00C31397"/>
    <w:rsid w:val="00C3186E"/>
    <w:rsid w:val="00C31C6F"/>
    <w:rsid w:val="00C323AB"/>
    <w:rsid w:val="00C32B88"/>
    <w:rsid w:val="00C33925"/>
    <w:rsid w:val="00C33AF3"/>
    <w:rsid w:val="00C33B33"/>
    <w:rsid w:val="00C3491E"/>
    <w:rsid w:val="00C34C2B"/>
    <w:rsid w:val="00C34EB6"/>
    <w:rsid w:val="00C34F43"/>
    <w:rsid w:val="00C353F2"/>
    <w:rsid w:val="00C359F6"/>
    <w:rsid w:val="00C360E6"/>
    <w:rsid w:val="00C36421"/>
    <w:rsid w:val="00C3692F"/>
    <w:rsid w:val="00C36ABB"/>
    <w:rsid w:val="00C3747A"/>
    <w:rsid w:val="00C377E8"/>
    <w:rsid w:val="00C401BF"/>
    <w:rsid w:val="00C40300"/>
    <w:rsid w:val="00C40DC8"/>
    <w:rsid w:val="00C40FC3"/>
    <w:rsid w:val="00C4140E"/>
    <w:rsid w:val="00C4152B"/>
    <w:rsid w:val="00C41624"/>
    <w:rsid w:val="00C41801"/>
    <w:rsid w:val="00C418C2"/>
    <w:rsid w:val="00C41F81"/>
    <w:rsid w:val="00C422B6"/>
    <w:rsid w:val="00C42312"/>
    <w:rsid w:val="00C423C2"/>
    <w:rsid w:val="00C42577"/>
    <w:rsid w:val="00C4285E"/>
    <w:rsid w:val="00C42C29"/>
    <w:rsid w:val="00C42C6F"/>
    <w:rsid w:val="00C42FAF"/>
    <w:rsid w:val="00C430C8"/>
    <w:rsid w:val="00C43B58"/>
    <w:rsid w:val="00C43C38"/>
    <w:rsid w:val="00C43CF8"/>
    <w:rsid w:val="00C441FC"/>
    <w:rsid w:val="00C444CE"/>
    <w:rsid w:val="00C44557"/>
    <w:rsid w:val="00C44C0F"/>
    <w:rsid w:val="00C44C5C"/>
    <w:rsid w:val="00C4567B"/>
    <w:rsid w:val="00C45BC5"/>
    <w:rsid w:val="00C46416"/>
    <w:rsid w:val="00C46AD1"/>
    <w:rsid w:val="00C46C29"/>
    <w:rsid w:val="00C46EE2"/>
    <w:rsid w:val="00C46FBD"/>
    <w:rsid w:val="00C470B5"/>
    <w:rsid w:val="00C471E3"/>
    <w:rsid w:val="00C47388"/>
    <w:rsid w:val="00C506DA"/>
    <w:rsid w:val="00C50E74"/>
    <w:rsid w:val="00C5112F"/>
    <w:rsid w:val="00C515A3"/>
    <w:rsid w:val="00C51E45"/>
    <w:rsid w:val="00C5239C"/>
    <w:rsid w:val="00C523F9"/>
    <w:rsid w:val="00C5247C"/>
    <w:rsid w:val="00C525B8"/>
    <w:rsid w:val="00C5265F"/>
    <w:rsid w:val="00C528B9"/>
    <w:rsid w:val="00C53041"/>
    <w:rsid w:val="00C5310B"/>
    <w:rsid w:val="00C53167"/>
    <w:rsid w:val="00C5343A"/>
    <w:rsid w:val="00C53606"/>
    <w:rsid w:val="00C53DF3"/>
    <w:rsid w:val="00C54818"/>
    <w:rsid w:val="00C5482A"/>
    <w:rsid w:val="00C54E97"/>
    <w:rsid w:val="00C5539F"/>
    <w:rsid w:val="00C554E0"/>
    <w:rsid w:val="00C555A0"/>
    <w:rsid w:val="00C55A7A"/>
    <w:rsid w:val="00C56083"/>
    <w:rsid w:val="00C5614E"/>
    <w:rsid w:val="00C562D8"/>
    <w:rsid w:val="00C56687"/>
    <w:rsid w:val="00C5690C"/>
    <w:rsid w:val="00C56AC4"/>
    <w:rsid w:val="00C56BB1"/>
    <w:rsid w:val="00C56FF6"/>
    <w:rsid w:val="00C5782C"/>
    <w:rsid w:val="00C60330"/>
    <w:rsid w:val="00C608A2"/>
    <w:rsid w:val="00C6091C"/>
    <w:rsid w:val="00C60C51"/>
    <w:rsid w:val="00C60E4D"/>
    <w:rsid w:val="00C610CE"/>
    <w:rsid w:val="00C61356"/>
    <w:rsid w:val="00C617D8"/>
    <w:rsid w:val="00C61CBD"/>
    <w:rsid w:val="00C61D54"/>
    <w:rsid w:val="00C61ED5"/>
    <w:rsid w:val="00C61F6F"/>
    <w:rsid w:val="00C6241E"/>
    <w:rsid w:val="00C62CA8"/>
    <w:rsid w:val="00C62F51"/>
    <w:rsid w:val="00C62F62"/>
    <w:rsid w:val="00C6313E"/>
    <w:rsid w:val="00C63277"/>
    <w:rsid w:val="00C63BAD"/>
    <w:rsid w:val="00C63C5C"/>
    <w:rsid w:val="00C6404C"/>
    <w:rsid w:val="00C644CA"/>
    <w:rsid w:val="00C6464D"/>
    <w:rsid w:val="00C6471A"/>
    <w:rsid w:val="00C64837"/>
    <w:rsid w:val="00C6492E"/>
    <w:rsid w:val="00C64996"/>
    <w:rsid w:val="00C64E2C"/>
    <w:rsid w:val="00C6537B"/>
    <w:rsid w:val="00C6544A"/>
    <w:rsid w:val="00C654D4"/>
    <w:rsid w:val="00C66168"/>
    <w:rsid w:val="00C670E7"/>
    <w:rsid w:val="00C670FA"/>
    <w:rsid w:val="00C67626"/>
    <w:rsid w:val="00C67906"/>
    <w:rsid w:val="00C67998"/>
    <w:rsid w:val="00C67A7E"/>
    <w:rsid w:val="00C67E8C"/>
    <w:rsid w:val="00C67FB4"/>
    <w:rsid w:val="00C70971"/>
    <w:rsid w:val="00C70AC0"/>
    <w:rsid w:val="00C70D7A"/>
    <w:rsid w:val="00C70F3C"/>
    <w:rsid w:val="00C71AC1"/>
    <w:rsid w:val="00C71F49"/>
    <w:rsid w:val="00C72F19"/>
    <w:rsid w:val="00C734B3"/>
    <w:rsid w:val="00C73561"/>
    <w:rsid w:val="00C735CB"/>
    <w:rsid w:val="00C737AB"/>
    <w:rsid w:val="00C73983"/>
    <w:rsid w:val="00C73994"/>
    <w:rsid w:val="00C73A86"/>
    <w:rsid w:val="00C73B63"/>
    <w:rsid w:val="00C73D1A"/>
    <w:rsid w:val="00C73FCB"/>
    <w:rsid w:val="00C7413E"/>
    <w:rsid w:val="00C74316"/>
    <w:rsid w:val="00C743DC"/>
    <w:rsid w:val="00C74B9D"/>
    <w:rsid w:val="00C74BAE"/>
    <w:rsid w:val="00C74BB9"/>
    <w:rsid w:val="00C74BF4"/>
    <w:rsid w:val="00C74C9B"/>
    <w:rsid w:val="00C74E58"/>
    <w:rsid w:val="00C74E7B"/>
    <w:rsid w:val="00C74EAD"/>
    <w:rsid w:val="00C75331"/>
    <w:rsid w:val="00C75417"/>
    <w:rsid w:val="00C75474"/>
    <w:rsid w:val="00C7559B"/>
    <w:rsid w:val="00C7594F"/>
    <w:rsid w:val="00C759FB"/>
    <w:rsid w:val="00C75C9C"/>
    <w:rsid w:val="00C7642E"/>
    <w:rsid w:val="00C76E4A"/>
    <w:rsid w:val="00C76E4B"/>
    <w:rsid w:val="00C76F1C"/>
    <w:rsid w:val="00C77001"/>
    <w:rsid w:val="00C77163"/>
    <w:rsid w:val="00C773ED"/>
    <w:rsid w:val="00C774C5"/>
    <w:rsid w:val="00C77766"/>
    <w:rsid w:val="00C779F8"/>
    <w:rsid w:val="00C8016A"/>
    <w:rsid w:val="00C80571"/>
    <w:rsid w:val="00C80632"/>
    <w:rsid w:val="00C80730"/>
    <w:rsid w:val="00C80CA8"/>
    <w:rsid w:val="00C80D8B"/>
    <w:rsid w:val="00C8122C"/>
    <w:rsid w:val="00C81A44"/>
    <w:rsid w:val="00C8257F"/>
    <w:rsid w:val="00C82997"/>
    <w:rsid w:val="00C82CCC"/>
    <w:rsid w:val="00C82F50"/>
    <w:rsid w:val="00C82F9E"/>
    <w:rsid w:val="00C83047"/>
    <w:rsid w:val="00C832C2"/>
    <w:rsid w:val="00C83378"/>
    <w:rsid w:val="00C833D5"/>
    <w:rsid w:val="00C83AA3"/>
    <w:rsid w:val="00C84045"/>
    <w:rsid w:val="00C840E8"/>
    <w:rsid w:val="00C84703"/>
    <w:rsid w:val="00C84771"/>
    <w:rsid w:val="00C84AC9"/>
    <w:rsid w:val="00C84B82"/>
    <w:rsid w:val="00C84CE8"/>
    <w:rsid w:val="00C84E96"/>
    <w:rsid w:val="00C84F69"/>
    <w:rsid w:val="00C850E5"/>
    <w:rsid w:val="00C851FE"/>
    <w:rsid w:val="00C85352"/>
    <w:rsid w:val="00C85411"/>
    <w:rsid w:val="00C86048"/>
    <w:rsid w:val="00C878CF"/>
    <w:rsid w:val="00C901C5"/>
    <w:rsid w:val="00C9026B"/>
    <w:rsid w:val="00C90A55"/>
    <w:rsid w:val="00C90A6B"/>
    <w:rsid w:val="00C90ABD"/>
    <w:rsid w:val="00C91105"/>
    <w:rsid w:val="00C916A8"/>
    <w:rsid w:val="00C917D2"/>
    <w:rsid w:val="00C91BC2"/>
    <w:rsid w:val="00C91F7C"/>
    <w:rsid w:val="00C92133"/>
    <w:rsid w:val="00C92715"/>
    <w:rsid w:val="00C927D1"/>
    <w:rsid w:val="00C929FE"/>
    <w:rsid w:val="00C92A18"/>
    <w:rsid w:val="00C935C2"/>
    <w:rsid w:val="00C9363D"/>
    <w:rsid w:val="00C93668"/>
    <w:rsid w:val="00C93E18"/>
    <w:rsid w:val="00C93FCA"/>
    <w:rsid w:val="00C9432C"/>
    <w:rsid w:val="00C946BA"/>
    <w:rsid w:val="00C94975"/>
    <w:rsid w:val="00C94A1C"/>
    <w:rsid w:val="00C94AD9"/>
    <w:rsid w:val="00C94BAE"/>
    <w:rsid w:val="00C95354"/>
    <w:rsid w:val="00C953ED"/>
    <w:rsid w:val="00C956D5"/>
    <w:rsid w:val="00C95713"/>
    <w:rsid w:val="00C95976"/>
    <w:rsid w:val="00C95B28"/>
    <w:rsid w:val="00C95CA2"/>
    <w:rsid w:val="00C95F24"/>
    <w:rsid w:val="00C95FAE"/>
    <w:rsid w:val="00C9606C"/>
    <w:rsid w:val="00C96ECC"/>
    <w:rsid w:val="00C96EE1"/>
    <w:rsid w:val="00C9772C"/>
    <w:rsid w:val="00C9788B"/>
    <w:rsid w:val="00C97B08"/>
    <w:rsid w:val="00C97E84"/>
    <w:rsid w:val="00CA01E5"/>
    <w:rsid w:val="00CA08F1"/>
    <w:rsid w:val="00CA1339"/>
    <w:rsid w:val="00CA1700"/>
    <w:rsid w:val="00CA1E25"/>
    <w:rsid w:val="00CA1F7E"/>
    <w:rsid w:val="00CA23F3"/>
    <w:rsid w:val="00CA26D3"/>
    <w:rsid w:val="00CA2880"/>
    <w:rsid w:val="00CA2C08"/>
    <w:rsid w:val="00CA31A3"/>
    <w:rsid w:val="00CA325A"/>
    <w:rsid w:val="00CA33BD"/>
    <w:rsid w:val="00CA40CA"/>
    <w:rsid w:val="00CA41B7"/>
    <w:rsid w:val="00CA4315"/>
    <w:rsid w:val="00CA435A"/>
    <w:rsid w:val="00CA46D1"/>
    <w:rsid w:val="00CA48B9"/>
    <w:rsid w:val="00CA4B5B"/>
    <w:rsid w:val="00CA4BBF"/>
    <w:rsid w:val="00CA4C4A"/>
    <w:rsid w:val="00CA5038"/>
    <w:rsid w:val="00CA52F4"/>
    <w:rsid w:val="00CA53BD"/>
    <w:rsid w:val="00CA5440"/>
    <w:rsid w:val="00CA5517"/>
    <w:rsid w:val="00CA55EC"/>
    <w:rsid w:val="00CA5842"/>
    <w:rsid w:val="00CA5983"/>
    <w:rsid w:val="00CA5C54"/>
    <w:rsid w:val="00CA60BF"/>
    <w:rsid w:val="00CA7209"/>
    <w:rsid w:val="00CA7643"/>
    <w:rsid w:val="00CA76DA"/>
    <w:rsid w:val="00CA7964"/>
    <w:rsid w:val="00CA796A"/>
    <w:rsid w:val="00CA7AAF"/>
    <w:rsid w:val="00CA7C45"/>
    <w:rsid w:val="00CA7E32"/>
    <w:rsid w:val="00CA7F1E"/>
    <w:rsid w:val="00CA7F32"/>
    <w:rsid w:val="00CB03E8"/>
    <w:rsid w:val="00CB04F5"/>
    <w:rsid w:val="00CB0B54"/>
    <w:rsid w:val="00CB0BB1"/>
    <w:rsid w:val="00CB0C04"/>
    <w:rsid w:val="00CB0D28"/>
    <w:rsid w:val="00CB0FF2"/>
    <w:rsid w:val="00CB1165"/>
    <w:rsid w:val="00CB130E"/>
    <w:rsid w:val="00CB1477"/>
    <w:rsid w:val="00CB1581"/>
    <w:rsid w:val="00CB17CA"/>
    <w:rsid w:val="00CB1930"/>
    <w:rsid w:val="00CB1C5D"/>
    <w:rsid w:val="00CB1F85"/>
    <w:rsid w:val="00CB21B6"/>
    <w:rsid w:val="00CB2464"/>
    <w:rsid w:val="00CB2DC2"/>
    <w:rsid w:val="00CB2F0E"/>
    <w:rsid w:val="00CB3057"/>
    <w:rsid w:val="00CB3758"/>
    <w:rsid w:val="00CB3F2F"/>
    <w:rsid w:val="00CB4379"/>
    <w:rsid w:val="00CB4970"/>
    <w:rsid w:val="00CB4987"/>
    <w:rsid w:val="00CB586E"/>
    <w:rsid w:val="00CB5921"/>
    <w:rsid w:val="00CB5FA1"/>
    <w:rsid w:val="00CB6102"/>
    <w:rsid w:val="00CB620B"/>
    <w:rsid w:val="00CB6AFE"/>
    <w:rsid w:val="00CB6E67"/>
    <w:rsid w:val="00CB70C9"/>
    <w:rsid w:val="00CB7166"/>
    <w:rsid w:val="00CB71D6"/>
    <w:rsid w:val="00CB755A"/>
    <w:rsid w:val="00CB7572"/>
    <w:rsid w:val="00CB7DC8"/>
    <w:rsid w:val="00CB7EB8"/>
    <w:rsid w:val="00CC05CD"/>
    <w:rsid w:val="00CC12E9"/>
    <w:rsid w:val="00CC1D5D"/>
    <w:rsid w:val="00CC2970"/>
    <w:rsid w:val="00CC2A06"/>
    <w:rsid w:val="00CC2D0D"/>
    <w:rsid w:val="00CC3591"/>
    <w:rsid w:val="00CC3758"/>
    <w:rsid w:val="00CC3C59"/>
    <w:rsid w:val="00CC4334"/>
    <w:rsid w:val="00CC5152"/>
    <w:rsid w:val="00CC542A"/>
    <w:rsid w:val="00CC578E"/>
    <w:rsid w:val="00CC5EF3"/>
    <w:rsid w:val="00CC6261"/>
    <w:rsid w:val="00CC6332"/>
    <w:rsid w:val="00CC641B"/>
    <w:rsid w:val="00CC6524"/>
    <w:rsid w:val="00CC6AC2"/>
    <w:rsid w:val="00CC6DA7"/>
    <w:rsid w:val="00CC7658"/>
    <w:rsid w:val="00CC7E04"/>
    <w:rsid w:val="00CC7FBC"/>
    <w:rsid w:val="00CD064A"/>
    <w:rsid w:val="00CD0C3B"/>
    <w:rsid w:val="00CD0D1A"/>
    <w:rsid w:val="00CD11F5"/>
    <w:rsid w:val="00CD1DAB"/>
    <w:rsid w:val="00CD1EA6"/>
    <w:rsid w:val="00CD1FC0"/>
    <w:rsid w:val="00CD25FF"/>
    <w:rsid w:val="00CD26C6"/>
    <w:rsid w:val="00CD2A5A"/>
    <w:rsid w:val="00CD2C24"/>
    <w:rsid w:val="00CD2D05"/>
    <w:rsid w:val="00CD2F93"/>
    <w:rsid w:val="00CD2F99"/>
    <w:rsid w:val="00CD34E1"/>
    <w:rsid w:val="00CD3B29"/>
    <w:rsid w:val="00CD3BC5"/>
    <w:rsid w:val="00CD4156"/>
    <w:rsid w:val="00CD44BC"/>
    <w:rsid w:val="00CD45FF"/>
    <w:rsid w:val="00CD5B8C"/>
    <w:rsid w:val="00CD5BFD"/>
    <w:rsid w:val="00CD5FE7"/>
    <w:rsid w:val="00CD672F"/>
    <w:rsid w:val="00CD67CB"/>
    <w:rsid w:val="00CD6ED4"/>
    <w:rsid w:val="00CD6F29"/>
    <w:rsid w:val="00CD7064"/>
    <w:rsid w:val="00CD7769"/>
    <w:rsid w:val="00CD7798"/>
    <w:rsid w:val="00CD78B9"/>
    <w:rsid w:val="00CD7998"/>
    <w:rsid w:val="00CD7EC4"/>
    <w:rsid w:val="00CE0405"/>
    <w:rsid w:val="00CE060B"/>
    <w:rsid w:val="00CE061E"/>
    <w:rsid w:val="00CE08BD"/>
    <w:rsid w:val="00CE0ADA"/>
    <w:rsid w:val="00CE1337"/>
    <w:rsid w:val="00CE170C"/>
    <w:rsid w:val="00CE18FF"/>
    <w:rsid w:val="00CE1923"/>
    <w:rsid w:val="00CE19D4"/>
    <w:rsid w:val="00CE235A"/>
    <w:rsid w:val="00CE27D3"/>
    <w:rsid w:val="00CE2849"/>
    <w:rsid w:val="00CE2B2A"/>
    <w:rsid w:val="00CE2FC5"/>
    <w:rsid w:val="00CE303B"/>
    <w:rsid w:val="00CE35D0"/>
    <w:rsid w:val="00CE384D"/>
    <w:rsid w:val="00CE3942"/>
    <w:rsid w:val="00CE3D36"/>
    <w:rsid w:val="00CE421B"/>
    <w:rsid w:val="00CE47F8"/>
    <w:rsid w:val="00CE4EA8"/>
    <w:rsid w:val="00CE4F6C"/>
    <w:rsid w:val="00CE4F8B"/>
    <w:rsid w:val="00CE5240"/>
    <w:rsid w:val="00CE5DE1"/>
    <w:rsid w:val="00CE643A"/>
    <w:rsid w:val="00CE6594"/>
    <w:rsid w:val="00CE660E"/>
    <w:rsid w:val="00CE6847"/>
    <w:rsid w:val="00CE6D0E"/>
    <w:rsid w:val="00CE6F71"/>
    <w:rsid w:val="00CE70E7"/>
    <w:rsid w:val="00CE73B6"/>
    <w:rsid w:val="00CE76A7"/>
    <w:rsid w:val="00CE7B5E"/>
    <w:rsid w:val="00CF0162"/>
    <w:rsid w:val="00CF0200"/>
    <w:rsid w:val="00CF02A1"/>
    <w:rsid w:val="00CF06E9"/>
    <w:rsid w:val="00CF08C6"/>
    <w:rsid w:val="00CF0937"/>
    <w:rsid w:val="00CF0950"/>
    <w:rsid w:val="00CF0AAF"/>
    <w:rsid w:val="00CF0C10"/>
    <w:rsid w:val="00CF0CE4"/>
    <w:rsid w:val="00CF1344"/>
    <w:rsid w:val="00CF1AC8"/>
    <w:rsid w:val="00CF207C"/>
    <w:rsid w:val="00CF25E1"/>
    <w:rsid w:val="00CF25FC"/>
    <w:rsid w:val="00CF288C"/>
    <w:rsid w:val="00CF2C8A"/>
    <w:rsid w:val="00CF4869"/>
    <w:rsid w:val="00CF4A13"/>
    <w:rsid w:val="00CF52D6"/>
    <w:rsid w:val="00CF55E0"/>
    <w:rsid w:val="00CF585A"/>
    <w:rsid w:val="00CF5947"/>
    <w:rsid w:val="00CF5E2C"/>
    <w:rsid w:val="00CF5EC3"/>
    <w:rsid w:val="00CF6183"/>
    <w:rsid w:val="00CF62D3"/>
    <w:rsid w:val="00CF662B"/>
    <w:rsid w:val="00CF6966"/>
    <w:rsid w:val="00CF6C9F"/>
    <w:rsid w:val="00CF6D75"/>
    <w:rsid w:val="00CF6D94"/>
    <w:rsid w:val="00CF70B6"/>
    <w:rsid w:val="00CF70CD"/>
    <w:rsid w:val="00CF7170"/>
    <w:rsid w:val="00CF7191"/>
    <w:rsid w:val="00CF7194"/>
    <w:rsid w:val="00CF7229"/>
    <w:rsid w:val="00CF7465"/>
    <w:rsid w:val="00CF7537"/>
    <w:rsid w:val="00CF7607"/>
    <w:rsid w:val="00CF79CA"/>
    <w:rsid w:val="00CF7A81"/>
    <w:rsid w:val="00D01647"/>
    <w:rsid w:val="00D01754"/>
    <w:rsid w:val="00D02360"/>
    <w:rsid w:val="00D02840"/>
    <w:rsid w:val="00D028F6"/>
    <w:rsid w:val="00D02B40"/>
    <w:rsid w:val="00D03560"/>
    <w:rsid w:val="00D03630"/>
    <w:rsid w:val="00D038B7"/>
    <w:rsid w:val="00D04099"/>
    <w:rsid w:val="00D0413B"/>
    <w:rsid w:val="00D04277"/>
    <w:rsid w:val="00D04587"/>
    <w:rsid w:val="00D0474E"/>
    <w:rsid w:val="00D047B0"/>
    <w:rsid w:val="00D04A05"/>
    <w:rsid w:val="00D04BE3"/>
    <w:rsid w:val="00D052A0"/>
    <w:rsid w:val="00D05773"/>
    <w:rsid w:val="00D06130"/>
    <w:rsid w:val="00D064C7"/>
    <w:rsid w:val="00D064F1"/>
    <w:rsid w:val="00D0655E"/>
    <w:rsid w:val="00D068FB"/>
    <w:rsid w:val="00D06A3B"/>
    <w:rsid w:val="00D06A86"/>
    <w:rsid w:val="00D073AB"/>
    <w:rsid w:val="00D073ED"/>
    <w:rsid w:val="00D076AF"/>
    <w:rsid w:val="00D07888"/>
    <w:rsid w:val="00D101AE"/>
    <w:rsid w:val="00D101BE"/>
    <w:rsid w:val="00D101D9"/>
    <w:rsid w:val="00D1036F"/>
    <w:rsid w:val="00D103CB"/>
    <w:rsid w:val="00D10820"/>
    <w:rsid w:val="00D10896"/>
    <w:rsid w:val="00D10ACB"/>
    <w:rsid w:val="00D10CFB"/>
    <w:rsid w:val="00D1118A"/>
    <w:rsid w:val="00D11232"/>
    <w:rsid w:val="00D11281"/>
    <w:rsid w:val="00D11919"/>
    <w:rsid w:val="00D11997"/>
    <w:rsid w:val="00D11E1A"/>
    <w:rsid w:val="00D11E68"/>
    <w:rsid w:val="00D120AD"/>
    <w:rsid w:val="00D121DB"/>
    <w:rsid w:val="00D12310"/>
    <w:rsid w:val="00D123A0"/>
    <w:rsid w:val="00D13904"/>
    <w:rsid w:val="00D13C80"/>
    <w:rsid w:val="00D13DE4"/>
    <w:rsid w:val="00D13F89"/>
    <w:rsid w:val="00D144ED"/>
    <w:rsid w:val="00D145BB"/>
    <w:rsid w:val="00D14AB9"/>
    <w:rsid w:val="00D14CC2"/>
    <w:rsid w:val="00D14FC0"/>
    <w:rsid w:val="00D15081"/>
    <w:rsid w:val="00D1511C"/>
    <w:rsid w:val="00D1570D"/>
    <w:rsid w:val="00D15786"/>
    <w:rsid w:val="00D157E9"/>
    <w:rsid w:val="00D15E3E"/>
    <w:rsid w:val="00D15FD4"/>
    <w:rsid w:val="00D164CD"/>
    <w:rsid w:val="00D166F0"/>
    <w:rsid w:val="00D1680A"/>
    <w:rsid w:val="00D168FA"/>
    <w:rsid w:val="00D16D0B"/>
    <w:rsid w:val="00D17047"/>
    <w:rsid w:val="00D1712D"/>
    <w:rsid w:val="00D17152"/>
    <w:rsid w:val="00D1722E"/>
    <w:rsid w:val="00D17242"/>
    <w:rsid w:val="00D17285"/>
    <w:rsid w:val="00D17818"/>
    <w:rsid w:val="00D1795F"/>
    <w:rsid w:val="00D17AEF"/>
    <w:rsid w:val="00D17FB9"/>
    <w:rsid w:val="00D200F1"/>
    <w:rsid w:val="00D20256"/>
    <w:rsid w:val="00D20923"/>
    <w:rsid w:val="00D20A12"/>
    <w:rsid w:val="00D20C0A"/>
    <w:rsid w:val="00D20CBA"/>
    <w:rsid w:val="00D20D05"/>
    <w:rsid w:val="00D211EB"/>
    <w:rsid w:val="00D21374"/>
    <w:rsid w:val="00D217B9"/>
    <w:rsid w:val="00D21B1C"/>
    <w:rsid w:val="00D21B74"/>
    <w:rsid w:val="00D22166"/>
    <w:rsid w:val="00D22198"/>
    <w:rsid w:val="00D2231C"/>
    <w:rsid w:val="00D227F1"/>
    <w:rsid w:val="00D22A7A"/>
    <w:rsid w:val="00D22F5E"/>
    <w:rsid w:val="00D23002"/>
    <w:rsid w:val="00D23533"/>
    <w:rsid w:val="00D2366A"/>
    <w:rsid w:val="00D236F1"/>
    <w:rsid w:val="00D238DC"/>
    <w:rsid w:val="00D23AA7"/>
    <w:rsid w:val="00D23C8A"/>
    <w:rsid w:val="00D23DAC"/>
    <w:rsid w:val="00D240D4"/>
    <w:rsid w:val="00D24276"/>
    <w:rsid w:val="00D2438E"/>
    <w:rsid w:val="00D24956"/>
    <w:rsid w:val="00D24967"/>
    <w:rsid w:val="00D24A99"/>
    <w:rsid w:val="00D24BA3"/>
    <w:rsid w:val="00D24DF7"/>
    <w:rsid w:val="00D250D3"/>
    <w:rsid w:val="00D258E2"/>
    <w:rsid w:val="00D2593F"/>
    <w:rsid w:val="00D25BA5"/>
    <w:rsid w:val="00D25CEE"/>
    <w:rsid w:val="00D26253"/>
    <w:rsid w:val="00D26A60"/>
    <w:rsid w:val="00D26F57"/>
    <w:rsid w:val="00D26FA6"/>
    <w:rsid w:val="00D26FE0"/>
    <w:rsid w:val="00D270C2"/>
    <w:rsid w:val="00D2735F"/>
    <w:rsid w:val="00D2746F"/>
    <w:rsid w:val="00D27520"/>
    <w:rsid w:val="00D27525"/>
    <w:rsid w:val="00D276D4"/>
    <w:rsid w:val="00D27952"/>
    <w:rsid w:val="00D27C6A"/>
    <w:rsid w:val="00D30258"/>
    <w:rsid w:val="00D307E7"/>
    <w:rsid w:val="00D30826"/>
    <w:rsid w:val="00D309EF"/>
    <w:rsid w:val="00D30AA6"/>
    <w:rsid w:val="00D30C5A"/>
    <w:rsid w:val="00D30DB1"/>
    <w:rsid w:val="00D30E97"/>
    <w:rsid w:val="00D310FD"/>
    <w:rsid w:val="00D311B0"/>
    <w:rsid w:val="00D31233"/>
    <w:rsid w:val="00D31237"/>
    <w:rsid w:val="00D31A1B"/>
    <w:rsid w:val="00D32113"/>
    <w:rsid w:val="00D32514"/>
    <w:rsid w:val="00D32C78"/>
    <w:rsid w:val="00D32FC6"/>
    <w:rsid w:val="00D33B37"/>
    <w:rsid w:val="00D33C1E"/>
    <w:rsid w:val="00D33CC5"/>
    <w:rsid w:val="00D33E6C"/>
    <w:rsid w:val="00D340B4"/>
    <w:rsid w:val="00D34B61"/>
    <w:rsid w:val="00D351B7"/>
    <w:rsid w:val="00D352C1"/>
    <w:rsid w:val="00D3532E"/>
    <w:rsid w:val="00D35469"/>
    <w:rsid w:val="00D3578B"/>
    <w:rsid w:val="00D359F8"/>
    <w:rsid w:val="00D362A5"/>
    <w:rsid w:val="00D36549"/>
    <w:rsid w:val="00D36A28"/>
    <w:rsid w:val="00D370A6"/>
    <w:rsid w:val="00D37273"/>
    <w:rsid w:val="00D377B1"/>
    <w:rsid w:val="00D377BC"/>
    <w:rsid w:val="00D37940"/>
    <w:rsid w:val="00D400EF"/>
    <w:rsid w:val="00D401DD"/>
    <w:rsid w:val="00D403AF"/>
    <w:rsid w:val="00D404BA"/>
    <w:rsid w:val="00D404D4"/>
    <w:rsid w:val="00D40556"/>
    <w:rsid w:val="00D40B64"/>
    <w:rsid w:val="00D410AA"/>
    <w:rsid w:val="00D41150"/>
    <w:rsid w:val="00D41673"/>
    <w:rsid w:val="00D41E2B"/>
    <w:rsid w:val="00D4208F"/>
    <w:rsid w:val="00D420DF"/>
    <w:rsid w:val="00D42345"/>
    <w:rsid w:val="00D423BB"/>
    <w:rsid w:val="00D42538"/>
    <w:rsid w:val="00D4276E"/>
    <w:rsid w:val="00D4297E"/>
    <w:rsid w:val="00D42AAD"/>
    <w:rsid w:val="00D42ACF"/>
    <w:rsid w:val="00D42B7A"/>
    <w:rsid w:val="00D42E12"/>
    <w:rsid w:val="00D4301F"/>
    <w:rsid w:val="00D43227"/>
    <w:rsid w:val="00D43445"/>
    <w:rsid w:val="00D43F49"/>
    <w:rsid w:val="00D443FE"/>
    <w:rsid w:val="00D44828"/>
    <w:rsid w:val="00D45E4B"/>
    <w:rsid w:val="00D45FCC"/>
    <w:rsid w:val="00D46058"/>
    <w:rsid w:val="00D46D02"/>
    <w:rsid w:val="00D46E8B"/>
    <w:rsid w:val="00D472DD"/>
    <w:rsid w:val="00D4738E"/>
    <w:rsid w:val="00D475E7"/>
    <w:rsid w:val="00D47858"/>
    <w:rsid w:val="00D47951"/>
    <w:rsid w:val="00D47972"/>
    <w:rsid w:val="00D479BB"/>
    <w:rsid w:val="00D47B2B"/>
    <w:rsid w:val="00D502B1"/>
    <w:rsid w:val="00D50620"/>
    <w:rsid w:val="00D50658"/>
    <w:rsid w:val="00D506B9"/>
    <w:rsid w:val="00D50707"/>
    <w:rsid w:val="00D5099C"/>
    <w:rsid w:val="00D50E9A"/>
    <w:rsid w:val="00D50ED2"/>
    <w:rsid w:val="00D51333"/>
    <w:rsid w:val="00D51FF2"/>
    <w:rsid w:val="00D520B4"/>
    <w:rsid w:val="00D5269E"/>
    <w:rsid w:val="00D52A9D"/>
    <w:rsid w:val="00D539C8"/>
    <w:rsid w:val="00D53DA5"/>
    <w:rsid w:val="00D53F7D"/>
    <w:rsid w:val="00D53F88"/>
    <w:rsid w:val="00D54234"/>
    <w:rsid w:val="00D543D0"/>
    <w:rsid w:val="00D549F6"/>
    <w:rsid w:val="00D54B30"/>
    <w:rsid w:val="00D54C99"/>
    <w:rsid w:val="00D55121"/>
    <w:rsid w:val="00D5519B"/>
    <w:rsid w:val="00D55579"/>
    <w:rsid w:val="00D55DD2"/>
    <w:rsid w:val="00D55EA9"/>
    <w:rsid w:val="00D55F85"/>
    <w:rsid w:val="00D56B92"/>
    <w:rsid w:val="00D56C20"/>
    <w:rsid w:val="00D56CB8"/>
    <w:rsid w:val="00D5728B"/>
    <w:rsid w:val="00D57332"/>
    <w:rsid w:val="00D57450"/>
    <w:rsid w:val="00D575A5"/>
    <w:rsid w:val="00D57747"/>
    <w:rsid w:val="00D578CD"/>
    <w:rsid w:val="00D602BE"/>
    <w:rsid w:val="00D60320"/>
    <w:rsid w:val="00D608D9"/>
    <w:rsid w:val="00D60B67"/>
    <w:rsid w:val="00D61012"/>
    <w:rsid w:val="00D6136C"/>
    <w:rsid w:val="00D614EE"/>
    <w:rsid w:val="00D62029"/>
    <w:rsid w:val="00D62189"/>
    <w:rsid w:val="00D6243A"/>
    <w:rsid w:val="00D624D6"/>
    <w:rsid w:val="00D62A62"/>
    <w:rsid w:val="00D62B1C"/>
    <w:rsid w:val="00D63166"/>
    <w:rsid w:val="00D6321D"/>
    <w:rsid w:val="00D64005"/>
    <w:rsid w:val="00D641A4"/>
    <w:rsid w:val="00D646B3"/>
    <w:rsid w:val="00D64C9A"/>
    <w:rsid w:val="00D64CCD"/>
    <w:rsid w:val="00D650E7"/>
    <w:rsid w:val="00D65CBB"/>
    <w:rsid w:val="00D65E7F"/>
    <w:rsid w:val="00D65FDF"/>
    <w:rsid w:val="00D662A2"/>
    <w:rsid w:val="00D6679B"/>
    <w:rsid w:val="00D66881"/>
    <w:rsid w:val="00D66A1B"/>
    <w:rsid w:val="00D66B85"/>
    <w:rsid w:val="00D672D5"/>
    <w:rsid w:val="00D67B9F"/>
    <w:rsid w:val="00D67CE2"/>
    <w:rsid w:val="00D70412"/>
    <w:rsid w:val="00D7091D"/>
    <w:rsid w:val="00D7092A"/>
    <w:rsid w:val="00D70A08"/>
    <w:rsid w:val="00D70B15"/>
    <w:rsid w:val="00D70B1E"/>
    <w:rsid w:val="00D70B8D"/>
    <w:rsid w:val="00D70C04"/>
    <w:rsid w:val="00D70CF0"/>
    <w:rsid w:val="00D71259"/>
    <w:rsid w:val="00D71338"/>
    <w:rsid w:val="00D714BA"/>
    <w:rsid w:val="00D71520"/>
    <w:rsid w:val="00D715F4"/>
    <w:rsid w:val="00D71A1A"/>
    <w:rsid w:val="00D71C93"/>
    <w:rsid w:val="00D71CF8"/>
    <w:rsid w:val="00D71DD0"/>
    <w:rsid w:val="00D720F6"/>
    <w:rsid w:val="00D72285"/>
    <w:rsid w:val="00D722AE"/>
    <w:rsid w:val="00D7232F"/>
    <w:rsid w:val="00D7254A"/>
    <w:rsid w:val="00D72710"/>
    <w:rsid w:val="00D728A1"/>
    <w:rsid w:val="00D729AE"/>
    <w:rsid w:val="00D72E47"/>
    <w:rsid w:val="00D7330D"/>
    <w:rsid w:val="00D734CE"/>
    <w:rsid w:val="00D7359D"/>
    <w:rsid w:val="00D74320"/>
    <w:rsid w:val="00D7478A"/>
    <w:rsid w:val="00D74B20"/>
    <w:rsid w:val="00D74C07"/>
    <w:rsid w:val="00D7512E"/>
    <w:rsid w:val="00D7513D"/>
    <w:rsid w:val="00D75294"/>
    <w:rsid w:val="00D7530A"/>
    <w:rsid w:val="00D761C1"/>
    <w:rsid w:val="00D76518"/>
    <w:rsid w:val="00D7674D"/>
    <w:rsid w:val="00D7692D"/>
    <w:rsid w:val="00D76CDF"/>
    <w:rsid w:val="00D76D3A"/>
    <w:rsid w:val="00D77265"/>
    <w:rsid w:val="00D7760E"/>
    <w:rsid w:val="00D7787B"/>
    <w:rsid w:val="00D77AD8"/>
    <w:rsid w:val="00D77C09"/>
    <w:rsid w:val="00D805BA"/>
    <w:rsid w:val="00D80D6E"/>
    <w:rsid w:val="00D80FC6"/>
    <w:rsid w:val="00D8128F"/>
    <w:rsid w:val="00D813AE"/>
    <w:rsid w:val="00D81412"/>
    <w:rsid w:val="00D816BC"/>
    <w:rsid w:val="00D81C1D"/>
    <w:rsid w:val="00D82379"/>
    <w:rsid w:val="00D824F5"/>
    <w:rsid w:val="00D82675"/>
    <w:rsid w:val="00D82B0B"/>
    <w:rsid w:val="00D82B47"/>
    <w:rsid w:val="00D82E52"/>
    <w:rsid w:val="00D82F61"/>
    <w:rsid w:val="00D831AB"/>
    <w:rsid w:val="00D84239"/>
    <w:rsid w:val="00D848C0"/>
    <w:rsid w:val="00D852B1"/>
    <w:rsid w:val="00D85505"/>
    <w:rsid w:val="00D855C2"/>
    <w:rsid w:val="00D858D3"/>
    <w:rsid w:val="00D85A29"/>
    <w:rsid w:val="00D85A31"/>
    <w:rsid w:val="00D85A9C"/>
    <w:rsid w:val="00D85AC6"/>
    <w:rsid w:val="00D85B19"/>
    <w:rsid w:val="00D85C64"/>
    <w:rsid w:val="00D865E9"/>
    <w:rsid w:val="00D86AF8"/>
    <w:rsid w:val="00D86BA7"/>
    <w:rsid w:val="00D86E6D"/>
    <w:rsid w:val="00D86E77"/>
    <w:rsid w:val="00D87049"/>
    <w:rsid w:val="00D87159"/>
    <w:rsid w:val="00D879EE"/>
    <w:rsid w:val="00D900B8"/>
    <w:rsid w:val="00D900E7"/>
    <w:rsid w:val="00D90167"/>
    <w:rsid w:val="00D9024C"/>
    <w:rsid w:val="00D90B27"/>
    <w:rsid w:val="00D90CA9"/>
    <w:rsid w:val="00D90E28"/>
    <w:rsid w:val="00D91027"/>
    <w:rsid w:val="00D9130C"/>
    <w:rsid w:val="00D91511"/>
    <w:rsid w:val="00D91569"/>
    <w:rsid w:val="00D9217C"/>
    <w:rsid w:val="00D9276D"/>
    <w:rsid w:val="00D9292B"/>
    <w:rsid w:val="00D92970"/>
    <w:rsid w:val="00D92B65"/>
    <w:rsid w:val="00D92C8E"/>
    <w:rsid w:val="00D92D76"/>
    <w:rsid w:val="00D92F27"/>
    <w:rsid w:val="00D930EF"/>
    <w:rsid w:val="00D9324B"/>
    <w:rsid w:val="00D9339A"/>
    <w:rsid w:val="00D93DDF"/>
    <w:rsid w:val="00D94D78"/>
    <w:rsid w:val="00D950B1"/>
    <w:rsid w:val="00D9530F"/>
    <w:rsid w:val="00D958B1"/>
    <w:rsid w:val="00D95FC5"/>
    <w:rsid w:val="00D96351"/>
    <w:rsid w:val="00D964C9"/>
    <w:rsid w:val="00D966AD"/>
    <w:rsid w:val="00D967CD"/>
    <w:rsid w:val="00D96861"/>
    <w:rsid w:val="00D968C5"/>
    <w:rsid w:val="00D968F5"/>
    <w:rsid w:val="00D96BFC"/>
    <w:rsid w:val="00D96FC4"/>
    <w:rsid w:val="00D9717C"/>
    <w:rsid w:val="00D9717E"/>
    <w:rsid w:val="00D974D4"/>
    <w:rsid w:val="00D97629"/>
    <w:rsid w:val="00D9762D"/>
    <w:rsid w:val="00D977B4"/>
    <w:rsid w:val="00D97819"/>
    <w:rsid w:val="00DA0CDC"/>
    <w:rsid w:val="00DA1004"/>
    <w:rsid w:val="00DA13EC"/>
    <w:rsid w:val="00DA18F1"/>
    <w:rsid w:val="00DA1A14"/>
    <w:rsid w:val="00DA1DCE"/>
    <w:rsid w:val="00DA227C"/>
    <w:rsid w:val="00DA22BF"/>
    <w:rsid w:val="00DA2320"/>
    <w:rsid w:val="00DA2874"/>
    <w:rsid w:val="00DA29B1"/>
    <w:rsid w:val="00DA29D7"/>
    <w:rsid w:val="00DA2B0D"/>
    <w:rsid w:val="00DA2CFD"/>
    <w:rsid w:val="00DA2EE9"/>
    <w:rsid w:val="00DA3361"/>
    <w:rsid w:val="00DA34A6"/>
    <w:rsid w:val="00DA3596"/>
    <w:rsid w:val="00DA3A8E"/>
    <w:rsid w:val="00DA3AD2"/>
    <w:rsid w:val="00DA3FF7"/>
    <w:rsid w:val="00DA48B3"/>
    <w:rsid w:val="00DA4B74"/>
    <w:rsid w:val="00DA517E"/>
    <w:rsid w:val="00DA52D7"/>
    <w:rsid w:val="00DA5338"/>
    <w:rsid w:val="00DA582F"/>
    <w:rsid w:val="00DA5902"/>
    <w:rsid w:val="00DA5D28"/>
    <w:rsid w:val="00DA62D9"/>
    <w:rsid w:val="00DA6571"/>
    <w:rsid w:val="00DA7020"/>
    <w:rsid w:val="00DA7512"/>
    <w:rsid w:val="00DB019C"/>
    <w:rsid w:val="00DB05E1"/>
    <w:rsid w:val="00DB0B8B"/>
    <w:rsid w:val="00DB0C62"/>
    <w:rsid w:val="00DB1772"/>
    <w:rsid w:val="00DB1A0C"/>
    <w:rsid w:val="00DB1ABC"/>
    <w:rsid w:val="00DB1CA3"/>
    <w:rsid w:val="00DB1D39"/>
    <w:rsid w:val="00DB1FF5"/>
    <w:rsid w:val="00DB2111"/>
    <w:rsid w:val="00DB239A"/>
    <w:rsid w:val="00DB2F64"/>
    <w:rsid w:val="00DB3215"/>
    <w:rsid w:val="00DB3486"/>
    <w:rsid w:val="00DB34D7"/>
    <w:rsid w:val="00DB3591"/>
    <w:rsid w:val="00DB3D31"/>
    <w:rsid w:val="00DB41C5"/>
    <w:rsid w:val="00DB436B"/>
    <w:rsid w:val="00DB4378"/>
    <w:rsid w:val="00DB4463"/>
    <w:rsid w:val="00DB4722"/>
    <w:rsid w:val="00DB49C4"/>
    <w:rsid w:val="00DB4E40"/>
    <w:rsid w:val="00DB5803"/>
    <w:rsid w:val="00DB5809"/>
    <w:rsid w:val="00DB58DB"/>
    <w:rsid w:val="00DB5C87"/>
    <w:rsid w:val="00DB5EB2"/>
    <w:rsid w:val="00DB5FD3"/>
    <w:rsid w:val="00DB63C0"/>
    <w:rsid w:val="00DB650E"/>
    <w:rsid w:val="00DB66D4"/>
    <w:rsid w:val="00DB6A26"/>
    <w:rsid w:val="00DB6F1A"/>
    <w:rsid w:val="00DB71A7"/>
    <w:rsid w:val="00DB7D50"/>
    <w:rsid w:val="00DB7D8D"/>
    <w:rsid w:val="00DC01C1"/>
    <w:rsid w:val="00DC0220"/>
    <w:rsid w:val="00DC032A"/>
    <w:rsid w:val="00DC07F7"/>
    <w:rsid w:val="00DC0E09"/>
    <w:rsid w:val="00DC0E4B"/>
    <w:rsid w:val="00DC13BB"/>
    <w:rsid w:val="00DC1862"/>
    <w:rsid w:val="00DC1E0E"/>
    <w:rsid w:val="00DC1E70"/>
    <w:rsid w:val="00DC2014"/>
    <w:rsid w:val="00DC28F0"/>
    <w:rsid w:val="00DC2B42"/>
    <w:rsid w:val="00DC30DC"/>
    <w:rsid w:val="00DC332C"/>
    <w:rsid w:val="00DC3A3A"/>
    <w:rsid w:val="00DC3AAD"/>
    <w:rsid w:val="00DC4214"/>
    <w:rsid w:val="00DC4E6B"/>
    <w:rsid w:val="00DC4F26"/>
    <w:rsid w:val="00DC57EB"/>
    <w:rsid w:val="00DC5A2B"/>
    <w:rsid w:val="00DC5D1A"/>
    <w:rsid w:val="00DC608C"/>
    <w:rsid w:val="00DC61DA"/>
    <w:rsid w:val="00DC65F9"/>
    <w:rsid w:val="00DC70CD"/>
    <w:rsid w:val="00DC7279"/>
    <w:rsid w:val="00DC73D2"/>
    <w:rsid w:val="00DC799E"/>
    <w:rsid w:val="00DC7E22"/>
    <w:rsid w:val="00DC7E9A"/>
    <w:rsid w:val="00DD031C"/>
    <w:rsid w:val="00DD05F6"/>
    <w:rsid w:val="00DD0B0A"/>
    <w:rsid w:val="00DD135D"/>
    <w:rsid w:val="00DD1B3F"/>
    <w:rsid w:val="00DD1B5D"/>
    <w:rsid w:val="00DD245A"/>
    <w:rsid w:val="00DD249B"/>
    <w:rsid w:val="00DD2642"/>
    <w:rsid w:val="00DD2DB9"/>
    <w:rsid w:val="00DD2EDE"/>
    <w:rsid w:val="00DD304A"/>
    <w:rsid w:val="00DD356B"/>
    <w:rsid w:val="00DD3C85"/>
    <w:rsid w:val="00DD3D20"/>
    <w:rsid w:val="00DD3D75"/>
    <w:rsid w:val="00DD3E2E"/>
    <w:rsid w:val="00DD499D"/>
    <w:rsid w:val="00DD49F8"/>
    <w:rsid w:val="00DD4C37"/>
    <w:rsid w:val="00DD4F70"/>
    <w:rsid w:val="00DD5378"/>
    <w:rsid w:val="00DD540D"/>
    <w:rsid w:val="00DD572A"/>
    <w:rsid w:val="00DD5757"/>
    <w:rsid w:val="00DD5815"/>
    <w:rsid w:val="00DD5A04"/>
    <w:rsid w:val="00DD5B4B"/>
    <w:rsid w:val="00DD5BA9"/>
    <w:rsid w:val="00DD5DED"/>
    <w:rsid w:val="00DD5EC4"/>
    <w:rsid w:val="00DD60CB"/>
    <w:rsid w:val="00DD64AC"/>
    <w:rsid w:val="00DD6892"/>
    <w:rsid w:val="00DD69FC"/>
    <w:rsid w:val="00DD6C00"/>
    <w:rsid w:val="00DD6EB6"/>
    <w:rsid w:val="00DD7025"/>
    <w:rsid w:val="00DD7611"/>
    <w:rsid w:val="00DD782F"/>
    <w:rsid w:val="00DD78F2"/>
    <w:rsid w:val="00DD7D82"/>
    <w:rsid w:val="00DD7DB4"/>
    <w:rsid w:val="00DD7E9E"/>
    <w:rsid w:val="00DE04B2"/>
    <w:rsid w:val="00DE06AC"/>
    <w:rsid w:val="00DE0756"/>
    <w:rsid w:val="00DE0918"/>
    <w:rsid w:val="00DE0ABC"/>
    <w:rsid w:val="00DE0BE6"/>
    <w:rsid w:val="00DE0D6E"/>
    <w:rsid w:val="00DE0FF8"/>
    <w:rsid w:val="00DE14EB"/>
    <w:rsid w:val="00DE154F"/>
    <w:rsid w:val="00DE16C6"/>
    <w:rsid w:val="00DE16FC"/>
    <w:rsid w:val="00DE178C"/>
    <w:rsid w:val="00DE199F"/>
    <w:rsid w:val="00DE1B1C"/>
    <w:rsid w:val="00DE1CF0"/>
    <w:rsid w:val="00DE1E4F"/>
    <w:rsid w:val="00DE25C1"/>
    <w:rsid w:val="00DE261E"/>
    <w:rsid w:val="00DE2872"/>
    <w:rsid w:val="00DE2A03"/>
    <w:rsid w:val="00DE2F40"/>
    <w:rsid w:val="00DE32C6"/>
    <w:rsid w:val="00DE35F6"/>
    <w:rsid w:val="00DE363E"/>
    <w:rsid w:val="00DE3717"/>
    <w:rsid w:val="00DE3FE4"/>
    <w:rsid w:val="00DE401D"/>
    <w:rsid w:val="00DE40AD"/>
    <w:rsid w:val="00DE456B"/>
    <w:rsid w:val="00DE46E9"/>
    <w:rsid w:val="00DE4EE3"/>
    <w:rsid w:val="00DE56E9"/>
    <w:rsid w:val="00DE5C6B"/>
    <w:rsid w:val="00DE5CCF"/>
    <w:rsid w:val="00DE5D7B"/>
    <w:rsid w:val="00DE5E1A"/>
    <w:rsid w:val="00DE62DC"/>
    <w:rsid w:val="00DE6447"/>
    <w:rsid w:val="00DE67FA"/>
    <w:rsid w:val="00DE69A4"/>
    <w:rsid w:val="00DE6C9D"/>
    <w:rsid w:val="00DE7343"/>
    <w:rsid w:val="00DE768A"/>
    <w:rsid w:val="00DE76BD"/>
    <w:rsid w:val="00DE76CA"/>
    <w:rsid w:val="00DE775D"/>
    <w:rsid w:val="00DE79EA"/>
    <w:rsid w:val="00DE7BDA"/>
    <w:rsid w:val="00DE7FB5"/>
    <w:rsid w:val="00DF0065"/>
    <w:rsid w:val="00DF0187"/>
    <w:rsid w:val="00DF0624"/>
    <w:rsid w:val="00DF09B4"/>
    <w:rsid w:val="00DF0ADA"/>
    <w:rsid w:val="00DF0D5D"/>
    <w:rsid w:val="00DF109E"/>
    <w:rsid w:val="00DF1312"/>
    <w:rsid w:val="00DF1482"/>
    <w:rsid w:val="00DF1D74"/>
    <w:rsid w:val="00DF1F5A"/>
    <w:rsid w:val="00DF214A"/>
    <w:rsid w:val="00DF2196"/>
    <w:rsid w:val="00DF26C0"/>
    <w:rsid w:val="00DF2C2D"/>
    <w:rsid w:val="00DF2D54"/>
    <w:rsid w:val="00DF2DC9"/>
    <w:rsid w:val="00DF3353"/>
    <w:rsid w:val="00DF364B"/>
    <w:rsid w:val="00DF3705"/>
    <w:rsid w:val="00DF3884"/>
    <w:rsid w:val="00DF3A5E"/>
    <w:rsid w:val="00DF3BD4"/>
    <w:rsid w:val="00DF3BE5"/>
    <w:rsid w:val="00DF3BFF"/>
    <w:rsid w:val="00DF3DAD"/>
    <w:rsid w:val="00DF3E57"/>
    <w:rsid w:val="00DF415C"/>
    <w:rsid w:val="00DF4AA1"/>
    <w:rsid w:val="00DF4B21"/>
    <w:rsid w:val="00DF4BB7"/>
    <w:rsid w:val="00DF4CF8"/>
    <w:rsid w:val="00DF517E"/>
    <w:rsid w:val="00DF54D7"/>
    <w:rsid w:val="00DF569D"/>
    <w:rsid w:val="00DF5D4B"/>
    <w:rsid w:val="00DF5EA2"/>
    <w:rsid w:val="00DF6096"/>
    <w:rsid w:val="00DF669B"/>
    <w:rsid w:val="00DF7177"/>
    <w:rsid w:val="00DF7622"/>
    <w:rsid w:val="00DF76B5"/>
    <w:rsid w:val="00DF78A9"/>
    <w:rsid w:val="00E010B3"/>
    <w:rsid w:val="00E01112"/>
    <w:rsid w:val="00E01273"/>
    <w:rsid w:val="00E01443"/>
    <w:rsid w:val="00E01816"/>
    <w:rsid w:val="00E0213B"/>
    <w:rsid w:val="00E022C7"/>
    <w:rsid w:val="00E02360"/>
    <w:rsid w:val="00E0261E"/>
    <w:rsid w:val="00E02B20"/>
    <w:rsid w:val="00E0301F"/>
    <w:rsid w:val="00E03213"/>
    <w:rsid w:val="00E03825"/>
    <w:rsid w:val="00E0386A"/>
    <w:rsid w:val="00E0416B"/>
    <w:rsid w:val="00E04506"/>
    <w:rsid w:val="00E0468E"/>
    <w:rsid w:val="00E04AA6"/>
    <w:rsid w:val="00E0503B"/>
    <w:rsid w:val="00E052FB"/>
    <w:rsid w:val="00E0532B"/>
    <w:rsid w:val="00E058F6"/>
    <w:rsid w:val="00E05EFA"/>
    <w:rsid w:val="00E0658E"/>
    <w:rsid w:val="00E065D5"/>
    <w:rsid w:val="00E066CD"/>
    <w:rsid w:val="00E06813"/>
    <w:rsid w:val="00E06A4D"/>
    <w:rsid w:val="00E06A61"/>
    <w:rsid w:val="00E06CFA"/>
    <w:rsid w:val="00E0719A"/>
    <w:rsid w:val="00E072C9"/>
    <w:rsid w:val="00E07AFA"/>
    <w:rsid w:val="00E07F95"/>
    <w:rsid w:val="00E10069"/>
    <w:rsid w:val="00E10725"/>
    <w:rsid w:val="00E108FB"/>
    <w:rsid w:val="00E1094F"/>
    <w:rsid w:val="00E10A3F"/>
    <w:rsid w:val="00E10C3F"/>
    <w:rsid w:val="00E1120E"/>
    <w:rsid w:val="00E11F05"/>
    <w:rsid w:val="00E123CA"/>
    <w:rsid w:val="00E12577"/>
    <w:rsid w:val="00E12BE1"/>
    <w:rsid w:val="00E130CD"/>
    <w:rsid w:val="00E132BB"/>
    <w:rsid w:val="00E132E2"/>
    <w:rsid w:val="00E13629"/>
    <w:rsid w:val="00E13672"/>
    <w:rsid w:val="00E13904"/>
    <w:rsid w:val="00E13928"/>
    <w:rsid w:val="00E13AD2"/>
    <w:rsid w:val="00E13F14"/>
    <w:rsid w:val="00E1420E"/>
    <w:rsid w:val="00E14621"/>
    <w:rsid w:val="00E147B3"/>
    <w:rsid w:val="00E1485F"/>
    <w:rsid w:val="00E14F18"/>
    <w:rsid w:val="00E150FD"/>
    <w:rsid w:val="00E15366"/>
    <w:rsid w:val="00E1548C"/>
    <w:rsid w:val="00E1563C"/>
    <w:rsid w:val="00E15BA4"/>
    <w:rsid w:val="00E15C39"/>
    <w:rsid w:val="00E16078"/>
    <w:rsid w:val="00E1615F"/>
    <w:rsid w:val="00E16241"/>
    <w:rsid w:val="00E166BC"/>
    <w:rsid w:val="00E16992"/>
    <w:rsid w:val="00E1734C"/>
    <w:rsid w:val="00E175B1"/>
    <w:rsid w:val="00E1792B"/>
    <w:rsid w:val="00E17AD2"/>
    <w:rsid w:val="00E20255"/>
    <w:rsid w:val="00E20520"/>
    <w:rsid w:val="00E205C1"/>
    <w:rsid w:val="00E2089B"/>
    <w:rsid w:val="00E20A8C"/>
    <w:rsid w:val="00E20C32"/>
    <w:rsid w:val="00E20EC7"/>
    <w:rsid w:val="00E210D4"/>
    <w:rsid w:val="00E21382"/>
    <w:rsid w:val="00E21ABC"/>
    <w:rsid w:val="00E21ACF"/>
    <w:rsid w:val="00E21D38"/>
    <w:rsid w:val="00E22045"/>
    <w:rsid w:val="00E22F81"/>
    <w:rsid w:val="00E23244"/>
    <w:rsid w:val="00E238AD"/>
    <w:rsid w:val="00E23926"/>
    <w:rsid w:val="00E24791"/>
    <w:rsid w:val="00E2480F"/>
    <w:rsid w:val="00E24810"/>
    <w:rsid w:val="00E248CC"/>
    <w:rsid w:val="00E2525C"/>
    <w:rsid w:val="00E25A82"/>
    <w:rsid w:val="00E25FFD"/>
    <w:rsid w:val="00E26DA8"/>
    <w:rsid w:val="00E277ED"/>
    <w:rsid w:val="00E27C19"/>
    <w:rsid w:val="00E27C62"/>
    <w:rsid w:val="00E30165"/>
    <w:rsid w:val="00E30289"/>
    <w:rsid w:val="00E30366"/>
    <w:rsid w:val="00E30415"/>
    <w:rsid w:val="00E30759"/>
    <w:rsid w:val="00E30AAD"/>
    <w:rsid w:val="00E30D88"/>
    <w:rsid w:val="00E30EC5"/>
    <w:rsid w:val="00E31027"/>
    <w:rsid w:val="00E311C5"/>
    <w:rsid w:val="00E317B6"/>
    <w:rsid w:val="00E3199B"/>
    <w:rsid w:val="00E31C22"/>
    <w:rsid w:val="00E31D81"/>
    <w:rsid w:val="00E31E70"/>
    <w:rsid w:val="00E32018"/>
    <w:rsid w:val="00E32BFA"/>
    <w:rsid w:val="00E3316D"/>
    <w:rsid w:val="00E332B2"/>
    <w:rsid w:val="00E332C7"/>
    <w:rsid w:val="00E335C9"/>
    <w:rsid w:val="00E33B0C"/>
    <w:rsid w:val="00E33D4C"/>
    <w:rsid w:val="00E33F66"/>
    <w:rsid w:val="00E33FA3"/>
    <w:rsid w:val="00E34070"/>
    <w:rsid w:val="00E344CD"/>
    <w:rsid w:val="00E346DB"/>
    <w:rsid w:val="00E34FD7"/>
    <w:rsid w:val="00E35613"/>
    <w:rsid w:val="00E363B4"/>
    <w:rsid w:val="00E363EE"/>
    <w:rsid w:val="00E36423"/>
    <w:rsid w:val="00E3645D"/>
    <w:rsid w:val="00E366F5"/>
    <w:rsid w:val="00E3674D"/>
    <w:rsid w:val="00E36BBE"/>
    <w:rsid w:val="00E36F6D"/>
    <w:rsid w:val="00E37283"/>
    <w:rsid w:val="00E372BE"/>
    <w:rsid w:val="00E3733A"/>
    <w:rsid w:val="00E375DF"/>
    <w:rsid w:val="00E379DC"/>
    <w:rsid w:val="00E37B2E"/>
    <w:rsid w:val="00E40401"/>
    <w:rsid w:val="00E4045B"/>
    <w:rsid w:val="00E40672"/>
    <w:rsid w:val="00E406CD"/>
    <w:rsid w:val="00E4092A"/>
    <w:rsid w:val="00E40E33"/>
    <w:rsid w:val="00E40E8A"/>
    <w:rsid w:val="00E410AA"/>
    <w:rsid w:val="00E41132"/>
    <w:rsid w:val="00E413C3"/>
    <w:rsid w:val="00E41854"/>
    <w:rsid w:val="00E41AD5"/>
    <w:rsid w:val="00E41DE1"/>
    <w:rsid w:val="00E42568"/>
    <w:rsid w:val="00E426FB"/>
    <w:rsid w:val="00E42ACC"/>
    <w:rsid w:val="00E42C32"/>
    <w:rsid w:val="00E42E83"/>
    <w:rsid w:val="00E42F21"/>
    <w:rsid w:val="00E43006"/>
    <w:rsid w:val="00E43033"/>
    <w:rsid w:val="00E431CE"/>
    <w:rsid w:val="00E43F18"/>
    <w:rsid w:val="00E442C4"/>
    <w:rsid w:val="00E44D94"/>
    <w:rsid w:val="00E4505D"/>
    <w:rsid w:val="00E45276"/>
    <w:rsid w:val="00E4538E"/>
    <w:rsid w:val="00E458C7"/>
    <w:rsid w:val="00E45CF5"/>
    <w:rsid w:val="00E46165"/>
    <w:rsid w:val="00E46236"/>
    <w:rsid w:val="00E4660B"/>
    <w:rsid w:val="00E46EF6"/>
    <w:rsid w:val="00E4703F"/>
    <w:rsid w:val="00E475AA"/>
    <w:rsid w:val="00E47988"/>
    <w:rsid w:val="00E479BF"/>
    <w:rsid w:val="00E47A09"/>
    <w:rsid w:val="00E47B35"/>
    <w:rsid w:val="00E501A9"/>
    <w:rsid w:val="00E50286"/>
    <w:rsid w:val="00E5056F"/>
    <w:rsid w:val="00E50757"/>
    <w:rsid w:val="00E50C9E"/>
    <w:rsid w:val="00E50E01"/>
    <w:rsid w:val="00E51301"/>
    <w:rsid w:val="00E51505"/>
    <w:rsid w:val="00E516F8"/>
    <w:rsid w:val="00E51A99"/>
    <w:rsid w:val="00E51D7A"/>
    <w:rsid w:val="00E52335"/>
    <w:rsid w:val="00E523E3"/>
    <w:rsid w:val="00E52A90"/>
    <w:rsid w:val="00E52ACA"/>
    <w:rsid w:val="00E52B3A"/>
    <w:rsid w:val="00E530A7"/>
    <w:rsid w:val="00E533C4"/>
    <w:rsid w:val="00E534FF"/>
    <w:rsid w:val="00E5374F"/>
    <w:rsid w:val="00E53847"/>
    <w:rsid w:val="00E53ABE"/>
    <w:rsid w:val="00E53B50"/>
    <w:rsid w:val="00E54372"/>
    <w:rsid w:val="00E5465E"/>
    <w:rsid w:val="00E54D45"/>
    <w:rsid w:val="00E54E2E"/>
    <w:rsid w:val="00E5501D"/>
    <w:rsid w:val="00E552B6"/>
    <w:rsid w:val="00E552F7"/>
    <w:rsid w:val="00E559C6"/>
    <w:rsid w:val="00E55AA9"/>
    <w:rsid w:val="00E55B0F"/>
    <w:rsid w:val="00E55C25"/>
    <w:rsid w:val="00E55C53"/>
    <w:rsid w:val="00E55D04"/>
    <w:rsid w:val="00E55DA8"/>
    <w:rsid w:val="00E5636D"/>
    <w:rsid w:val="00E567AD"/>
    <w:rsid w:val="00E56C4B"/>
    <w:rsid w:val="00E56EB8"/>
    <w:rsid w:val="00E571D5"/>
    <w:rsid w:val="00E57526"/>
    <w:rsid w:val="00E575FF"/>
    <w:rsid w:val="00E57D9F"/>
    <w:rsid w:val="00E60657"/>
    <w:rsid w:val="00E60A11"/>
    <w:rsid w:val="00E60AE3"/>
    <w:rsid w:val="00E60D8B"/>
    <w:rsid w:val="00E60E9F"/>
    <w:rsid w:val="00E60FD8"/>
    <w:rsid w:val="00E61A66"/>
    <w:rsid w:val="00E61DED"/>
    <w:rsid w:val="00E61FDC"/>
    <w:rsid w:val="00E6201B"/>
    <w:rsid w:val="00E627E9"/>
    <w:rsid w:val="00E6295B"/>
    <w:rsid w:val="00E62B62"/>
    <w:rsid w:val="00E62C15"/>
    <w:rsid w:val="00E62DA3"/>
    <w:rsid w:val="00E631CF"/>
    <w:rsid w:val="00E63289"/>
    <w:rsid w:val="00E635B5"/>
    <w:rsid w:val="00E63653"/>
    <w:rsid w:val="00E63752"/>
    <w:rsid w:val="00E6448E"/>
    <w:rsid w:val="00E64F1D"/>
    <w:rsid w:val="00E65346"/>
    <w:rsid w:val="00E655E9"/>
    <w:rsid w:val="00E65630"/>
    <w:rsid w:val="00E657CD"/>
    <w:rsid w:val="00E65856"/>
    <w:rsid w:val="00E65AE4"/>
    <w:rsid w:val="00E65BE3"/>
    <w:rsid w:val="00E65CF7"/>
    <w:rsid w:val="00E65FED"/>
    <w:rsid w:val="00E666C1"/>
    <w:rsid w:val="00E668CB"/>
    <w:rsid w:val="00E66964"/>
    <w:rsid w:val="00E66AAB"/>
    <w:rsid w:val="00E67340"/>
    <w:rsid w:val="00E6785C"/>
    <w:rsid w:val="00E679CC"/>
    <w:rsid w:val="00E67A4E"/>
    <w:rsid w:val="00E67A5C"/>
    <w:rsid w:val="00E67E22"/>
    <w:rsid w:val="00E70901"/>
    <w:rsid w:val="00E70CEC"/>
    <w:rsid w:val="00E7141A"/>
    <w:rsid w:val="00E7150D"/>
    <w:rsid w:val="00E7198A"/>
    <w:rsid w:val="00E71B22"/>
    <w:rsid w:val="00E71F3E"/>
    <w:rsid w:val="00E72548"/>
    <w:rsid w:val="00E72A2F"/>
    <w:rsid w:val="00E72A6F"/>
    <w:rsid w:val="00E72F14"/>
    <w:rsid w:val="00E72FAF"/>
    <w:rsid w:val="00E733C6"/>
    <w:rsid w:val="00E73754"/>
    <w:rsid w:val="00E73836"/>
    <w:rsid w:val="00E73BCA"/>
    <w:rsid w:val="00E73ED5"/>
    <w:rsid w:val="00E74624"/>
    <w:rsid w:val="00E746B5"/>
    <w:rsid w:val="00E7473B"/>
    <w:rsid w:val="00E7526D"/>
    <w:rsid w:val="00E756A2"/>
    <w:rsid w:val="00E7599D"/>
    <w:rsid w:val="00E75AD0"/>
    <w:rsid w:val="00E75EAE"/>
    <w:rsid w:val="00E764A9"/>
    <w:rsid w:val="00E768AE"/>
    <w:rsid w:val="00E768FE"/>
    <w:rsid w:val="00E76B40"/>
    <w:rsid w:val="00E77303"/>
    <w:rsid w:val="00E77567"/>
    <w:rsid w:val="00E77753"/>
    <w:rsid w:val="00E809F7"/>
    <w:rsid w:val="00E80F75"/>
    <w:rsid w:val="00E813CA"/>
    <w:rsid w:val="00E81548"/>
    <w:rsid w:val="00E8158B"/>
    <w:rsid w:val="00E81B7B"/>
    <w:rsid w:val="00E81E17"/>
    <w:rsid w:val="00E81FFB"/>
    <w:rsid w:val="00E8203D"/>
    <w:rsid w:val="00E8218D"/>
    <w:rsid w:val="00E826D5"/>
    <w:rsid w:val="00E83C96"/>
    <w:rsid w:val="00E83EC3"/>
    <w:rsid w:val="00E8476C"/>
    <w:rsid w:val="00E84D62"/>
    <w:rsid w:val="00E8534D"/>
    <w:rsid w:val="00E8547A"/>
    <w:rsid w:val="00E85CD9"/>
    <w:rsid w:val="00E85F02"/>
    <w:rsid w:val="00E85F25"/>
    <w:rsid w:val="00E8601E"/>
    <w:rsid w:val="00E860E3"/>
    <w:rsid w:val="00E8631A"/>
    <w:rsid w:val="00E871D3"/>
    <w:rsid w:val="00E878E3"/>
    <w:rsid w:val="00E87A63"/>
    <w:rsid w:val="00E87F3D"/>
    <w:rsid w:val="00E87F4C"/>
    <w:rsid w:val="00E90057"/>
    <w:rsid w:val="00E90379"/>
    <w:rsid w:val="00E9076D"/>
    <w:rsid w:val="00E909D8"/>
    <w:rsid w:val="00E90AE1"/>
    <w:rsid w:val="00E90B22"/>
    <w:rsid w:val="00E90CF6"/>
    <w:rsid w:val="00E9132C"/>
    <w:rsid w:val="00E914F6"/>
    <w:rsid w:val="00E91515"/>
    <w:rsid w:val="00E91883"/>
    <w:rsid w:val="00E91949"/>
    <w:rsid w:val="00E91D3B"/>
    <w:rsid w:val="00E9201A"/>
    <w:rsid w:val="00E921C6"/>
    <w:rsid w:val="00E923D0"/>
    <w:rsid w:val="00E92AB9"/>
    <w:rsid w:val="00E92C47"/>
    <w:rsid w:val="00E92D83"/>
    <w:rsid w:val="00E92E1C"/>
    <w:rsid w:val="00E930D9"/>
    <w:rsid w:val="00E935A5"/>
    <w:rsid w:val="00E93B9B"/>
    <w:rsid w:val="00E93D57"/>
    <w:rsid w:val="00E93F29"/>
    <w:rsid w:val="00E945AD"/>
    <w:rsid w:val="00E947DB"/>
    <w:rsid w:val="00E94E25"/>
    <w:rsid w:val="00E94EB4"/>
    <w:rsid w:val="00E94F3F"/>
    <w:rsid w:val="00E9527A"/>
    <w:rsid w:val="00E954A9"/>
    <w:rsid w:val="00E95AEA"/>
    <w:rsid w:val="00E95C12"/>
    <w:rsid w:val="00E96355"/>
    <w:rsid w:val="00E96442"/>
    <w:rsid w:val="00E9663D"/>
    <w:rsid w:val="00E9678E"/>
    <w:rsid w:val="00E969C1"/>
    <w:rsid w:val="00E96D39"/>
    <w:rsid w:val="00E96E0A"/>
    <w:rsid w:val="00E96F24"/>
    <w:rsid w:val="00E972A4"/>
    <w:rsid w:val="00E9743C"/>
    <w:rsid w:val="00E97920"/>
    <w:rsid w:val="00E97BB8"/>
    <w:rsid w:val="00E97DD2"/>
    <w:rsid w:val="00E97E17"/>
    <w:rsid w:val="00E97E3C"/>
    <w:rsid w:val="00E97E81"/>
    <w:rsid w:val="00EA1227"/>
    <w:rsid w:val="00EA1246"/>
    <w:rsid w:val="00EA16B2"/>
    <w:rsid w:val="00EA1964"/>
    <w:rsid w:val="00EA19C0"/>
    <w:rsid w:val="00EA1BC8"/>
    <w:rsid w:val="00EA1FC7"/>
    <w:rsid w:val="00EA22B4"/>
    <w:rsid w:val="00EA2D3A"/>
    <w:rsid w:val="00EA2F06"/>
    <w:rsid w:val="00EA30FA"/>
    <w:rsid w:val="00EA3107"/>
    <w:rsid w:val="00EA3723"/>
    <w:rsid w:val="00EA3896"/>
    <w:rsid w:val="00EA3950"/>
    <w:rsid w:val="00EA3A3C"/>
    <w:rsid w:val="00EA3BE7"/>
    <w:rsid w:val="00EA3F6C"/>
    <w:rsid w:val="00EA4CB0"/>
    <w:rsid w:val="00EA4E1B"/>
    <w:rsid w:val="00EA4F14"/>
    <w:rsid w:val="00EA51FE"/>
    <w:rsid w:val="00EA5274"/>
    <w:rsid w:val="00EA5A9D"/>
    <w:rsid w:val="00EA648F"/>
    <w:rsid w:val="00EA6711"/>
    <w:rsid w:val="00EA67D8"/>
    <w:rsid w:val="00EA69E2"/>
    <w:rsid w:val="00EA6BFC"/>
    <w:rsid w:val="00EA6FB7"/>
    <w:rsid w:val="00EA711A"/>
    <w:rsid w:val="00EA7158"/>
    <w:rsid w:val="00EA718F"/>
    <w:rsid w:val="00EA751A"/>
    <w:rsid w:val="00EA78AA"/>
    <w:rsid w:val="00EA7AEE"/>
    <w:rsid w:val="00EA7D26"/>
    <w:rsid w:val="00EB003B"/>
    <w:rsid w:val="00EB07C1"/>
    <w:rsid w:val="00EB09C3"/>
    <w:rsid w:val="00EB0AD0"/>
    <w:rsid w:val="00EB0C50"/>
    <w:rsid w:val="00EB0C58"/>
    <w:rsid w:val="00EB0DF0"/>
    <w:rsid w:val="00EB1CB7"/>
    <w:rsid w:val="00EB1DF9"/>
    <w:rsid w:val="00EB245B"/>
    <w:rsid w:val="00EB296B"/>
    <w:rsid w:val="00EB2E52"/>
    <w:rsid w:val="00EB2F82"/>
    <w:rsid w:val="00EB2F8E"/>
    <w:rsid w:val="00EB2FE7"/>
    <w:rsid w:val="00EB34F2"/>
    <w:rsid w:val="00EB35CD"/>
    <w:rsid w:val="00EB3AC1"/>
    <w:rsid w:val="00EB4191"/>
    <w:rsid w:val="00EB421D"/>
    <w:rsid w:val="00EB43B1"/>
    <w:rsid w:val="00EB46E3"/>
    <w:rsid w:val="00EB4869"/>
    <w:rsid w:val="00EB4DBD"/>
    <w:rsid w:val="00EB55A3"/>
    <w:rsid w:val="00EB5AE6"/>
    <w:rsid w:val="00EB5AF7"/>
    <w:rsid w:val="00EB6899"/>
    <w:rsid w:val="00EB692E"/>
    <w:rsid w:val="00EB6DBB"/>
    <w:rsid w:val="00EB7064"/>
    <w:rsid w:val="00EB7292"/>
    <w:rsid w:val="00EB72D8"/>
    <w:rsid w:val="00EB79E1"/>
    <w:rsid w:val="00EB7EAF"/>
    <w:rsid w:val="00EC0026"/>
    <w:rsid w:val="00EC061E"/>
    <w:rsid w:val="00EC0F34"/>
    <w:rsid w:val="00EC1366"/>
    <w:rsid w:val="00EC146B"/>
    <w:rsid w:val="00EC1B0B"/>
    <w:rsid w:val="00EC1D14"/>
    <w:rsid w:val="00EC1DCA"/>
    <w:rsid w:val="00EC1DFA"/>
    <w:rsid w:val="00EC1E55"/>
    <w:rsid w:val="00EC2361"/>
    <w:rsid w:val="00EC251B"/>
    <w:rsid w:val="00EC2BA3"/>
    <w:rsid w:val="00EC2CF6"/>
    <w:rsid w:val="00EC37E3"/>
    <w:rsid w:val="00EC3A17"/>
    <w:rsid w:val="00EC3AD5"/>
    <w:rsid w:val="00EC3F3D"/>
    <w:rsid w:val="00EC4156"/>
    <w:rsid w:val="00EC43B3"/>
    <w:rsid w:val="00EC49F4"/>
    <w:rsid w:val="00EC4C64"/>
    <w:rsid w:val="00EC4EBE"/>
    <w:rsid w:val="00EC50C3"/>
    <w:rsid w:val="00EC536E"/>
    <w:rsid w:val="00EC5480"/>
    <w:rsid w:val="00EC5BA2"/>
    <w:rsid w:val="00EC5E2B"/>
    <w:rsid w:val="00EC6C45"/>
    <w:rsid w:val="00EC6DC5"/>
    <w:rsid w:val="00EC6F7A"/>
    <w:rsid w:val="00EC7DCC"/>
    <w:rsid w:val="00EC7F53"/>
    <w:rsid w:val="00ED00C8"/>
    <w:rsid w:val="00ED0143"/>
    <w:rsid w:val="00ED0484"/>
    <w:rsid w:val="00ED0C1A"/>
    <w:rsid w:val="00ED0D77"/>
    <w:rsid w:val="00ED1053"/>
    <w:rsid w:val="00ED1340"/>
    <w:rsid w:val="00ED15D1"/>
    <w:rsid w:val="00ED1D6E"/>
    <w:rsid w:val="00ED1FEB"/>
    <w:rsid w:val="00ED1FF9"/>
    <w:rsid w:val="00ED20C1"/>
    <w:rsid w:val="00ED2168"/>
    <w:rsid w:val="00ED25F2"/>
    <w:rsid w:val="00ED2670"/>
    <w:rsid w:val="00ED2BE2"/>
    <w:rsid w:val="00ED2E8D"/>
    <w:rsid w:val="00ED3D88"/>
    <w:rsid w:val="00ED3F1F"/>
    <w:rsid w:val="00ED4475"/>
    <w:rsid w:val="00ED4B22"/>
    <w:rsid w:val="00ED5928"/>
    <w:rsid w:val="00ED5A46"/>
    <w:rsid w:val="00ED5B12"/>
    <w:rsid w:val="00ED5D41"/>
    <w:rsid w:val="00ED65A7"/>
    <w:rsid w:val="00ED68E2"/>
    <w:rsid w:val="00ED69BD"/>
    <w:rsid w:val="00ED6BE3"/>
    <w:rsid w:val="00ED6F09"/>
    <w:rsid w:val="00ED703A"/>
    <w:rsid w:val="00ED703E"/>
    <w:rsid w:val="00ED73CC"/>
    <w:rsid w:val="00ED7679"/>
    <w:rsid w:val="00EE0041"/>
    <w:rsid w:val="00EE01A9"/>
    <w:rsid w:val="00EE0624"/>
    <w:rsid w:val="00EE0BD7"/>
    <w:rsid w:val="00EE0D33"/>
    <w:rsid w:val="00EE1794"/>
    <w:rsid w:val="00EE1AB8"/>
    <w:rsid w:val="00EE1DF1"/>
    <w:rsid w:val="00EE1EFD"/>
    <w:rsid w:val="00EE23F7"/>
    <w:rsid w:val="00EE28AC"/>
    <w:rsid w:val="00EE2F96"/>
    <w:rsid w:val="00EE3667"/>
    <w:rsid w:val="00EE387C"/>
    <w:rsid w:val="00EE3F2A"/>
    <w:rsid w:val="00EE40FB"/>
    <w:rsid w:val="00EE4898"/>
    <w:rsid w:val="00EE48FB"/>
    <w:rsid w:val="00EE51C9"/>
    <w:rsid w:val="00EE55A9"/>
    <w:rsid w:val="00EE55F6"/>
    <w:rsid w:val="00EE56A2"/>
    <w:rsid w:val="00EE57DB"/>
    <w:rsid w:val="00EE5D82"/>
    <w:rsid w:val="00EE5DD5"/>
    <w:rsid w:val="00EE60E5"/>
    <w:rsid w:val="00EE68A2"/>
    <w:rsid w:val="00EE68F1"/>
    <w:rsid w:val="00EE6E9F"/>
    <w:rsid w:val="00EE78EB"/>
    <w:rsid w:val="00EE793D"/>
    <w:rsid w:val="00EE79A1"/>
    <w:rsid w:val="00EE79F2"/>
    <w:rsid w:val="00EE7B6C"/>
    <w:rsid w:val="00EE7DFD"/>
    <w:rsid w:val="00EE7F45"/>
    <w:rsid w:val="00EF027B"/>
    <w:rsid w:val="00EF047D"/>
    <w:rsid w:val="00EF075D"/>
    <w:rsid w:val="00EF0BA5"/>
    <w:rsid w:val="00EF1791"/>
    <w:rsid w:val="00EF1883"/>
    <w:rsid w:val="00EF1E25"/>
    <w:rsid w:val="00EF2456"/>
    <w:rsid w:val="00EF2A20"/>
    <w:rsid w:val="00EF2FC4"/>
    <w:rsid w:val="00EF360E"/>
    <w:rsid w:val="00EF3685"/>
    <w:rsid w:val="00EF3AAD"/>
    <w:rsid w:val="00EF4057"/>
    <w:rsid w:val="00EF40FE"/>
    <w:rsid w:val="00EF4151"/>
    <w:rsid w:val="00EF43F7"/>
    <w:rsid w:val="00EF4594"/>
    <w:rsid w:val="00EF4794"/>
    <w:rsid w:val="00EF4B6E"/>
    <w:rsid w:val="00EF53A7"/>
    <w:rsid w:val="00EF560B"/>
    <w:rsid w:val="00EF5726"/>
    <w:rsid w:val="00EF589F"/>
    <w:rsid w:val="00EF5A1D"/>
    <w:rsid w:val="00EF5D28"/>
    <w:rsid w:val="00EF682B"/>
    <w:rsid w:val="00EF6A15"/>
    <w:rsid w:val="00EF6CE3"/>
    <w:rsid w:val="00EF6EB2"/>
    <w:rsid w:val="00EF6FC6"/>
    <w:rsid w:val="00EF7185"/>
    <w:rsid w:val="00EF72EB"/>
    <w:rsid w:val="00EF7843"/>
    <w:rsid w:val="00EF7C4E"/>
    <w:rsid w:val="00EF7CD1"/>
    <w:rsid w:val="00EF7F22"/>
    <w:rsid w:val="00F000D0"/>
    <w:rsid w:val="00F004C1"/>
    <w:rsid w:val="00F008D7"/>
    <w:rsid w:val="00F00E79"/>
    <w:rsid w:val="00F01603"/>
    <w:rsid w:val="00F0166F"/>
    <w:rsid w:val="00F018EA"/>
    <w:rsid w:val="00F01E16"/>
    <w:rsid w:val="00F01E32"/>
    <w:rsid w:val="00F01E37"/>
    <w:rsid w:val="00F02049"/>
    <w:rsid w:val="00F024F7"/>
    <w:rsid w:val="00F02512"/>
    <w:rsid w:val="00F025C4"/>
    <w:rsid w:val="00F02689"/>
    <w:rsid w:val="00F0282A"/>
    <w:rsid w:val="00F02C18"/>
    <w:rsid w:val="00F03723"/>
    <w:rsid w:val="00F03A05"/>
    <w:rsid w:val="00F03A45"/>
    <w:rsid w:val="00F040F1"/>
    <w:rsid w:val="00F04127"/>
    <w:rsid w:val="00F0425D"/>
    <w:rsid w:val="00F043F4"/>
    <w:rsid w:val="00F04665"/>
    <w:rsid w:val="00F04681"/>
    <w:rsid w:val="00F048B8"/>
    <w:rsid w:val="00F04D1B"/>
    <w:rsid w:val="00F0503B"/>
    <w:rsid w:val="00F0526E"/>
    <w:rsid w:val="00F0586C"/>
    <w:rsid w:val="00F05DC7"/>
    <w:rsid w:val="00F05E28"/>
    <w:rsid w:val="00F062EC"/>
    <w:rsid w:val="00F0657F"/>
    <w:rsid w:val="00F06741"/>
    <w:rsid w:val="00F06E81"/>
    <w:rsid w:val="00F06F9E"/>
    <w:rsid w:val="00F073C9"/>
    <w:rsid w:val="00F07AD5"/>
    <w:rsid w:val="00F07CFA"/>
    <w:rsid w:val="00F07F55"/>
    <w:rsid w:val="00F10278"/>
    <w:rsid w:val="00F10472"/>
    <w:rsid w:val="00F10D34"/>
    <w:rsid w:val="00F1107B"/>
    <w:rsid w:val="00F11340"/>
    <w:rsid w:val="00F113C6"/>
    <w:rsid w:val="00F11E72"/>
    <w:rsid w:val="00F11EC3"/>
    <w:rsid w:val="00F11F6B"/>
    <w:rsid w:val="00F12112"/>
    <w:rsid w:val="00F121E4"/>
    <w:rsid w:val="00F1244B"/>
    <w:rsid w:val="00F12611"/>
    <w:rsid w:val="00F1262E"/>
    <w:rsid w:val="00F1282E"/>
    <w:rsid w:val="00F128C1"/>
    <w:rsid w:val="00F132D7"/>
    <w:rsid w:val="00F13661"/>
    <w:rsid w:val="00F13F1E"/>
    <w:rsid w:val="00F140E1"/>
    <w:rsid w:val="00F1411F"/>
    <w:rsid w:val="00F14245"/>
    <w:rsid w:val="00F153AF"/>
    <w:rsid w:val="00F15643"/>
    <w:rsid w:val="00F15862"/>
    <w:rsid w:val="00F15D24"/>
    <w:rsid w:val="00F16166"/>
    <w:rsid w:val="00F1630F"/>
    <w:rsid w:val="00F16327"/>
    <w:rsid w:val="00F1641A"/>
    <w:rsid w:val="00F16874"/>
    <w:rsid w:val="00F168E7"/>
    <w:rsid w:val="00F17184"/>
    <w:rsid w:val="00F17971"/>
    <w:rsid w:val="00F17B6D"/>
    <w:rsid w:val="00F17F95"/>
    <w:rsid w:val="00F2020B"/>
    <w:rsid w:val="00F20892"/>
    <w:rsid w:val="00F20B4F"/>
    <w:rsid w:val="00F20C03"/>
    <w:rsid w:val="00F2124A"/>
    <w:rsid w:val="00F2135B"/>
    <w:rsid w:val="00F21761"/>
    <w:rsid w:val="00F21851"/>
    <w:rsid w:val="00F21B74"/>
    <w:rsid w:val="00F21BC2"/>
    <w:rsid w:val="00F21CBE"/>
    <w:rsid w:val="00F22303"/>
    <w:rsid w:val="00F22CCE"/>
    <w:rsid w:val="00F23307"/>
    <w:rsid w:val="00F233FF"/>
    <w:rsid w:val="00F23443"/>
    <w:rsid w:val="00F23684"/>
    <w:rsid w:val="00F23C50"/>
    <w:rsid w:val="00F24851"/>
    <w:rsid w:val="00F24A85"/>
    <w:rsid w:val="00F24BD5"/>
    <w:rsid w:val="00F24F27"/>
    <w:rsid w:val="00F2510F"/>
    <w:rsid w:val="00F25D31"/>
    <w:rsid w:val="00F25D86"/>
    <w:rsid w:val="00F2691C"/>
    <w:rsid w:val="00F269FD"/>
    <w:rsid w:val="00F26AA6"/>
    <w:rsid w:val="00F2709F"/>
    <w:rsid w:val="00F271B5"/>
    <w:rsid w:val="00F2725B"/>
    <w:rsid w:val="00F273C9"/>
    <w:rsid w:val="00F273CA"/>
    <w:rsid w:val="00F27571"/>
    <w:rsid w:val="00F278BF"/>
    <w:rsid w:val="00F27D56"/>
    <w:rsid w:val="00F27DCF"/>
    <w:rsid w:val="00F27E30"/>
    <w:rsid w:val="00F27E88"/>
    <w:rsid w:val="00F27FF4"/>
    <w:rsid w:val="00F301ED"/>
    <w:rsid w:val="00F302AC"/>
    <w:rsid w:val="00F302EC"/>
    <w:rsid w:val="00F30350"/>
    <w:rsid w:val="00F30665"/>
    <w:rsid w:val="00F30A2E"/>
    <w:rsid w:val="00F30D7B"/>
    <w:rsid w:val="00F30F07"/>
    <w:rsid w:val="00F30F0E"/>
    <w:rsid w:val="00F3144B"/>
    <w:rsid w:val="00F31994"/>
    <w:rsid w:val="00F31AC1"/>
    <w:rsid w:val="00F31D56"/>
    <w:rsid w:val="00F31FD9"/>
    <w:rsid w:val="00F32004"/>
    <w:rsid w:val="00F323CF"/>
    <w:rsid w:val="00F32F76"/>
    <w:rsid w:val="00F33101"/>
    <w:rsid w:val="00F33185"/>
    <w:rsid w:val="00F33499"/>
    <w:rsid w:val="00F3378D"/>
    <w:rsid w:val="00F3389E"/>
    <w:rsid w:val="00F34090"/>
    <w:rsid w:val="00F35014"/>
    <w:rsid w:val="00F35230"/>
    <w:rsid w:val="00F354D2"/>
    <w:rsid w:val="00F3561F"/>
    <w:rsid w:val="00F35790"/>
    <w:rsid w:val="00F357F4"/>
    <w:rsid w:val="00F3594F"/>
    <w:rsid w:val="00F35A5A"/>
    <w:rsid w:val="00F35B16"/>
    <w:rsid w:val="00F35C09"/>
    <w:rsid w:val="00F35ED0"/>
    <w:rsid w:val="00F35F84"/>
    <w:rsid w:val="00F362C2"/>
    <w:rsid w:val="00F367D6"/>
    <w:rsid w:val="00F368E8"/>
    <w:rsid w:val="00F36B5F"/>
    <w:rsid w:val="00F36BB9"/>
    <w:rsid w:val="00F36CEF"/>
    <w:rsid w:val="00F36F34"/>
    <w:rsid w:val="00F37988"/>
    <w:rsid w:val="00F40391"/>
    <w:rsid w:val="00F40689"/>
    <w:rsid w:val="00F40A1E"/>
    <w:rsid w:val="00F40A50"/>
    <w:rsid w:val="00F40B35"/>
    <w:rsid w:val="00F40D13"/>
    <w:rsid w:val="00F40ED8"/>
    <w:rsid w:val="00F4101A"/>
    <w:rsid w:val="00F411A1"/>
    <w:rsid w:val="00F411E1"/>
    <w:rsid w:val="00F414C5"/>
    <w:rsid w:val="00F41879"/>
    <w:rsid w:val="00F41BDE"/>
    <w:rsid w:val="00F41D83"/>
    <w:rsid w:val="00F41F0D"/>
    <w:rsid w:val="00F41F4C"/>
    <w:rsid w:val="00F41FD4"/>
    <w:rsid w:val="00F42343"/>
    <w:rsid w:val="00F4243C"/>
    <w:rsid w:val="00F42601"/>
    <w:rsid w:val="00F428B9"/>
    <w:rsid w:val="00F42A22"/>
    <w:rsid w:val="00F42A53"/>
    <w:rsid w:val="00F42F00"/>
    <w:rsid w:val="00F43362"/>
    <w:rsid w:val="00F436D3"/>
    <w:rsid w:val="00F438CB"/>
    <w:rsid w:val="00F43AB1"/>
    <w:rsid w:val="00F43C1E"/>
    <w:rsid w:val="00F43D43"/>
    <w:rsid w:val="00F43F70"/>
    <w:rsid w:val="00F43FF1"/>
    <w:rsid w:val="00F44293"/>
    <w:rsid w:val="00F444F5"/>
    <w:rsid w:val="00F44518"/>
    <w:rsid w:val="00F445E0"/>
    <w:rsid w:val="00F44649"/>
    <w:rsid w:val="00F44776"/>
    <w:rsid w:val="00F44C8A"/>
    <w:rsid w:val="00F44FA4"/>
    <w:rsid w:val="00F45037"/>
    <w:rsid w:val="00F4506F"/>
    <w:rsid w:val="00F45590"/>
    <w:rsid w:val="00F4561A"/>
    <w:rsid w:val="00F45823"/>
    <w:rsid w:val="00F45A92"/>
    <w:rsid w:val="00F45AD4"/>
    <w:rsid w:val="00F45C10"/>
    <w:rsid w:val="00F46C5C"/>
    <w:rsid w:val="00F46C82"/>
    <w:rsid w:val="00F46EE2"/>
    <w:rsid w:val="00F471D2"/>
    <w:rsid w:val="00F475CE"/>
    <w:rsid w:val="00F476F8"/>
    <w:rsid w:val="00F47E97"/>
    <w:rsid w:val="00F47ECA"/>
    <w:rsid w:val="00F5044B"/>
    <w:rsid w:val="00F5047D"/>
    <w:rsid w:val="00F508D6"/>
    <w:rsid w:val="00F50E52"/>
    <w:rsid w:val="00F51063"/>
    <w:rsid w:val="00F511EE"/>
    <w:rsid w:val="00F5138E"/>
    <w:rsid w:val="00F513B7"/>
    <w:rsid w:val="00F518EC"/>
    <w:rsid w:val="00F51C2A"/>
    <w:rsid w:val="00F5227D"/>
    <w:rsid w:val="00F528E7"/>
    <w:rsid w:val="00F529AE"/>
    <w:rsid w:val="00F52BD9"/>
    <w:rsid w:val="00F53175"/>
    <w:rsid w:val="00F539FC"/>
    <w:rsid w:val="00F53CFA"/>
    <w:rsid w:val="00F540BB"/>
    <w:rsid w:val="00F5435A"/>
    <w:rsid w:val="00F5494F"/>
    <w:rsid w:val="00F54B5C"/>
    <w:rsid w:val="00F54D9C"/>
    <w:rsid w:val="00F55A27"/>
    <w:rsid w:val="00F55B5C"/>
    <w:rsid w:val="00F55BC7"/>
    <w:rsid w:val="00F55C06"/>
    <w:rsid w:val="00F55D58"/>
    <w:rsid w:val="00F56934"/>
    <w:rsid w:val="00F56A23"/>
    <w:rsid w:val="00F57949"/>
    <w:rsid w:val="00F57C1D"/>
    <w:rsid w:val="00F57DC4"/>
    <w:rsid w:val="00F6043A"/>
    <w:rsid w:val="00F60469"/>
    <w:rsid w:val="00F606AA"/>
    <w:rsid w:val="00F60C05"/>
    <w:rsid w:val="00F60D2A"/>
    <w:rsid w:val="00F611FA"/>
    <w:rsid w:val="00F61406"/>
    <w:rsid w:val="00F6144F"/>
    <w:rsid w:val="00F6155F"/>
    <w:rsid w:val="00F61732"/>
    <w:rsid w:val="00F61C29"/>
    <w:rsid w:val="00F61F67"/>
    <w:rsid w:val="00F620DC"/>
    <w:rsid w:val="00F625EC"/>
    <w:rsid w:val="00F62CE8"/>
    <w:rsid w:val="00F636E8"/>
    <w:rsid w:val="00F637AA"/>
    <w:rsid w:val="00F63856"/>
    <w:rsid w:val="00F63899"/>
    <w:rsid w:val="00F64642"/>
    <w:rsid w:val="00F647B9"/>
    <w:rsid w:val="00F647FE"/>
    <w:rsid w:val="00F64C25"/>
    <w:rsid w:val="00F64D76"/>
    <w:rsid w:val="00F6512A"/>
    <w:rsid w:val="00F65609"/>
    <w:rsid w:val="00F65BE4"/>
    <w:rsid w:val="00F65E0A"/>
    <w:rsid w:val="00F65ED5"/>
    <w:rsid w:val="00F66009"/>
    <w:rsid w:val="00F66228"/>
    <w:rsid w:val="00F66749"/>
    <w:rsid w:val="00F6679E"/>
    <w:rsid w:val="00F6693B"/>
    <w:rsid w:val="00F671D4"/>
    <w:rsid w:val="00F7014F"/>
    <w:rsid w:val="00F702A6"/>
    <w:rsid w:val="00F702B2"/>
    <w:rsid w:val="00F70646"/>
    <w:rsid w:val="00F70AB7"/>
    <w:rsid w:val="00F716E6"/>
    <w:rsid w:val="00F71710"/>
    <w:rsid w:val="00F7186A"/>
    <w:rsid w:val="00F720B6"/>
    <w:rsid w:val="00F7224F"/>
    <w:rsid w:val="00F722BF"/>
    <w:rsid w:val="00F729C0"/>
    <w:rsid w:val="00F72BA3"/>
    <w:rsid w:val="00F73330"/>
    <w:rsid w:val="00F73649"/>
    <w:rsid w:val="00F737AD"/>
    <w:rsid w:val="00F73A77"/>
    <w:rsid w:val="00F73AA3"/>
    <w:rsid w:val="00F73B7A"/>
    <w:rsid w:val="00F73B8E"/>
    <w:rsid w:val="00F74132"/>
    <w:rsid w:val="00F744AC"/>
    <w:rsid w:val="00F7465B"/>
    <w:rsid w:val="00F74967"/>
    <w:rsid w:val="00F74EB8"/>
    <w:rsid w:val="00F74ED7"/>
    <w:rsid w:val="00F74FCE"/>
    <w:rsid w:val="00F74FFB"/>
    <w:rsid w:val="00F7523E"/>
    <w:rsid w:val="00F755F3"/>
    <w:rsid w:val="00F758B7"/>
    <w:rsid w:val="00F75BAE"/>
    <w:rsid w:val="00F7631A"/>
    <w:rsid w:val="00F76348"/>
    <w:rsid w:val="00F766B5"/>
    <w:rsid w:val="00F7673A"/>
    <w:rsid w:val="00F76A75"/>
    <w:rsid w:val="00F76AC9"/>
    <w:rsid w:val="00F76B5D"/>
    <w:rsid w:val="00F76D49"/>
    <w:rsid w:val="00F76EFF"/>
    <w:rsid w:val="00F77218"/>
    <w:rsid w:val="00F77467"/>
    <w:rsid w:val="00F77633"/>
    <w:rsid w:val="00F776EF"/>
    <w:rsid w:val="00F7793A"/>
    <w:rsid w:val="00F77BFF"/>
    <w:rsid w:val="00F77C2C"/>
    <w:rsid w:val="00F80149"/>
    <w:rsid w:val="00F806BA"/>
    <w:rsid w:val="00F80AF0"/>
    <w:rsid w:val="00F80C57"/>
    <w:rsid w:val="00F80CA1"/>
    <w:rsid w:val="00F80F37"/>
    <w:rsid w:val="00F81208"/>
    <w:rsid w:val="00F81265"/>
    <w:rsid w:val="00F8136E"/>
    <w:rsid w:val="00F828A9"/>
    <w:rsid w:val="00F82ABE"/>
    <w:rsid w:val="00F830BE"/>
    <w:rsid w:val="00F83221"/>
    <w:rsid w:val="00F837BD"/>
    <w:rsid w:val="00F838C0"/>
    <w:rsid w:val="00F83EE6"/>
    <w:rsid w:val="00F83F57"/>
    <w:rsid w:val="00F8437D"/>
    <w:rsid w:val="00F8446A"/>
    <w:rsid w:val="00F848B4"/>
    <w:rsid w:val="00F8494F"/>
    <w:rsid w:val="00F84B93"/>
    <w:rsid w:val="00F852A6"/>
    <w:rsid w:val="00F85332"/>
    <w:rsid w:val="00F854AB"/>
    <w:rsid w:val="00F85978"/>
    <w:rsid w:val="00F85DEC"/>
    <w:rsid w:val="00F85FC2"/>
    <w:rsid w:val="00F8690A"/>
    <w:rsid w:val="00F86C71"/>
    <w:rsid w:val="00F86D91"/>
    <w:rsid w:val="00F8708F"/>
    <w:rsid w:val="00F872DF"/>
    <w:rsid w:val="00F873D2"/>
    <w:rsid w:val="00F87426"/>
    <w:rsid w:val="00F87564"/>
    <w:rsid w:val="00F87783"/>
    <w:rsid w:val="00F87B44"/>
    <w:rsid w:val="00F87E83"/>
    <w:rsid w:val="00F907CB"/>
    <w:rsid w:val="00F90C7F"/>
    <w:rsid w:val="00F91910"/>
    <w:rsid w:val="00F91C68"/>
    <w:rsid w:val="00F91E65"/>
    <w:rsid w:val="00F91ECE"/>
    <w:rsid w:val="00F92024"/>
    <w:rsid w:val="00F92130"/>
    <w:rsid w:val="00F922B8"/>
    <w:rsid w:val="00F922BD"/>
    <w:rsid w:val="00F92616"/>
    <w:rsid w:val="00F9277F"/>
    <w:rsid w:val="00F92BA7"/>
    <w:rsid w:val="00F93118"/>
    <w:rsid w:val="00F934F7"/>
    <w:rsid w:val="00F9382B"/>
    <w:rsid w:val="00F93D49"/>
    <w:rsid w:val="00F93E5E"/>
    <w:rsid w:val="00F93EBF"/>
    <w:rsid w:val="00F94597"/>
    <w:rsid w:val="00F94666"/>
    <w:rsid w:val="00F947CB"/>
    <w:rsid w:val="00F94DA3"/>
    <w:rsid w:val="00F953CE"/>
    <w:rsid w:val="00F953EC"/>
    <w:rsid w:val="00F955D8"/>
    <w:rsid w:val="00F95E81"/>
    <w:rsid w:val="00F96094"/>
    <w:rsid w:val="00F961A0"/>
    <w:rsid w:val="00F9701F"/>
    <w:rsid w:val="00F9726A"/>
    <w:rsid w:val="00F97668"/>
    <w:rsid w:val="00F9789F"/>
    <w:rsid w:val="00F97914"/>
    <w:rsid w:val="00F97D6D"/>
    <w:rsid w:val="00FA0246"/>
    <w:rsid w:val="00FA06DE"/>
    <w:rsid w:val="00FA0CC5"/>
    <w:rsid w:val="00FA10F0"/>
    <w:rsid w:val="00FA11A4"/>
    <w:rsid w:val="00FA1608"/>
    <w:rsid w:val="00FA1BE1"/>
    <w:rsid w:val="00FA1CEB"/>
    <w:rsid w:val="00FA1D65"/>
    <w:rsid w:val="00FA1F22"/>
    <w:rsid w:val="00FA1F9E"/>
    <w:rsid w:val="00FA2137"/>
    <w:rsid w:val="00FA22BB"/>
    <w:rsid w:val="00FA2B60"/>
    <w:rsid w:val="00FA2F1C"/>
    <w:rsid w:val="00FA31F3"/>
    <w:rsid w:val="00FA39CB"/>
    <w:rsid w:val="00FA42AF"/>
    <w:rsid w:val="00FA4451"/>
    <w:rsid w:val="00FA4982"/>
    <w:rsid w:val="00FA49A1"/>
    <w:rsid w:val="00FA4C30"/>
    <w:rsid w:val="00FA4C44"/>
    <w:rsid w:val="00FA4EF9"/>
    <w:rsid w:val="00FA4FBF"/>
    <w:rsid w:val="00FA50B1"/>
    <w:rsid w:val="00FA50B8"/>
    <w:rsid w:val="00FA51D7"/>
    <w:rsid w:val="00FA54AA"/>
    <w:rsid w:val="00FA5CE1"/>
    <w:rsid w:val="00FA5E26"/>
    <w:rsid w:val="00FA5F49"/>
    <w:rsid w:val="00FA6422"/>
    <w:rsid w:val="00FA68A0"/>
    <w:rsid w:val="00FA6B8B"/>
    <w:rsid w:val="00FA6E45"/>
    <w:rsid w:val="00FA6E81"/>
    <w:rsid w:val="00FA726F"/>
    <w:rsid w:val="00FA7599"/>
    <w:rsid w:val="00FA7701"/>
    <w:rsid w:val="00FA7A94"/>
    <w:rsid w:val="00FB00DA"/>
    <w:rsid w:val="00FB02D2"/>
    <w:rsid w:val="00FB0598"/>
    <w:rsid w:val="00FB0952"/>
    <w:rsid w:val="00FB09CE"/>
    <w:rsid w:val="00FB1282"/>
    <w:rsid w:val="00FB128C"/>
    <w:rsid w:val="00FB15D8"/>
    <w:rsid w:val="00FB252E"/>
    <w:rsid w:val="00FB25FC"/>
    <w:rsid w:val="00FB2840"/>
    <w:rsid w:val="00FB2B68"/>
    <w:rsid w:val="00FB2F7F"/>
    <w:rsid w:val="00FB3416"/>
    <w:rsid w:val="00FB34A9"/>
    <w:rsid w:val="00FB355B"/>
    <w:rsid w:val="00FB38A3"/>
    <w:rsid w:val="00FB398E"/>
    <w:rsid w:val="00FB3C1E"/>
    <w:rsid w:val="00FB3F35"/>
    <w:rsid w:val="00FB4259"/>
    <w:rsid w:val="00FB470B"/>
    <w:rsid w:val="00FB4B52"/>
    <w:rsid w:val="00FB523D"/>
    <w:rsid w:val="00FB5621"/>
    <w:rsid w:val="00FB569B"/>
    <w:rsid w:val="00FB5B3E"/>
    <w:rsid w:val="00FB5F1E"/>
    <w:rsid w:val="00FB6712"/>
    <w:rsid w:val="00FB697D"/>
    <w:rsid w:val="00FB6E10"/>
    <w:rsid w:val="00FB71CF"/>
    <w:rsid w:val="00FB722D"/>
    <w:rsid w:val="00FB7375"/>
    <w:rsid w:val="00FB75F3"/>
    <w:rsid w:val="00FB778E"/>
    <w:rsid w:val="00FB7DB4"/>
    <w:rsid w:val="00FB7F0C"/>
    <w:rsid w:val="00FC01F4"/>
    <w:rsid w:val="00FC01FF"/>
    <w:rsid w:val="00FC07F3"/>
    <w:rsid w:val="00FC0DAC"/>
    <w:rsid w:val="00FC0DF8"/>
    <w:rsid w:val="00FC1BA4"/>
    <w:rsid w:val="00FC1C22"/>
    <w:rsid w:val="00FC2153"/>
    <w:rsid w:val="00FC2553"/>
    <w:rsid w:val="00FC2581"/>
    <w:rsid w:val="00FC26F3"/>
    <w:rsid w:val="00FC2954"/>
    <w:rsid w:val="00FC2A81"/>
    <w:rsid w:val="00FC2CC9"/>
    <w:rsid w:val="00FC2DBB"/>
    <w:rsid w:val="00FC2FA7"/>
    <w:rsid w:val="00FC2FAB"/>
    <w:rsid w:val="00FC32DD"/>
    <w:rsid w:val="00FC3464"/>
    <w:rsid w:val="00FC373D"/>
    <w:rsid w:val="00FC3740"/>
    <w:rsid w:val="00FC3AC6"/>
    <w:rsid w:val="00FC3D4F"/>
    <w:rsid w:val="00FC4131"/>
    <w:rsid w:val="00FC421D"/>
    <w:rsid w:val="00FC4AE3"/>
    <w:rsid w:val="00FC51D5"/>
    <w:rsid w:val="00FC52AC"/>
    <w:rsid w:val="00FC5882"/>
    <w:rsid w:val="00FC58A8"/>
    <w:rsid w:val="00FC593E"/>
    <w:rsid w:val="00FC5C89"/>
    <w:rsid w:val="00FC65E7"/>
    <w:rsid w:val="00FC681A"/>
    <w:rsid w:val="00FC6F72"/>
    <w:rsid w:val="00FC6FCC"/>
    <w:rsid w:val="00FC71D7"/>
    <w:rsid w:val="00FC75AA"/>
    <w:rsid w:val="00FC7856"/>
    <w:rsid w:val="00FC79E0"/>
    <w:rsid w:val="00FC7F00"/>
    <w:rsid w:val="00FD019A"/>
    <w:rsid w:val="00FD02A3"/>
    <w:rsid w:val="00FD034E"/>
    <w:rsid w:val="00FD04E5"/>
    <w:rsid w:val="00FD06C8"/>
    <w:rsid w:val="00FD06E7"/>
    <w:rsid w:val="00FD0894"/>
    <w:rsid w:val="00FD0D51"/>
    <w:rsid w:val="00FD0DE6"/>
    <w:rsid w:val="00FD0E85"/>
    <w:rsid w:val="00FD132F"/>
    <w:rsid w:val="00FD154B"/>
    <w:rsid w:val="00FD1950"/>
    <w:rsid w:val="00FD1B2C"/>
    <w:rsid w:val="00FD1C7A"/>
    <w:rsid w:val="00FD21C7"/>
    <w:rsid w:val="00FD223B"/>
    <w:rsid w:val="00FD23D3"/>
    <w:rsid w:val="00FD2524"/>
    <w:rsid w:val="00FD2B77"/>
    <w:rsid w:val="00FD2DE6"/>
    <w:rsid w:val="00FD31CB"/>
    <w:rsid w:val="00FD3A93"/>
    <w:rsid w:val="00FD3AF0"/>
    <w:rsid w:val="00FD4043"/>
    <w:rsid w:val="00FD4050"/>
    <w:rsid w:val="00FD40D1"/>
    <w:rsid w:val="00FD47FB"/>
    <w:rsid w:val="00FD4998"/>
    <w:rsid w:val="00FD4B63"/>
    <w:rsid w:val="00FD4D57"/>
    <w:rsid w:val="00FD4F1E"/>
    <w:rsid w:val="00FD51C6"/>
    <w:rsid w:val="00FD525C"/>
    <w:rsid w:val="00FD5335"/>
    <w:rsid w:val="00FD534A"/>
    <w:rsid w:val="00FD5966"/>
    <w:rsid w:val="00FD599F"/>
    <w:rsid w:val="00FD5A3A"/>
    <w:rsid w:val="00FD5D1A"/>
    <w:rsid w:val="00FD5E66"/>
    <w:rsid w:val="00FD65F2"/>
    <w:rsid w:val="00FD6645"/>
    <w:rsid w:val="00FD66D7"/>
    <w:rsid w:val="00FD67A4"/>
    <w:rsid w:val="00FD6C6A"/>
    <w:rsid w:val="00FD73B0"/>
    <w:rsid w:val="00FD7645"/>
    <w:rsid w:val="00FE042C"/>
    <w:rsid w:val="00FE079E"/>
    <w:rsid w:val="00FE08E5"/>
    <w:rsid w:val="00FE0A80"/>
    <w:rsid w:val="00FE0AD9"/>
    <w:rsid w:val="00FE0B93"/>
    <w:rsid w:val="00FE0F88"/>
    <w:rsid w:val="00FE1367"/>
    <w:rsid w:val="00FE13C9"/>
    <w:rsid w:val="00FE16AF"/>
    <w:rsid w:val="00FE19FC"/>
    <w:rsid w:val="00FE1AF6"/>
    <w:rsid w:val="00FE1B2B"/>
    <w:rsid w:val="00FE1CAF"/>
    <w:rsid w:val="00FE1D06"/>
    <w:rsid w:val="00FE2195"/>
    <w:rsid w:val="00FE224B"/>
    <w:rsid w:val="00FE266B"/>
    <w:rsid w:val="00FE2970"/>
    <w:rsid w:val="00FE2A08"/>
    <w:rsid w:val="00FE2D44"/>
    <w:rsid w:val="00FE2ED9"/>
    <w:rsid w:val="00FE327F"/>
    <w:rsid w:val="00FE32F2"/>
    <w:rsid w:val="00FE336E"/>
    <w:rsid w:val="00FE3436"/>
    <w:rsid w:val="00FE3665"/>
    <w:rsid w:val="00FE3B0C"/>
    <w:rsid w:val="00FE3DB7"/>
    <w:rsid w:val="00FE3EE1"/>
    <w:rsid w:val="00FE4318"/>
    <w:rsid w:val="00FE44CE"/>
    <w:rsid w:val="00FE4991"/>
    <w:rsid w:val="00FE4FF3"/>
    <w:rsid w:val="00FE54DB"/>
    <w:rsid w:val="00FE581F"/>
    <w:rsid w:val="00FE67A4"/>
    <w:rsid w:val="00FE6AEC"/>
    <w:rsid w:val="00FE6D89"/>
    <w:rsid w:val="00FE7267"/>
    <w:rsid w:val="00FE74A2"/>
    <w:rsid w:val="00FE75BA"/>
    <w:rsid w:val="00FE788E"/>
    <w:rsid w:val="00FE78B3"/>
    <w:rsid w:val="00FE7B2B"/>
    <w:rsid w:val="00FF002C"/>
    <w:rsid w:val="00FF03C6"/>
    <w:rsid w:val="00FF0644"/>
    <w:rsid w:val="00FF07D3"/>
    <w:rsid w:val="00FF0882"/>
    <w:rsid w:val="00FF0E9B"/>
    <w:rsid w:val="00FF1016"/>
    <w:rsid w:val="00FF1064"/>
    <w:rsid w:val="00FF1151"/>
    <w:rsid w:val="00FF1341"/>
    <w:rsid w:val="00FF19AA"/>
    <w:rsid w:val="00FF22AB"/>
    <w:rsid w:val="00FF2690"/>
    <w:rsid w:val="00FF2DEA"/>
    <w:rsid w:val="00FF3111"/>
    <w:rsid w:val="00FF3432"/>
    <w:rsid w:val="00FF3B4A"/>
    <w:rsid w:val="00FF3B5B"/>
    <w:rsid w:val="00FF3C08"/>
    <w:rsid w:val="00FF4218"/>
    <w:rsid w:val="00FF4864"/>
    <w:rsid w:val="00FF5052"/>
    <w:rsid w:val="00FF524D"/>
    <w:rsid w:val="00FF55C8"/>
    <w:rsid w:val="00FF5706"/>
    <w:rsid w:val="00FF59B5"/>
    <w:rsid w:val="00FF5AF7"/>
    <w:rsid w:val="00FF5C70"/>
    <w:rsid w:val="00FF60FB"/>
    <w:rsid w:val="00FF6142"/>
    <w:rsid w:val="00FF6685"/>
    <w:rsid w:val="00FF6E83"/>
    <w:rsid w:val="00FF72CD"/>
    <w:rsid w:val="00FF7527"/>
    <w:rsid w:val="00FF7A04"/>
    <w:rsid w:val="097599E9"/>
    <w:rsid w:val="0A26ADFE"/>
    <w:rsid w:val="0BA7F7E6"/>
    <w:rsid w:val="0CA859EF"/>
    <w:rsid w:val="0EC277EA"/>
    <w:rsid w:val="1040A77D"/>
    <w:rsid w:val="11EB18B7"/>
    <w:rsid w:val="11F7135F"/>
    <w:rsid w:val="150AA22B"/>
    <w:rsid w:val="16C4C1EC"/>
    <w:rsid w:val="176F01FE"/>
    <w:rsid w:val="1B66FE43"/>
    <w:rsid w:val="1BE84CEC"/>
    <w:rsid w:val="1C00518B"/>
    <w:rsid w:val="1C3F2347"/>
    <w:rsid w:val="1F81D1C6"/>
    <w:rsid w:val="2385F390"/>
    <w:rsid w:val="24BED4A6"/>
    <w:rsid w:val="2C1A1652"/>
    <w:rsid w:val="3892DD82"/>
    <w:rsid w:val="3B6D7445"/>
    <w:rsid w:val="3E80D0E9"/>
    <w:rsid w:val="435C019C"/>
    <w:rsid w:val="46244E97"/>
    <w:rsid w:val="46B5D2C2"/>
    <w:rsid w:val="493BB78C"/>
    <w:rsid w:val="4ABCFFE8"/>
    <w:rsid w:val="4E8E4954"/>
    <w:rsid w:val="4F9ADCE5"/>
    <w:rsid w:val="532D2B9E"/>
    <w:rsid w:val="549C41C2"/>
    <w:rsid w:val="558704CC"/>
    <w:rsid w:val="562BE188"/>
    <w:rsid w:val="56E8F32A"/>
    <w:rsid w:val="58B95546"/>
    <w:rsid w:val="5C62B3F6"/>
    <w:rsid w:val="5C801B62"/>
    <w:rsid w:val="5D045C8C"/>
    <w:rsid w:val="5EA332DE"/>
    <w:rsid w:val="630D56DD"/>
    <w:rsid w:val="679C0B46"/>
    <w:rsid w:val="696B82EE"/>
    <w:rsid w:val="6992C6E5"/>
    <w:rsid w:val="6A0C00CE"/>
    <w:rsid w:val="6AE13C78"/>
    <w:rsid w:val="6CF3F32F"/>
    <w:rsid w:val="6E04A9A3"/>
    <w:rsid w:val="6E123151"/>
    <w:rsid w:val="6EC1BAA4"/>
    <w:rsid w:val="6EFF47D2"/>
    <w:rsid w:val="77E2F505"/>
    <w:rsid w:val="7804FC39"/>
    <w:rsid w:val="78BD4BD4"/>
    <w:rsid w:val="7B762D2B"/>
    <w:rsid w:val="7C66FB8C"/>
    <w:rsid w:val="7C90E328"/>
    <w:rsid w:val="7D0FA69C"/>
    <w:rsid w:val="7DF7E17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A287D"/>
  <w15:chartTrackingRefBased/>
  <w15:docId w15:val="{64ED3928-3F81-45B0-948D-FF1952FA7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before="240"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1AF"/>
    <w:pPr>
      <w:tabs>
        <w:tab w:val="left" w:pos="567"/>
        <w:tab w:val="left" w:pos="1134"/>
        <w:tab w:val="left" w:pos="1701"/>
        <w:tab w:val="left" w:pos="2268"/>
      </w:tabs>
      <w:spacing w:before="0" w:after="0"/>
    </w:pPr>
    <w:rPr>
      <w:rFonts w:ascii="Times New Roman" w:eastAsia="SimSun" w:hAnsi="Times New Roman" w:cs="Times New Roman"/>
      <w:lang w:val="en-GB"/>
    </w:rPr>
  </w:style>
  <w:style w:type="paragraph" w:styleId="Heading1">
    <w:name w:val="heading 1"/>
    <w:basedOn w:val="Normal"/>
    <w:next w:val="Heading2"/>
    <w:link w:val="Heading1Char"/>
    <w:uiPriority w:val="9"/>
    <w:qFormat/>
    <w:rsid w:val="000041AF"/>
    <w:pPr>
      <w:keepNext/>
      <w:keepLines/>
      <w:numPr>
        <w:numId w:val="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0041AF"/>
    <w:pPr>
      <w:keepNext/>
      <w:keepLines/>
      <w:numPr>
        <w:ilvl w:val="1"/>
        <w:numId w:val="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041AF"/>
    <w:pPr>
      <w:keepNext/>
      <w:keepLines/>
      <w:numPr>
        <w:ilvl w:val="2"/>
        <w:numId w:val="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041AF"/>
    <w:pPr>
      <w:keepNext/>
      <w:numPr>
        <w:ilvl w:val="3"/>
        <w:numId w:val="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041AF"/>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0041AF"/>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041AF"/>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041AF"/>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041AF"/>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op report footnote"/>
    <w:basedOn w:val="Normal"/>
    <w:link w:val="FootnoteTextChar"/>
    <w:uiPriority w:val="99"/>
    <w:unhideWhenUsed/>
    <w:rsid w:val="000041AF"/>
    <w:pPr>
      <w:jc w:val="left"/>
    </w:pPr>
    <w:rPr>
      <w:sz w:val="18"/>
      <w:szCs w:val="20"/>
    </w:rPr>
  </w:style>
  <w:style w:type="character" w:customStyle="1" w:styleId="FootnoteTextChar">
    <w:name w:val="Footnote Text Char"/>
    <w:aliases w:val="cop report footnote Char"/>
    <w:basedOn w:val="DefaultParagraphFont"/>
    <w:link w:val="FootnoteText"/>
    <w:uiPriority w:val="99"/>
    <w:rsid w:val="000041AF"/>
    <w:rPr>
      <w:rFonts w:ascii="Times New Roman" w:eastAsia="SimSun" w:hAnsi="Times New Roman" w:cs="Times New Roman"/>
      <w:sz w:val="18"/>
      <w:szCs w:val="20"/>
      <w:lang w:val="en-GB"/>
    </w:rPr>
  </w:style>
  <w:style w:type="paragraph" w:styleId="Date">
    <w:name w:val="Date"/>
    <w:basedOn w:val="Normal"/>
    <w:next w:val="Normal"/>
    <w:link w:val="DateChar"/>
    <w:uiPriority w:val="99"/>
    <w:semiHidden/>
    <w:unhideWhenUsed/>
    <w:rsid w:val="00AB4845"/>
  </w:style>
  <w:style w:type="character" w:styleId="Hyperlink">
    <w:name w:val="Hyperlink"/>
    <w:basedOn w:val="DefaultParagraphFont"/>
    <w:uiPriority w:val="99"/>
    <w:unhideWhenUsed/>
    <w:rsid w:val="000041AF"/>
    <w:rPr>
      <w:rFonts w:ascii="Times New Roman" w:hAnsi="Times New Roman"/>
      <w:color w:val="0563C1" w:themeColor="hyperlink"/>
      <w:u w:val="single"/>
      <w:lang w:val="en-GB"/>
    </w:rPr>
  </w:style>
  <w:style w:type="character" w:customStyle="1" w:styleId="DateChar">
    <w:name w:val="Date Char"/>
    <w:basedOn w:val="DefaultParagraphFont"/>
    <w:link w:val="Date"/>
    <w:uiPriority w:val="99"/>
    <w:semiHidden/>
    <w:rsid w:val="00AB4845"/>
    <w:rPr>
      <w:rFonts w:ascii="Times New Roman" w:eastAsia="SimSun" w:hAnsi="Times New Roman" w:cs="Times New Roman"/>
      <w:lang w:val="en-GB"/>
    </w:rPr>
  </w:style>
  <w:style w:type="paragraph" w:styleId="BalloonText">
    <w:name w:val="Balloon Text"/>
    <w:basedOn w:val="Normal"/>
    <w:link w:val="BalloonTextChar"/>
    <w:uiPriority w:val="99"/>
    <w:semiHidden/>
    <w:unhideWhenUsed/>
    <w:rsid w:val="006257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57F6"/>
    <w:rPr>
      <w:rFonts w:ascii="Segoe UI" w:eastAsia="SimSun" w:hAnsi="Segoe UI" w:cs="Segoe UI"/>
      <w:sz w:val="18"/>
      <w:szCs w:val="18"/>
      <w:lang w:val="en-GB"/>
    </w:rPr>
  </w:style>
  <w:style w:type="paragraph" w:styleId="ListParagraph">
    <w:name w:val="List Paragraph"/>
    <w:aliases w:val="cop report main para,Bullets,List Paragraph1,Bullets1,List Paragraph11,Bullets2,List Paragraph12,Bullets3,List Paragraph13,Dot pt,F5 List Paragraph,No Spacing1,List Paragraph Char Char Char,Indicator Text,Colorful List - Accent 11"/>
    <w:basedOn w:val="Normal"/>
    <w:link w:val="ListParagraphChar"/>
    <w:uiPriority w:val="34"/>
    <w:qFormat/>
    <w:rsid w:val="000041AF"/>
    <w:pPr>
      <w:ind w:left="720"/>
      <w:contextualSpacing/>
    </w:pPr>
  </w:style>
  <w:style w:type="paragraph" w:customStyle="1" w:styleId="Para1">
    <w:name w:val="Para1"/>
    <w:basedOn w:val="Normal"/>
    <w:rsid w:val="00FB355B"/>
    <w:pPr>
      <w:numPr>
        <w:numId w:val="1"/>
      </w:numPr>
      <w:spacing w:after="120"/>
    </w:pPr>
    <w:rPr>
      <w:rFonts w:eastAsia="MS Mincho" w:cs="Angsana New"/>
      <w:snapToGrid w:val="0"/>
      <w:szCs w:val="18"/>
    </w:rPr>
  </w:style>
  <w:style w:type="paragraph" w:customStyle="1" w:styleId="Para3">
    <w:name w:val="Para3"/>
    <w:basedOn w:val="Normal"/>
    <w:rsid w:val="00FB355B"/>
    <w:pPr>
      <w:numPr>
        <w:ilvl w:val="2"/>
        <w:numId w:val="1"/>
      </w:numPr>
      <w:tabs>
        <w:tab w:val="left" w:pos="1980"/>
      </w:tabs>
      <w:spacing w:before="80" w:after="80"/>
    </w:pPr>
    <w:rPr>
      <w:rFonts w:eastAsia="MS Mincho" w:cs="Angsana New"/>
      <w:szCs w:val="20"/>
    </w:rPr>
  </w:style>
  <w:style w:type="table" w:styleId="TableGrid">
    <w:name w:val="Table Grid"/>
    <w:basedOn w:val="TableNormal"/>
    <w:uiPriority w:val="39"/>
    <w:rsid w:val="00273B2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041AF"/>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041AF"/>
    <w:rPr>
      <w:rFonts w:ascii="Times New Roman" w:eastAsia="SimSun" w:hAnsi="Times New Roman" w:cs="Times New Roman"/>
      <w:sz w:val="20"/>
      <w:lang w:val="en-GB"/>
    </w:rPr>
  </w:style>
  <w:style w:type="paragraph" w:styleId="Footer">
    <w:name w:val="footer"/>
    <w:basedOn w:val="Normal"/>
    <w:link w:val="FooterChar"/>
    <w:uiPriority w:val="99"/>
    <w:rsid w:val="000041AF"/>
    <w:pPr>
      <w:tabs>
        <w:tab w:val="center" w:pos="4680"/>
        <w:tab w:val="right" w:pos="9360"/>
      </w:tabs>
    </w:pPr>
    <w:rPr>
      <w:sz w:val="20"/>
    </w:rPr>
  </w:style>
  <w:style w:type="character" w:customStyle="1" w:styleId="FooterChar">
    <w:name w:val="Footer Char"/>
    <w:basedOn w:val="DefaultParagraphFont"/>
    <w:link w:val="Footer"/>
    <w:uiPriority w:val="99"/>
    <w:rsid w:val="000041AF"/>
    <w:rPr>
      <w:rFonts w:ascii="Times New Roman" w:eastAsia="SimSun" w:hAnsi="Times New Roman" w:cs="Times New Roman"/>
      <w:sz w:val="20"/>
      <w:lang w:val="en-GB"/>
    </w:rPr>
  </w:style>
  <w:style w:type="character" w:styleId="CommentReference">
    <w:name w:val="annotation reference"/>
    <w:basedOn w:val="DefaultParagraphFont"/>
    <w:uiPriority w:val="99"/>
    <w:semiHidden/>
    <w:unhideWhenUsed/>
    <w:rsid w:val="000041AF"/>
    <w:rPr>
      <w:sz w:val="16"/>
      <w:szCs w:val="16"/>
      <w:lang w:val="en-GB"/>
    </w:rPr>
  </w:style>
  <w:style w:type="paragraph" w:styleId="CommentText">
    <w:name w:val="annotation text"/>
    <w:basedOn w:val="Normal"/>
    <w:link w:val="CommentTextChar"/>
    <w:uiPriority w:val="99"/>
    <w:rsid w:val="000041AF"/>
    <w:rPr>
      <w:sz w:val="20"/>
      <w:szCs w:val="20"/>
    </w:rPr>
  </w:style>
  <w:style w:type="character" w:customStyle="1" w:styleId="CommentTextChar">
    <w:name w:val="Comment Text Char"/>
    <w:basedOn w:val="DefaultParagraphFont"/>
    <w:link w:val="CommentText"/>
    <w:uiPriority w:val="99"/>
    <w:rsid w:val="000041AF"/>
    <w:rPr>
      <w:rFonts w:ascii="Times New Roman" w:eastAsia="SimSu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0041AF"/>
    <w:rPr>
      <w:b/>
      <w:bCs/>
    </w:rPr>
  </w:style>
  <w:style w:type="character" w:customStyle="1" w:styleId="CommentSubjectChar">
    <w:name w:val="Comment Subject Char"/>
    <w:basedOn w:val="CommentTextChar"/>
    <w:link w:val="CommentSubject"/>
    <w:uiPriority w:val="99"/>
    <w:semiHidden/>
    <w:rsid w:val="000041AF"/>
    <w:rPr>
      <w:rFonts w:ascii="Times New Roman" w:eastAsia="SimSun" w:hAnsi="Times New Roman" w:cs="Times New Roman"/>
      <w:b/>
      <w:bCs/>
      <w:sz w:val="20"/>
      <w:szCs w:val="20"/>
      <w:lang w:val="en-GB"/>
    </w:rPr>
  </w:style>
  <w:style w:type="character" w:styleId="UnresolvedMention">
    <w:name w:val="Unresolved Mention"/>
    <w:basedOn w:val="DefaultParagraphFont"/>
    <w:uiPriority w:val="99"/>
    <w:semiHidden/>
    <w:unhideWhenUsed/>
    <w:rsid w:val="00970CE4"/>
    <w:rPr>
      <w:color w:val="605E5C"/>
      <w:shd w:val="clear" w:color="auto" w:fill="E1DFDD"/>
      <w:lang w:val="en-GB"/>
    </w:rPr>
  </w:style>
  <w:style w:type="table" w:styleId="PlainTable4">
    <w:name w:val="Plain Table 4"/>
    <w:basedOn w:val="TableNormal"/>
    <w:uiPriority w:val="44"/>
    <w:rsid w:val="000631ED"/>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2C6D8B"/>
    <w:rPr>
      <w:color w:val="800080"/>
      <w:u w:val="single"/>
      <w:lang w:val="en-GB"/>
    </w:rPr>
  </w:style>
  <w:style w:type="paragraph" w:customStyle="1" w:styleId="msonormal0">
    <w:name w:val="msonormal"/>
    <w:basedOn w:val="Normal"/>
    <w:rsid w:val="002C6D8B"/>
    <w:pPr>
      <w:spacing w:before="100" w:beforeAutospacing="1" w:after="100" w:afterAutospacing="1"/>
    </w:pPr>
    <w:rPr>
      <w:rFonts w:eastAsia="Times New Roman"/>
      <w:sz w:val="24"/>
      <w:szCs w:val="24"/>
    </w:rPr>
  </w:style>
  <w:style w:type="paragraph" w:customStyle="1" w:styleId="font5">
    <w:name w:val="font5"/>
    <w:basedOn w:val="Normal"/>
    <w:rsid w:val="002C6D8B"/>
    <w:pPr>
      <w:spacing w:before="100" w:beforeAutospacing="1" w:after="100" w:afterAutospacing="1"/>
    </w:pPr>
    <w:rPr>
      <w:rFonts w:ascii="Tahoma" w:eastAsia="Times New Roman" w:hAnsi="Tahoma" w:cs="Tahoma"/>
      <w:b/>
      <w:bCs/>
      <w:color w:val="000000"/>
      <w:sz w:val="18"/>
      <w:szCs w:val="18"/>
    </w:rPr>
  </w:style>
  <w:style w:type="paragraph" w:customStyle="1" w:styleId="font6">
    <w:name w:val="font6"/>
    <w:basedOn w:val="Normal"/>
    <w:rsid w:val="002C6D8B"/>
    <w:pPr>
      <w:spacing w:before="100" w:beforeAutospacing="1" w:after="100" w:afterAutospacing="1"/>
    </w:pPr>
    <w:rPr>
      <w:rFonts w:ascii="Tahoma" w:eastAsia="Times New Roman" w:hAnsi="Tahoma" w:cs="Tahoma"/>
      <w:color w:val="000000"/>
      <w:sz w:val="18"/>
      <w:szCs w:val="18"/>
    </w:rPr>
  </w:style>
  <w:style w:type="paragraph" w:customStyle="1" w:styleId="xl65">
    <w:name w:val="xl65"/>
    <w:basedOn w:val="Normal"/>
    <w:rsid w:val="002C6D8B"/>
    <w:pPr>
      <w:pBdr>
        <w:top w:val="single" w:sz="4" w:space="0" w:color="95B3D7"/>
        <w:bottom w:val="single" w:sz="4" w:space="0" w:color="95B3D7"/>
      </w:pBdr>
      <w:spacing w:before="100" w:beforeAutospacing="1" w:after="100" w:afterAutospacing="1"/>
    </w:pPr>
    <w:rPr>
      <w:rFonts w:eastAsia="Times New Roman"/>
      <w:color w:val="000000"/>
      <w:sz w:val="24"/>
      <w:szCs w:val="24"/>
    </w:rPr>
  </w:style>
  <w:style w:type="paragraph" w:customStyle="1" w:styleId="xl66">
    <w:name w:val="xl66"/>
    <w:basedOn w:val="Normal"/>
    <w:rsid w:val="002C6D8B"/>
    <w:pPr>
      <w:pBdr>
        <w:top w:val="single" w:sz="4" w:space="0" w:color="95B3D7"/>
        <w:bottom w:val="single" w:sz="4" w:space="0" w:color="95B3D7"/>
      </w:pBdr>
      <w:shd w:val="clear" w:color="DCE6F1" w:fill="DCE6F1"/>
      <w:spacing w:before="100" w:beforeAutospacing="1" w:after="100" w:afterAutospacing="1"/>
    </w:pPr>
    <w:rPr>
      <w:rFonts w:eastAsia="Times New Roman"/>
      <w:color w:val="000000"/>
      <w:sz w:val="24"/>
      <w:szCs w:val="24"/>
    </w:rPr>
  </w:style>
  <w:style w:type="paragraph" w:customStyle="1" w:styleId="xl67">
    <w:name w:val="xl67"/>
    <w:basedOn w:val="Normal"/>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rFonts w:eastAsia="Times New Roman"/>
      <w:b/>
      <w:bCs/>
      <w:sz w:val="24"/>
      <w:szCs w:val="24"/>
    </w:rPr>
  </w:style>
  <w:style w:type="paragraph" w:customStyle="1" w:styleId="xl68">
    <w:name w:val="xl6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24"/>
      <w:szCs w:val="24"/>
    </w:rPr>
  </w:style>
  <w:style w:type="paragraph" w:customStyle="1" w:styleId="xl69">
    <w:name w:val="xl69"/>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24"/>
      <w:szCs w:val="24"/>
    </w:rPr>
  </w:style>
  <w:style w:type="paragraph" w:customStyle="1" w:styleId="xl70">
    <w:name w:val="xl70"/>
    <w:basedOn w:val="Normal"/>
    <w:rsid w:val="002C6D8B"/>
    <w:pPr>
      <w:spacing w:before="100" w:beforeAutospacing="1" w:after="100" w:afterAutospacing="1"/>
    </w:pPr>
    <w:rPr>
      <w:rFonts w:eastAsia="Times New Roman"/>
      <w:color w:val="0000FF"/>
      <w:sz w:val="24"/>
      <w:szCs w:val="24"/>
      <w:u w:val="single"/>
    </w:rPr>
  </w:style>
  <w:style w:type="paragraph" w:customStyle="1" w:styleId="xl71">
    <w:name w:val="xl71"/>
    <w:basedOn w:val="Normal"/>
    <w:rsid w:val="002C6D8B"/>
    <w:pPr>
      <w:pBdr>
        <w:left w:val="single" w:sz="4" w:space="0" w:color="auto"/>
        <w:right w:val="single" w:sz="4" w:space="0" w:color="auto"/>
      </w:pBdr>
      <w:shd w:val="clear" w:color="000000" w:fill="FFFFFF"/>
      <w:spacing w:before="100" w:beforeAutospacing="1" w:after="100" w:afterAutospacing="1"/>
    </w:pPr>
    <w:rPr>
      <w:rFonts w:eastAsia="Times New Roman"/>
      <w:sz w:val="24"/>
      <w:szCs w:val="24"/>
    </w:rPr>
  </w:style>
  <w:style w:type="paragraph" w:customStyle="1" w:styleId="xl72">
    <w:name w:val="xl72"/>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4"/>
      <w:szCs w:val="24"/>
    </w:rPr>
  </w:style>
  <w:style w:type="paragraph" w:customStyle="1" w:styleId="xl73">
    <w:name w:val="xl73"/>
    <w:basedOn w:val="Normal"/>
    <w:rsid w:val="002C6D8B"/>
    <w:pPr>
      <w:pBdr>
        <w:left w:val="single" w:sz="4" w:space="0" w:color="auto"/>
        <w:right w:val="single" w:sz="4" w:space="0" w:color="auto"/>
      </w:pBdr>
      <w:spacing w:before="100" w:beforeAutospacing="1" w:after="100" w:afterAutospacing="1"/>
    </w:pPr>
    <w:rPr>
      <w:rFonts w:eastAsia="Times New Roman"/>
      <w:sz w:val="24"/>
      <w:szCs w:val="24"/>
    </w:rPr>
  </w:style>
  <w:style w:type="paragraph" w:customStyle="1" w:styleId="xl74">
    <w:name w:val="xl74"/>
    <w:basedOn w:val="Normal"/>
    <w:rsid w:val="002C6D8B"/>
    <w:pPr>
      <w:spacing w:before="100" w:beforeAutospacing="1" w:after="100" w:afterAutospacing="1"/>
    </w:pPr>
    <w:rPr>
      <w:rFonts w:eastAsia="Times New Roman"/>
      <w:sz w:val="21"/>
      <w:szCs w:val="21"/>
    </w:rPr>
  </w:style>
  <w:style w:type="paragraph" w:customStyle="1" w:styleId="xl75">
    <w:name w:val="xl75"/>
    <w:basedOn w:val="Normal"/>
    <w:rsid w:val="002C6D8B"/>
    <w:pPr>
      <w:spacing w:before="100" w:beforeAutospacing="1" w:after="100" w:afterAutospacing="1"/>
    </w:pPr>
    <w:rPr>
      <w:rFonts w:eastAsia="Times New Roman"/>
      <w:sz w:val="20"/>
      <w:szCs w:val="20"/>
    </w:rPr>
  </w:style>
  <w:style w:type="paragraph" w:customStyle="1" w:styleId="xl76">
    <w:name w:val="xl76"/>
    <w:basedOn w:val="Normal"/>
    <w:rsid w:val="002C6D8B"/>
    <w:pPr>
      <w:spacing w:before="100" w:beforeAutospacing="1" w:after="100" w:afterAutospacing="1"/>
    </w:pPr>
    <w:rPr>
      <w:rFonts w:eastAsia="Times New Roman"/>
      <w:sz w:val="24"/>
      <w:szCs w:val="24"/>
    </w:rPr>
  </w:style>
  <w:style w:type="paragraph" w:customStyle="1" w:styleId="xl77">
    <w:name w:val="xl77"/>
    <w:basedOn w:val="Normal"/>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rFonts w:eastAsia="Times New Roman"/>
      <w:b/>
      <w:bCs/>
      <w:sz w:val="24"/>
      <w:szCs w:val="24"/>
    </w:rPr>
  </w:style>
  <w:style w:type="paragraph" w:customStyle="1" w:styleId="xl78">
    <w:name w:val="xl7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24"/>
      <w:szCs w:val="24"/>
    </w:rPr>
  </w:style>
  <w:style w:type="paragraph" w:customStyle="1" w:styleId="xl80">
    <w:name w:val="xl80"/>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4"/>
      <w:szCs w:val="24"/>
    </w:rPr>
  </w:style>
  <w:style w:type="paragraph" w:customStyle="1" w:styleId="xl81">
    <w:name w:val="xl81"/>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9"/>
    <w:rsid w:val="000041AF"/>
    <w:rPr>
      <w:rFonts w:ascii="Times New Roman" w:eastAsiaTheme="majorEastAsia" w:hAnsi="Times New Roman" w:cstheme="majorBidi"/>
      <w:b/>
      <w:bCs/>
      <w:kern w:val="2"/>
      <w:sz w:val="28"/>
      <w:szCs w:val="32"/>
      <w:lang w:val="en-GB"/>
      <w14:ligatures w14:val="standardContextual"/>
    </w:rPr>
  </w:style>
  <w:style w:type="character" w:customStyle="1" w:styleId="Heading2Char">
    <w:name w:val="Heading 2 Char"/>
    <w:basedOn w:val="DefaultParagraphFont"/>
    <w:link w:val="Heading2"/>
    <w:uiPriority w:val="9"/>
    <w:rsid w:val="000041AF"/>
    <w:rPr>
      <w:rFonts w:ascii="Times New Roman Bold" w:eastAsiaTheme="majorEastAsia" w:hAnsi="Times New Roman Bold" w:cstheme="majorBidi"/>
      <w:b/>
      <w:sz w:val="24"/>
      <w:szCs w:val="26"/>
      <w:lang w:val="en-GB"/>
    </w:rPr>
  </w:style>
  <w:style w:type="character" w:customStyle="1" w:styleId="Heading3Char">
    <w:name w:val="Heading 3 Char"/>
    <w:basedOn w:val="DefaultParagraphFont"/>
    <w:link w:val="Heading3"/>
    <w:uiPriority w:val="9"/>
    <w:rsid w:val="000041AF"/>
    <w:rPr>
      <w:rFonts w:ascii="Times New Roman" w:eastAsiaTheme="majorEastAsia" w:hAnsi="Times New Roman" w:cs="Times New Roman"/>
      <w:b/>
      <w:bCs/>
      <w:lang w:val="en-GB"/>
    </w:rPr>
  </w:style>
  <w:style w:type="paragraph" w:styleId="TOC2">
    <w:name w:val="toc 2"/>
    <w:basedOn w:val="Normal"/>
    <w:next w:val="Normal"/>
    <w:autoRedefine/>
    <w:uiPriority w:val="39"/>
    <w:unhideWhenUsed/>
    <w:rsid w:val="009E14FB"/>
    <w:pPr>
      <w:tabs>
        <w:tab w:val="right" w:leader="dot" w:pos="9360"/>
      </w:tabs>
      <w:spacing w:after="100"/>
      <w:ind w:left="720"/>
    </w:pPr>
    <w:rPr>
      <w:rFonts w:eastAsiaTheme="majorEastAsia" w:cstheme="minorHAnsi"/>
      <w:noProof/>
      <w:snapToGrid w:val="0"/>
    </w:rPr>
  </w:style>
  <w:style w:type="paragraph" w:styleId="TOC1">
    <w:name w:val="toc 1"/>
    <w:basedOn w:val="Normal"/>
    <w:next w:val="Normal"/>
    <w:autoRedefine/>
    <w:uiPriority w:val="39"/>
    <w:unhideWhenUsed/>
    <w:qFormat/>
    <w:rsid w:val="001534C4"/>
    <w:pPr>
      <w:tabs>
        <w:tab w:val="left" w:pos="440"/>
        <w:tab w:val="right" w:leader="dot" w:pos="9350"/>
      </w:tabs>
      <w:adjustRightInd w:val="0"/>
      <w:spacing w:after="120"/>
      <w:ind w:left="864" w:hanging="864"/>
    </w:pPr>
    <w:rPr>
      <w:bCs/>
      <w:noProof/>
    </w:rPr>
  </w:style>
  <w:style w:type="paragraph" w:styleId="TOC3">
    <w:name w:val="toc 3"/>
    <w:basedOn w:val="Normal"/>
    <w:next w:val="Normal"/>
    <w:autoRedefine/>
    <w:uiPriority w:val="39"/>
    <w:unhideWhenUsed/>
    <w:rsid w:val="00DE401D"/>
    <w:pPr>
      <w:tabs>
        <w:tab w:val="right" w:leader="dot" w:pos="9350"/>
      </w:tabs>
      <w:spacing w:after="100"/>
      <w:ind w:left="1260"/>
    </w:pPr>
    <w:rPr>
      <w:rFonts w:eastAsiaTheme="majorEastAsia" w:cstheme="majorBidi"/>
      <w:noProof/>
    </w:rPr>
  </w:style>
  <w:style w:type="paragraph" w:customStyle="1" w:styleId="HEADINGNOTFORTOC">
    <w:name w:val="HEADING (NOT FOR TOC)"/>
    <w:basedOn w:val="Heading1"/>
    <w:next w:val="Heading2"/>
    <w:rsid w:val="00AF2846"/>
    <w:pPr>
      <w:keepLines w:val="0"/>
      <w:tabs>
        <w:tab w:val="left" w:pos="720"/>
      </w:tabs>
    </w:pPr>
    <w:rPr>
      <w:rFonts w:eastAsia="Times New Roman"/>
      <w:caps/>
      <w:smallCaps/>
    </w:rPr>
  </w:style>
  <w:style w:type="paragraph" w:customStyle="1" w:styleId="meetingname">
    <w:name w:val="meeting name"/>
    <w:basedOn w:val="Normal"/>
    <w:qFormat/>
    <w:rsid w:val="00AF2846"/>
    <w:pPr>
      <w:ind w:left="170" w:right="3119" w:hanging="170"/>
    </w:pPr>
    <w:rPr>
      <w:rFonts w:eastAsia="Malgun Gothic"/>
      <w:caps/>
      <w:snapToGrid w:val="0"/>
      <w:sz w:val="24"/>
      <w:szCs w:val="24"/>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uiPriority w:val="99"/>
    <w:qFormat/>
    <w:rsid w:val="00AF2846"/>
    <w:pPr>
      <w:spacing w:line="240" w:lineRule="exact"/>
    </w:pPr>
    <w:rPr>
      <w:rFonts w:eastAsia="MS Mincho"/>
      <w:sz w:val="18"/>
      <w:szCs w:val="20"/>
      <w:u w:val="single"/>
    </w:rPr>
  </w:style>
  <w:style w:type="character" w:styleId="PlaceholderText">
    <w:name w:val="Placeholder Text"/>
    <w:basedOn w:val="DefaultParagraphFont"/>
    <w:uiPriority w:val="99"/>
    <w:semiHidden/>
    <w:rsid w:val="00AF2846"/>
    <w:rPr>
      <w:color w:val="808080"/>
      <w:lang w:val="en-GB"/>
    </w:rPr>
  </w:style>
  <w:style w:type="paragraph" w:styleId="Revision">
    <w:name w:val="Revision"/>
    <w:hidden/>
    <w:uiPriority w:val="99"/>
    <w:semiHidden/>
    <w:rsid w:val="000041AF"/>
    <w:pPr>
      <w:spacing w:before="0" w:after="0"/>
      <w:jc w:val="left"/>
    </w:pPr>
    <w:rPr>
      <w:rFonts w:ascii="Simplified Arabic" w:eastAsia="Times New Roman" w:hAnsi="Simplified Arabic" w:cs="Simplified Arabic"/>
      <w:noProof/>
      <w:sz w:val="24"/>
      <w:szCs w:val="24"/>
    </w:rPr>
  </w:style>
  <w:style w:type="paragraph" w:customStyle="1" w:styleId="SubParagraphLevel1">
    <w:name w:val="Sub Paragraph Level 1"/>
    <w:basedOn w:val="ListParagraph"/>
    <w:link w:val="SubParagraphLevel1Char"/>
    <w:qFormat/>
    <w:rsid w:val="007B7193"/>
    <w:pPr>
      <w:numPr>
        <w:numId w:val="4"/>
      </w:numPr>
      <w:spacing w:before="120" w:after="120"/>
      <w:ind w:left="720" w:firstLine="0"/>
    </w:pPr>
    <w:rPr>
      <w:rFonts w:eastAsiaTheme="minorEastAsia"/>
      <w:lang w:eastAsia="zh-CN"/>
    </w:rPr>
  </w:style>
  <w:style w:type="character" w:customStyle="1" w:styleId="SubParagraphLevel1Char">
    <w:name w:val="Sub Paragraph Level 1 Char"/>
    <w:basedOn w:val="DefaultParagraphFont"/>
    <w:link w:val="SubParagraphLevel1"/>
    <w:rsid w:val="007B7193"/>
    <w:rPr>
      <w:rFonts w:ascii="Times New Roman" w:eastAsiaTheme="minorEastAsia" w:hAnsi="Times New Roman" w:cs="Times New Roman"/>
      <w:lang w:val="en-GB" w:eastAsia="zh-CN"/>
    </w:rPr>
  </w:style>
  <w:style w:type="paragraph" w:customStyle="1" w:styleId="GEFNumberedParagraph">
    <w:name w:val="GEF Numbered Paragraph"/>
    <w:basedOn w:val="Normal"/>
    <w:link w:val="GEFNumberedParagraphChar"/>
    <w:qFormat/>
    <w:rsid w:val="003E777B"/>
    <w:pPr>
      <w:numPr>
        <w:numId w:val="2"/>
      </w:numPr>
      <w:spacing w:line="276" w:lineRule="auto"/>
    </w:pPr>
    <w:rPr>
      <w:rFonts w:eastAsia="Times New Roman" w:cs="Calibri"/>
      <w:noProof/>
      <w:color w:val="000000"/>
      <w:sz w:val="24"/>
      <w:szCs w:val="24"/>
    </w:rPr>
  </w:style>
  <w:style w:type="table" w:styleId="PlainTable3">
    <w:name w:val="Plain Table 3"/>
    <w:basedOn w:val="TableNormal"/>
    <w:uiPriority w:val="43"/>
    <w:rsid w:val="00AD5960"/>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bullettext">
    <w:name w:val="bullet text"/>
    <w:basedOn w:val="ListParagraph"/>
    <w:link w:val="bullettextChar"/>
    <w:qFormat/>
    <w:rsid w:val="00E921C6"/>
    <w:pPr>
      <w:numPr>
        <w:ilvl w:val="1"/>
        <w:numId w:val="3"/>
      </w:numPr>
    </w:pPr>
  </w:style>
  <w:style w:type="paragraph" w:styleId="Caption">
    <w:name w:val="caption"/>
    <w:basedOn w:val="Normal"/>
    <w:next w:val="Normal"/>
    <w:autoRedefine/>
    <w:uiPriority w:val="35"/>
    <w:unhideWhenUsed/>
    <w:qFormat/>
    <w:rsid w:val="00121199"/>
    <w:pPr>
      <w:spacing w:after="120"/>
      <w:jc w:val="center"/>
    </w:pPr>
    <w:rPr>
      <w:b/>
      <w:iCs/>
      <w:color w:val="000000" w:themeColor="text1"/>
      <w:sz w:val="24"/>
      <w:szCs w:val="18"/>
    </w:rPr>
  </w:style>
  <w:style w:type="character" w:customStyle="1" w:styleId="ListParagraphChar">
    <w:name w:val="List Paragraph Char"/>
    <w:aliases w:val="cop report main para Char,Bullets Char,List Paragraph1 Char,Bullets1 Char,List Paragraph11 Char,Bullets2 Char,List Paragraph12 Char,Bullets3 Char,List Paragraph13 Char,Dot pt Char,F5 List Paragraph Char,No Spacing1 Char"/>
    <w:basedOn w:val="DefaultParagraphFont"/>
    <w:link w:val="ListParagraph"/>
    <w:uiPriority w:val="34"/>
    <w:qFormat/>
    <w:rsid w:val="00A35FBB"/>
    <w:rPr>
      <w:rFonts w:ascii="Times New Roman" w:eastAsia="SimSun" w:hAnsi="Times New Roman" w:cs="Times New Roman"/>
      <w:lang w:val="en-GB"/>
    </w:rPr>
  </w:style>
  <w:style w:type="character" w:customStyle="1" w:styleId="bullettextChar">
    <w:name w:val="bullet text Char"/>
    <w:basedOn w:val="ListParagraphChar"/>
    <w:link w:val="bullettext"/>
    <w:rsid w:val="00E921C6"/>
    <w:rPr>
      <w:rFonts w:ascii="Times New Roman" w:eastAsia="SimSun" w:hAnsi="Times New Roman" w:cs="Times New Roman"/>
      <w:lang w:val="en-GB"/>
    </w:rPr>
  </w:style>
  <w:style w:type="paragraph" w:styleId="TableofFigures">
    <w:name w:val="table of figures"/>
    <w:basedOn w:val="Normal"/>
    <w:next w:val="Normal"/>
    <w:autoRedefine/>
    <w:uiPriority w:val="99"/>
    <w:unhideWhenUsed/>
    <w:rsid w:val="00756C88"/>
    <w:pPr>
      <w:tabs>
        <w:tab w:val="right" w:leader="dot" w:pos="9350"/>
      </w:tabs>
      <w:spacing w:after="120"/>
      <w:ind w:left="864" w:hanging="864"/>
    </w:pPr>
    <w:rPr>
      <w:sz w:val="24"/>
    </w:rPr>
  </w:style>
  <w:style w:type="paragraph" w:styleId="TOCHeading">
    <w:name w:val="TOC Heading"/>
    <w:basedOn w:val="Heading1"/>
    <w:next w:val="Normal"/>
    <w:uiPriority w:val="39"/>
    <w:unhideWhenUsed/>
    <w:qFormat/>
    <w:rsid w:val="00FA5F49"/>
    <w:pPr>
      <w:spacing w:after="0" w:line="259" w:lineRule="auto"/>
      <w:outlineLvl w:val="9"/>
    </w:pPr>
    <w:rPr>
      <w:rFonts w:asciiTheme="majorHAnsi" w:hAnsiTheme="majorHAnsi"/>
      <w:b w:val="0"/>
      <w:smallCaps/>
      <w:snapToGrid w:val="0"/>
      <w:color w:val="2F5496" w:themeColor="accent1" w:themeShade="BF"/>
      <w:sz w:val="32"/>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
    <w:basedOn w:val="DefaultParagraphFont"/>
    <w:link w:val="CharChar1CharCharCharChar1CharCharCharCharCharCharCharChar"/>
    <w:uiPriority w:val="99"/>
    <w:unhideWhenUsed/>
    <w:rsid w:val="000041AF"/>
    <w:rPr>
      <w:vertAlign w:val="superscript"/>
      <w:lang w:val="en-GB"/>
    </w:rPr>
  </w:style>
  <w:style w:type="paragraph" w:styleId="PlainText">
    <w:name w:val="Plain Text"/>
    <w:basedOn w:val="Normal"/>
    <w:link w:val="PlainTextChar"/>
    <w:uiPriority w:val="99"/>
    <w:unhideWhenUsed/>
    <w:rsid w:val="00AC2F02"/>
    <w:rPr>
      <w:rFonts w:ascii="Consolas" w:eastAsiaTheme="minorEastAsia" w:hAnsi="Consolas"/>
      <w:sz w:val="21"/>
      <w:szCs w:val="21"/>
      <w:lang w:eastAsia="zh-CN"/>
    </w:rPr>
  </w:style>
  <w:style w:type="character" w:customStyle="1" w:styleId="PlainTextChar">
    <w:name w:val="Plain Text Char"/>
    <w:basedOn w:val="DefaultParagraphFont"/>
    <w:link w:val="PlainText"/>
    <w:uiPriority w:val="99"/>
    <w:rsid w:val="00AC2F02"/>
    <w:rPr>
      <w:rFonts w:ascii="Consolas" w:eastAsiaTheme="minorEastAsia" w:hAnsi="Consolas" w:cs="Times New Roman"/>
      <w:sz w:val="21"/>
      <w:szCs w:val="21"/>
      <w:lang w:val="en-GB" w:eastAsia="zh-C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rsid w:val="005D666B"/>
    <w:pPr>
      <w:spacing w:after="160" w:line="240" w:lineRule="exact"/>
    </w:pPr>
    <w:rPr>
      <w:rFonts w:asciiTheme="minorHAnsi" w:eastAsiaTheme="minorHAnsi" w:hAnsiTheme="minorHAnsi" w:cstheme="minorBidi"/>
      <w:vertAlign w:val="superscript"/>
    </w:rPr>
  </w:style>
  <w:style w:type="paragraph" w:customStyle="1" w:styleId="tabletextwithi">
    <w:name w:val="table text with i"/>
    <w:aliases w:val="ii,iii"/>
    <w:basedOn w:val="ListParagraph"/>
    <w:link w:val="tabletextwithiChar"/>
    <w:autoRedefine/>
    <w:qFormat/>
    <w:rsid w:val="006C2BDC"/>
    <w:pPr>
      <w:tabs>
        <w:tab w:val="left" w:pos="630"/>
        <w:tab w:val="left" w:pos="1350"/>
      </w:tabs>
      <w:spacing w:after="120"/>
    </w:pPr>
    <w:rPr>
      <w:rFonts w:eastAsiaTheme="minorEastAsia" w:cs="Calibri"/>
      <w:snapToGrid w:val="0"/>
      <w:lang w:eastAsia="de-DE"/>
    </w:rPr>
  </w:style>
  <w:style w:type="character" w:customStyle="1" w:styleId="tabletextwithiChar">
    <w:name w:val="table text with i Char"/>
    <w:aliases w:val="ii Char,iii Char"/>
    <w:basedOn w:val="ListParagraphChar"/>
    <w:link w:val="tabletextwithi"/>
    <w:rsid w:val="006C2BDC"/>
    <w:rPr>
      <w:rFonts w:ascii="Times New Roman" w:eastAsiaTheme="minorEastAsia" w:hAnsi="Times New Roman" w:cs="Calibri"/>
      <w:snapToGrid w:val="0"/>
      <w:lang w:val="en-GB" w:eastAsia="de-DE"/>
    </w:rPr>
  </w:style>
  <w:style w:type="paragraph" w:customStyle="1" w:styleId="Default">
    <w:name w:val="Default"/>
    <w:rsid w:val="00DA7020"/>
    <w:pPr>
      <w:autoSpaceDE w:val="0"/>
      <w:autoSpaceDN w:val="0"/>
      <w:adjustRightInd w:val="0"/>
      <w:spacing w:after="0"/>
    </w:pPr>
    <w:rPr>
      <w:rFonts w:ascii="Calibri" w:hAnsi="Calibri" w:cs="Calibri"/>
      <w:color w:val="000000"/>
      <w:sz w:val="24"/>
      <w:szCs w:val="24"/>
      <w:lang w:val="en-GB"/>
    </w:rPr>
  </w:style>
  <w:style w:type="paragraph" w:customStyle="1" w:styleId="Char2">
    <w:name w:val="Char2"/>
    <w:basedOn w:val="Normal"/>
    <w:uiPriority w:val="99"/>
    <w:qFormat/>
    <w:rsid w:val="00DA7020"/>
    <w:pPr>
      <w:spacing w:line="240" w:lineRule="exact"/>
    </w:pPr>
    <w:rPr>
      <w:sz w:val="18"/>
      <w:vertAlign w:val="superscript"/>
    </w:rPr>
  </w:style>
  <w:style w:type="character" w:customStyle="1" w:styleId="GEFNumberedParagraphChar">
    <w:name w:val="GEF Numbered Paragraph Char"/>
    <w:basedOn w:val="DefaultParagraphFont"/>
    <w:link w:val="GEFNumberedParagraph"/>
    <w:rsid w:val="00DA7020"/>
    <w:rPr>
      <w:rFonts w:ascii="Times New Roman" w:eastAsia="Times New Roman" w:hAnsi="Times New Roman" w:cs="Calibri"/>
      <w:noProof/>
      <w:color w:val="000000"/>
      <w:sz w:val="24"/>
      <w:szCs w:val="24"/>
      <w:lang w:val="en-GB"/>
    </w:rPr>
  </w:style>
  <w:style w:type="paragraph" w:styleId="EndnoteText">
    <w:name w:val="endnote text"/>
    <w:basedOn w:val="Normal"/>
    <w:link w:val="EndnoteTextChar"/>
    <w:uiPriority w:val="99"/>
    <w:semiHidden/>
    <w:unhideWhenUsed/>
    <w:rsid w:val="00180746"/>
    <w:rPr>
      <w:sz w:val="20"/>
      <w:szCs w:val="20"/>
    </w:rPr>
  </w:style>
  <w:style w:type="character" w:customStyle="1" w:styleId="EndnoteTextChar">
    <w:name w:val="Endnote Text Char"/>
    <w:basedOn w:val="DefaultParagraphFont"/>
    <w:link w:val="EndnoteText"/>
    <w:uiPriority w:val="99"/>
    <w:semiHidden/>
    <w:rsid w:val="00180746"/>
    <w:rPr>
      <w:rFonts w:ascii="Times New Roman" w:eastAsia="SimSun" w:hAnsi="Times New Roman" w:cs="Times New Roman"/>
      <w:sz w:val="20"/>
      <w:szCs w:val="20"/>
      <w:lang w:val="en-GB"/>
    </w:rPr>
  </w:style>
  <w:style w:type="character" w:styleId="EndnoteReference">
    <w:name w:val="endnote reference"/>
    <w:basedOn w:val="DefaultParagraphFont"/>
    <w:uiPriority w:val="99"/>
    <w:semiHidden/>
    <w:unhideWhenUsed/>
    <w:rsid w:val="00180746"/>
    <w:rPr>
      <w:vertAlign w:val="superscript"/>
      <w:lang w:val="en-GB"/>
    </w:rPr>
  </w:style>
  <w:style w:type="table" w:customStyle="1" w:styleId="PlainTable21">
    <w:name w:val="Plain Table 21"/>
    <w:basedOn w:val="TableNormal"/>
    <w:next w:val="PlainTable2"/>
    <w:uiPriority w:val="42"/>
    <w:rsid w:val="008847A6"/>
    <w:pPr>
      <w:spacing w:after="0"/>
    </w:pPr>
    <w:rPr>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8847A6"/>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1">
    <w:name w:val="No List1"/>
    <w:next w:val="NoList"/>
    <w:uiPriority w:val="99"/>
    <w:semiHidden/>
    <w:unhideWhenUsed/>
    <w:rsid w:val="001534C4"/>
  </w:style>
  <w:style w:type="table" w:styleId="GridTable1Light-Accent4">
    <w:name w:val="Grid Table 1 Light Accent 4"/>
    <w:basedOn w:val="TableNormal"/>
    <w:uiPriority w:val="46"/>
    <w:rsid w:val="001534C4"/>
    <w:pPr>
      <w:spacing w:after="0"/>
    </w:pPr>
    <w:rPr>
      <w:kern w:val="2"/>
      <w14:ligatures w14:val="standardContextual"/>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PlainTable1">
    <w:name w:val="Plain Table 1"/>
    <w:basedOn w:val="TableNormal"/>
    <w:uiPriority w:val="41"/>
    <w:rsid w:val="001534C4"/>
    <w:pPr>
      <w:spacing w:after="0"/>
    </w:pPr>
    <w:rPr>
      <w:kern w:val="2"/>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Mention">
    <w:name w:val="Mention"/>
    <w:basedOn w:val="DefaultParagraphFont"/>
    <w:uiPriority w:val="99"/>
    <w:unhideWhenUsed/>
    <w:rsid w:val="00AC4260"/>
    <w:rPr>
      <w:color w:val="2B579A"/>
      <w:shd w:val="clear" w:color="auto" w:fill="E1DFDD"/>
      <w:lang w:val="en-GB"/>
    </w:rPr>
  </w:style>
  <w:style w:type="paragraph" w:styleId="Title">
    <w:name w:val="Title"/>
    <w:basedOn w:val="Normal"/>
    <w:next w:val="Normal"/>
    <w:link w:val="TitleChar"/>
    <w:uiPriority w:val="10"/>
    <w:qFormat/>
    <w:rsid w:val="000B6DD3"/>
    <w:pPr>
      <w:keepNext/>
      <w:keepLines/>
      <w:spacing w:before="480" w:after="120" w:line="259" w:lineRule="auto"/>
      <w:jc w:val="left"/>
    </w:pPr>
    <w:rPr>
      <w:rFonts w:ascii="Calibri" w:eastAsia="Calibri" w:hAnsi="Calibri" w:cs="Calibri"/>
      <w:b/>
      <w:sz w:val="72"/>
      <w:szCs w:val="72"/>
    </w:rPr>
  </w:style>
  <w:style w:type="character" w:customStyle="1" w:styleId="TitleChar">
    <w:name w:val="Title Char"/>
    <w:basedOn w:val="DefaultParagraphFont"/>
    <w:link w:val="Title"/>
    <w:uiPriority w:val="10"/>
    <w:rsid w:val="000B6DD3"/>
    <w:rPr>
      <w:rFonts w:ascii="Calibri" w:eastAsia="Calibri" w:hAnsi="Calibri" w:cs="Calibri"/>
      <w:b/>
      <w:sz w:val="72"/>
      <w:szCs w:val="72"/>
      <w:lang w:val="en-GB"/>
    </w:rPr>
  </w:style>
  <w:style w:type="paragraph" w:styleId="NormalWeb">
    <w:name w:val="Normal (Web)"/>
    <w:basedOn w:val="Normal"/>
    <w:uiPriority w:val="99"/>
    <w:semiHidden/>
    <w:unhideWhenUsed/>
    <w:rsid w:val="00A5135B"/>
    <w:pPr>
      <w:spacing w:before="100" w:beforeAutospacing="1" w:after="100" w:afterAutospacing="1"/>
      <w:jc w:val="left"/>
    </w:pPr>
    <w:rPr>
      <w:rFonts w:eastAsia="Times New Roman"/>
      <w:sz w:val="24"/>
      <w:szCs w:val="24"/>
      <w:lang w:eastAsia="ja-JP"/>
    </w:rPr>
  </w:style>
  <w:style w:type="paragraph" w:customStyle="1" w:styleId="footnote">
    <w:name w:val="footnote"/>
    <w:basedOn w:val="Default"/>
    <w:link w:val="footnoteChar"/>
    <w:autoRedefine/>
    <w:qFormat/>
    <w:rsid w:val="0038791E"/>
    <w:pPr>
      <w:spacing w:before="0"/>
      <w:jc w:val="left"/>
    </w:pPr>
    <w:rPr>
      <w:rFonts w:asciiTheme="minorHAnsi" w:eastAsia="SimSun" w:hAnsiTheme="minorHAnsi" w:cstheme="minorHAnsi"/>
      <w:sz w:val="20"/>
      <w:szCs w:val="20"/>
    </w:rPr>
  </w:style>
  <w:style w:type="character" w:customStyle="1" w:styleId="footnoteChar">
    <w:name w:val="footnote Char"/>
    <w:basedOn w:val="DefaultParagraphFont"/>
    <w:link w:val="footnote"/>
    <w:rsid w:val="0038791E"/>
    <w:rPr>
      <w:rFonts w:eastAsia="SimSun" w:cstheme="minorHAnsi"/>
      <w:color w:val="000000"/>
      <w:sz w:val="20"/>
      <w:szCs w:val="20"/>
      <w:lang w:val="en-GB"/>
    </w:rPr>
  </w:style>
  <w:style w:type="paragraph" w:customStyle="1" w:styleId="Bulletseparate">
    <w:name w:val="Bullet separate"/>
    <w:basedOn w:val="Normal"/>
    <w:link w:val="BulletseparateChar"/>
    <w:qFormat/>
    <w:rsid w:val="00893221"/>
    <w:pPr>
      <w:numPr>
        <w:numId w:val="5"/>
      </w:numPr>
      <w:jc w:val="left"/>
    </w:pPr>
    <w:rPr>
      <w:rFonts w:ascii="Calibri" w:hAnsi="Calibri"/>
    </w:rPr>
  </w:style>
  <w:style w:type="character" w:customStyle="1" w:styleId="BulletseparateChar">
    <w:name w:val="Bullet separate Char"/>
    <w:basedOn w:val="DefaultParagraphFont"/>
    <w:link w:val="Bulletseparate"/>
    <w:rsid w:val="00893221"/>
    <w:rPr>
      <w:rFonts w:ascii="Calibri" w:eastAsia="SimSun" w:hAnsi="Calibri" w:cs="Times New Roman"/>
      <w:lang w:val="en-GB"/>
    </w:rPr>
  </w:style>
  <w:style w:type="paragraph" w:customStyle="1" w:styleId="tabletext">
    <w:name w:val="table text"/>
    <w:basedOn w:val="Normal"/>
    <w:link w:val="tabletextChar"/>
    <w:autoRedefine/>
    <w:qFormat/>
    <w:rsid w:val="00EF7C4E"/>
    <w:pPr>
      <w:jc w:val="right"/>
    </w:pPr>
    <w:rPr>
      <w:rFonts w:eastAsia="Times New Roman" w:cstheme="minorHAnsi"/>
      <w:color w:val="000000"/>
    </w:rPr>
  </w:style>
  <w:style w:type="character" w:customStyle="1" w:styleId="tabletextChar">
    <w:name w:val="table text Char"/>
    <w:basedOn w:val="DefaultParagraphFont"/>
    <w:link w:val="tabletext"/>
    <w:rsid w:val="00EF7C4E"/>
    <w:rPr>
      <w:rFonts w:ascii="Times New Roman" w:eastAsia="Times New Roman" w:hAnsi="Times New Roman" w:cstheme="minorHAnsi"/>
      <w:color w:val="000000"/>
      <w:lang w:val="en-GB"/>
    </w:rPr>
  </w:style>
  <w:style w:type="character" w:customStyle="1" w:styleId="Heading4Char">
    <w:name w:val="Heading 4 Char"/>
    <w:basedOn w:val="DefaultParagraphFont"/>
    <w:link w:val="Heading4"/>
    <w:uiPriority w:val="9"/>
    <w:rsid w:val="000041AF"/>
    <w:rPr>
      <w:rFonts w:ascii="Times New Roman" w:eastAsiaTheme="majorEastAsia" w:hAnsi="Times New Roman" w:cs="Times New Roman"/>
      <w:b/>
      <w:bCs/>
      <w:lang w:val="en-GB"/>
    </w:rPr>
  </w:style>
  <w:style w:type="character" w:customStyle="1" w:styleId="Heading5Char">
    <w:name w:val="Heading 5 Char"/>
    <w:basedOn w:val="DefaultParagraphFont"/>
    <w:link w:val="Heading5"/>
    <w:uiPriority w:val="9"/>
    <w:rsid w:val="000041AF"/>
    <w:rPr>
      <w:rFonts w:ascii="Times New Roman" w:eastAsiaTheme="majorEastAsia" w:hAnsi="Times New Roman" w:cs="Times New Roman"/>
      <w:i/>
      <w:iCs/>
      <w:lang w:val="en-GB"/>
    </w:rPr>
  </w:style>
  <w:style w:type="paragraph" w:customStyle="1" w:styleId="Cornernotation">
    <w:name w:val="Corner notation"/>
    <w:basedOn w:val="Normal"/>
    <w:rsid w:val="00F04681"/>
    <w:pPr>
      <w:ind w:left="170" w:right="3119" w:hanging="170"/>
      <w:jc w:val="left"/>
    </w:pPr>
    <w:rPr>
      <w:b/>
      <w:sz w:val="24"/>
    </w:rPr>
  </w:style>
  <w:style w:type="table" w:customStyle="1" w:styleId="TableGrid1">
    <w:name w:val="Table Grid1"/>
    <w:basedOn w:val="TableNormal"/>
    <w:next w:val="TableGrid"/>
    <w:uiPriority w:val="59"/>
    <w:rsid w:val="00F04681"/>
    <w:pPr>
      <w:spacing w:before="0" w:after="0"/>
      <w:jc w:val="lef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F04681"/>
    <w:rPr>
      <w:b w:val="0"/>
      <w:bCs/>
      <w:sz w:val="22"/>
    </w:rPr>
  </w:style>
  <w:style w:type="paragraph" w:customStyle="1" w:styleId="Footnote0">
    <w:name w:val="Footnote"/>
    <w:basedOn w:val="FootnoteText"/>
    <w:qFormat/>
    <w:rsid w:val="000041AF"/>
    <w:rPr>
      <w:szCs w:val="18"/>
    </w:rPr>
  </w:style>
  <w:style w:type="paragraph" w:customStyle="1" w:styleId="Cornernotation-Item">
    <w:name w:val="Corner notation - Item"/>
    <w:basedOn w:val="Venuedate"/>
    <w:qFormat/>
    <w:rsid w:val="00F04681"/>
    <w:rPr>
      <w:b/>
    </w:rPr>
  </w:style>
  <w:style w:type="paragraph" w:styleId="Subtitle">
    <w:name w:val="Subtitle"/>
    <w:basedOn w:val="Normal"/>
    <w:next w:val="Normal"/>
    <w:link w:val="SubtitleChar"/>
    <w:uiPriority w:val="11"/>
    <w:qFormat/>
    <w:rsid w:val="00F04681"/>
    <w:pPr>
      <w:numPr>
        <w:ilvl w:val="1"/>
      </w:numPr>
      <w:spacing w:after="160"/>
    </w:pPr>
    <w:rPr>
      <w:rFonts w:ascii="Times New Roman Bold" w:eastAsiaTheme="minorEastAsia" w:hAnsi="Times New Roman Bold"/>
      <w:b/>
      <w:color w:val="5A5A5A" w:themeColor="text1" w:themeTint="A5"/>
    </w:rPr>
  </w:style>
  <w:style w:type="character" w:customStyle="1" w:styleId="SubtitleChar">
    <w:name w:val="Subtitle Char"/>
    <w:basedOn w:val="DefaultParagraphFont"/>
    <w:link w:val="Subtitle"/>
    <w:uiPriority w:val="11"/>
    <w:rsid w:val="00F04681"/>
    <w:rPr>
      <w:rFonts w:ascii="Times New Roman Bold" w:eastAsiaTheme="minorEastAsia" w:hAnsi="Times New Roman Bold" w:cs="Times New Roman"/>
      <w:b/>
      <w:color w:val="5A5A5A" w:themeColor="text1" w:themeTint="A5"/>
      <w:lang w:val="en-GB"/>
    </w:rPr>
  </w:style>
  <w:style w:type="paragraph" w:customStyle="1" w:styleId="Para10">
    <w:name w:val="Para 1"/>
    <w:basedOn w:val="Normal"/>
    <w:qFormat/>
    <w:rsid w:val="00F04681"/>
    <w:pPr>
      <w:spacing w:before="120" w:after="120"/>
    </w:pPr>
  </w:style>
  <w:style w:type="paragraph" w:customStyle="1" w:styleId="CBDH1">
    <w:name w:val="CBD_H1"/>
    <w:basedOn w:val="CBDNormal"/>
    <w:qFormat/>
    <w:rsid w:val="000041AF"/>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0041AF"/>
    <w:pPr>
      <w:numPr>
        <w:numId w:val="16"/>
      </w:numPr>
      <w:tabs>
        <w:tab w:val="left" w:pos="3969"/>
      </w:tabs>
      <w:spacing w:before="120" w:after="120"/>
    </w:pPr>
  </w:style>
  <w:style w:type="numbering" w:customStyle="1" w:styleId="ListCBD">
    <w:name w:val="ListCBD"/>
    <w:basedOn w:val="NoList"/>
    <w:uiPriority w:val="99"/>
    <w:rsid w:val="000041AF"/>
    <w:pPr>
      <w:numPr>
        <w:numId w:val="6"/>
      </w:numPr>
    </w:pPr>
  </w:style>
  <w:style w:type="numbering" w:customStyle="1" w:styleId="CBDHeadings">
    <w:name w:val="CBD_Headings"/>
    <w:basedOn w:val="ListCBD"/>
    <w:uiPriority w:val="99"/>
    <w:rsid w:val="000041AF"/>
    <w:pPr>
      <w:numPr>
        <w:numId w:val="7"/>
      </w:numPr>
    </w:pPr>
  </w:style>
  <w:style w:type="paragraph" w:customStyle="1" w:styleId="CBDSubTitle">
    <w:name w:val="CBD_SubTitle"/>
    <w:basedOn w:val="CBDNormal"/>
    <w:qFormat/>
    <w:rsid w:val="000041AF"/>
    <w:pPr>
      <w:keepNext/>
      <w:keepLines/>
      <w:spacing w:before="240" w:after="240"/>
      <w:ind w:left="567"/>
      <w:jc w:val="left"/>
    </w:pPr>
    <w:rPr>
      <w:b/>
    </w:rPr>
  </w:style>
  <w:style w:type="paragraph" w:customStyle="1" w:styleId="CBDTitle">
    <w:name w:val="CBD_Title"/>
    <w:basedOn w:val="CBDNormal"/>
    <w:next w:val="CBDSubTitle"/>
    <w:qFormat/>
    <w:rsid w:val="000041AF"/>
    <w:pPr>
      <w:keepNext/>
      <w:keepLines/>
      <w:spacing w:before="240" w:after="240"/>
      <w:ind w:left="567"/>
      <w:jc w:val="left"/>
    </w:pPr>
    <w:rPr>
      <w:b/>
      <w:sz w:val="28"/>
    </w:rPr>
  </w:style>
  <w:style w:type="character" w:customStyle="1" w:styleId="Heading6Char">
    <w:name w:val="Heading 6 Char"/>
    <w:basedOn w:val="DefaultParagraphFont"/>
    <w:link w:val="Heading6"/>
    <w:semiHidden/>
    <w:rsid w:val="000041AF"/>
    <w:rPr>
      <w:rFonts w:ascii="Times New Roman" w:eastAsia="SimSun" w:hAnsi="Times New Roman" w:cs="Times New Roman"/>
      <w:bCs/>
      <w:sz w:val="24"/>
      <w:lang w:val="en-GB"/>
    </w:rPr>
  </w:style>
  <w:style w:type="character" w:customStyle="1" w:styleId="Heading7Char">
    <w:name w:val="Heading 7 Char"/>
    <w:basedOn w:val="DefaultParagraphFont"/>
    <w:link w:val="Heading7"/>
    <w:semiHidden/>
    <w:rsid w:val="000041AF"/>
    <w:rPr>
      <w:rFonts w:ascii="Times New Roman" w:eastAsia="SimSun" w:hAnsi="Times New Roman" w:cs="Times New Roman"/>
      <w:b/>
      <w:snapToGrid w:val="0"/>
      <w:u w:val="single"/>
      <w:lang w:val="en-GB"/>
    </w:rPr>
  </w:style>
  <w:style w:type="character" w:customStyle="1" w:styleId="Heading8Char">
    <w:name w:val="Heading 8 Char"/>
    <w:basedOn w:val="DefaultParagraphFont"/>
    <w:link w:val="Heading8"/>
    <w:semiHidden/>
    <w:rsid w:val="000041AF"/>
    <w:rPr>
      <w:rFonts w:ascii="Times New Roman" w:eastAsia="SimSun" w:hAnsi="Times New Roman" w:cs="Times New Roman"/>
      <w:b/>
      <w:snapToGrid w:val="0"/>
      <w:u w:val="single"/>
      <w:lang w:val="en-GB"/>
    </w:rPr>
  </w:style>
  <w:style w:type="character" w:customStyle="1" w:styleId="Heading9Char">
    <w:name w:val="Heading 9 Char"/>
    <w:basedOn w:val="DefaultParagraphFont"/>
    <w:link w:val="Heading9"/>
    <w:semiHidden/>
    <w:rsid w:val="000041AF"/>
    <w:rPr>
      <w:rFonts w:ascii="Times New Roman" w:eastAsia="SimSun" w:hAnsi="Times New Roman" w:cs="Times New Roman"/>
      <w:snapToGrid w:val="0"/>
      <w:u w:val="single"/>
      <w:lang w:val="en-GB"/>
    </w:rPr>
  </w:style>
  <w:style w:type="paragraph" w:customStyle="1" w:styleId="DarkList-Accent31">
    <w:name w:val="Dark List - Accent 31"/>
    <w:hidden/>
    <w:uiPriority w:val="99"/>
    <w:semiHidden/>
    <w:rsid w:val="000041AF"/>
    <w:pPr>
      <w:spacing w:before="0" w:after="0"/>
      <w:jc w:val="left"/>
    </w:pPr>
    <w:rPr>
      <w:rFonts w:ascii="Times New Roman" w:eastAsia="SimSun" w:hAnsi="Times New Roman" w:cs="Times New Roman"/>
      <w:lang w:val="en-GB" w:eastAsia="en-GB"/>
    </w:rPr>
  </w:style>
  <w:style w:type="paragraph" w:customStyle="1" w:styleId="CBDNormalNoNumber">
    <w:name w:val="CBD_Normal_NoNumber"/>
    <w:basedOn w:val="CBDNormal"/>
    <w:qFormat/>
    <w:rsid w:val="000041AF"/>
    <w:pPr>
      <w:spacing w:after="120"/>
      <w:ind w:left="567"/>
    </w:pPr>
  </w:style>
  <w:style w:type="paragraph" w:customStyle="1" w:styleId="Annex">
    <w:name w:val="Annex"/>
    <w:basedOn w:val="Normal"/>
    <w:semiHidden/>
    <w:qFormat/>
    <w:rsid w:val="000041AF"/>
    <w:pPr>
      <w:spacing w:after="240"/>
    </w:pPr>
    <w:rPr>
      <w:b/>
      <w:sz w:val="28"/>
    </w:rPr>
  </w:style>
  <w:style w:type="paragraph" w:customStyle="1" w:styleId="ABSymbol">
    <w:name w:val="AB_Symbol"/>
    <w:basedOn w:val="Normal"/>
    <w:qFormat/>
    <w:rsid w:val="000041AF"/>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0041AF"/>
  </w:style>
  <w:style w:type="paragraph" w:customStyle="1" w:styleId="AEDistrNormal">
    <w:name w:val="AE_DistrNormal"/>
    <w:basedOn w:val="Normal"/>
    <w:unhideWhenUsed/>
    <w:rsid w:val="000041AF"/>
    <w:pPr>
      <w:jc w:val="left"/>
    </w:pPr>
  </w:style>
  <w:style w:type="paragraph" w:customStyle="1" w:styleId="AASmallLogo">
    <w:name w:val="AA_SmallLogo"/>
    <w:basedOn w:val="AEDistrNormal"/>
    <w:unhideWhenUsed/>
    <w:rsid w:val="000041AF"/>
    <w:pPr>
      <w:spacing w:before="40"/>
    </w:pPr>
    <w:rPr>
      <w:sz w:val="4"/>
    </w:rPr>
  </w:style>
  <w:style w:type="paragraph" w:customStyle="1" w:styleId="ACLargeLogo">
    <w:name w:val="AC_LargeLogo"/>
    <w:basedOn w:val="AFCorNotNormal"/>
    <w:next w:val="AISpacer"/>
    <w:unhideWhenUsed/>
    <w:rsid w:val="000041AF"/>
    <w:pPr>
      <w:spacing w:before="120"/>
      <w:contextualSpacing/>
      <w:jc w:val="left"/>
    </w:pPr>
    <w:rPr>
      <w:sz w:val="8"/>
    </w:rPr>
  </w:style>
  <w:style w:type="paragraph" w:styleId="BodyText">
    <w:name w:val="Body Text"/>
    <w:basedOn w:val="Normal"/>
    <w:link w:val="BodyTextChar"/>
    <w:uiPriority w:val="99"/>
    <w:semiHidden/>
    <w:unhideWhenUsed/>
    <w:rsid w:val="000041AF"/>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0041AF"/>
    <w:rPr>
      <w:kern w:val="2"/>
      <w:lang w:val="en-GB"/>
      <w14:ligatures w14:val="standardContextual"/>
    </w:rPr>
  </w:style>
  <w:style w:type="paragraph" w:customStyle="1" w:styleId="Item">
    <w:name w:val="Item"/>
    <w:basedOn w:val="Normal"/>
    <w:semiHidden/>
    <w:qFormat/>
    <w:rsid w:val="000041AF"/>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0041AF"/>
    <w:pPr>
      <w:tabs>
        <w:tab w:val="left" w:pos="567"/>
        <w:tab w:val="left" w:pos="1134"/>
        <w:tab w:val="left" w:pos="1701"/>
        <w:tab w:val="left" w:pos="2268"/>
        <w:tab w:val="left" w:pos="2835"/>
        <w:tab w:val="left" w:pos="3402"/>
      </w:tabs>
      <w:spacing w:before="0" w:after="0"/>
    </w:pPr>
    <w:rPr>
      <w:rFonts w:ascii="Times New Roman" w:eastAsia="SimSun" w:hAnsi="Times New Roman" w:cs="Times New Roman"/>
      <w:lang w:val="en-GB"/>
    </w:rPr>
  </w:style>
  <w:style w:type="paragraph" w:styleId="List">
    <w:name w:val="List"/>
    <w:basedOn w:val="Normal"/>
    <w:semiHidden/>
    <w:rsid w:val="000041AF"/>
    <w:pPr>
      <w:contextualSpacing/>
    </w:pPr>
  </w:style>
  <w:style w:type="paragraph" w:customStyle="1" w:styleId="AISpacer">
    <w:name w:val="AI_Spacer"/>
    <w:next w:val="Normal"/>
    <w:unhideWhenUsed/>
    <w:qFormat/>
    <w:rsid w:val="000041AF"/>
    <w:pPr>
      <w:spacing w:before="0" w:after="0"/>
      <w:jc w:val="left"/>
    </w:pPr>
    <w:rPr>
      <w:rFonts w:ascii="Times New Roman" w:eastAsia="SimSun" w:hAnsi="Times New Roman" w:cs="Times New Roman"/>
      <w:sz w:val="2"/>
      <w:lang w:val="en-GB"/>
    </w:rPr>
  </w:style>
  <w:style w:type="paragraph" w:customStyle="1" w:styleId="AEDistrNormal6pt">
    <w:name w:val="AE_DistrNormal6pt"/>
    <w:basedOn w:val="AEDistrNormal"/>
    <w:next w:val="AFCorNotNormal"/>
    <w:unhideWhenUsed/>
    <w:qFormat/>
    <w:rsid w:val="000041AF"/>
    <w:pPr>
      <w:spacing w:before="120"/>
    </w:pPr>
  </w:style>
  <w:style w:type="paragraph" w:customStyle="1" w:styleId="AFCorNotBold">
    <w:name w:val="AF_CorNotBold"/>
    <w:basedOn w:val="AFCorNotNormal"/>
    <w:next w:val="AFCorNotNormal"/>
    <w:unhideWhenUsed/>
    <w:qFormat/>
    <w:rsid w:val="000041AF"/>
    <w:rPr>
      <w:b/>
    </w:rPr>
  </w:style>
  <w:style w:type="paragraph" w:customStyle="1" w:styleId="AFCorNot12Bold">
    <w:name w:val="AF_CorNot12Bold"/>
    <w:basedOn w:val="AFCorNotNormal"/>
    <w:next w:val="AFCorNotNormal"/>
    <w:unhideWhenUsed/>
    <w:qFormat/>
    <w:rsid w:val="000041AF"/>
    <w:pPr>
      <w:jc w:val="left"/>
    </w:pPr>
    <w:rPr>
      <w:b/>
      <w:sz w:val="24"/>
    </w:rPr>
  </w:style>
  <w:style w:type="paragraph" w:customStyle="1" w:styleId="CBDAgendaItem">
    <w:name w:val="CBD_AgendaItem"/>
    <w:basedOn w:val="Normal"/>
    <w:qFormat/>
    <w:rsid w:val="000041AF"/>
    <w:pPr>
      <w:keepNext/>
      <w:keepLines/>
      <w:spacing w:before="240" w:after="120"/>
      <w:jc w:val="left"/>
    </w:pPr>
    <w:rPr>
      <w:b/>
      <w:sz w:val="24"/>
    </w:rPr>
  </w:style>
  <w:style w:type="paragraph" w:customStyle="1" w:styleId="CBDDesicionText">
    <w:name w:val="CBD_DesicionText"/>
    <w:basedOn w:val="CBDNormal"/>
    <w:qFormat/>
    <w:rsid w:val="000041AF"/>
    <w:pPr>
      <w:spacing w:after="120"/>
      <w:ind w:left="567"/>
    </w:pPr>
  </w:style>
  <w:style w:type="paragraph" w:customStyle="1" w:styleId="CBDDesicionAnnex">
    <w:name w:val="CBD_DesicionAnnex"/>
    <w:basedOn w:val="CBDNormal"/>
    <w:next w:val="CBDDesicionText"/>
    <w:qFormat/>
    <w:rsid w:val="000041AF"/>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0041AF"/>
    <w:pPr>
      <w:keepNext/>
      <w:keepLines/>
      <w:spacing w:after="240"/>
      <w:jc w:val="left"/>
    </w:pPr>
    <w:rPr>
      <w:b/>
      <w:sz w:val="28"/>
      <w:lang w:bidi="ar-SY"/>
    </w:rPr>
  </w:style>
  <w:style w:type="paragraph" w:customStyle="1" w:styleId="AENormal">
    <w:name w:val="AE_Normal"/>
    <w:basedOn w:val="Normal"/>
    <w:rsid w:val="000041AF"/>
  </w:style>
  <w:style w:type="paragraph" w:customStyle="1" w:styleId="CBDH2">
    <w:name w:val="CBD_H2"/>
    <w:basedOn w:val="CBDNormalNumber"/>
    <w:qFormat/>
    <w:rsid w:val="000041AF"/>
    <w:pPr>
      <w:keepNext/>
      <w:keepLines/>
      <w:numPr>
        <w:numId w:val="0"/>
      </w:numPr>
      <w:ind w:left="567" w:hanging="567"/>
    </w:pPr>
    <w:rPr>
      <w:b/>
      <w:sz w:val="24"/>
    </w:rPr>
  </w:style>
  <w:style w:type="paragraph" w:customStyle="1" w:styleId="CBDFootnoteText">
    <w:name w:val="CBD_Footnote_Text"/>
    <w:basedOn w:val="CBDNormal"/>
    <w:qFormat/>
    <w:rsid w:val="000041AF"/>
    <w:pPr>
      <w:jc w:val="left"/>
    </w:pPr>
    <w:rPr>
      <w:sz w:val="18"/>
    </w:rPr>
  </w:style>
  <w:style w:type="paragraph" w:customStyle="1" w:styleId="CBDFooter">
    <w:name w:val="CBD_Footer"/>
    <w:basedOn w:val="CBDNormal"/>
    <w:qFormat/>
    <w:rsid w:val="000041AF"/>
    <w:rPr>
      <w:sz w:val="20"/>
    </w:rPr>
  </w:style>
  <w:style w:type="paragraph" w:customStyle="1" w:styleId="CBDHeader">
    <w:name w:val="CBD_Header"/>
    <w:basedOn w:val="CBDNormal"/>
    <w:next w:val="CBDFooter"/>
    <w:qFormat/>
    <w:rsid w:val="000041AF"/>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041AF"/>
    <w:pPr>
      <w:keepNext/>
      <w:keepLines/>
      <w:spacing w:before="120" w:after="120"/>
      <w:ind w:left="567" w:hanging="567"/>
      <w:jc w:val="left"/>
    </w:pPr>
    <w:rPr>
      <w:b/>
    </w:rPr>
  </w:style>
  <w:style w:type="paragraph" w:customStyle="1" w:styleId="CBDH4">
    <w:name w:val="CBD_H4"/>
    <w:basedOn w:val="CBDNormal"/>
    <w:rsid w:val="000041AF"/>
    <w:pPr>
      <w:keepNext/>
      <w:keepLines/>
      <w:spacing w:before="120" w:after="120"/>
      <w:ind w:left="567" w:hanging="567"/>
      <w:jc w:val="left"/>
    </w:pPr>
    <w:rPr>
      <w:b/>
    </w:rPr>
  </w:style>
  <w:style w:type="paragraph" w:customStyle="1" w:styleId="CBDH5">
    <w:name w:val="CBD_H5"/>
    <w:basedOn w:val="CBDNormal"/>
    <w:qFormat/>
    <w:rsid w:val="000041AF"/>
    <w:pPr>
      <w:keepNext/>
      <w:keepLines/>
      <w:spacing w:before="120" w:after="120"/>
      <w:ind w:left="567" w:hanging="567"/>
      <w:jc w:val="left"/>
    </w:pPr>
    <w:rPr>
      <w:i/>
    </w:rPr>
  </w:style>
  <w:style w:type="paragraph" w:customStyle="1" w:styleId="CBDTableNormal">
    <w:name w:val="CBD_TableNormal"/>
    <w:basedOn w:val="CBDNormal"/>
    <w:qFormat/>
    <w:rsid w:val="000041AF"/>
    <w:pPr>
      <w:spacing w:before="40" w:after="80"/>
      <w:jc w:val="left"/>
    </w:pPr>
    <w:rPr>
      <w:sz w:val="20"/>
    </w:rPr>
  </w:style>
  <w:style w:type="paragraph" w:customStyle="1" w:styleId="CBDTableTitle">
    <w:name w:val="CBD_TableTitle"/>
    <w:basedOn w:val="CBDNormal"/>
    <w:qFormat/>
    <w:rsid w:val="000041AF"/>
    <w:pPr>
      <w:keepNext/>
      <w:keepLines/>
      <w:spacing w:before="120" w:after="60"/>
      <w:ind w:left="567"/>
      <w:jc w:val="left"/>
    </w:pPr>
    <w:rPr>
      <w:b/>
    </w:rPr>
  </w:style>
  <w:style w:type="paragraph" w:customStyle="1" w:styleId="CBDFigureTitle">
    <w:name w:val="CBD_FigureTitle"/>
    <w:basedOn w:val="CBDNormal"/>
    <w:next w:val="CBDNormalNoNumber"/>
    <w:qFormat/>
    <w:rsid w:val="000041AF"/>
    <w:pPr>
      <w:keepNext/>
      <w:keepLines/>
      <w:spacing w:before="120" w:after="60"/>
      <w:ind w:left="567"/>
      <w:jc w:val="left"/>
    </w:pPr>
    <w:rPr>
      <w:b/>
    </w:rPr>
  </w:style>
  <w:style w:type="paragraph" w:styleId="Bibliography">
    <w:name w:val="Bibliography"/>
    <w:basedOn w:val="Normal"/>
    <w:next w:val="Normal"/>
    <w:uiPriority w:val="37"/>
    <w:semiHidden/>
    <w:unhideWhenUsed/>
    <w:rsid w:val="000041AF"/>
  </w:style>
  <w:style w:type="paragraph" w:styleId="BlockText">
    <w:name w:val="Block Text"/>
    <w:basedOn w:val="Normal"/>
    <w:uiPriority w:val="99"/>
    <w:semiHidden/>
    <w:unhideWhenUsed/>
    <w:rsid w:val="000041AF"/>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0041AF"/>
    <w:pPr>
      <w:spacing w:after="120" w:line="480" w:lineRule="auto"/>
    </w:pPr>
  </w:style>
  <w:style w:type="character" w:customStyle="1" w:styleId="BodyText2Char">
    <w:name w:val="Body Text 2 Char"/>
    <w:basedOn w:val="DefaultParagraphFont"/>
    <w:link w:val="BodyText2"/>
    <w:uiPriority w:val="99"/>
    <w:semiHidden/>
    <w:rsid w:val="000041AF"/>
    <w:rPr>
      <w:rFonts w:ascii="Times New Roman" w:eastAsia="SimSun" w:hAnsi="Times New Roman" w:cs="Times New Roman"/>
      <w:lang w:val="en-GB"/>
    </w:rPr>
  </w:style>
  <w:style w:type="paragraph" w:styleId="BodyText3">
    <w:name w:val="Body Text 3"/>
    <w:basedOn w:val="Normal"/>
    <w:link w:val="BodyText3Char"/>
    <w:uiPriority w:val="99"/>
    <w:semiHidden/>
    <w:unhideWhenUsed/>
    <w:rsid w:val="000041AF"/>
    <w:pPr>
      <w:spacing w:after="120"/>
    </w:pPr>
    <w:rPr>
      <w:sz w:val="16"/>
      <w:szCs w:val="16"/>
    </w:rPr>
  </w:style>
  <w:style w:type="character" w:customStyle="1" w:styleId="BodyText3Char">
    <w:name w:val="Body Text 3 Char"/>
    <w:basedOn w:val="DefaultParagraphFont"/>
    <w:link w:val="BodyText3"/>
    <w:uiPriority w:val="99"/>
    <w:semiHidden/>
    <w:rsid w:val="000041AF"/>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0041AF"/>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0041AF"/>
    <w:rPr>
      <w:rFonts w:ascii="Times New Roman" w:eastAsia="SimSun" w:hAnsi="Times New Roman" w:cs="Times New Roman"/>
      <w:kern w:val="2"/>
      <w:lang w:val="en-GB"/>
      <w14:ligatures w14:val="standardContextual"/>
    </w:rPr>
  </w:style>
  <w:style w:type="paragraph" w:styleId="BodyTextIndent">
    <w:name w:val="Body Text Indent"/>
    <w:basedOn w:val="Normal"/>
    <w:link w:val="BodyTextIndentChar"/>
    <w:uiPriority w:val="99"/>
    <w:semiHidden/>
    <w:unhideWhenUsed/>
    <w:rsid w:val="000041AF"/>
    <w:pPr>
      <w:spacing w:after="120"/>
      <w:ind w:left="283"/>
    </w:pPr>
  </w:style>
  <w:style w:type="character" w:customStyle="1" w:styleId="BodyTextIndentChar">
    <w:name w:val="Body Text Indent Char"/>
    <w:basedOn w:val="DefaultParagraphFont"/>
    <w:link w:val="BodyTextIndent"/>
    <w:uiPriority w:val="99"/>
    <w:semiHidden/>
    <w:rsid w:val="000041AF"/>
    <w:rPr>
      <w:rFonts w:ascii="Times New Roman" w:eastAsia="SimSun" w:hAnsi="Times New Roman" w:cs="Times New Roman"/>
      <w:lang w:val="en-GB"/>
    </w:rPr>
  </w:style>
  <w:style w:type="paragraph" w:styleId="BodyTextFirstIndent2">
    <w:name w:val="Body Text First Indent 2"/>
    <w:basedOn w:val="BodyTextIndent"/>
    <w:link w:val="BodyTextFirstIndent2Char"/>
    <w:uiPriority w:val="99"/>
    <w:semiHidden/>
    <w:unhideWhenUsed/>
    <w:rsid w:val="000041AF"/>
    <w:pPr>
      <w:spacing w:after="0"/>
      <w:ind w:left="360" w:firstLine="360"/>
    </w:pPr>
  </w:style>
  <w:style w:type="character" w:customStyle="1" w:styleId="BodyTextFirstIndent2Char">
    <w:name w:val="Body Text First Indent 2 Char"/>
    <w:basedOn w:val="BodyTextIndentChar"/>
    <w:link w:val="BodyTextFirstIndent2"/>
    <w:uiPriority w:val="99"/>
    <w:semiHidden/>
    <w:rsid w:val="000041AF"/>
    <w:rPr>
      <w:rFonts w:ascii="Times New Roman" w:eastAsia="SimSun" w:hAnsi="Times New Roman" w:cs="Times New Roman"/>
      <w:lang w:val="en-GB"/>
    </w:rPr>
  </w:style>
  <w:style w:type="paragraph" w:styleId="BodyTextIndent2">
    <w:name w:val="Body Text Indent 2"/>
    <w:basedOn w:val="Normal"/>
    <w:link w:val="BodyTextIndent2Char"/>
    <w:uiPriority w:val="99"/>
    <w:semiHidden/>
    <w:unhideWhenUsed/>
    <w:rsid w:val="000041AF"/>
    <w:pPr>
      <w:spacing w:after="120" w:line="480" w:lineRule="auto"/>
      <w:ind w:left="283"/>
    </w:pPr>
  </w:style>
  <w:style w:type="character" w:customStyle="1" w:styleId="BodyTextIndent2Char">
    <w:name w:val="Body Text Indent 2 Char"/>
    <w:basedOn w:val="DefaultParagraphFont"/>
    <w:link w:val="BodyTextIndent2"/>
    <w:uiPriority w:val="99"/>
    <w:semiHidden/>
    <w:rsid w:val="000041AF"/>
    <w:rPr>
      <w:rFonts w:ascii="Times New Roman" w:eastAsia="SimSun" w:hAnsi="Times New Roman" w:cs="Times New Roman"/>
      <w:lang w:val="en-GB"/>
    </w:rPr>
  </w:style>
  <w:style w:type="paragraph" w:styleId="BodyTextIndent3">
    <w:name w:val="Body Text Indent 3"/>
    <w:basedOn w:val="Normal"/>
    <w:link w:val="BodyTextIndent3Char"/>
    <w:uiPriority w:val="99"/>
    <w:semiHidden/>
    <w:unhideWhenUsed/>
    <w:rsid w:val="000041A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041AF"/>
    <w:rPr>
      <w:rFonts w:ascii="Times New Roman" w:eastAsia="SimSun" w:hAnsi="Times New Roman" w:cs="Times New Roman"/>
      <w:sz w:val="16"/>
      <w:szCs w:val="16"/>
      <w:lang w:val="en-GB"/>
    </w:rPr>
  </w:style>
  <w:style w:type="character" w:styleId="BookTitle">
    <w:name w:val="Book Title"/>
    <w:basedOn w:val="DefaultParagraphFont"/>
    <w:uiPriority w:val="33"/>
    <w:qFormat/>
    <w:rsid w:val="000041AF"/>
    <w:rPr>
      <w:b/>
      <w:bCs/>
      <w:i/>
      <w:iCs/>
      <w:spacing w:val="5"/>
      <w:lang w:val="en-GB"/>
    </w:rPr>
  </w:style>
  <w:style w:type="paragraph" w:styleId="Closing">
    <w:name w:val="Closing"/>
    <w:basedOn w:val="Normal"/>
    <w:link w:val="ClosingChar"/>
    <w:uiPriority w:val="99"/>
    <w:semiHidden/>
    <w:unhideWhenUsed/>
    <w:rsid w:val="000041AF"/>
    <w:pPr>
      <w:ind w:left="4252"/>
    </w:pPr>
  </w:style>
  <w:style w:type="character" w:customStyle="1" w:styleId="ClosingChar">
    <w:name w:val="Closing Char"/>
    <w:basedOn w:val="DefaultParagraphFont"/>
    <w:link w:val="Closing"/>
    <w:uiPriority w:val="99"/>
    <w:semiHidden/>
    <w:rsid w:val="000041AF"/>
    <w:rPr>
      <w:rFonts w:ascii="Times New Roman" w:eastAsia="SimSun" w:hAnsi="Times New Roman" w:cs="Times New Roman"/>
      <w:lang w:val="en-GB"/>
    </w:rPr>
  </w:style>
  <w:style w:type="table" w:styleId="ColorfulGrid">
    <w:name w:val="Colorful Grid"/>
    <w:basedOn w:val="TableNormal"/>
    <w:uiPriority w:val="73"/>
    <w:semiHidden/>
    <w:unhideWhenUsed/>
    <w:rsid w:val="000041AF"/>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041AF"/>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0041AF"/>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041AF"/>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041AF"/>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041AF"/>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0041AF"/>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041AF"/>
    <w:pPr>
      <w:spacing w:before="0"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041AF"/>
    <w:pPr>
      <w:spacing w:before="0" w:after="0"/>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0041AF"/>
    <w:pPr>
      <w:spacing w:before="0" w:after="0"/>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041AF"/>
    <w:pPr>
      <w:spacing w:before="0" w:after="0"/>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041AF"/>
    <w:pPr>
      <w:spacing w:before="0" w:after="0"/>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041AF"/>
    <w:pPr>
      <w:spacing w:before="0" w:after="0"/>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0041AF"/>
    <w:pPr>
      <w:spacing w:before="0" w:after="0"/>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041AF"/>
    <w:pPr>
      <w:spacing w:before="0" w:after="0"/>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041AF"/>
    <w:pPr>
      <w:spacing w:before="0" w:after="0"/>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041AF"/>
    <w:pPr>
      <w:spacing w:before="0" w:after="0"/>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041AF"/>
    <w:pPr>
      <w:spacing w:before="0" w:after="0"/>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041AF"/>
    <w:pPr>
      <w:spacing w:before="0" w:after="0"/>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041AF"/>
    <w:pPr>
      <w:spacing w:before="0" w:after="0"/>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041AF"/>
    <w:pPr>
      <w:spacing w:before="0" w:after="0"/>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0041AF"/>
    <w:pPr>
      <w:spacing w:before="0"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041AF"/>
    <w:pPr>
      <w:spacing w:before="0" w:after="0"/>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0041AF"/>
    <w:pPr>
      <w:spacing w:before="0" w:after="0"/>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041AF"/>
    <w:pPr>
      <w:spacing w:before="0" w:after="0"/>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041AF"/>
    <w:pPr>
      <w:spacing w:before="0" w:after="0"/>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041AF"/>
    <w:pPr>
      <w:spacing w:before="0" w:after="0"/>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0041AF"/>
    <w:pPr>
      <w:spacing w:before="0" w:after="0"/>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ocumentMap">
    <w:name w:val="Document Map"/>
    <w:basedOn w:val="Normal"/>
    <w:link w:val="DocumentMapChar"/>
    <w:uiPriority w:val="99"/>
    <w:semiHidden/>
    <w:unhideWhenUsed/>
    <w:rsid w:val="000041AF"/>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041AF"/>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0041AF"/>
  </w:style>
  <w:style w:type="character" w:customStyle="1" w:styleId="E-mailSignatureChar">
    <w:name w:val="E-mail Signature Char"/>
    <w:basedOn w:val="DefaultParagraphFont"/>
    <w:link w:val="E-mailSignature"/>
    <w:uiPriority w:val="99"/>
    <w:semiHidden/>
    <w:rsid w:val="000041AF"/>
    <w:rPr>
      <w:rFonts w:ascii="Times New Roman" w:eastAsia="SimSun" w:hAnsi="Times New Roman" w:cs="Times New Roman"/>
      <w:lang w:val="en-GB"/>
    </w:rPr>
  </w:style>
  <w:style w:type="character" w:styleId="Emphasis">
    <w:name w:val="Emphasis"/>
    <w:basedOn w:val="DefaultParagraphFont"/>
    <w:uiPriority w:val="20"/>
    <w:qFormat/>
    <w:rsid w:val="000041AF"/>
    <w:rPr>
      <w:i/>
      <w:iCs/>
      <w:lang w:val="en-GB"/>
    </w:rPr>
  </w:style>
  <w:style w:type="paragraph" w:styleId="EnvelopeAddress">
    <w:name w:val="envelope address"/>
    <w:basedOn w:val="Normal"/>
    <w:uiPriority w:val="99"/>
    <w:semiHidden/>
    <w:unhideWhenUsed/>
    <w:rsid w:val="000041A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041AF"/>
    <w:rPr>
      <w:rFonts w:asciiTheme="majorHAnsi" w:eastAsiaTheme="majorEastAsia" w:hAnsiTheme="majorHAnsi" w:cstheme="majorBidi"/>
      <w:sz w:val="20"/>
      <w:szCs w:val="20"/>
    </w:rPr>
  </w:style>
  <w:style w:type="table" w:styleId="GridTable1Light">
    <w:name w:val="Grid Table 1 Light"/>
    <w:basedOn w:val="TableNormal"/>
    <w:uiPriority w:val="46"/>
    <w:rsid w:val="000041AF"/>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041AF"/>
    <w:pPr>
      <w:spacing w:after="0"/>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041AF"/>
    <w:pPr>
      <w:spacing w:after="0"/>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041AF"/>
    <w:pPr>
      <w:spacing w:after="0"/>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041AF"/>
    <w:pPr>
      <w:spacing w:after="0"/>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041AF"/>
    <w:pPr>
      <w:spacing w:after="0"/>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041AF"/>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041AF"/>
    <w:pPr>
      <w:spacing w:after="0"/>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0041AF"/>
    <w:pPr>
      <w:spacing w:after="0"/>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041AF"/>
    <w:pPr>
      <w:spacing w:after="0"/>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041AF"/>
    <w:pPr>
      <w:spacing w:after="0"/>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041AF"/>
    <w:pPr>
      <w:spacing w:after="0"/>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0041AF"/>
    <w:pPr>
      <w:spacing w:after="0"/>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041AF"/>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041AF"/>
    <w:pPr>
      <w:spacing w:after="0"/>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0041AF"/>
    <w:pPr>
      <w:spacing w:after="0"/>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041AF"/>
    <w:pPr>
      <w:spacing w:after="0"/>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041AF"/>
    <w:pPr>
      <w:spacing w:after="0"/>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041AF"/>
    <w:pPr>
      <w:spacing w:after="0"/>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0041AF"/>
    <w:pPr>
      <w:spacing w:after="0"/>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041AF"/>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041AF"/>
    <w:pPr>
      <w:spacing w:after="0"/>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0041AF"/>
    <w:pPr>
      <w:spacing w:after="0"/>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041AF"/>
    <w:pPr>
      <w:spacing w:after="0"/>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041AF"/>
    <w:pPr>
      <w:spacing w:after="0"/>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041AF"/>
    <w:pPr>
      <w:spacing w:after="0"/>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0041AF"/>
    <w:pPr>
      <w:spacing w:after="0"/>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041AF"/>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041AF"/>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0041AF"/>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041AF"/>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041AF"/>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041AF"/>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0041AF"/>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041AF"/>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041AF"/>
    <w:pPr>
      <w:spacing w:after="0"/>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0041AF"/>
    <w:pPr>
      <w:spacing w:after="0"/>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041AF"/>
    <w:pPr>
      <w:spacing w:after="0"/>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041AF"/>
    <w:pPr>
      <w:spacing w:after="0"/>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041AF"/>
    <w:pPr>
      <w:spacing w:after="0"/>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0041AF"/>
    <w:pPr>
      <w:spacing w:after="0"/>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041AF"/>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041AF"/>
    <w:pPr>
      <w:spacing w:after="0"/>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0041AF"/>
    <w:pPr>
      <w:spacing w:after="0"/>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041AF"/>
    <w:pPr>
      <w:spacing w:after="0"/>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041AF"/>
    <w:pPr>
      <w:spacing w:after="0"/>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041AF"/>
    <w:pPr>
      <w:spacing w:after="0"/>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0041AF"/>
    <w:pPr>
      <w:spacing w:after="0"/>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041AF"/>
    <w:rPr>
      <w:color w:val="2B579A"/>
      <w:shd w:val="clear" w:color="auto" w:fill="E1DFDD"/>
      <w:lang w:val="en-GB"/>
    </w:rPr>
  </w:style>
  <w:style w:type="character" w:styleId="HTMLAcronym">
    <w:name w:val="HTML Acronym"/>
    <w:basedOn w:val="DefaultParagraphFont"/>
    <w:uiPriority w:val="99"/>
    <w:semiHidden/>
    <w:unhideWhenUsed/>
    <w:rsid w:val="000041AF"/>
    <w:rPr>
      <w:lang w:val="en-GB"/>
    </w:rPr>
  </w:style>
  <w:style w:type="paragraph" w:styleId="HTMLAddress">
    <w:name w:val="HTML Address"/>
    <w:basedOn w:val="Normal"/>
    <w:link w:val="HTMLAddressChar"/>
    <w:uiPriority w:val="99"/>
    <w:semiHidden/>
    <w:unhideWhenUsed/>
    <w:rsid w:val="000041AF"/>
    <w:rPr>
      <w:i/>
      <w:iCs/>
    </w:rPr>
  </w:style>
  <w:style w:type="character" w:customStyle="1" w:styleId="HTMLAddressChar">
    <w:name w:val="HTML Address Char"/>
    <w:basedOn w:val="DefaultParagraphFont"/>
    <w:link w:val="HTMLAddress"/>
    <w:uiPriority w:val="99"/>
    <w:semiHidden/>
    <w:rsid w:val="000041AF"/>
    <w:rPr>
      <w:rFonts w:ascii="Times New Roman" w:eastAsia="SimSun" w:hAnsi="Times New Roman" w:cs="Times New Roman"/>
      <w:i/>
      <w:iCs/>
      <w:lang w:val="en-GB"/>
    </w:rPr>
  </w:style>
  <w:style w:type="character" w:styleId="HTMLCite">
    <w:name w:val="HTML Cite"/>
    <w:basedOn w:val="DefaultParagraphFont"/>
    <w:uiPriority w:val="99"/>
    <w:semiHidden/>
    <w:unhideWhenUsed/>
    <w:rsid w:val="000041AF"/>
    <w:rPr>
      <w:i/>
      <w:iCs/>
      <w:lang w:val="en-GB"/>
    </w:rPr>
  </w:style>
  <w:style w:type="character" w:styleId="HTMLCode">
    <w:name w:val="HTML Code"/>
    <w:basedOn w:val="DefaultParagraphFont"/>
    <w:uiPriority w:val="99"/>
    <w:semiHidden/>
    <w:unhideWhenUsed/>
    <w:rsid w:val="000041AF"/>
    <w:rPr>
      <w:rFonts w:ascii="Consolas" w:hAnsi="Consolas" w:cs="Consolas"/>
      <w:sz w:val="20"/>
      <w:szCs w:val="20"/>
      <w:lang w:val="en-GB"/>
    </w:rPr>
  </w:style>
  <w:style w:type="character" w:styleId="HTMLDefinition">
    <w:name w:val="HTML Definition"/>
    <w:basedOn w:val="DefaultParagraphFont"/>
    <w:uiPriority w:val="99"/>
    <w:semiHidden/>
    <w:unhideWhenUsed/>
    <w:rsid w:val="000041AF"/>
    <w:rPr>
      <w:i/>
      <w:iCs/>
      <w:lang w:val="en-GB"/>
    </w:rPr>
  </w:style>
  <w:style w:type="character" w:styleId="HTMLKeyboard">
    <w:name w:val="HTML Keyboard"/>
    <w:basedOn w:val="DefaultParagraphFont"/>
    <w:uiPriority w:val="99"/>
    <w:semiHidden/>
    <w:unhideWhenUsed/>
    <w:rsid w:val="000041AF"/>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0041A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041AF"/>
    <w:rPr>
      <w:rFonts w:ascii="Consolas" w:eastAsia="SimSun" w:hAnsi="Consolas" w:cs="Consolas"/>
      <w:sz w:val="20"/>
      <w:szCs w:val="20"/>
      <w:lang w:val="en-GB"/>
    </w:rPr>
  </w:style>
  <w:style w:type="character" w:styleId="HTMLSample">
    <w:name w:val="HTML Sample"/>
    <w:basedOn w:val="DefaultParagraphFont"/>
    <w:uiPriority w:val="99"/>
    <w:semiHidden/>
    <w:unhideWhenUsed/>
    <w:rsid w:val="000041AF"/>
    <w:rPr>
      <w:rFonts w:ascii="Consolas" w:hAnsi="Consolas" w:cs="Consolas"/>
      <w:sz w:val="24"/>
      <w:szCs w:val="24"/>
      <w:lang w:val="en-GB"/>
    </w:rPr>
  </w:style>
  <w:style w:type="character" w:styleId="HTMLTypewriter">
    <w:name w:val="HTML Typewriter"/>
    <w:basedOn w:val="DefaultParagraphFont"/>
    <w:uiPriority w:val="99"/>
    <w:semiHidden/>
    <w:unhideWhenUsed/>
    <w:rsid w:val="000041AF"/>
    <w:rPr>
      <w:rFonts w:ascii="Consolas" w:hAnsi="Consolas" w:cs="Consolas"/>
      <w:sz w:val="20"/>
      <w:szCs w:val="20"/>
      <w:lang w:val="en-GB"/>
    </w:rPr>
  </w:style>
  <w:style w:type="character" w:styleId="HTMLVariable">
    <w:name w:val="HTML Variable"/>
    <w:basedOn w:val="DefaultParagraphFont"/>
    <w:uiPriority w:val="99"/>
    <w:semiHidden/>
    <w:unhideWhenUsed/>
    <w:rsid w:val="000041AF"/>
    <w:rPr>
      <w:i/>
      <w:iCs/>
      <w:lang w:val="en-GB"/>
    </w:rPr>
  </w:style>
  <w:style w:type="paragraph" w:styleId="Index1">
    <w:name w:val="index 1"/>
    <w:basedOn w:val="Normal"/>
    <w:next w:val="Normal"/>
    <w:autoRedefine/>
    <w:uiPriority w:val="99"/>
    <w:semiHidden/>
    <w:unhideWhenUsed/>
    <w:rsid w:val="000041AF"/>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0041AF"/>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0041AF"/>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0041AF"/>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0041AF"/>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0041AF"/>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0041AF"/>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0041AF"/>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0041AF"/>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0041AF"/>
    <w:rPr>
      <w:rFonts w:asciiTheme="majorHAnsi" w:eastAsiaTheme="majorEastAsia" w:hAnsiTheme="majorHAnsi" w:cstheme="majorBidi"/>
      <w:b/>
      <w:bCs/>
    </w:rPr>
  </w:style>
  <w:style w:type="character" w:styleId="IntenseEmphasis">
    <w:name w:val="Intense Emphasis"/>
    <w:basedOn w:val="DefaultParagraphFont"/>
    <w:uiPriority w:val="21"/>
    <w:qFormat/>
    <w:rsid w:val="000041AF"/>
    <w:rPr>
      <w:i/>
      <w:iCs/>
      <w:color w:val="4472C4" w:themeColor="accent1"/>
      <w:lang w:val="en-GB"/>
    </w:rPr>
  </w:style>
  <w:style w:type="paragraph" w:styleId="IntenseQuote">
    <w:name w:val="Intense Quote"/>
    <w:basedOn w:val="Normal"/>
    <w:next w:val="Normal"/>
    <w:link w:val="IntenseQuoteChar"/>
    <w:uiPriority w:val="30"/>
    <w:qFormat/>
    <w:rsid w:val="000041A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0041AF"/>
    <w:rPr>
      <w:rFonts w:ascii="Times New Roman" w:eastAsia="SimSun" w:hAnsi="Times New Roman" w:cs="Times New Roman"/>
      <w:i/>
      <w:iCs/>
      <w:color w:val="4472C4" w:themeColor="accent1"/>
      <w:lang w:val="en-GB"/>
    </w:rPr>
  </w:style>
  <w:style w:type="character" w:styleId="IntenseReference">
    <w:name w:val="Intense Reference"/>
    <w:basedOn w:val="DefaultParagraphFont"/>
    <w:uiPriority w:val="32"/>
    <w:qFormat/>
    <w:rsid w:val="000041AF"/>
    <w:rPr>
      <w:b/>
      <w:bCs/>
      <w:smallCaps/>
      <w:color w:val="4472C4" w:themeColor="accent1"/>
      <w:spacing w:val="5"/>
      <w:lang w:val="en-GB"/>
    </w:rPr>
  </w:style>
  <w:style w:type="table" w:styleId="LightGrid">
    <w:name w:val="Light Grid"/>
    <w:basedOn w:val="TableNormal"/>
    <w:uiPriority w:val="62"/>
    <w:semiHidden/>
    <w:unhideWhenUsed/>
    <w:rsid w:val="000041AF"/>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041AF"/>
    <w:pPr>
      <w:spacing w:before="0" w:after="0"/>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0041AF"/>
    <w:pPr>
      <w:spacing w:before="0" w:after="0"/>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041AF"/>
    <w:pPr>
      <w:spacing w:before="0" w:after="0"/>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041AF"/>
    <w:pPr>
      <w:spacing w:before="0" w:after="0"/>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041AF"/>
    <w:pPr>
      <w:spacing w:before="0" w:after="0"/>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0041AF"/>
    <w:pPr>
      <w:spacing w:before="0" w:after="0"/>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041AF"/>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041AF"/>
    <w:pPr>
      <w:spacing w:before="0" w:after="0"/>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0041AF"/>
    <w:pPr>
      <w:spacing w:before="0" w:after="0"/>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041AF"/>
    <w:pPr>
      <w:spacing w:before="0" w:after="0"/>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041AF"/>
    <w:pPr>
      <w:spacing w:before="0" w:after="0"/>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041AF"/>
    <w:pPr>
      <w:spacing w:before="0" w:after="0"/>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0041AF"/>
    <w:pPr>
      <w:spacing w:before="0" w:after="0"/>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041AF"/>
    <w:pPr>
      <w:spacing w:before="0"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041AF"/>
    <w:pPr>
      <w:spacing w:before="0" w:after="0"/>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0041AF"/>
    <w:pPr>
      <w:spacing w:before="0" w:after="0"/>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041AF"/>
    <w:pPr>
      <w:spacing w:before="0" w:after="0"/>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041AF"/>
    <w:pPr>
      <w:spacing w:before="0" w:after="0"/>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041AF"/>
    <w:pPr>
      <w:spacing w:before="0" w:after="0"/>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0041AF"/>
    <w:pPr>
      <w:spacing w:before="0" w:after="0"/>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0041AF"/>
    <w:rPr>
      <w:lang w:val="en-GB"/>
    </w:rPr>
  </w:style>
  <w:style w:type="paragraph" w:styleId="List2">
    <w:name w:val="List 2"/>
    <w:basedOn w:val="Normal"/>
    <w:uiPriority w:val="99"/>
    <w:semiHidden/>
    <w:unhideWhenUsed/>
    <w:rsid w:val="000041AF"/>
    <w:pPr>
      <w:ind w:left="566" w:hanging="283"/>
      <w:contextualSpacing/>
    </w:pPr>
  </w:style>
  <w:style w:type="paragraph" w:styleId="List3">
    <w:name w:val="List 3"/>
    <w:basedOn w:val="Normal"/>
    <w:uiPriority w:val="99"/>
    <w:semiHidden/>
    <w:unhideWhenUsed/>
    <w:rsid w:val="000041AF"/>
    <w:pPr>
      <w:ind w:left="849" w:hanging="283"/>
      <w:contextualSpacing/>
    </w:pPr>
  </w:style>
  <w:style w:type="paragraph" w:styleId="List4">
    <w:name w:val="List 4"/>
    <w:basedOn w:val="Normal"/>
    <w:uiPriority w:val="99"/>
    <w:semiHidden/>
    <w:unhideWhenUsed/>
    <w:rsid w:val="000041AF"/>
    <w:pPr>
      <w:ind w:left="1132" w:hanging="283"/>
      <w:contextualSpacing/>
    </w:pPr>
  </w:style>
  <w:style w:type="paragraph" w:styleId="List5">
    <w:name w:val="List 5"/>
    <w:basedOn w:val="Normal"/>
    <w:uiPriority w:val="99"/>
    <w:semiHidden/>
    <w:unhideWhenUsed/>
    <w:rsid w:val="000041AF"/>
    <w:pPr>
      <w:ind w:left="1415" w:hanging="283"/>
      <w:contextualSpacing/>
    </w:pPr>
  </w:style>
  <w:style w:type="paragraph" w:styleId="ListBullet">
    <w:name w:val="List Bullet"/>
    <w:basedOn w:val="Normal"/>
    <w:uiPriority w:val="99"/>
    <w:semiHidden/>
    <w:unhideWhenUsed/>
    <w:rsid w:val="000041AF"/>
    <w:pPr>
      <w:numPr>
        <w:numId w:val="11"/>
      </w:numPr>
      <w:contextualSpacing/>
    </w:pPr>
  </w:style>
  <w:style w:type="paragraph" w:styleId="ListBullet2">
    <w:name w:val="List Bullet 2"/>
    <w:basedOn w:val="Normal"/>
    <w:uiPriority w:val="99"/>
    <w:semiHidden/>
    <w:unhideWhenUsed/>
    <w:rsid w:val="000041AF"/>
    <w:pPr>
      <w:numPr>
        <w:numId w:val="12"/>
      </w:numPr>
      <w:contextualSpacing/>
    </w:pPr>
  </w:style>
  <w:style w:type="paragraph" w:styleId="ListBullet3">
    <w:name w:val="List Bullet 3"/>
    <w:basedOn w:val="Normal"/>
    <w:uiPriority w:val="99"/>
    <w:semiHidden/>
    <w:unhideWhenUsed/>
    <w:rsid w:val="000041AF"/>
    <w:pPr>
      <w:numPr>
        <w:numId w:val="13"/>
      </w:numPr>
      <w:contextualSpacing/>
    </w:pPr>
  </w:style>
  <w:style w:type="paragraph" w:styleId="ListBullet4">
    <w:name w:val="List Bullet 4"/>
    <w:basedOn w:val="Normal"/>
    <w:uiPriority w:val="99"/>
    <w:semiHidden/>
    <w:unhideWhenUsed/>
    <w:rsid w:val="000041AF"/>
    <w:pPr>
      <w:numPr>
        <w:numId w:val="14"/>
      </w:numPr>
      <w:contextualSpacing/>
    </w:pPr>
  </w:style>
  <w:style w:type="paragraph" w:styleId="ListBullet5">
    <w:name w:val="List Bullet 5"/>
    <w:basedOn w:val="Normal"/>
    <w:uiPriority w:val="99"/>
    <w:semiHidden/>
    <w:unhideWhenUsed/>
    <w:rsid w:val="000041AF"/>
    <w:pPr>
      <w:numPr>
        <w:numId w:val="15"/>
      </w:numPr>
      <w:contextualSpacing/>
    </w:pPr>
  </w:style>
  <w:style w:type="paragraph" w:styleId="ListContinue">
    <w:name w:val="List Continue"/>
    <w:basedOn w:val="Normal"/>
    <w:uiPriority w:val="99"/>
    <w:semiHidden/>
    <w:unhideWhenUsed/>
    <w:rsid w:val="000041AF"/>
    <w:pPr>
      <w:spacing w:after="120"/>
      <w:ind w:left="283"/>
      <w:contextualSpacing/>
    </w:pPr>
  </w:style>
  <w:style w:type="paragraph" w:styleId="ListContinue2">
    <w:name w:val="List Continue 2"/>
    <w:basedOn w:val="Normal"/>
    <w:uiPriority w:val="99"/>
    <w:semiHidden/>
    <w:unhideWhenUsed/>
    <w:rsid w:val="000041AF"/>
    <w:pPr>
      <w:spacing w:after="120"/>
      <w:ind w:left="566"/>
      <w:contextualSpacing/>
    </w:pPr>
  </w:style>
  <w:style w:type="paragraph" w:styleId="ListContinue3">
    <w:name w:val="List Continue 3"/>
    <w:basedOn w:val="Normal"/>
    <w:uiPriority w:val="99"/>
    <w:semiHidden/>
    <w:unhideWhenUsed/>
    <w:rsid w:val="000041AF"/>
    <w:pPr>
      <w:spacing w:after="120"/>
      <w:ind w:left="849"/>
      <w:contextualSpacing/>
    </w:pPr>
  </w:style>
  <w:style w:type="paragraph" w:styleId="ListContinue4">
    <w:name w:val="List Continue 4"/>
    <w:basedOn w:val="Normal"/>
    <w:uiPriority w:val="99"/>
    <w:semiHidden/>
    <w:unhideWhenUsed/>
    <w:rsid w:val="000041AF"/>
    <w:pPr>
      <w:spacing w:after="120"/>
      <w:ind w:left="1132"/>
      <w:contextualSpacing/>
    </w:pPr>
  </w:style>
  <w:style w:type="paragraph" w:styleId="ListContinue5">
    <w:name w:val="List Continue 5"/>
    <w:basedOn w:val="Normal"/>
    <w:uiPriority w:val="99"/>
    <w:semiHidden/>
    <w:unhideWhenUsed/>
    <w:rsid w:val="000041AF"/>
    <w:pPr>
      <w:spacing w:after="120"/>
      <w:ind w:left="1415"/>
      <w:contextualSpacing/>
    </w:pPr>
  </w:style>
  <w:style w:type="paragraph" w:styleId="ListNumber">
    <w:name w:val="List Number"/>
    <w:basedOn w:val="Normal"/>
    <w:uiPriority w:val="99"/>
    <w:semiHidden/>
    <w:unhideWhenUsed/>
    <w:rsid w:val="000041AF"/>
    <w:pPr>
      <w:numPr>
        <w:numId w:val="17"/>
      </w:numPr>
      <w:contextualSpacing/>
    </w:pPr>
  </w:style>
  <w:style w:type="paragraph" w:styleId="ListNumber2">
    <w:name w:val="List Number 2"/>
    <w:basedOn w:val="Normal"/>
    <w:uiPriority w:val="99"/>
    <w:semiHidden/>
    <w:unhideWhenUsed/>
    <w:rsid w:val="000041AF"/>
    <w:pPr>
      <w:numPr>
        <w:numId w:val="18"/>
      </w:numPr>
      <w:contextualSpacing/>
    </w:pPr>
  </w:style>
  <w:style w:type="paragraph" w:styleId="ListNumber3">
    <w:name w:val="List Number 3"/>
    <w:basedOn w:val="Normal"/>
    <w:uiPriority w:val="99"/>
    <w:semiHidden/>
    <w:unhideWhenUsed/>
    <w:rsid w:val="000041AF"/>
    <w:pPr>
      <w:numPr>
        <w:numId w:val="19"/>
      </w:numPr>
      <w:contextualSpacing/>
    </w:pPr>
  </w:style>
  <w:style w:type="paragraph" w:styleId="ListNumber4">
    <w:name w:val="List Number 4"/>
    <w:basedOn w:val="Normal"/>
    <w:uiPriority w:val="99"/>
    <w:semiHidden/>
    <w:unhideWhenUsed/>
    <w:rsid w:val="000041AF"/>
    <w:pPr>
      <w:numPr>
        <w:numId w:val="20"/>
      </w:numPr>
      <w:contextualSpacing/>
    </w:pPr>
  </w:style>
  <w:style w:type="paragraph" w:styleId="ListNumber5">
    <w:name w:val="List Number 5"/>
    <w:basedOn w:val="Normal"/>
    <w:uiPriority w:val="99"/>
    <w:semiHidden/>
    <w:unhideWhenUsed/>
    <w:rsid w:val="000041AF"/>
    <w:pPr>
      <w:numPr>
        <w:numId w:val="21"/>
      </w:numPr>
      <w:contextualSpacing/>
    </w:pPr>
  </w:style>
  <w:style w:type="table" w:styleId="ListTable1Light">
    <w:name w:val="List Table 1 Light"/>
    <w:basedOn w:val="TableNormal"/>
    <w:uiPriority w:val="46"/>
    <w:rsid w:val="000041AF"/>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041AF"/>
    <w:pPr>
      <w:spacing w:after="0"/>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0041AF"/>
    <w:pPr>
      <w:spacing w:after="0"/>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041AF"/>
    <w:pPr>
      <w:spacing w:after="0"/>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041AF"/>
    <w:pPr>
      <w:spacing w:after="0"/>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041AF"/>
    <w:pPr>
      <w:spacing w:after="0"/>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0041AF"/>
    <w:pPr>
      <w:spacing w:after="0"/>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041AF"/>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041AF"/>
    <w:pPr>
      <w:spacing w:after="0"/>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0041AF"/>
    <w:pPr>
      <w:spacing w:after="0"/>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041AF"/>
    <w:pPr>
      <w:spacing w:after="0"/>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041AF"/>
    <w:pPr>
      <w:spacing w:after="0"/>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041AF"/>
    <w:pPr>
      <w:spacing w:after="0"/>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0041AF"/>
    <w:pPr>
      <w:spacing w:after="0"/>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041AF"/>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041AF"/>
    <w:pPr>
      <w:spacing w:after="0"/>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0041AF"/>
    <w:pPr>
      <w:spacing w:after="0"/>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041AF"/>
    <w:pPr>
      <w:spacing w:after="0"/>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041AF"/>
    <w:pPr>
      <w:spacing w:after="0"/>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041AF"/>
    <w:pPr>
      <w:spacing w:after="0"/>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0041AF"/>
    <w:pPr>
      <w:spacing w:after="0"/>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041AF"/>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041AF"/>
    <w:pPr>
      <w:spacing w:after="0"/>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0041AF"/>
    <w:pPr>
      <w:spacing w:after="0"/>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041AF"/>
    <w:pPr>
      <w:spacing w:after="0"/>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041AF"/>
    <w:pPr>
      <w:spacing w:after="0"/>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041AF"/>
    <w:pPr>
      <w:spacing w:after="0"/>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0041AF"/>
    <w:pPr>
      <w:spacing w:after="0"/>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041AF"/>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041AF"/>
    <w:pPr>
      <w:spacing w:after="0"/>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041AF"/>
    <w:pPr>
      <w:spacing w:after="0"/>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041AF"/>
    <w:pPr>
      <w:spacing w:after="0"/>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041AF"/>
    <w:pPr>
      <w:spacing w:after="0"/>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041AF"/>
    <w:pPr>
      <w:spacing w:after="0"/>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041AF"/>
    <w:pPr>
      <w:spacing w:after="0"/>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041AF"/>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041AF"/>
    <w:pPr>
      <w:spacing w:after="0"/>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0041AF"/>
    <w:pPr>
      <w:spacing w:after="0"/>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041AF"/>
    <w:pPr>
      <w:spacing w:after="0"/>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041AF"/>
    <w:pPr>
      <w:spacing w:after="0"/>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041AF"/>
    <w:pPr>
      <w:spacing w:after="0"/>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0041AF"/>
    <w:pPr>
      <w:spacing w:after="0"/>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041AF"/>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041AF"/>
    <w:pPr>
      <w:spacing w:after="0"/>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041AF"/>
    <w:pPr>
      <w:spacing w:after="0"/>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041AF"/>
    <w:pPr>
      <w:spacing w:after="0"/>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041AF"/>
    <w:pPr>
      <w:spacing w:after="0"/>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041AF"/>
    <w:pPr>
      <w:spacing w:after="0"/>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041AF"/>
    <w:pPr>
      <w:spacing w:after="0"/>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0041AF"/>
    <w:pPr>
      <w:tabs>
        <w:tab w:val="left" w:pos="480"/>
        <w:tab w:val="left" w:pos="960"/>
        <w:tab w:val="left" w:pos="1440"/>
        <w:tab w:val="left" w:pos="1920"/>
        <w:tab w:val="left" w:pos="2400"/>
        <w:tab w:val="left" w:pos="2880"/>
        <w:tab w:val="left" w:pos="3360"/>
        <w:tab w:val="left" w:pos="3840"/>
        <w:tab w:val="left" w:pos="4320"/>
      </w:tabs>
      <w:spacing w:before="0" w:after="0"/>
    </w:pPr>
    <w:rPr>
      <w:rFonts w:ascii="Consolas" w:eastAsia="SimSun" w:hAnsi="Consolas" w:cs="Consolas"/>
      <w:sz w:val="20"/>
      <w:szCs w:val="20"/>
      <w:lang w:val="en-GB"/>
    </w:rPr>
  </w:style>
  <w:style w:type="character" w:customStyle="1" w:styleId="MacroTextChar">
    <w:name w:val="Macro Text Char"/>
    <w:basedOn w:val="DefaultParagraphFont"/>
    <w:link w:val="MacroText"/>
    <w:uiPriority w:val="99"/>
    <w:semiHidden/>
    <w:rsid w:val="000041AF"/>
    <w:rPr>
      <w:rFonts w:ascii="Consolas" w:eastAsia="SimSun" w:hAnsi="Consolas" w:cs="Consolas"/>
      <w:sz w:val="20"/>
      <w:szCs w:val="20"/>
      <w:lang w:val="en-GB"/>
    </w:rPr>
  </w:style>
  <w:style w:type="table" w:styleId="MediumGrid1">
    <w:name w:val="Medium Grid 1"/>
    <w:basedOn w:val="TableNormal"/>
    <w:uiPriority w:val="67"/>
    <w:semiHidden/>
    <w:unhideWhenUsed/>
    <w:rsid w:val="000041AF"/>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041AF"/>
    <w:pPr>
      <w:spacing w:before="0" w:after="0"/>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0041AF"/>
    <w:pPr>
      <w:spacing w:before="0" w:after="0"/>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041AF"/>
    <w:pPr>
      <w:spacing w:before="0" w:after="0"/>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041AF"/>
    <w:pPr>
      <w:spacing w:before="0" w:after="0"/>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041AF"/>
    <w:pPr>
      <w:spacing w:before="0" w:after="0"/>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0041AF"/>
    <w:pPr>
      <w:spacing w:before="0" w:after="0"/>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041AF"/>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041AF"/>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0041AF"/>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041AF"/>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041AF"/>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041AF"/>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0041AF"/>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041AF"/>
    <w:pPr>
      <w:spacing w:before="0"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041AF"/>
    <w:pPr>
      <w:spacing w:before="0" w:after="0"/>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0041AF"/>
    <w:pPr>
      <w:spacing w:before="0" w:after="0"/>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041AF"/>
    <w:pPr>
      <w:spacing w:before="0" w:after="0"/>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041AF"/>
    <w:pPr>
      <w:spacing w:before="0" w:after="0"/>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041AF"/>
    <w:pPr>
      <w:spacing w:before="0" w:after="0"/>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0041AF"/>
    <w:pPr>
      <w:spacing w:before="0" w:after="0"/>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041AF"/>
    <w:pPr>
      <w:spacing w:before="0" w:after="0"/>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041AF"/>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041AF"/>
    <w:pPr>
      <w:spacing w:before="0" w:after="0"/>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041AF"/>
    <w:pPr>
      <w:spacing w:before="0" w:after="0"/>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041AF"/>
    <w:pPr>
      <w:spacing w:before="0" w:after="0"/>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041AF"/>
    <w:pPr>
      <w:spacing w:before="0" w:after="0"/>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041AF"/>
    <w:pPr>
      <w:spacing w:before="0" w:after="0"/>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041AF"/>
    <w:pPr>
      <w:spacing w:before="0" w:after="0"/>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041AF"/>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041AF"/>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041AF"/>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0041AF"/>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041AF"/>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041AF"/>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041AF"/>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0041A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041AF"/>
    <w:rPr>
      <w:rFonts w:asciiTheme="majorHAnsi" w:eastAsiaTheme="majorEastAsia" w:hAnsiTheme="majorHAnsi" w:cstheme="majorBidi"/>
      <w:sz w:val="24"/>
      <w:szCs w:val="24"/>
      <w:shd w:val="pct20" w:color="auto" w:fill="auto"/>
      <w:lang w:val="en-GB"/>
    </w:rPr>
  </w:style>
  <w:style w:type="paragraph" w:styleId="NoSpacing">
    <w:name w:val="No Spacing"/>
    <w:uiPriority w:val="1"/>
    <w:qFormat/>
    <w:rsid w:val="000041AF"/>
    <w:pPr>
      <w:tabs>
        <w:tab w:val="left" w:pos="567"/>
        <w:tab w:val="left" w:pos="1134"/>
        <w:tab w:val="left" w:pos="1701"/>
        <w:tab w:val="left" w:pos="2268"/>
      </w:tabs>
      <w:spacing w:before="0" w:after="0"/>
    </w:pPr>
    <w:rPr>
      <w:rFonts w:ascii="Times New Roman" w:eastAsia="SimSun" w:hAnsi="Times New Roman" w:cs="Times New Roman"/>
      <w:lang w:val="en-GB"/>
    </w:rPr>
  </w:style>
  <w:style w:type="paragraph" w:styleId="NormalIndent">
    <w:name w:val="Normal Indent"/>
    <w:basedOn w:val="Normal"/>
    <w:uiPriority w:val="99"/>
    <w:semiHidden/>
    <w:unhideWhenUsed/>
    <w:rsid w:val="000041AF"/>
    <w:pPr>
      <w:ind w:left="720"/>
    </w:pPr>
  </w:style>
  <w:style w:type="paragraph" w:styleId="NoteHeading">
    <w:name w:val="Note Heading"/>
    <w:basedOn w:val="Normal"/>
    <w:next w:val="Normal"/>
    <w:link w:val="NoteHeadingChar"/>
    <w:uiPriority w:val="99"/>
    <w:semiHidden/>
    <w:unhideWhenUsed/>
    <w:rsid w:val="000041AF"/>
  </w:style>
  <w:style w:type="character" w:customStyle="1" w:styleId="NoteHeadingChar">
    <w:name w:val="Note Heading Char"/>
    <w:basedOn w:val="DefaultParagraphFont"/>
    <w:link w:val="NoteHeading"/>
    <w:uiPriority w:val="99"/>
    <w:semiHidden/>
    <w:rsid w:val="000041AF"/>
    <w:rPr>
      <w:rFonts w:ascii="Times New Roman" w:eastAsia="SimSun" w:hAnsi="Times New Roman" w:cs="Times New Roman"/>
      <w:lang w:val="en-GB"/>
    </w:rPr>
  </w:style>
  <w:style w:type="character" w:styleId="PageNumber">
    <w:name w:val="page number"/>
    <w:basedOn w:val="DefaultParagraphFont"/>
    <w:uiPriority w:val="99"/>
    <w:semiHidden/>
    <w:unhideWhenUsed/>
    <w:rsid w:val="000041AF"/>
    <w:rPr>
      <w:lang w:val="en-GB"/>
    </w:rPr>
  </w:style>
  <w:style w:type="table" w:styleId="PlainTable5">
    <w:name w:val="Plain Table 5"/>
    <w:basedOn w:val="TableNormal"/>
    <w:uiPriority w:val="45"/>
    <w:rsid w:val="000041AF"/>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Quote">
    <w:name w:val="Quote"/>
    <w:basedOn w:val="Normal"/>
    <w:next w:val="Normal"/>
    <w:link w:val="QuoteChar"/>
    <w:uiPriority w:val="29"/>
    <w:qFormat/>
    <w:rsid w:val="000041A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041AF"/>
    <w:rPr>
      <w:rFonts w:ascii="Times New Roman" w:eastAsia="SimSun" w:hAnsi="Times New Roman" w:cs="Times New Roman"/>
      <w:i/>
      <w:iCs/>
      <w:color w:val="404040" w:themeColor="text1" w:themeTint="BF"/>
      <w:lang w:val="en-GB"/>
    </w:rPr>
  </w:style>
  <w:style w:type="paragraph" w:styleId="Salutation">
    <w:name w:val="Salutation"/>
    <w:basedOn w:val="Normal"/>
    <w:next w:val="Normal"/>
    <w:link w:val="SalutationChar"/>
    <w:uiPriority w:val="99"/>
    <w:semiHidden/>
    <w:unhideWhenUsed/>
    <w:rsid w:val="000041AF"/>
  </w:style>
  <w:style w:type="character" w:customStyle="1" w:styleId="SalutationChar">
    <w:name w:val="Salutation Char"/>
    <w:basedOn w:val="DefaultParagraphFont"/>
    <w:link w:val="Salutation"/>
    <w:uiPriority w:val="99"/>
    <w:semiHidden/>
    <w:rsid w:val="000041AF"/>
    <w:rPr>
      <w:rFonts w:ascii="Times New Roman" w:eastAsia="SimSun" w:hAnsi="Times New Roman" w:cs="Times New Roman"/>
      <w:lang w:val="en-GB"/>
    </w:rPr>
  </w:style>
  <w:style w:type="paragraph" w:styleId="Signature">
    <w:name w:val="Signature"/>
    <w:basedOn w:val="Normal"/>
    <w:link w:val="SignatureChar"/>
    <w:uiPriority w:val="99"/>
    <w:semiHidden/>
    <w:unhideWhenUsed/>
    <w:rsid w:val="000041AF"/>
    <w:pPr>
      <w:ind w:left="4252"/>
    </w:pPr>
  </w:style>
  <w:style w:type="character" w:customStyle="1" w:styleId="SignatureChar">
    <w:name w:val="Signature Char"/>
    <w:basedOn w:val="DefaultParagraphFont"/>
    <w:link w:val="Signature"/>
    <w:uiPriority w:val="99"/>
    <w:semiHidden/>
    <w:rsid w:val="000041AF"/>
    <w:rPr>
      <w:rFonts w:ascii="Times New Roman" w:eastAsia="SimSun" w:hAnsi="Times New Roman" w:cs="Times New Roman"/>
      <w:lang w:val="en-GB"/>
    </w:rPr>
  </w:style>
  <w:style w:type="character" w:styleId="SmartHyperlink">
    <w:name w:val="Smart Hyperlink"/>
    <w:basedOn w:val="DefaultParagraphFont"/>
    <w:uiPriority w:val="99"/>
    <w:semiHidden/>
    <w:unhideWhenUsed/>
    <w:rsid w:val="000041AF"/>
    <w:rPr>
      <w:u w:val="dotted"/>
      <w:lang w:val="en-GB"/>
    </w:rPr>
  </w:style>
  <w:style w:type="character" w:customStyle="1" w:styleId="SmartLink1">
    <w:name w:val="SmartLink1"/>
    <w:basedOn w:val="DefaultParagraphFont"/>
    <w:uiPriority w:val="99"/>
    <w:semiHidden/>
    <w:unhideWhenUsed/>
    <w:rsid w:val="000041AF"/>
    <w:rPr>
      <w:color w:val="0000FF"/>
      <w:u w:val="single"/>
      <w:shd w:val="clear" w:color="auto" w:fill="F3F2F1"/>
      <w:lang w:val="en-GB"/>
    </w:rPr>
  </w:style>
  <w:style w:type="character" w:styleId="Strong">
    <w:name w:val="Strong"/>
    <w:basedOn w:val="DefaultParagraphFont"/>
    <w:uiPriority w:val="22"/>
    <w:qFormat/>
    <w:rsid w:val="000041AF"/>
    <w:rPr>
      <w:b/>
      <w:bCs/>
      <w:lang w:val="en-GB"/>
    </w:rPr>
  </w:style>
  <w:style w:type="character" w:styleId="SubtleEmphasis">
    <w:name w:val="Subtle Emphasis"/>
    <w:basedOn w:val="DefaultParagraphFont"/>
    <w:uiPriority w:val="19"/>
    <w:qFormat/>
    <w:rsid w:val="000041AF"/>
    <w:rPr>
      <w:i/>
      <w:iCs/>
      <w:color w:val="404040" w:themeColor="text1" w:themeTint="BF"/>
      <w:lang w:val="en-GB"/>
    </w:rPr>
  </w:style>
  <w:style w:type="character" w:styleId="SubtleReference">
    <w:name w:val="Subtle Reference"/>
    <w:basedOn w:val="DefaultParagraphFont"/>
    <w:uiPriority w:val="31"/>
    <w:qFormat/>
    <w:rsid w:val="000041AF"/>
    <w:rPr>
      <w:smallCaps/>
      <w:color w:val="5A5A5A" w:themeColor="text1" w:themeTint="A5"/>
      <w:lang w:val="en-GB"/>
    </w:rPr>
  </w:style>
  <w:style w:type="table" w:styleId="Table3Deffects1">
    <w:name w:val="Table 3D effects 1"/>
    <w:basedOn w:val="TableNormal"/>
    <w:uiPriority w:val="99"/>
    <w:semiHidden/>
    <w:unhideWhenUsed/>
    <w:rsid w:val="000041AF"/>
    <w:pPr>
      <w:tabs>
        <w:tab w:val="left" w:pos="567"/>
        <w:tab w:val="left" w:pos="1134"/>
        <w:tab w:val="left" w:pos="1701"/>
        <w:tab w:val="left" w:pos="2268"/>
      </w:tabs>
      <w:spacing w:before="0" w:after="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041AF"/>
    <w:pPr>
      <w:tabs>
        <w:tab w:val="left" w:pos="567"/>
        <w:tab w:val="left" w:pos="1134"/>
        <w:tab w:val="left" w:pos="1701"/>
        <w:tab w:val="left" w:pos="2268"/>
      </w:tabs>
      <w:spacing w:before="0" w:after="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041AF"/>
    <w:pPr>
      <w:tabs>
        <w:tab w:val="left" w:pos="567"/>
        <w:tab w:val="left" w:pos="1134"/>
        <w:tab w:val="left" w:pos="1701"/>
        <w:tab w:val="left" w:pos="2268"/>
      </w:tabs>
      <w:spacing w:before="0" w:after="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041AF"/>
    <w:pPr>
      <w:tabs>
        <w:tab w:val="left" w:pos="567"/>
        <w:tab w:val="left" w:pos="1134"/>
        <w:tab w:val="left" w:pos="1701"/>
        <w:tab w:val="left" w:pos="2268"/>
      </w:tabs>
      <w:spacing w:before="0" w:after="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041AF"/>
    <w:pPr>
      <w:tabs>
        <w:tab w:val="left" w:pos="567"/>
        <w:tab w:val="left" w:pos="1134"/>
        <w:tab w:val="left" w:pos="1701"/>
        <w:tab w:val="left" w:pos="2268"/>
      </w:tabs>
      <w:spacing w:before="0" w:after="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041AF"/>
    <w:pPr>
      <w:tabs>
        <w:tab w:val="left" w:pos="567"/>
        <w:tab w:val="left" w:pos="1134"/>
        <w:tab w:val="left" w:pos="1701"/>
        <w:tab w:val="left" w:pos="2268"/>
      </w:tabs>
      <w:spacing w:before="0" w:after="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041AF"/>
    <w:pPr>
      <w:tabs>
        <w:tab w:val="left" w:pos="567"/>
        <w:tab w:val="left" w:pos="1134"/>
        <w:tab w:val="left" w:pos="1701"/>
        <w:tab w:val="left" w:pos="2268"/>
      </w:tabs>
      <w:spacing w:before="0" w:after="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041AF"/>
    <w:pPr>
      <w:tabs>
        <w:tab w:val="left" w:pos="567"/>
        <w:tab w:val="left" w:pos="1134"/>
        <w:tab w:val="left" w:pos="1701"/>
        <w:tab w:val="left" w:pos="2268"/>
      </w:tabs>
      <w:spacing w:before="0" w:after="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041AF"/>
    <w:pPr>
      <w:tabs>
        <w:tab w:val="left" w:pos="567"/>
        <w:tab w:val="left" w:pos="1134"/>
        <w:tab w:val="left" w:pos="1701"/>
        <w:tab w:val="left" w:pos="2268"/>
      </w:tabs>
      <w:spacing w:before="0" w:after="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041AF"/>
    <w:pPr>
      <w:tabs>
        <w:tab w:val="left" w:pos="567"/>
        <w:tab w:val="left" w:pos="1134"/>
        <w:tab w:val="left" w:pos="1701"/>
        <w:tab w:val="left" w:pos="2268"/>
      </w:tabs>
      <w:spacing w:before="0" w:after="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041AF"/>
    <w:pPr>
      <w:tabs>
        <w:tab w:val="left" w:pos="567"/>
        <w:tab w:val="left" w:pos="1134"/>
        <w:tab w:val="left" w:pos="1701"/>
        <w:tab w:val="left" w:pos="2268"/>
      </w:tabs>
      <w:spacing w:before="0" w:after="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041AF"/>
    <w:pPr>
      <w:tabs>
        <w:tab w:val="left" w:pos="567"/>
        <w:tab w:val="left" w:pos="1134"/>
        <w:tab w:val="left" w:pos="1701"/>
        <w:tab w:val="left" w:pos="2268"/>
      </w:tabs>
      <w:spacing w:before="0" w:after="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041AF"/>
    <w:pPr>
      <w:tabs>
        <w:tab w:val="left" w:pos="567"/>
        <w:tab w:val="left" w:pos="1134"/>
        <w:tab w:val="left" w:pos="1701"/>
        <w:tab w:val="left" w:pos="2268"/>
      </w:tabs>
      <w:spacing w:before="0" w:after="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041AF"/>
    <w:pPr>
      <w:tabs>
        <w:tab w:val="left" w:pos="567"/>
        <w:tab w:val="left" w:pos="1134"/>
        <w:tab w:val="left" w:pos="1701"/>
        <w:tab w:val="left" w:pos="2268"/>
      </w:tabs>
      <w:spacing w:before="0" w:after="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041AF"/>
    <w:pPr>
      <w:tabs>
        <w:tab w:val="left" w:pos="567"/>
        <w:tab w:val="left" w:pos="1134"/>
        <w:tab w:val="left" w:pos="1701"/>
        <w:tab w:val="left" w:pos="2268"/>
      </w:tabs>
      <w:spacing w:before="0" w:after="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041AF"/>
    <w:pPr>
      <w:tabs>
        <w:tab w:val="left" w:pos="567"/>
        <w:tab w:val="left" w:pos="1134"/>
        <w:tab w:val="left" w:pos="1701"/>
        <w:tab w:val="left" w:pos="2268"/>
      </w:tabs>
      <w:spacing w:before="0" w:after="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041AF"/>
    <w:pPr>
      <w:tabs>
        <w:tab w:val="left" w:pos="567"/>
        <w:tab w:val="left" w:pos="1134"/>
        <w:tab w:val="left" w:pos="1701"/>
        <w:tab w:val="left" w:pos="2268"/>
      </w:tabs>
      <w:spacing w:before="0" w:after="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0041AF"/>
    <w:pPr>
      <w:tabs>
        <w:tab w:val="left" w:pos="567"/>
        <w:tab w:val="left" w:pos="1134"/>
        <w:tab w:val="left" w:pos="1701"/>
        <w:tab w:val="left" w:pos="2268"/>
      </w:tabs>
      <w:spacing w:before="0"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041AF"/>
    <w:pPr>
      <w:tabs>
        <w:tab w:val="left" w:pos="567"/>
        <w:tab w:val="left" w:pos="1134"/>
        <w:tab w:val="left" w:pos="1701"/>
        <w:tab w:val="left" w:pos="2268"/>
      </w:tabs>
      <w:spacing w:before="0" w:after="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041AF"/>
    <w:pPr>
      <w:tabs>
        <w:tab w:val="left" w:pos="567"/>
        <w:tab w:val="left" w:pos="1134"/>
        <w:tab w:val="left" w:pos="1701"/>
        <w:tab w:val="left" w:pos="2268"/>
      </w:tabs>
      <w:spacing w:before="0" w:after="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041AF"/>
    <w:pPr>
      <w:tabs>
        <w:tab w:val="left" w:pos="567"/>
        <w:tab w:val="left" w:pos="1134"/>
        <w:tab w:val="left" w:pos="1701"/>
        <w:tab w:val="left" w:pos="2268"/>
      </w:tabs>
      <w:spacing w:before="0" w:after="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041AF"/>
    <w:pPr>
      <w:tabs>
        <w:tab w:val="left" w:pos="567"/>
        <w:tab w:val="left" w:pos="1134"/>
        <w:tab w:val="left" w:pos="1701"/>
        <w:tab w:val="left" w:pos="2268"/>
      </w:tabs>
      <w:spacing w:before="0" w:after="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041AF"/>
    <w:pPr>
      <w:tabs>
        <w:tab w:val="left" w:pos="567"/>
        <w:tab w:val="left" w:pos="1134"/>
        <w:tab w:val="left" w:pos="1701"/>
        <w:tab w:val="left" w:pos="2268"/>
      </w:tabs>
      <w:spacing w:before="0" w:after="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041AF"/>
    <w:pPr>
      <w:tabs>
        <w:tab w:val="left" w:pos="567"/>
        <w:tab w:val="left" w:pos="1134"/>
        <w:tab w:val="left" w:pos="1701"/>
        <w:tab w:val="left" w:pos="2268"/>
      </w:tabs>
      <w:spacing w:before="0" w:after="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041AF"/>
    <w:pPr>
      <w:tabs>
        <w:tab w:val="left" w:pos="567"/>
        <w:tab w:val="left" w:pos="1134"/>
        <w:tab w:val="left" w:pos="1701"/>
        <w:tab w:val="left" w:pos="2268"/>
      </w:tabs>
      <w:spacing w:before="0" w:after="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041AF"/>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0041AF"/>
    <w:pPr>
      <w:tabs>
        <w:tab w:val="left" w:pos="567"/>
        <w:tab w:val="left" w:pos="1134"/>
        <w:tab w:val="left" w:pos="1701"/>
        <w:tab w:val="left" w:pos="2268"/>
      </w:tabs>
      <w:spacing w:before="0" w:after="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041AF"/>
    <w:pPr>
      <w:tabs>
        <w:tab w:val="left" w:pos="567"/>
        <w:tab w:val="left" w:pos="1134"/>
        <w:tab w:val="left" w:pos="1701"/>
        <w:tab w:val="left" w:pos="2268"/>
      </w:tabs>
      <w:spacing w:before="0" w:after="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041AF"/>
    <w:pPr>
      <w:tabs>
        <w:tab w:val="left" w:pos="567"/>
        <w:tab w:val="left" w:pos="1134"/>
        <w:tab w:val="left" w:pos="1701"/>
        <w:tab w:val="left" w:pos="2268"/>
      </w:tabs>
      <w:spacing w:before="0" w:after="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041AF"/>
    <w:pPr>
      <w:tabs>
        <w:tab w:val="left" w:pos="567"/>
        <w:tab w:val="left" w:pos="1134"/>
        <w:tab w:val="left" w:pos="1701"/>
        <w:tab w:val="left" w:pos="2268"/>
      </w:tabs>
      <w:spacing w:before="0" w:after="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041AF"/>
    <w:pPr>
      <w:tabs>
        <w:tab w:val="left" w:pos="567"/>
        <w:tab w:val="left" w:pos="1134"/>
        <w:tab w:val="left" w:pos="1701"/>
        <w:tab w:val="left" w:pos="2268"/>
      </w:tabs>
      <w:spacing w:before="0" w:after="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041AF"/>
    <w:pPr>
      <w:tabs>
        <w:tab w:val="left" w:pos="567"/>
        <w:tab w:val="left" w:pos="1134"/>
        <w:tab w:val="left" w:pos="1701"/>
        <w:tab w:val="left" w:pos="2268"/>
      </w:tabs>
      <w:spacing w:before="0" w:after="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041AF"/>
    <w:pPr>
      <w:tabs>
        <w:tab w:val="left" w:pos="567"/>
        <w:tab w:val="left" w:pos="1134"/>
        <w:tab w:val="left" w:pos="1701"/>
        <w:tab w:val="left" w:pos="2268"/>
      </w:tabs>
      <w:spacing w:before="0" w:after="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041AF"/>
    <w:pPr>
      <w:tabs>
        <w:tab w:val="left" w:pos="567"/>
        <w:tab w:val="left" w:pos="1134"/>
        <w:tab w:val="left" w:pos="1701"/>
        <w:tab w:val="left" w:pos="2268"/>
      </w:tabs>
      <w:spacing w:before="0" w:after="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0041AF"/>
    <w:pPr>
      <w:tabs>
        <w:tab w:val="clear" w:pos="567"/>
        <w:tab w:val="clear" w:pos="1134"/>
        <w:tab w:val="clear" w:pos="1701"/>
        <w:tab w:val="clear" w:pos="2268"/>
      </w:tabs>
      <w:ind w:left="220" w:hanging="220"/>
    </w:pPr>
  </w:style>
  <w:style w:type="table" w:styleId="TableProfessional">
    <w:name w:val="Table Professional"/>
    <w:basedOn w:val="TableNormal"/>
    <w:uiPriority w:val="99"/>
    <w:semiHidden/>
    <w:unhideWhenUsed/>
    <w:rsid w:val="000041AF"/>
    <w:pPr>
      <w:tabs>
        <w:tab w:val="left" w:pos="567"/>
        <w:tab w:val="left" w:pos="1134"/>
        <w:tab w:val="left" w:pos="1701"/>
        <w:tab w:val="left" w:pos="2268"/>
      </w:tabs>
      <w:spacing w:before="0"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041AF"/>
    <w:pPr>
      <w:tabs>
        <w:tab w:val="left" w:pos="567"/>
        <w:tab w:val="left" w:pos="1134"/>
        <w:tab w:val="left" w:pos="1701"/>
        <w:tab w:val="left" w:pos="2268"/>
      </w:tabs>
      <w:spacing w:before="0" w:after="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041AF"/>
    <w:pPr>
      <w:tabs>
        <w:tab w:val="left" w:pos="567"/>
        <w:tab w:val="left" w:pos="1134"/>
        <w:tab w:val="left" w:pos="1701"/>
        <w:tab w:val="left" w:pos="2268"/>
      </w:tabs>
      <w:spacing w:before="0" w:after="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041AF"/>
    <w:pPr>
      <w:tabs>
        <w:tab w:val="left" w:pos="567"/>
        <w:tab w:val="left" w:pos="1134"/>
        <w:tab w:val="left" w:pos="1701"/>
        <w:tab w:val="left" w:pos="2268"/>
      </w:tabs>
      <w:spacing w:before="0" w:after="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041AF"/>
    <w:pPr>
      <w:tabs>
        <w:tab w:val="left" w:pos="567"/>
        <w:tab w:val="left" w:pos="1134"/>
        <w:tab w:val="left" w:pos="1701"/>
        <w:tab w:val="left" w:pos="2268"/>
      </w:tabs>
      <w:spacing w:before="0" w:after="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041AF"/>
    <w:pPr>
      <w:tabs>
        <w:tab w:val="left" w:pos="567"/>
        <w:tab w:val="left" w:pos="1134"/>
        <w:tab w:val="left" w:pos="1701"/>
        <w:tab w:val="left" w:pos="2268"/>
      </w:tabs>
      <w:spacing w:before="0" w:after="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041AF"/>
    <w:pPr>
      <w:tabs>
        <w:tab w:val="left" w:pos="567"/>
        <w:tab w:val="left" w:pos="1134"/>
        <w:tab w:val="left" w:pos="1701"/>
        <w:tab w:val="left" w:pos="2268"/>
      </w:tabs>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041AF"/>
    <w:pPr>
      <w:tabs>
        <w:tab w:val="left" w:pos="567"/>
        <w:tab w:val="left" w:pos="1134"/>
        <w:tab w:val="left" w:pos="1701"/>
        <w:tab w:val="left" w:pos="2268"/>
      </w:tabs>
      <w:spacing w:before="0" w:after="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041AF"/>
    <w:pPr>
      <w:tabs>
        <w:tab w:val="left" w:pos="567"/>
        <w:tab w:val="left" w:pos="1134"/>
        <w:tab w:val="left" w:pos="1701"/>
        <w:tab w:val="left" w:pos="2268"/>
      </w:tabs>
      <w:spacing w:before="0" w:after="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041AF"/>
    <w:pPr>
      <w:tabs>
        <w:tab w:val="left" w:pos="567"/>
        <w:tab w:val="left" w:pos="1134"/>
        <w:tab w:val="left" w:pos="1701"/>
        <w:tab w:val="left" w:pos="2268"/>
      </w:tabs>
      <w:spacing w:before="0" w:after="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0041AF"/>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unhideWhenUsed/>
    <w:rsid w:val="000041AF"/>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0041AF"/>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0041AF"/>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0041AF"/>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0041AF"/>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0041AF"/>
    <w:pPr>
      <w:tabs>
        <w:tab w:val="clear" w:pos="567"/>
        <w:tab w:val="clear" w:pos="1134"/>
        <w:tab w:val="clear" w:pos="1701"/>
        <w:tab w:val="clear" w:pos="2268"/>
      </w:tabs>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4510693">
      <w:bodyDiv w:val="1"/>
      <w:marLeft w:val="0"/>
      <w:marRight w:val="0"/>
      <w:marTop w:val="0"/>
      <w:marBottom w:val="0"/>
      <w:divBdr>
        <w:top w:val="none" w:sz="0" w:space="0" w:color="auto"/>
        <w:left w:val="none" w:sz="0" w:space="0" w:color="auto"/>
        <w:bottom w:val="none" w:sz="0" w:space="0" w:color="auto"/>
        <w:right w:val="none" w:sz="0" w:space="0" w:color="auto"/>
      </w:divBdr>
    </w:div>
    <w:div w:id="247465844">
      <w:bodyDiv w:val="1"/>
      <w:marLeft w:val="0"/>
      <w:marRight w:val="0"/>
      <w:marTop w:val="0"/>
      <w:marBottom w:val="0"/>
      <w:divBdr>
        <w:top w:val="none" w:sz="0" w:space="0" w:color="auto"/>
        <w:left w:val="none" w:sz="0" w:space="0" w:color="auto"/>
        <w:bottom w:val="none" w:sz="0" w:space="0" w:color="auto"/>
        <w:right w:val="none" w:sz="0" w:space="0" w:color="auto"/>
      </w:divBdr>
    </w:div>
    <w:div w:id="254946496">
      <w:bodyDiv w:val="1"/>
      <w:marLeft w:val="0"/>
      <w:marRight w:val="0"/>
      <w:marTop w:val="0"/>
      <w:marBottom w:val="0"/>
      <w:divBdr>
        <w:top w:val="none" w:sz="0" w:space="0" w:color="auto"/>
        <w:left w:val="none" w:sz="0" w:space="0" w:color="auto"/>
        <w:bottom w:val="none" w:sz="0" w:space="0" w:color="auto"/>
        <w:right w:val="none" w:sz="0" w:space="0" w:color="auto"/>
      </w:divBdr>
    </w:div>
    <w:div w:id="273824484">
      <w:bodyDiv w:val="1"/>
      <w:marLeft w:val="0"/>
      <w:marRight w:val="0"/>
      <w:marTop w:val="0"/>
      <w:marBottom w:val="0"/>
      <w:divBdr>
        <w:top w:val="none" w:sz="0" w:space="0" w:color="auto"/>
        <w:left w:val="none" w:sz="0" w:space="0" w:color="auto"/>
        <w:bottom w:val="none" w:sz="0" w:space="0" w:color="auto"/>
        <w:right w:val="none" w:sz="0" w:space="0" w:color="auto"/>
      </w:divBdr>
    </w:div>
    <w:div w:id="297496200">
      <w:bodyDiv w:val="1"/>
      <w:marLeft w:val="0"/>
      <w:marRight w:val="0"/>
      <w:marTop w:val="0"/>
      <w:marBottom w:val="0"/>
      <w:divBdr>
        <w:top w:val="none" w:sz="0" w:space="0" w:color="auto"/>
        <w:left w:val="none" w:sz="0" w:space="0" w:color="auto"/>
        <w:bottom w:val="none" w:sz="0" w:space="0" w:color="auto"/>
        <w:right w:val="none" w:sz="0" w:space="0" w:color="auto"/>
      </w:divBdr>
    </w:div>
    <w:div w:id="391007337">
      <w:bodyDiv w:val="1"/>
      <w:marLeft w:val="0"/>
      <w:marRight w:val="0"/>
      <w:marTop w:val="0"/>
      <w:marBottom w:val="0"/>
      <w:divBdr>
        <w:top w:val="none" w:sz="0" w:space="0" w:color="auto"/>
        <w:left w:val="none" w:sz="0" w:space="0" w:color="auto"/>
        <w:bottom w:val="none" w:sz="0" w:space="0" w:color="auto"/>
        <w:right w:val="none" w:sz="0" w:space="0" w:color="auto"/>
      </w:divBdr>
    </w:div>
    <w:div w:id="392240787">
      <w:bodyDiv w:val="1"/>
      <w:marLeft w:val="0"/>
      <w:marRight w:val="0"/>
      <w:marTop w:val="0"/>
      <w:marBottom w:val="0"/>
      <w:divBdr>
        <w:top w:val="none" w:sz="0" w:space="0" w:color="auto"/>
        <w:left w:val="none" w:sz="0" w:space="0" w:color="auto"/>
        <w:bottom w:val="none" w:sz="0" w:space="0" w:color="auto"/>
        <w:right w:val="none" w:sz="0" w:space="0" w:color="auto"/>
      </w:divBdr>
    </w:div>
    <w:div w:id="397484473">
      <w:bodyDiv w:val="1"/>
      <w:marLeft w:val="0"/>
      <w:marRight w:val="0"/>
      <w:marTop w:val="0"/>
      <w:marBottom w:val="0"/>
      <w:divBdr>
        <w:top w:val="none" w:sz="0" w:space="0" w:color="auto"/>
        <w:left w:val="none" w:sz="0" w:space="0" w:color="auto"/>
        <w:bottom w:val="none" w:sz="0" w:space="0" w:color="auto"/>
        <w:right w:val="none" w:sz="0" w:space="0" w:color="auto"/>
      </w:divBdr>
    </w:div>
    <w:div w:id="405618028">
      <w:bodyDiv w:val="1"/>
      <w:marLeft w:val="0"/>
      <w:marRight w:val="0"/>
      <w:marTop w:val="0"/>
      <w:marBottom w:val="0"/>
      <w:divBdr>
        <w:top w:val="none" w:sz="0" w:space="0" w:color="auto"/>
        <w:left w:val="none" w:sz="0" w:space="0" w:color="auto"/>
        <w:bottom w:val="none" w:sz="0" w:space="0" w:color="auto"/>
        <w:right w:val="none" w:sz="0" w:space="0" w:color="auto"/>
      </w:divBdr>
    </w:div>
    <w:div w:id="411971694">
      <w:bodyDiv w:val="1"/>
      <w:marLeft w:val="0"/>
      <w:marRight w:val="0"/>
      <w:marTop w:val="0"/>
      <w:marBottom w:val="0"/>
      <w:divBdr>
        <w:top w:val="none" w:sz="0" w:space="0" w:color="auto"/>
        <w:left w:val="none" w:sz="0" w:space="0" w:color="auto"/>
        <w:bottom w:val="none" w:sz="0" w:space="0" w:color="auto"/>
        <w:right w:val="none" w:sz="0" w:space="0" w:color="auto"/>
      </w:divBdr>
    </w:div>
    <w:div w:id="420881569">
      <w:bodyDiv w:val="1"/>
      <w:marLeft w:val="0"/>
      <w:marRight w:val="0"/>
      <w:marTop w:val="0"/>
      <w:marBottom w:val="0"/>
      <w:divBdr>
        <w:top w:val="none" w:sz="0" w:space="0" w:color="auto"/>
        <w:left w:val="none" w:sz="0" w:space="0" w:color="auto"/>
        <w:bottom w:val="none" w:sz="0" w:space="0" w:color="auto"/>
        <w:right w:val="none" w:sz="0" w:space="0" w:color="auto"/>
      </w:divBdr>
    </w:div>
    <w:div w:id="468595302">
      <w:bodyDiv w:val="1"/>
      <w:marLeft w:val="0"/>
      <w:marRight w:val="0"/>
      <w:marTop w:val="0"/>
      <w:marBottom w:val="0"/>
      <w:divBdr>
        <w:top w:val="none" w:sz="0" w:space="0" w:color="auto"/>
        <w:left w:val="none" w:sz="0" w:space="0" w:color="auto"/>
        <w:bottom w:val="none" w:sz="0" w:space="0" w:color="auto"/>
        <w:right w:val="none" w:sz="0" w:space="0" w:color="auto"/>
      </w:divBdr>
    </w:div>
    <w:div w:id="488059953">
      <w:bodyDiv w:val="1"/>
      <w:marLeft w:val="0"/>
      <w:marRight w:val="0"/>
      <w:marTop w:val="0"/>
      <w:marBottom w:val="0"/>
      <w:divBdr>
        <w:top w:val="none" w:sz="0" w:space="0" w:color="auto"/>
        <w:left w:val="none" w:sz="0" w:space="0" w:color="auto"/>
        <w:bottom w:val="none" w:sz="0" w:space="0" w:color="auto"/>
        <w:right w:val="none" w:sz="0" w:space="0" w:color="auto"/>
      </w:divBdr>
    </w:div>
    <w:div w:id="494809523">
      <w:bodyDiv w:val="1"/>
      <w:marLeft w:val="0"/>
      <w:marRight w:val="0"/>
      <w:marTop w:val="0"/>
      <w:marBottom w:val="0"/>
      <w:divBdr>
        <w:top w:val="none" w:sz="0" w:space="0" w:color="auto"/>
        <w:left w:val="none" w:sz="0" w:space="0" w:color="auto"/>
        <w:bottom w:val="none" w:sz="0" w:space="0" w:color="auto"/>
        <w:right w:val="none" w:sz="0" w:space="0" w:color="auto"/>
      </w:divBdr>
    </w:div>
    <w:div w:id="661399083">
      <w:bodyDiv w:val="1"/>
      <w:marLeft w:val="0"/>
      <w:marRight w:val="0"/>
      <w:marTop w:val="0"/>
      <w:marBottom w:val="0"/>
      <w:divBdr>
        <w:top w:val="none" w:sz="0" w:space="0" w:color="auto"/>
        <w:left w:val="none" w:sz="0" w:space="0" w:color="auto"/>
        <w:bottom w:val="none" w:sz="0" w:space="0" w:color="auto"/>
        <w:right w:val="none" w:sz="0" w:space="0" w:color="auto"/>
      </w:divBdr>
    </w:div>
    <w:div w:id="782772666">
      <w:bodyDiv w:val="1"/>
      <w:marLeft w:val="0"/>
      <w:marRight w:val="0"/>
      <w:marTop w:val="0"/>
      <w:marBottom w:val="0"/>
      <w:divBdr>
        <w:top w:val="none" w:sz="0" w:space="0" w:color="auto"/>
        <w:left w:val="none" w:sz="0" w:space="0" w:color="auto"/>
        <w:bottom w:val="none" w:sz="0" w:space="0" w:color="auto"/>
        <w:right w:val="none" w:sz="0" w:space="0" w:color="auto"/>
      </w:divBdr>
    </w:div>
    <w:div w:id="788623227">
      <w:bodyDiv w:val="1"/>
      <w:marLeft w:val="0"/>
      <w:marRight w:val="0"/>
      <w:marTop w:val="0"/>
      <w:marBottom w:val="0"/>
      <w:divBdr>
        <w:top w:val="none" w:sz="0" w:space="0" w:color="auto"/>
        <w:left w:val="none" w:sz="0" w:space="0" w:color="auto"/>
        <w:bottom w:val="none" w:sz="0" w:space="0" w:color="auto"/>
        <w:right w:val="none" w:sz="0" w:space="0" w:color="auto"/>
      </w:divBdr>
    </w:div>
    <w:div w:id="812216767">
      <w:bodyDiv w:val="1"/>
      <w:marLeft w:val="0"/>
      <w:marRight w:val="0"/>
      <w:marTop w:val="0"/>
      <w:marBottom w:val="0"/>
      <w:divBdr>
        <w:top w:val="none" w:sz="0" w:space="0" w:color="auto"/>
        <w:left w:val="none" w:sz="0" w:space="0" w:color="auto"/>
        <w:bottom w:val="none" w:sz="0" w:space="0" w:color="auto"/>
        <w:right w:val="none" w:sz="0" w:space="0" w:color="auto"/>
      </w:divBdr>
    </w:div>
    <w:div w:id="862598925">
      <w:bodyDiv w:val="1"/>
      <w:marLeft w:val="0"/>
      <w:marRight w:val="0"/>
      <w:marTop w:val="0"/>
      <w:marBottom w:val="0"/>
      <w:divBdr>
        <w:top w:val="none" w:sz="0" w:space="0" w:color="auto"/>
        <w:left w:val="none" w:sz="0" w:space="0" w:color="auto"/>
        <w:bottom w:val="none" w:sz="0" w:space="0" w:color="auto"/>
        <w:right w:val="none" w:sz="0" w:space="0" w:color="auto"/>
      </w:divBdr>
    </w:div>
    <w:div w:id="874077343">
      <w:bodyDiv w:val="1"/>
      <w:marLeft w:val="0"/>
      <w:marRight w:val="0"/>
      <w:marTop w:val="0"/>
      <w:marBottom w:val="0"/>
      <w:divBdr>
        <w:top w:val="none" w:sz="0" w:space="0" w:color="auto"/>
        <w:left w:val="none" w:sz="0" w:space="0" w:color="auto"/>
        <w:bottom w:val="none" w:sz="0" w:space="0" w:color="auto"/>
        <w:right w:val="none" w:sz="0" w:space="0" w:color="auto"/>
      </w:divBdr>
    </w:div>
    <w:div w:id="884828222">
      <w:bodyDiv w:val="1"/>
      <w:marLeft w:val="0"/>
      <w:marRight w:val="0"/>
      <w:marTop w:val="0"/>
      <w:marBottom w:val="0"/>
      <w:divBdr>
        <w:top w:val="none" w:sz="0" w:space="0" w:color="auto"/>
        <w:left w:val="none" w:sz="0" w:space="0" w:color="auto"/>
        <w:bottom w:val="none" w:sz="0" w:space="0" w:color="auto"/>
        <w:right w:val="none" w:sz="0" w:space="0" w:color="auto"/>
      </w:divBdr>
    </w:div>
    <w:div w:id="887760758">
      <w:bodyDiv w:val="1"/>
      <w:marLeft w:val="0"/>
      <w:marRight w:val="0"/>
      <w:marTop w:val="0"/>
      <w:marBottom w:val="0"/>
      <w:divBdr>
        <w:top w:val="none" w:sz="0" w:space="0" w:color="auto"/>
        <w:left w:val="none" w:sz="0" w:space="0" w:color="auto"/>
        <w:bottom w:val="none" w:sz="0" w:space="0" w:color="auto"/>
        <w:right w:val="none" w:sz="0" w:space="0" w:color="auto"/>
      </w:divBdr>
    </w:div>
    <w:div w:id="953287482">
      <w:bodyDiv w:val="1"/>
      <w:marLeft w:val="0"/>
      <w:marRight w:val="0"/>
      <w:marTop w:val="0"/>
      <w:marBottom w:val="0"/>
      <w:divBdr>
        <w:top w:val="none" w:sz="0" w:space="0" w:color="auto"/>
        <w:left w:val="none" w:sz="0" w:space="0" w:color="auto"/>
        <w:bottom w:val="none" w:sz="0" w:space="0" w:color="auto"/>
        <w:right w:val="none" w:sz="0" w:space="0" w:color="auto"/>
      </w:divBdr>
      <w:divsChild>
        <w:div w:id="76874063">
          <w:marLeft w:val="0"/>
          <w:marRight w:val="0"/>
          <w:marTop w:val="0"/>
          <w:marBottom w:val="0"/>
          <w:divBdr>
            <w:top w:val="none" w:sz="0" w:space="0" w:color="auto"/>
            <w:left w:val="none" w:sz="0" w:space="0" w:color="auto"/>
            <w:bottom w:val="none" w:sz="0" w:space="0" w:color="auto"/>
            <w:right w:val="none" w:sz="0" w:space="0" w:color="auto"/>
          </w:divBdr>
        </w:div>
      </w:divsChild>
    </w:div>
    <w:div w:id="1010912092">
      <w:bodyDiv w:val="1"/>
      <w:marLeft w:val="0"/>
      <w:marRight w:val="0"/>
      <w:marTop w:val="0"/>
      <w:marBottom w:val="0"/>
      <w:divBdr>
        <w:top w:val="none" w:sz="0" w:space="0" w:color="auto"/>
        <w:left w:val="none" w:sz="0" w:space="0" w:color="auto"/>
        <w:bottom w:val="none" w:sz="0" w:space="0" w:color="auto"/>
        <w:right w:val="none" w:sz="0" w:space="0" w:color="auto"/>
      </w:divBdr>
    </w:div>
    <w:div w:id="1135566945">
      <w:bodyDiv w:val="1"/>
      <w:marLeft w:val="0"/>
      <w:marRight w:val="0"/>
      <w:marTop w:val="0"/>
      <w:marBottom w:val="0"/>
      <w:divBdr>
        <w:top w:val="none" w:sz="0" w:space="0" w:color="auto"/>
        <w:left w:val="none" w:sz="0" w:space="0" w:color="auto"/>
        <w:bottom w:val="none" w:sz="0" w:space="0" w:color="auto"/>
        <w:right w:val="none" w:sz="0" w:space="0" w:color="auto"/>
      </w:divBdr>
    </w:div>
    <w:div w:id="1146240466">
      <w:bodyDiv w:val="1"/>
      <w:marLeft w:val="0"/>
      <w:marRight w:val="0"/>
      <w:marTop w:val="0"/>
      <w:marBottom w:val="0"/>
      <w:divBdr>
        <w:top w:val="none" w:sz="0" w:space="0" w:color="auto"/>
        <w:left w:val="none" w:sz="0" w:space="0" w:color="auto"/>
        <w:bottom w:val="none" w:sz="0" w:space="0" w:color="auto"/>
        <w:right w:val="none" w:sz="0" w:space="0" w:color="auto"/>
      </w:divBdr>
      <w:divsChild>
        <w:div w:id="814643664">
          <w:marLeft w:val="0"/>
          <w:marRight w:val="0"/>
          <w:marTop w:val="0"/>
          <w:marBottom w:val="0"/>
          <w:divBdr>
            <w:top w:val="none" w:sz="0" w:space="0" w:color="auto"/>
            <w:left w:val="none" w:sz="0" w:space="0" w:color="auto"/>
            <w:bottom w:val="none" w:sz="0" w:space="0" w:color="auto"/>
            <w:right w:val="none" w:sz="0" w:space="0" w:color="auto"/>
          </w:divBdr>
        </w:div>
      </w:divsChild>
    </w:div>
    <w:div w:id="1369917810">
      <w:bodyDiv w:val="1"/>
      <w:marLeft w:val="0"/>
      <w:marRight w:val="0"/>
      <w:marTop w:val="0"/>
      <w:marBottom w:val="0"/>
      <w:divBdr>
        <w:top w:val="none" w:sz="0" w:space="0" w:color="auto"/>
        <w:left w:val="none" w:sz="0" w:space="0" w:color="auto"/>
        <w:bottom w:val="none" w:sz="0" w:space="0" w:color="auto"/>
        <w:right w:val="none" w:sz="0" w:space="0" w:color="auto"/>
      </w:divBdr>
    </w:div>
    <w:div w:id="1396852040">
      <w:bodyDiv w:val="1"/>
      <w:marLeft w:val="0"/>
      <w:marRight w:val="0"/>
      <w:marTop w:val="0"/>
      <w:marBottom w:val="0"/>
      <w:divBdr>
        <w:top w:val="none" w:sz="0" w:space="0" w:color="auto"/>
        <w:left w:val="none" w:sz="0" w:space="0" w:color="auto"/>
        <w:bottom w:val="none" w:sz="0" w:space="0" w:color="auto"/>
        <w:right w:val="none" w:sz="0" w:space="0" w:color="auto"/>
      </w:divBdr>
    </w:div>
    <w:div w:id="1566574095">
      <w:bodyDiv w:val="1"/>
      <w:marLeft w:val="0"/>
      <w:marRight w:val="0"/>
      <w:marTop w:val="0"/>
      <w:marBottom w:val="0"/>
      <w:divBdr>
        <w:top w:val="none" w:sz="0" w:space="0" w:color="auto"/>
        <w:left w:val="none" w:sz="0" w:space="0" w:color="auto"/>
        <w:bottom w:val="none" w:sz="0" w:space="0" w:color="auto"/>
        <w:right w:val="none" w:sz="0" w:space="0" w:color="auto"/>
      </w:divBdr>
    </w:div>
    <w:div w:id="1590237544">
      <w:bodyDiv w:val="1"/>
      <w:marLeft w:val="0"/>
      <w:marRight w:val="0"/>
      <w:marTop w:val="0"/>
      <w:marBottom w:val="0"/>
      <w:divBdr>
        <w:top w:val="none" w:sz="0" w:space="0" w:color="auto"/>
        <w:left w:val="none" w:sz="0" w:space="0" w:color="auto"/>
        <w:bottom w:val="none" w:sz="0" w:space="0" w:color="auto"/>
        <w:right w:val="none" w:sz="0" w:space="0" w:color="auto"/>
      </w:divBdr>
    </w:div>
    <w:div w:id="1751274504">
      <w:bodyDiv w:val="1"/>
      <w:marLeft w:val="0"/>
      <w:marRight w:val="0"/>
      <w:marTop w:val="0"/>
      <w:marBottom w:val="0"/>
      <w:divBdr>
        <w:top w:val="none" w:sz="0" w:space="0" w:color="auto"/>
        <w:left w:val="none" w:sz="0" w:space="0" w:color="auto"/>
        <w:bottom w:val="none" w:sz="0" w:space="0" w:color="auto"/>
        <w:right w:val="none" w:sz="0" w:space="0" w:color="auto"/>
      </w:divBdr>
    </w:div>
    <w:div w:id="1788236671">
      <w:bodyDiv w:val="1"/>
      <w:marLeft w:val="0"/>
      <w:marRight w:val="0"/>
      <w:marTop w:val="0"/>
      <w:marBottom w:val="0"/>
      <w:divBdr>
        <w:top w:val="none" w:sz="0" w:space="0" w:color="auto"/>
        <w:left w:val="none" w:sz="0" w:space="0" w:color="auto"/>
        <w:bottom w:val="none" w:sz="0" w:space="0" w:color="auto"/>
        <w:right w:val="none" w:sz="0" w:space="0" w:color="auto"/>
      </w:divBdr>
    </w:div>
    <w:div w:id="1806701807">
      <w:bodyDiv w:val="1"/>
      <w:marLeft w:val="0"/>
      <w:marRight w:val="0"/>
      <w:marTop w:val="0"/>
      <w:marBottom w:val="0"/>
      <w:divBdr>
        <w:top w:val="none" w:sz="0" w:space="0" w:color="auto"/>
        <w:left w:val="none" w:sz="0" w:space="0" w:color="auto"/>
        <w:bottom w:val="none" w:sz="0" w:space="0" w:color="auto"/>
        <w:right w:val="none" w:sz="0" w:space="0" w:color="auto"/>
      </w:divBdr>
    </w:div>
    <w:div w:id="1828933329">
      <w:bodyDiv w:val="1"/>
      <w:marLeft w:val="0"/>
      <w:marRight w:val="0"/>
      <w:marTop w:val="0"/>
      <w:marBottom w:val="0"/>
      <w:divBdr>
        <w:top w:val="none" w:sz="0" w:space="0" w:color="auto"/>
        <w:left w:val="none" w:sz="0" w:space="0" w:color="auto"/>
        <w:bottom w:val="none" w:sz="0" w:space="0" w:color="auto"/>
        <w:right w:val="none" w:sz="0" w:space="0" w:color="auto"/>
      </w:divBdr>
    </w:div>
    <w:div w:id="1846478062">
      <w:bodyDiv w:val="1"/>
      <w:marLeft w:val="0"/>
      <w:marRight w:val="0"/>
      <w:marTop w:val="0"/>
      <w:marBottom w:val="0"/>
      <w:divBdr>
        <w:top w:val="none" w:sz="0" w:space="0" w:color="auto"/>
        <w:left w:val="none" w:sz="0" w:space="0" w:color="auto"/>
        <w:bottom w:val="none" w:sz="0" w:space="0" w:color="auto"/>
        <w:right w:val="none" w:sz="0" w:space="0" w:color="auto"/>
      </w:divBdr>
    </w:div>
    <w:div w:id="1849323820">
      <w:bodyDiv w:val="1"/>
      <w:marLeft w:val="0"/>
      <w:marRight w:val="0"/>
      <w:marTop w:val="0"/>
      <w:marBottom w:val="0"/>
      <w:divBdr>
        <w:top w:val="none" w:sz="0" w:space="0" w:color="auto"/>
        <w:left w:val="none" w:sz="0" w:space="0" w:color="auto"/>
        <w:bottom w:val="none" w:sz="0" w:space="0" w:color="auto"/>
        <w:right w:val="none" w:sz="0" w:space="0" w:color="auto"/>
      </w:divBdr>
    </w:div>
    <w:div w:id="1916157981">
      <w:bodyDiv w:val="1"/>
      <w:marLeft w:val="0"/>
      <w:marRight w:val="0"/>
      <w:marTop w:val="0"/>
      <w:marBottom w:val="0"/>
      <w:divBdr>
        <w:top w:val="none" w:sz="0" w:space="0" w:color="auto"/>
        <w:left w:val="none" w:sz="0" w:space="0" w:color="auto"/>
        <w:bottom w:val="none" w:sz="0" w:space="0" w:color="auto"/>
        <w:right w:val="none" w:sz="0" w:space="0" w:color="auto"/>
      </w:divBdr>
    </w:div>
    <w:div w:id="1999072434">
      <w:bodyDiv w:val="1"/>
      <w:marLeft w:val="0"/>
      <w:marRight w:val="0"/>
      <w:marTop w:val="0"/>
      <w:marBottom w:val="0"/>
      <w:divBdr>
        <w:top w:val="none" w:sz="0" w:space="0" w:color="auto"/>
        <w:left w:val="none" w:sz="0" w:space="0" w:color="auto"/>
        <w:bottom w:val="none" w:sz="0" w:space="0" w:color="auto"/>
        <w:right w:val="none" w:sz="0" w:space="0" w:color="auto"/>
      </w:divBdr>
    </w:div>
    <w:div w:id="2003577645">
      <w:bodyDiv w:val="1"/>
      <w:marLeft w:val="0"/>
      <w:marRight w:val="0"/>
      <w:marTop w:val="0"/>
      <w:marBottom w:val="0"/>
      <w:divBdr>
        <w:top w:val="none" w:sz="0" w:space="0" w:color="auto"/>
        <w:left w:val="none" w:sz="0" w:space="0" w:color="auto"/>
        <w:bottom w:val="none" w:sz="0" w:space="0" w:color="auto"/>
        <w:right w:val="none" w:sz="0" w:space="0" w:color="auto"/>
      </w:divBdr>
    </w:div>
    <w:div w:id="2083676617">
      <w:bodyDiv w:val="1"/>
      <w:marLeft w:val="0"/>
      <w:marRight w:val="0"/>
      <w:marTop w:val="0"/>
      <w:marBottom w:val="0"/>
      <w:divBdr>
        <w:top w:val="none" w:sz="0" w:space="0" w:color="auto"/>
        <w:left w:val="none" w:sz="0" w:space="0" w:color="auto"/>
        <w:bottom w:val="none" w:sz="0" w:space="0" w:color="auto"/>
        <w:right w:val="none" w:sz="0" w:space="0" w:color="auto"/>
      </w:divBdr>
    </w:div>
    <w:div w:id="2096659610">
      <w:bodyDiv w:val="1"/>
      <w:marLeft w:val="0"/>
      <w:marRight w:val="0"/>
      <w:marTop w:val="0"/>
      <w:marBottom w:val="0"/>
      <w:divBdr>
        <w:top w:val="none" w:sz="0" w:space="0" w:color="auto"/>
        <w:left w:val="none" w:sz="0" w:space="0" w:color="auto"/>
        <w:bottom w:val="none" w:sz="0" w:space="0" w:color="auto"/>
        <w:right w:val="none" w:sz="0" w:space="0" w:color="auto"/>
      </w:divBdr>
      <w:divsChild>
        <w:div w:id="323969410">
          <w:marLeft w:val="547"/>
          <w:marRight w:val="0"/>
          <w:marTop w:val="0"/>
          <w:marBottom w:val="160"/>
          <w:divBdr>
            <w:top w:val="none" w:sz="0" w:space="0" w:color="auto"/>
            <w:left w:val="none" w:sz="0" w:space="0" w:color="auto"/>
            <w:bottom w:val="none" w:sz="0" w:space="0" w:color="auto"/>
            <w:right w:val="none" w:sz="0" w:space="0" w:color="auto"/>
          </w:divBdr>
        </w:div>
        <w:div w:id="728847486">
          <w:marLeft w:val="547"/>
          <w:marRight w:val="0"/>
          <w:marTop w:val="0"/>
          <w:marBottom w:val="160"/>
          <w:divBdr>
            <w:top w:val="none" w:sz="0" w:space="0" w:color="auto"/>
            <w:left w:val="none" w:sz="0" w:space="0" w:color="auto"/>
            <w:bottom w:val="none" w:sz="0" w:space="0" w:color="auto"/>
            <w:right w:val="none" w:sz="0" w:space="0" w:color="auto"/>
          </w:divBdr>
        </w:div>
        <w:div w:id="939602586">
          <w:marLeft w:val="547"/>
          <w:marRight w:val="0"/>
          <w:marTop w:val="0"/>
          <w:marBottom w:val="160"/>
          <w:divBdr>
            <w:top w:val="none" w:sz="0" w:space="0" w:color="auto"/>
            <w:left w:val="none" w:sz="0" w:space="0" w:color="auto"/>
            <w:bottom w:val="none" w:sz="0" w:space="0" w:color="auto"/>
            <w:right w:val="none" w:sz="0" w:space="0" w:color="auto"/>
          </w:divBdr>
        </w:div>
        <w:div w:id="1058893027">
          <w:marLeft w:val="547"/>
          <w:marRight w:val="0"/>
          <w:marTop w:val="0"/>
          <w:marBottom w:val="160"/>
          <w:divBdr>
            <w:top w:val="none" w:sz="0" w:space="0" w:color="auto"/>
            <w:left w:val="none" w:sz="0" w:space="0" w:color="auto"/>
            <w:bottom w:val="none" w:sz="0" w:space="0" w:color="auto"/>
            <w:right w:val="none" w:sz="0" w:space="0" w:color="auto"/>
          </w:divBdr>
        </w:div>
        <w:div w:id="1239897931">
          <w:marLeft w:val="547"/>
          <w:marRight w:val="0"/>
          <w:marTop w:val="0"/>
          <w:marBottom w:val="160"/>
          <w:divBdr>
            <w:top w:val="none" w:sz="0" w:space="0" w:color="auto"/>
            <w:left w:val="none" w:sz="0" w:space="0" w:color="auto"/>
            <w:bottom w:val="none" w:sz="0" w:space="0" w:color="auto"/>
            <w:right w:val="none" w:sz="0" w:space="0" w:color="auto"/>
          </w:divBdr>
        </w:div>
        <w:div w:id="1436562748">
          <w:marLeft w:val="547"/>
          <w:marRight w:val="0"/>
          <w:marTop w:val="0"/>
          <w:marBottom w:val="160"/>
          <w:divBdr>
            <w:top w:val="none" w:sz="0" w:space="0" w:color="auto"/>
            <w:left w:val="none" w:sz="0" w:space="0" w:color="auto"/>
            <w:bottom w:val="none" w:sz="0" w:space="0" w:color="auto"/>
            <w:right w:val="none" w:sz="0" w:space="0" w:color="auto"/>
          </w:divBdr>
        </w:div>
        <w:div w:id="2011639233">
          <w:marLeft w:val="547"/>
          <w:marRight w:val="0"/>
          <w:marTop w:val="0"/>
          <w:marBottom w:val="160"/>
          <w:divBdr>
            <w:top w:val="none" w:sz="0" w:space="0" w:color="auto"/>
            <w:left w:val="none" w:sz="0" w:space="0" w:color="auto"/>
            <w:bottom w:val="none" w:sz="0" w:space="0" w:color="auto"/>
            <w:right w:val="none" w:sz="0" w:space="0" w:color="auto"/>
          </w:divBdr>
        </w:div>
        <w:div w:id="2131852283">
          <w:marLeft w:val="547"/>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uments/CBD/SBI/4/INF/17"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C86D77FDE9647B397D2E1941A85FFF4"/>
        <w:category>
          <w:name w:val="General"/>
          <w:gallery w:val="placeholder"/>
        </w:category>
        <w:types>
          <w:type w:val="bbPlcHdr"/>
        </w:types>
        <w:behaviors>
          <w:behavior w:val="content"/>
        </w:behaviors>
        <w:guid w:val="{48397BA9-D3F2-44DF-9DCE-AE5EF7132D48}"/>
      </w:docPartPr>
      <w:docPartBody>
        <w:p w:rsidR="00A35CF4" w:rsidRDefault="00310BDE" w:rsidP="00310BDE">
          <w:pPr>
            <w:pStyle w:val="5C86D77FDE9647B397D2E1941A85FFF4"/>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Body CS)">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BDE"/>
    <w:rsid w:val="00011607"/>
    <w:rsid w:val="000614B3"/>
    <w:rsid w:val="000C75AD"/>
    <w:rsid w:val="0027465B"/>
    <w:rsid w:val="002B351D"/>
    <w:rsid w:val="002C1316"/>
    <w:rsid w:val="00310BDE"/>
    <w:rsid w:val="00311915"/>
    <w:rsid w:val="00321040"/>
    <w:rsid w:val="003844CD"/>
    <w:rsid w:val="003E5FB8"/>
    <w:rsid w:val="00466198"/>
    <w:rsid w:val="00495003"/>
    <w:rsid w:val="00612A96"/>
    <w:rsid w:val="00621CF2"/>
    <w:rsid w:val="00646D2C"/>
    <w:rsid w:val="00666147"/>
    <w:rsid w:val="006C67B3"/>
    <w:rsid w:val="006F503F"/>
    <w:rsid w:val="00786635"/>
    <w:rsid w:val="007E4392"/>
    <w:rsid w:val="007E4C16"/>
    <w:rsid w:val="00837C73"/>
    <w:rsid w:val="00887E5A"/>
    <w:rsid w:val="009348E8"/>
    <w:rsid w:val="009E6F17"/>
    <w:rsid w:val="00A35CF4"/>
    <w:rsid w:val="00AA520B"/>
    <w:rsid w:val="00AF30E6"/>
    <w:rsid w:val="00AF6786"/>
    <w:rsid w:val="00BB3AE8"/>
    <w:rsid w:val="00C12294"/>
    <w:rsid w:val="00C64E48"/>
    <w:rsid w:val="00C747AE"/>
    <w:rsid w:val="00DE79EA"/>
    <w:rsid w:val="00DF5EA2"/>
    <w:rsid w:val="00EB421D"/>
    <w:rsid w:val="00F70064"/>
    <w:rsid w:val="00F83AFE"/>
    <w:rsid w:val="00FC06D2"/>
    <w:rsid w:val="00FC1C22"/>
    <w:rsid w:val="00FD65F2"/>
    <w:rsid w:val="00FF134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0BDE"/>
    <w:rPr>
      <w:color w:val="808080"/>
    </w:rPr>
  </w:style>
  <w:style w:type="paragraph" w:customStyle="1" w:styleId="5C86D77FDE9647B397D2E1941A85FFF4">
    <w:name w:val="5C86D77FDE9647B397D2E1941A85FFF4"/>
    <w:rsid w:val="00310BD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0E1B71-C9C4-421A-ABC6-1DD06423FD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0A6FE8-8EFF-419C-9EB8-CD639FE3081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D1050F84-0565-4143-927E-2C303669DED4}">
  <ds:schemaRefs>
    <ds:schemaRef ds:uri="http://schemas.openxmlformats.org/officeDocument/2006/bibliography"/>
  </ds:schemaRefs>
</ds:datastoreItem>
</file>

<file path=customXml/itemProps4.xml><?xml version="1.0" encoding="utf-8"?>
<ds:datastoreItem xmlns:ds="http://schemas.openxmlformats.org/officeDocument/2006/customXml" ds:itemID="{E0FEA929-E220-42D8-AF99-53750059D9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15</Pages>
  <Words>7444</Words>
  <Characters>42432</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Report on the sixth review of the effectiveness of the financial mechanism</vt:lpstr>
    </vt:vector>
  </TitlesOfParts>
  <Company/>
  <LinksUpToDate>false</LinksUpToDate>
  <CharactersWithSpaces>49777</CharactersWithSpaces>
  <SharedDoc>false</SharedDoc>
  <HLinks>
    <vt:vector size="834" baseType="variant">
      <vt:variant>
        <vt:i4>7340159</vt:i4>
      </vt:variant>
      <vt:variant>
        <vt:i4>564</vt:i4>
      </vt:variant>
      <vt:variant>
        <vt:i4>0</vt:i4>
      </vt:variant>
      <vt:variant>
        <vt:i4>5</vt:i4>
      </vt:variant>
      <vt:variant>
        <vt:lpwstr>https://iatiregistry.org/publisher/gef</vt:lpwstr>
      </vt:variant>
      <vt:variant>
        <vt:lpwstr/>
      </vt:variant>
      <vt:variant>
        <vt:i4>4128883</vt:i4>
      </vt:variant>
      <vt:variant>
        <vt:i4>561</vt:i4>
      </vt:variant>
      <vt:variant>
        <vt:i4>0</vt:i4>
      </vt:variant>
      <vt:variant>
        <vt:i4>5</vt:i4>
      </vt:variant>
      <vt:variant>
        <vt:lpwstr>https://www.thegef.org/council-meeting-documents/gef-c-67-03-rev-01</vt:lpwstr>
      </vt:variant>
      <vt:variant>
        <vt:lpwstr/>
      </vt:variant>
      <vt:variant>
        <vt:i4>7077924</vt:i4>
      </vt:variant>
      <vt:variant>
        <vt:i4>558</vt:i4>
      </vt:variant>
      <vt:variant>
        <vt:i4>0</vt:i4>
      </vt:variant>
      <vt:variant>
        <vt:i4>5</vt:i4>
      </vt:variant>
      <vt:variant>
        <vt:lpwstr>https://www.thegef.org/sites/default/files/documents/2024-01/EN_GEF.C.66.04_Work Program for GEF Trust Fund.pdf</vt:lpwstr>
      </vt:variant>
      <vt:variant>
        <vt:lpwstr/>
      </vt:variant>
      <vt:variant>
        <vt:i4>4390924</vt:i4>
      </vt:variant>
      <vt:variant>
        <vt:i4>555</vt:i4>
      </vt:variant>
      <vt:variant>
        <vt:i4>0</vt:i4>
      </vt:variant>
      <vt:variant>
        <vt:i4>5</vt:i4>
      </vt:variant>
      <vt:variant>
        <vt:lpwstr>https://www.thegef.org/projects-operations/projects/10920</vt:lpwstr>
      </vt:variant>
      <vt:variant>
        <vt:lpwstr/>
      </vt:variant>
      <vt:variant>
        <vt:i4>4653165</vt:i4>
      </vt:variant>
      <vt:variant>
        <vt:i4>552</vt:i4>
      </vt:variant>
      <vt:variant>
        <vt:i4>0</vt:i4>
      </vt:variant>
      <vt:variant>
        <vt:i4>5</vt:i4>
      </vt:variant>
      <vt:variant>
        <vt:lpwstr>https://www.thegef.org/sites/default/files/documents/2022-06/EN_GEF_C.62_03_Summary of Negotiations of the 8th Replenishment of the GEF Trust Fund_.pdf</vt:lpwstr>
      </vt:variant>
      <vt:variant>
        <vt:lpwstr/>
      </vt:variant>
      <vt:variant>
        <vt:i4>5308451</vt:i4>
      </vt:variant>
      <vt:variant>
        <vt:i4>549</vt:i4>
      </vt:variant>
      <vt:variant>
        <vt:i4>0</vt:i4>
      </vt:variant>
      <vt:variant>
        <vt:i4>5</vt:i4>
      </vt:variant>
      <vt:variant>
        <vt:lpwstr>https://www.thegef.org/sites/default/files/documents/2023-09/EN_GEF.C.65.04_Enhancing Policy Coherence through GEF Operations_.pdf</vt:lpwstr>
      </vt:variant>
      <vt:variant>
        <vt:lpwstr/>
      </vt:variant>
      <vt:variant>
        <vt:i4>7602299</vt:i4>
      </vt:variant>
      <vt:variant>
        <vt:i4>546</vt:i4>
      </vt:variant>
      <vt:variant>
        <vt:i4>0</vt:i4>
      </vt:variant>
      <vt:variant>
        <vt:i4>5</vt:i4>
      </vt:variant>
      <vt:variant>
        <vt:lpwstr>https://www.thegef.org/sites/default/files/documents/2024-01/EN_GEF.C.66.09_Gap_Analysis_GEF_funded_Activity_Engagement_FCV_Affected_States.pdf</vt:lpwstr>
      </vt:variant>
      <vt:variant>
        <vt:lpwstr/>
      </vt:variant>
      <vt:variant>
        <vt:i4>327757</vt:i4>
      </vt:variant>
      <vt:variant>
        <vt:i4>543</vt:i4>
      </vt:variant>
      <vt:variant>
        <vt:i4>0</vt:i4>
      </vt:variant>
      <vt:variant>
        <vt:i4>5</vt:i4>
      </vt:variant>
      <vt:variant>
        <vt:lpwstr>https://www.thegef.org/sites/default/files/documents/2024-01/EN_GEF.C.66.10_Gap Analysis of GEF Policies and Key Social Inclusion Issues.pdf</vt:lpwstr>
      </vt:variant>
      <vt:variant>
        <vt:lpwstr/>
      </vt:variant>
      <vt:variant>
        <vt:i4>4784139</vt:i4>
      </vt:variant>
      <vt:variant>
        <vt:i4>540</vt:i4>
      </vt:variant>
      <vt:variant>
        <vt:i4>0</vt:i4>
      </vt:variant>
      <vt:variant>
        <vt:i4>5</vt:i4>
      </vt:variant>
      <vt:variant>
        <vt:lpwstr>https://www.thegef.org/sites/default/files/documents/2024-01/EN_GEF.C.66.Inf_.10_Progress_Report_GEF_Agencies_Compliance_GEF_Minimum_Standards.pdf</vt:lpwstr>
      </vt:variant>
      <vt:variant>
        <vt:lpwstr/>
      </vt:variant>
      <vt:variant>
        <vt:i4>4194390</vt:i4>
      </vt:variant>
      <vt:variant>
        <vt:i4>537</vt:i4>
      </vt:variant>
      <vt:variant>
        <vt:i4>0</vt:i4>
      </vt:variant>
      <vt:variant>
        <vt:i4>5</vt:i4>
      </vt:variant>
      <vt:variant>
        <vt:lpwstr>https://www.thegef.org/sites/default/files/documents/2023-06/EN_GEF.C.64.Inf_.09_Updated_Third Party Review of Agency Compliance with GEF Minimum Standards.pdf</vt:lpwstr>
      </vt:variant>
      <vt:variant>
        <vt:lpwstr/>
      </vt:variant>
      <vt:variant>
        <vt:i4>1048635</vt:i4>
      </vt:variant>
      <vt:variant>
        <vt:i4>500</vt:i4>
      </vt:variant>
      <vt:variant>
        <vt:i4>0</vt:i4>
      </vt:variant>
      <vt:variant>
        <vt:i4>5</vt:i4>
      </vt:variant>
      <vt:variant>
        <vt:lpwstr/>
      </vt:variant>
      <vt:variant>
        <vt:lpwstr>_Toc171237859</vt:lpwstr>
      </vt:variant>
      <vt:variant>
        <vt:i4>1048635</vt:i4>
      </vt:variant>
      <vt:variant>
        <vt:i4>494</vt:i4>
      </vt:variant>
      <vt:variant>
        <vt:i4>0</vt:i4>
      </vt:variant>
      <vt:variant>
        <vt:i4>5</vt:i4>
      </vt:variant>
      <vt:variant>
        <vt:lpwstr/>
      </vt:variant>
      <vt:variant>
        <vt:lpwstr>_Toc171237858</vt:lpwstr>
      </vt:variant>
      <vt:variant>
        <vt:i4>1048635</vt:i4>
      </vt:variant>
      <vt:variant>
        <vt:i4>488</vt:i4>
      </vt:variant>
      <vt:variant>
        <vt:i4>0</vt:i4>
      </vt:variant>
      <vt:variant>
        <vt:i4>5</vt:i4>
      </vt:variant>
      <vt:variant>
        <vt:lpwstr/>
      </vt:variant>
      <vt:variant>
        <vt:lpwstr>_Toc171237857</vt:lpwstr>
      </vt:variant>
      <vt:variant>
        <vt:i4>1048635</vt:i4>
      </vt:variant>
      <vt:variant>
        <vt:i4>482</vt:i4>
      </vt:variant>
      <vt:variant>
        <vt:i4>0</vt:i4>
      </vt:variant>
      <vt:variant>
        <vt:i4>5</vt:i4>
      </vt:variant>
      <vt:variant>
        <vt:lpwstr/>
      </vt:variant>
      <vt:variant>
        <vt:lpwstr>_Toc171237856</vt:lpwstr>
      </vt:variant>
      <vt:variant>
        <vt:i4>1048635</vt:i4>
      </vt:variant>
      <vt:variant>
        <vt:i4>476</vt:i4>
      </vt:variant>
      <vt:variant>
        <vt:i4>0</vt:i4>
      </vt:variant>
      <vt:variant>
        <vt:i4>5</vt:i4>
      </vt:variant>
      <vt:variant>
        <vt:lpwstr/>
      </vt:variant>
      <vt:variant>
        <vt:lpwstr>_Toc171237855</vt:lpwstr>
      </vt:variant>
      <vt:variant>
        <vt:i4>1048635</vt:i4>
      </vt:variant>
      <vt:variant>
        <vt:i4>470</vt:i4>
      </vt:variant>
      <vt:variant>
        <vt:i4>0</vt:i4>
      </vt:variant>
      <vt:variant>
        <vt:i4>5</vt:i4>
      </vt:variant>
      <vt:variant>
        <vt:lpwstr/>
      </vt:variant>
      <vt:variant>
        <vt:lpwstr>_Toc171237854</vt:lpwstr>
      </vt:variant>
      <vt:variant>
        <vt:i4>1048635</vt:i4>
      </vt:variant>
      <vt:variant>
        <vt:i4>464</vt:i4>
      </vt:variant>
      <vt:variant>
        <vt:i4>0</vt:i4>
      </vt:variant>
      <vt:variant>
        <vt:i4>5</vt:i4>
      </vt:variant>
      <vt:variant>
        <vt:lpwstr/>
      </vt:variant>
      <vt:variant>
        <vt:lpwstr>_Toc171237853</vt:lpwstr>
      </vt:variant>
      <vt:variant>
        <vt:i4>1048635</vt:i4>
      </vt:variant>
      <vt:variant>
        <vt:i4>458</vt:i4>
      </vt:variant>
      <vt:variant>
        <vt:i4>0</vt:i4>
      </vt:variant>
      <vt:variant>
        <vt:i4>5</vt:i4>
      </vt:variant>
      <vt:variant>
        <vt:lpwstr/>
      </vt:variant>
      <vt:variant>
        <vt:lpwstr>_Toc171237852</vt:lpwstr>
      </vt:variant>
      <vt:variant>
        <vt:i4>1048635</vt:i4>
      </vt:variant>
      <vt:variant>
        <vt:i4>452</vt:i4>
      </vt:variant>
      <vt:variant>
        <vt:i4>0</vt:i4>
      </vt:variant>
      <vt:variant>
        <vt:i4>5</vt:i4>
      </vt:variant>
      <vt:variant>
        <vt:lpwstr/>
      </vt:variant>
      <vt:variant>
        <vt:lpwstr>_Toc171237851</vt:lpwstr>
      </vt:variant>
      <vt:variant>
        <vt:i4>1048635</vt:i4>
      </vt:variant>
      <vt:variant>
        <vt:i4>446</vt:i4>
      </vt:variant>
      <vt:variant>
        <vt:i4>0</vt:i4>
      </vt:variant>
      <vt:variant>
        <vt:i4>5</vt:i4>
      </vt:variant>
      <vt:variant>
        <vt:lpwstr/>
      </vt:variant>
      <vt:variant>
        <vt:lpwstr>_Toc171237850</vt:lpwstr>
      </vt:variant>
      <vt:variant>
        <vt:i4>1179707</vt:i4>
      </vt:variant>
      <vt:variant>
        <vt:i4>437</vt:i4>
      </vt:variant>
      <vt:variant>
        <vt:i4>0</vt:i4>
      </vt:variant>
      <vt:variant>
        <vt:i4>5</vt:i4>
      </vt:variant>
      <vt:variant>
        <vt:lpwstr/>
      </vt:variant>
      <vt:variant>
        <vt:lpwstr>_Toc161334845</vt:lpwstr>
      </vt:variant>
      <vt:variant>
        <vt:i4>1179707</vt:i4>
      </vt:variant>
      <vt:variant>
        <vt:i4>431</vt:i4>
      </vt:variant>
      <vt:variant>
        <vt:i4>0</vt:i4>
      </vt:variant>
      <vt:variant>
        <vt:i4>5</vt:i4>
      </vt:variant>
      <vt:variant>
        <vt:lpwstr/>
      </vt:variant>
      <vt:variant>
        <vt:lpwstr>_Toc161334844</vt:lpwstr>
      </vt:variant>
      <vt:variant>
        <vt:i4>1179707</vt:i4>
      </vt:variant>
      <vt:variant>
        <vt:i4>425</vt:i4>
      </vt:variant>
      <vt:variant>
        <vt:i4>0</vt:i4>
      </vt:variant>
      <vt:variant>
        <vt:i4>5</vt:i4>
      </vt:variant>
      <vt:variant>
        <vt:lpwstr/>
      </vt:variant>
      <vt:variant>
        <vt:lpwstr>_Toc161334843</vt:lpwstr>
      </vt:variant>
      <vt:variant>
        <vt:i4>1179707</vt:i4>
      </vt:variant>
      <vt:variant>
        <vt:i4>419</vt:i4>
      </vt:variant>
      <vt:variant>
        <vt:i4>0</vt:i4>
      </vt:variant>
      <vt:variant>
        <vt:i4>5</vt:i4>
      </vt:variant>
      <vt:variant>
        <vt:lpwstr/>
      </vt:variant>
      <vt:variant>
        <vt:lpwstr>_Toc161334842</vt:lpwstr>
      </vt:variant>
      <vt:variant>
        <vt:i4>1179707</vt:i4>
      </vt:variant>
      <vt:variant>
        <vt:i4>413</vt:i4>
      </vt:variant>
      <vt:variant>
        <vt:i4>0</vt:i4>
      </vt:variant>
      <vt:variant>
        <vt:i4>5</vt:i4>
      </vt:variant>
      <vt:variant>
        <vt:lpwstr/>
      </vt:variant>
      <vt:variant>
        <vt:lpwstr>_Toc161334841</vt:lpwstr>
      </vt:variant>
      <vt:variant>
        <vt:i4>1179707</vt:i4>
      </vt:variant>
      <vt:variant>
        <vt:i4>407</vt:i4>
      </vt:variant>
      <vt:variant>
        <vt:i4>0</vt:i4>
      </vt:variant>
      <vt:variant>
        <vt:i4>5</vt:i4>
      </vt:variant>
      <vt:variant>
        <vt:lpwstr/>
      </vt:variant>
      <vt:variant>
        <vt:lpwstr>_Toc161334840</vt:lpwstr>
      </vt:variant>
      <vt:variant>
        <vt:i4>1114171</vt:i4>
      </vt:variant>
      <vt:variant>
        <vt:i4>398</vt:i4>
      </vt:variant>
      <vt:variant>
        <vt:i4>0</vt:i4>
      </vt:variant>
      <vt:variant>
        <vt:i4>5</vt:i4>
      </vt:variant>
      <vt:variant>
        <vt:lpwstr/>
      </vt:variant>
      <vt:variant>
        <vt:lpwstr>_Toc171237847</vt:lpwstr>
      </vt:variant>
      <vt:variant>
        <vt:i4>1114171</vt:i4>
      </vt:variant>
      <vt:variant>
        <vt:i4>392</vt:i4>
      </vt:variant>
      <vt:variant>
        <vt:i4>0</vt:i4>
      </vt:variant>
      <vt:variant>
        <vt:i4>5</vt:i4>
      </vt:variant>
      <vt:variant>
        <vt:lpwstr/>
      </vt:variant>
      <vt:variant>
        <vt:lpwstr>_Toc171237846</vt:lpwstr>
      </vt:variant>
      <vt:variant>
        <vt:i4>1114171</vt:i4>
      </vt:variant>
      <vt:variant>
        <vt:i4>386</vt:i4>
      </vt:variant>
      <vt:variant>
        <vt:i4>0</vt:i4>
      </vt:variant>
      <vt:variant>
        <vt:i4>5</vt:i4>
      </vt:variant>
      <vt:variant>
        <vt:lpwstr/>
      </vt:variant>
      <vt:variant>
        <vt:lpwstr>_Toc171237845</vt:lpwstr>
      </vt:variant>
      <vt:variant>
        <vt:i4>1114171</vt:i4>
      </vt:variant>
      <vt:variant>
        <vt:i4>380</vt:i4>
      </vt:variant>
      <vt:variant>
        <vt:i4>0</vt:i4>
      </vt:variant>
      <vt:variant>
        <vt:i4>5</vt:i4>
      </vt:variant>
      <vt:variant>
        <vt:lpwstr/>
      </vt:variant>
      <vt:variant>
        <vt:lpwstr>_Toc171237844</vt:lpwstr>
      </vt:variant>
      <vt:variant>
        <vt:i4>1114171</vt:i4>
      </vt:variant>
      <vt:variant>
        <vt:i4>374</vt:i4>
      </vt:variant>
      <vt:variant>
        <vt:i4>0</vt:i4>
      </vt:variant>
      <vt:variant>
        <vt:i4>5</vt:i4>
      </vt:variant>
      <vt:variant>
        <vt:lpwstr/>
      </vt:variant>
      <vt:variant>
        <vt:lpwstr>_Toc171237843</vt:lpwstr>
      </vt:variant>
      <vt:variant>
        <vt:i4>1114171</vt:i4>
      </vt:variant>
      <vt:variant>
        <vt:i4>368</vt:i4>
      </vt:variant>
      <vt:variant>
        <vt:i4>0</vt:i4>
      </vt:variant>
      <vt:variant>
        <vt:i4>5</vt:i4>
      </vt:variant>
      <vt:variant>
        <vt:lpwstr/>
      </vt:variant>
      <vt:variant>
        <vt:lpwstr>_Toc171237842</vt:lpwstr>
      </vt:variant>
      <vt:variant>
        <vt:i4>1114171</vt:i4>
      </vt:variant>
      <vt:variant>
        <vt:i4>362</vt:i4>
      </vt:variant>
      <vt:variant>
        <vt:i4>0</vt:i4>
      </vt:variant>
      <vt:variant>
        <vt:i4>5</vt:i4>
      </vt:variant>
      <vt:variant>
        <vt:lpwstr/>
      </vt:variant>
      <vt:variant>
        <vt:lpwstr>_Toc171237841</vt:lpwstr>
      </vt:variant>
      <vt:variant>
        <vt:i4>1114171</vt:i4>
      </vt:variant>
      <vt:variant>
        <vt:i4>356</vt:i4>
      </vt:variant>
      <vt:variant>
        <vt:i4>0</vt:i4>
      </vt:variant>
      <vt:variant>
        <vt:i4>5</vt:i4>
      </vt:variant>
      <vt:variant>
        <vt:lpwstr/>
      </vt:variant>
      <vt:variant>
        <vt:lpwstr>_Toc171237840</vt:lpwstr>
      </vt:variant>
      <vt:variant>
        <vt:i4>1441851</vt:i4>
      </vt:variant>
      <vt:variant>
        <vt:i4>350</vt:i4>
      </vt:variant>
      <vt:variant>
        <vt:i4>0</vt:i4>
      </vt:variant>
      <vt:variant>
        <vt:i4>5</vt:i4>
      </vt:variant>
      <vt:variant>
        <vt:lpwstr/>
      </vt:variant>
      <vt:variant>
        <vt:lpwstr>_Toc171237839</vt:lpwstr>
      </vt:variant>
      <vt:variant>
        <vt:i4>1441851</vt:i4>
      </vt:variant>
      <vt:variant>
        <vt:i4>344</vt:i4>
      </vt:variant>
      <vt:variant>
        <vt:i4>0</vt:i4>
      </vt:variant>
      <vt:variant>
        <vt:i4>5</vt:i4>
      </vt:variant>
      <vt:variant>
        <vt:lpwstr/>
      </vt:variant>
      <vt:variant>
        <vt:lpwstr>_Toc171237838</vt:lpwstr>
      </vt:variant>
      <vt:variant>
        <vt:i4>1441851</vt:i4>
      </vt:variant>
      <vt:variant>
        <vt:i4>338</vt:i4>
      </vt:variant>
      <vt:variant>
        <vt:i4>0</vt:i4>
      </vt:variant>
      <vt:variant>
        <vt:i4>5</vt:i4>
      </vt:variant>
      <vt:variant>
        <vt:lpwstr/>
      </vt:variant>
      <vt:variant>
        <vt:lpwstr>_Toc171237837</vt:lpwstr>
      </vt:variant>
      <vt:variant>
        <vt:i4>1441851</vt:i4>
      </vt:variant>
      <vt:variant>
        <vt:i4>332</vt:i4>
      </vt:variant>
      <vt:variant>
        <vt:i4>0</vt:i4>
      </vt:variant>
      <vt:variant>
        <vt:i4>5</vt:i4>
      </vt:variant>
      <vt:variant>
        <vt:lpwstr/>
      </vt:variant>
      <vt:variant>
        <vt:lpwstr>_Toc171237836</vt:lpwstr>
      </vt:variant>
      <vt:variant>
        <vt:i4>1441851</vt:i4>
      </vt:variant>
      <vt:variant>
        <vt:i4>326</vt:i4>
      </vt:variant>
      <vt:variant>
        <vt:i4>0</vt:i4>
      </vt:variant>
      <vt:variant>
        <vt:i4>5</vt:i4>
      </vt:variant>
      <vt:variant>
        <vt:lpwstr/>
      </vt:variant>
      <vt:variant>
        <vt:lpwstr>_Toc171237835</vt:lpwstr>
      </vt:variant>
      <vt:variant>
        <vt:i4>1441851</vt:i4>
      </vt:variant>
      <vt:variant>
        <vt:i4>320</vt:i4>
      </vt:variant>
      <vt:variant>
        <vt:i4>0</vt:i4>
      </vt:variant>
      <vt:variant>
        <vt:i4>5</vt:i4>
      </vt:variant>
      <vt:variant>
        <vt:lpwstr/>
      </vt:variant>
      <vt:variant>
        <vt:lpwstr>_Toc171237834</vt:lpwstr>
      </vt:variant>
      <vt:variant>
        <vt:i4>1441851</vt:i4>
      </vt:variant>
      <vt:variant>
        <vt:i4>314</vt:i4>
      </vt:variant>
      <vt:variant>
        <vt:i4>0</vt:i4>
      </vt:variant>
      <vt:variant>
        <vt:i4>5</vt:i4>
      </vt:variant>
      <vt:variant>
        <vt:lpwstr/>
      </vt:variant>
      <vt:variant>
        <vt:lpwstr>_Toc171237833</vt:lpwstr>
      </vt:variant>
      <vt:variant>
        <vt:i4>1441851</vt:i4>
      </vt:variant>
      <vt:variant>
        <vt:i4>308</vt:i4>
      </vt:variant>
      <vt:variant>
        <vt:i4>0</vt:i4>
      </vt:variant>
      <vt:variant>
        <vt:i4>5</vt:i4>
      </vt:variant>
      <vt:variant>
        <vt:lpwstr/>
      </vt:variant>
      <vt:variant>
        <vt:lpwstr>_Toc171237832</vt:lpwstr>
      </vt:variant>
      <vt:variant>
        <vt:i4>1441851</vt:i4>
      </vt:variant>
      <vt:variant>
        <vt:i4>302</vt:i4>
      </vt:variant>
      <vt:variant>
        <vt:i4>0</vt:i4>
      </vt:variant>
      <vt:variant>
        <vt:i4>5</vt:i4>
      </vt:variant>
      <vt:variant>
        <vt:lpwstr/>
      </vt:variant>
      <vt:variant>
        <vt:lpwstr>_Toc171237831</vt:lpwstr>
      </vt:variant>
      <vt:variant>
        <vt:i4>1441851</vt:i4>
      </vt:variant>
      <vt:variant>
        <vt:i4>296</vt:i4>
      </vt:variant>
      <vt:variant>
        <vt:i4>0</vt:i4>
      </vt:variant>
      <vt:variant>
        <vt:i4>5</vt:i4>
      </vt:variant>
      <vt:variant>
        <vt:lpwstr/>
      </vt:variant>
      <vt:variant>
        <vt:lpwstr>_Toc171237830</vt:lpwstr>
      </vt:variant>
      <vt:variant>
        <vt:i4>1507387</vt:i4>
      </vt:variant>
      <vt:variant>
        <vt:i4>290</vt:i4>
      </vt:variant>
      <vt:variant>
        <vt:i4>0</vt:i4>
      </vt:variant>
      <vt:variant>
        <vt:i4>5</vt:i4>
      </vt:variant>
      <vt:variant>
        <vt:lpwstr/>
      </vt:variant>
      <vt:variant>
        <vt:lpwstr>_Toc171237829</vt:lpwstr>
      </vt:variant>
      <vt:variant>
        <vt:i4>1507387</vt:i4>
      </vt:variant>
      <vt:variant>
        <vt:i4>284</vt:i4>
      </vt:variant>
      <vt:variant>
        <vt:i4>0</vt:i4>
      </vt:variant>
      <vt:variant>
        <vt:i4>5</vt:i4>
      </vt:variant>
      <vt:variant>
        <vt:lpwstr/>
      </vt:variant>
      <vt:variant>
        <vt:lpwstr>_Toc171237828</vt:lpwstr>
      </vt:variant>
      <vt:variant>
        <vt:i4>1507387</vt:i4>
      </vt:variant>
      <vt:variant>
        <vt:i4>278</vt:i4>
      </vt:variant>
      <vt:variant>
        <vt:i4>0</vt:i4>
      </vt:variant>
      <vt:variant>
        <vt:i4>5</vt:i4>
      </vt:variant>
      <vt:variant>
        <vt:lpwstr/>
      </vt:variant>
      <vt:variant>
        <vt:lpwstr>_Toc171237827</vt:lpwstr>
      </vt:variant>
      <vt:variant>
        <vt:i4>1507387</vt:i4>
      </vt:variant>
      <vt:variant>
        <vt:i4>272</vt:i4>
      </vt:variant>
      <vt:variant>
        <vt:i4>0</vt:i4>
      </vt:variant>
      <vt:variant>
        <vt:i4>5</vt:i4>
      </vt:variant>
      <vt:variant>
        <vt:lpwstr/>
      </vt:variant>
      <vt:variant>
        <vt:lpwstr>_Toc171237826</vt:lpwstr>
      </vt:variant>
      <vt:variant>
        <vt:i4>1507387</vt:i4>
      </vt:variant>
      <vt:variant>
        <vt:i4>266</vt:i4>
      </vt:variant>
      <vt:variant>
        <vt:i4>0</vt:i4>
      </vt:variant>
      <vt:variant>
        <vt:i4>5</vt:i4>
      </vt:variant>
      <vt:variant>
        <vt:lpwstr/>
      </vt:variant>
      <vt:variant>
        <vt:lpwstr>_Toc171237825</vt:lpwstr>
      </vt:variant>
      <vt:variant>
        <vt:i4>1507387</vt:i4>
      </vt:variant>
      <vt:variant>
        <vt:i4>260</vt:i4>
      </vt:variant>
      <vt:variant>
        <vt:i4>0</vt:i4>
      </vt:variant>
      <vt:variant>
        <vt:i4>5</vt:i4>
      </vt:variant>
      <vt:variant>
        <vt:lpwstr/>
      </vt:variant>
      <vt:variant>
        <vt:lpwstr>_Toc171237824</vt:lpwstr>
      </vt:variant>
      <vt:variant>
        <vt:i4>1507387</vt:i4>
      </vt:variant>
      <vt:variant>
        <vt:i4>254</vt:i4>
      </vt:variant>
      <vt:variant>
        <vt:i4>0</vt:i4>
      </vt:variant>
      <vt:variant>
        <vt:i4>5</vt:i4>
      </vt:variant>
      <vt:variant>
        <vt:lpwstr/>
      </vt:variant>
      <vt:variant>
        <vt:lpwstr>_Toc171237823</vt:lpwstr>
      </vt:variant>
      <vt:variant>
        <vt:i4>1507387</vt:i4>
      </vt:variant>
      <vt:variant>
        <vt:i4>248</vt:i4>
      </vt:variant>
      <vt:variant>
        <vt:i4>0</vt:i4>
      </vt:variant>
      <vt:variant>
        <vt:i4>5</vt:i4>
      </vt:variant>
      <vt:variant>
        <vt:lpwstr/>
      </vt:variant>
      <vt:variant>
        <vt:lpwstr>_Toc171237822</vt:lpwstr>
      </vt:variant>
      <vt:variant>
        <vt:i4>1507387</vt:i4>
      </vt:variant>
      <vt:variant>
        <vt:i4>242</vt:i4>
      </vt:variant>
      <vt:variant>
        <vt:i4>0</vt:i4>
      </vt:variant>
      <vt:variant>
        <vt:i4>5</vt:i4>
      </vt:variant>
      <vt:variant>
        <vt:lpwstr/>
      </vt:variant>
      <vt:variant>
        <vt:lpwstr>_Toc171237821</vt:lpwstr>
      </vt:variant>
      <vt:variant>
        <vt:i4>1507387</vt:i4>
      </vt:variant>
      <vt:variant>
        <vt:i4>236</vt:i4>
      </vt:variant>
      <vt:variant>
        <vt:i4>0</vt:i4>
      </vt:variant>
      <vt:variant>
        <vt:i4>5</vt:i4>
      </vt:variant>
      <vt:variant>
        <vt:lpwstr/>
      </vt:variant>
      <vt:variant>
        <vt:lpwstr>_Toc171237820</vt:lpwstr>
      </vt:variant>
      <vt:variant>
        <vt:i4>1310779</vt:i4>
      </vt:variant>
      <vt:variant>
        <vt:i4>230</vt:i4>
      </vt:variant>
      <vt:variant>
        <vt:i4>0</vt:i4>
      </vt:variant>
      <vt:variant>
        <vt:i4>5</vt:i4>
      </vt:variant>
      <vt:variant>
        <vt:lpwstr/>
      </vt:variant>
      <vt:variant>
        <vt:lpwstr>_Toc171237819</vt:lpwstr>
      </vt:variant>
      <vt:variant>
        <vt:i4>1310779</vt:i4>
      </vt:variant>
      <vt:variant>
        <vt:i4>224</vt:i4>
      </vt:variant>
      <vt:variant>
        <vt:i4>0</vt:i4>
      </vt:variant>
      <vt:variant>
        <vt:i4>5</vt:i4>
      </vt:variant>
      <vt:variant>
        <vt:lpwstr/>
      </vt:variant>
      <vt:variant>
        <vt:lpwstr>_Toc171237818</vt:lpwstr>
      </vt:variant>
      <vt:variant>
        <vt:i4>1310779</vt:i4>
      </vt:variant>
      <vt:variant>
        <vt:i4>218</vt:i4>
      </vt:variant>
      <vt:variant>
        <vt:i4>0</vt:i4>
      </vt:variant>
      <vt:variant>
        <vt:i4>5</vt:i4>
      </vt:variant>
      <vt:variant>
        <vt:lpwstr/>
      </vt:variant>
      <vt:variant>
        <vt:lpwstr>_Toc171237817</vt:lpwstr>
      </vt:variant>
      <vt:variant>
        <vt:i4>1310779</vt:i4>
      </vt:variant>
      <vt:variant>
        <vt:i4>212</vt:i4>
      </vt:variant>
      <vt:variant>
        <vt:i4>0</vt:i4>
      </vt:variant>
      <vt:variant>
        <vt:i4>5</vt:i4>
      </vt:variant>
      <vt:variant>
        <vt:lpwstr/>
      </vt:variant>
      <vt:variant>
        <vt:lpwstr>_Toc171237816</vt:lpwstr>
      </vt:variant>
      <vt:variant>
        <vt:i4>1310779</vt:i4>
      </vt:variant>
      <vt:variant>
        <vt:i4>206</vt:i4>
      </vt:variant>
      <vt:variant>
        <vt:i4>0</vt:i4>
      </vt:variant>
      <vt:variant>
        <vt:i4>5</vt:i4>
      </vt:variant>
      <vt:variant>
        <vt:lpwstr/>
      </vt:variant>
      <vt:variant>
        <vt:lpwstr>_Toc171237815</vt:lpwstr>
      </vt:variant>
      <vt:variant>
        <vt:i4>1310779</vt:i4>
      </vt:variant>
      <vt:variant>
        <vt:i4>200</vt:i4>
      </vt:variant>
      <vt:variant>
        <vt:i4>0</vt:i4>
      </vt:variant>
      <vt:variant>
        <vt:i4>5</vt:i4>
      </vt:variant>
      <vt:variant>
        <vt:lpwstr/>
      </vt:variant>
      <vt:variant>
        <vt:lpwstr>_Toc171237814</vt:lpwstr>
      </vt:variant>
      <vt:variant>
        <vt:i4>1310779</vt:i4>
      </vt:variant>
      <vt:variant>
        <vt:i4>194</vt:i4>
      </vt:variant>
      <vt:variant>
        <vt:i4>0</vt:i4>
      </vt:variant>
      <vt:variant>
        <vt:i4>5</vt:i4>
      </vt:variant>
      <vt:variant>
        <vt:lpwstr/>
      </vt:variant>
      <vt:variant>
        <vt:lpwstr>_Toc171237813</vt:lpwstr>
      </vt:variant>
      <vt:variant>
        <vt:i4>1310779</vt:i4>
      </vt:variant>
      <vt:variant>
        <vt:i4>188</vt:i4>
      </vt:variant>
      <vt:variant>
        <vt:i4>0</vt:i4>
      </vt:variant>
      <vt:variant>
        <vt:i4>5</vt:i4>
      </vt:variant>
      <vt:variant>
        <vt:lpwstr/>
      </vt:variant>
      <vt:variant>
        <vt:lpwstr>_Toc171237812</vt:lpwstr>
      </vt:variant>
      <vt:variant>
        <vt:i4>1310779</vt:i4>
      </vt:variant>
      <vt:variant>
        <vt:i4>182</vt:i4>
      </vt:variant>
      <vt:variant>
        <vt:i4>0</vt:i4>
      </vt:variant>
      <vt:variant>
        <vt:i4>5</vt:i4>
      </vt:variant>
      <vt:variant>
        <vt:lpwstr/>
      </vt:variant>
      <vt:variant>
        <vt:lpwstr>_Toc171237811</vt:lpwstr>
      </vt:variant>
      <vt:variant>
        <vt:i4>1310779</vt:i4>
      </vt:variant>
      <vt:variant>
        <vt:i4>176</vt:i4>
      </vt:variant>
      <vt:variant>
        <vt:i4>0</vt:i4>
      </vt:variant>
      <vt:variant>
        <vt:i4>5</vt:i4>
      </vt:variant>
      <vt:variant>
        <vt:lpwstr/>
      </vt:variant>
      <vt:variant>
        <vt:lpwstr>_Toc171237810</vt:lpwstr>
      </vt:variant>
      <vt:variant>
        <vt:i4>1376315</vt:i4>
      </vt:variant>
      <vt:variant>
        <vt:i4>170</vt:i4>
      </vt:variant>
      <vt:variant>
        <vt:i4>0</vt:i4>
      </vt:variant>
      <vt:variant>
        <vt:i4>5</vt:i4>
      </vt:variant>
      <vt:variant>
        <vt:lpwstr/>
      </vt:variant>
      <vt:variant>
        <vt:lpwstr>_Toc171237809</vt:lpwstr>
      </vt:variant>
      <vt:variant>
        <vt:i4>1376315</vt:i4>
      </vt:variant>
      <vt:variant>
        <vt:i4>164</vt:i4>
      </vt:variant>
      <vt:variant>
        <vt:i4>0</vt:i4>
      </vt:variant>
      <vt:variant>
        <vt:i4>5</vt:i4>
      </vt:variant>
      <vt:variant>
        <vt:lpwstr/>
      </vt:variant>
      <vt:variant>
        <vt:lpwstr>_Toc171237808</vt:lpwstr>
      </vt:variant>
      <vt:variant>
        <vt:i4>1376315</vt:i4>
      </vt:variant>
      <vt:variant>
        <vt:i4>158</vt:i4>
      </vt:variant>
      <vt:variant>
        <vt:i4>0</vt:i4>
      </vt:variant>
      <vt:variant>
        <vt:i4>5</vt:i4>
      </vt:variant>
      <vt:variant>
        <vt:lpwstr/>
      </vt:variant>
      <vt:variant>
        <vt:lpwstr>_Toc171237807</vt:lpwstr>
      </vt:variant>
      <vt:variant>
        <vt:i4>1376315</vt:i4>
      </vt:variant>
      <vt:variant>
        <vt:i4>152</vt:i4>
      </vt:variant>
      <vt:variant>
        <vt:i4>0</vt:i4>
      </vt:variant>
      <vt:variant>
        <vt:i4>5</vt:i4>
      </vt:variant>
      <vt:variant>
        <vt:lpwstr/>
      </vt:variant>
      <vt:variant>
        <vt:lpwstr>_Toc171237806</vt:lpwstr>
      </vt:variant>
      <vt:variant>
        <vt:i4>1376315</vt:i4>
      </vt:variant>
      <vt:variant>
        <vt:i4>146</vt:i4>
      </vt:variant>
      <vt:variant>
        <vt:i4>0</vt:i4>
      </vt:variant>
      <vt:variant>
        <vt:i4>5</vt:i4>
      </vt:variant>
      <vt:variant>
        <vt:lpwstr/>
      </vt:variant>
      <vt:variant>
        <vt:lpwstr>_Toc171237805</vt:lpwstr>
      </vt:variant>
      <vt:variant>
        <vt:i4>1376315</vt:i4>
      </vt:variant>
      <vt:variant>
        <vt:i4>140</vt:i4>
      </vt:variant>
      <vt:variant>
        <vt:i4>0</vt:i4>
      </vt:variant>
      <vt:variant>
        <vt:i4>5</vt:i4>
      </vt:variant>
      <vt:variant>
        <vt:lpwstr/>
      </vt:variant>
      <vt:variant>
        <vt:lpwstr>_Toc171237804</vt:lpwstr>
      </vt:variant>
      <vt:variant>
        <vt:i4>1376315</vt:i4>
      </vt:variant>
      <vt:variant>
        <vt:i4>134</vt:i4>
      </vt:variant>
      <vt:variant>
        <vt:i4>0</vt:i4>
      </vt:variant>
      <vt:variant>
        <vt:i4>5</vt:i4>
      </vt:variant>
      <vt:variant>
        <vt:lpwstr/>
      </vt:variant>
      <vt:variant>
        <vt:lpwstr>_Toc171237803</vt:lpwstr>
      </vt:variant>
      <vt:variant>
        <vt:i4>1376315</vt:i4>
      </vt:variant>
      <vt:variant>
        <vt:i4>128</vt:i4>
      </vt:variant>
      <vt:variant>
        <vt:i4>0</vt:i4>
      </vt:variant>
      <vt:variant>
        <vt:i4>5</vt:i4>
      </vt:variant>
      <vt:variant>
        <vt:lpwstr/>
      </vt:variant>
      <vt:variant>
        <vt:lpwstr>_Toc171237802</vt:lpwstr>
      </vt:variant>
      <vt:variant>
        <vt:i4>1376315</vt:i4>
      </vt:variant>
      <vt:variant>
        <vt:i4>122</vt:i4>
      </vt:variant>
      <vt:variant>
        <vt:i4>0</vt:i4>
      </vt:variant>
      <vt:variant>
        <vt:i4>5</vt:i4>
      </vt:variant>
      <vt:variant>
        <vt:lpwstr/>
      </vt:variant>
      <vt:variant>
        <vt:lpwstr>_Toc171237801</vt:lpwstr>
      </vt:variant>
      <vt:variant>
        <vt:i4>1376315</vt:i4>
      </vt:variant>
      <vt:variant>
        <vt:i4>116</vt:i4>
      </vt:variant>
      <vt:variant>
        <vt:i4>0</vt:i4>
      </vt:variant>
      <vt:variant>
        <vt:i4>5</vt:i4>
      </vt:variant>
      <vt:variant>
        <vt:lpwstr/>
      </vt:variant>
      <vt:variant>
        <vt:lpwstr>_Toc171237800</vt:lpwstr>
      </vt:variant>
      <vt:variant>
        <vt:i4>1835060</vt:i4>
      </vt:variant>
      <vt:variant>
        <vt:i4>110</vt:i4>
      </vt:variant>
      <vt:variant>
        <vt:i4>0</vt:i4>
      </vt:variant>
      <vt:variant>
        <vt:i4>5</vt:i4>
      </vt:variant>
      <vt:variant>
        <vt:lpwstr/>
      </vt:variant>
      <vt:variant>
        <vt:lpwstr>_Toc171237799</vt:lpwstr>
      </vt:variant>
      <vt:variant>
        <vt:i4>1835060</vt:i4>
      </vt:variant>
      <vt:variant>
        <vt:i4>104</vt:i4>
      </vt:variant>
      <vt:variant>
        <vt:i4>0</vt:i4>
      </vt:variant>
      <vt:variant>
        <vt:i4>5</vt:i4>
      </vt:variant>
      <vt:variant>
        <vt:lpwstr/>
      </vt:variant>
      <vt:variant>
        <vt:lpwstr>_Toc171237798</vt:lpwstr>
      </vt:variant>
      <vt:variant>
        <vt:i4>1835060</vt:i4>
      </vt:variant>
      <vt:variant>
        <vt:i4>98</vt:i4>
      </vt:variant>
      <vt:variant>
        <vt:i4>0</vt:i4>
      </vt:variant>
      <vt:variant>
        <vt:i4>5</vt:i4>
      </vt:variant>
      <vt:variant>
        <vt:lpwstr/>
      </vt:variant>
      <vt:variant>
        <vt:lpwstr>_Toc171237797</vt:lpwstr>
      </vt:variant>
      <vt:variant>
        <vt:i4>1835060</vt:i4>
      </vt:variant>
      <vt:variant>
        <vt:i4>92</vt:i4>
      </vt:variant>
      <vt:variant>
        <vt:i4>0</vt:i4>
      </vt:variant>
      <vt:variant>
        <vt:i4>5</vt:i4>
      </vt:variant>
      <vt:variant>
        <vt:lpwstr/>
      </vt:variant>
      <vt:variant>
        <vt:lpwstr>_Toc171237796</vt:lpwstr>
      </vt:variant>
      <vt:variant>
        <vt:i4>1835060</vt:i4>
      </vt:variant>
      <vt:variant>
        <vt:i4>86</vt:i4>
      </vt:variant>
      <vt:variant>
        <vt:i4>0</vt:i4>
      </vt:variant>
      <vt:variant>
        <vt:i4>5</vt:i4>
      </vt:variant>
      <vt:variant>
        <vt:lpwstr/>
      </vt:variant>
      <vt:variant>
        <vt:lpwstr>_Toc171237795</vt:lpwstr>
      </vt:variant>
      <vt:variant>
        <vt:i4>1835060</vt:i4>
      </vt:variant>
      <vt:variant>
        <vt:i4>80</vt:i4>
      </vt:variant>
      <vt:variant>
        <vt:i4>0</vt:i4>
      </vt:variant>
      <vt:variant>
        <vt:i4>5</vt:i4>
      </vt:variant>
      <vt:variant>
        <vt:lpwstr/>
      </vt:variant>
      <vt:variant>
        <vt:lpwstr>_Toc171237794</vt:lpwstr>
      </vt:variant>
      <vt:variant>
        <vt:i4>1835060</vt:i4>
      </vt:variant>
      <vt:variant>
        <vt:i4>74</vt:i4>
      </vt:variant>
      <vt:variant>
        <vt:i4>0</vt:i4>
      </vt:variant>
      <vt:variant>
        <vt:i4>5</vt:i4>
      </vt:variant>
      <vt:variant>
        <vt:lpwstr/>
      </vt:variant>
      <vt:variant>
        <vt:lpwstr>_Toc171237793</vt:lpwstr>
      </vt:variant>
      <vt:variant>
        <vt:i4>1835060</vt:i4>
      </vt:variant>
      <vt:variant>
        <vt:i4>68</vt:i4>
      </vt:variant>
      <vt:variant>
        <vt:i4>0</vt:i4>
      </vt:variant>
      <vt:variant>
        <vt:i4>5</vt:i4>
      </vt:variant>
      <vt:variant>
        <vt:lpwstr/>
      </vt:variant>
      <vt:variant>
        <vt:lpwstr>_Toc171237792</vt:lpwstr>
      </vt:variant>
      <vt:variant>
        <vt:i4>1835060</vt:i4>
      </vt:variant>
      <vt:variant>
        <vt:i4>62</vt:i4>
      </vt:variant>
      <vt:variant>
        <vt:i4>0</vt:i4>
      </vt:variant>
      <vt:variant>
        <vt:i4>5</vt:i4>
      </vt:variant>
      <vt:variant>
        <vt:lpwstr/>
      </vt:variant>
      <vt:variant>
        <vt:lpwstr>_Toc171237791</vt:lpwstr>
      </vt:variant>
      <vt:variant>
        <vt:i4>1835060</vt:i4>
      </vt:variant>
      <vt:variant>
        <vt:i4>56</vt:i4>
      </vt:variant>
      <vt:variant>
        <vt:i4>0</vt:i4>
      </vt:variant>
      <vt:variant>
        <vt:i4>5</vt:i4>
      </vt:variant>
      <vt:variant>
        <vt:lpwstr/>
      </vt:variant>
      <vt:variant>
        <vt:lpwstr>_Toc171237790</vt:lpwstr>
      </vt:variant>
      <vt:variant>
        <vt:i4>1900596</vt:i4>
      </vt:variant>
      <vt:variant>
        <vt:i4>50</vt:i4>
      </vt:variant>
      <vt:variant>
        <vt:i4>0</vt:i4>
      </vt:variant>
      <vt:variant>
        <vt:i4>5</vt:i4>
      </vt:variant>
      <vt:variant>
        <vt:lpwstr/>
      </vt:variant>
      <vt:variant>
        <vt:lpwstr>_Toc171237789</vt:lpwstr>
      </vt:variant>
      <vt:variant>
        <vt:i4>1900596</vt:i4>
      </vt:variant>
      <vt:variant>
        <vt:i4>44</vt:i4>
      </vt:variant>
      <vt:variant>
        <vt:i4>0</vt:i4>
      </vt:variant>
      <vt:variant>
        <vt:i4>5</vt:i4>
      </vt:variant>
      <vt:variant>
        <vt:lpwstr/>
      </vt:variant>
      <vt:variant>
        <vt:lpwstr>_Toc171237788</vt:lpwstr>
      </vt:variant>
      <vt:variant>
        <vt:i4>1900596</vt:i4>
      </vt:variant>
      <vt:variant>
        <vt:i4>38</vt:i4>
      </vt:variant>
      <vt:variant>
        <vt:i4>0</vt:i4>
      </vt:variant>
      <vt:variant>
        <vt:i4>5</vt:i4>
      </vt:variant>
      <vt:variant>
        <vt:lpwstr/>
      </vt:variant>
      <vt:variant>
        <vt:lpwstr>_Toc171237787</vt:lpwstr>
      </vt:variant>
      <vt:variant>
        <vt:i4>1900596</vt:i4>
      </vt:variant>
      <vt:variant>
        <vt:i4>32</vt:i4>
      </vt:variant>
      <vt:variant>
        <vt:i4>0</vt:i4>
      </vt:variant>
      <vt:variant>
        <vt:i4>5</vt:i4>
      </vt:variant>
      <vt:variant>
        <vt:lpwstr/>
      </vt:variant>
      <vt:variant>
        <vt:lpwstr>_Toc171237786</vt:lpwstr>
      </vt:variant>
      <vt:variant>
        <vt:i4>1900596</vt:i4>
      </vt:variant>
      <vt:variant>
        <vt:i4>26</vt:i4>
      </vt:variant>
      <vt:variant>
        <vt:i4>0</vt:i4>
      </vt:variant>
      <vt:variant>
        <vt:i4>5</vt:i4>
      </vt:variant>
      <vt:variant>
        <vt:lpwstr/>
      </vt:variant>
      <vt:variant>
        <vt:lpwstr>_Toc171237785</vt:lpwstr>
      </vt:variant>
      <vt:variant>
        <vt:i4>1900596</vt:i4>
      </vt:variant>
      <vt:variant>
        <vt:i4>20</vt:i4>
      </vt:variant>
      <vt:variant>
        <vt:i4>0</vt:i4>
      </vt:variant>
      <vt:variant>
        <vt:i4>5</vt:i4>
      </vt:variant>
      <vt:variant>
        <vt:lpwstr/>
      </vt:variant>
      <vt:variant>
        <vt:lpwstr>_Toc171237784</vt:lpwstr>
      </vt:variant>
      <vt:variant>
        <vt:i4>1900596</vt:i4>
      </vt:variant>
      <vt:variant>
        <vt:i4>14</vt:i4>
      </vt:variant>
      <vt:variant>
        <vt:i4>0</vt:i4>
      </vt:variant>
      <vt:variant>
        <vt:i4>5</vt:i4>
      </vt:variant>
      <vt:variant>
        <vt:lpwstr/>
      </vt:variant>
      <vt:variant>
        <vt:lpwstr>_Toc171237783</vt:lpwstr>
      </vt:variant>
      <vt:variant>
        <vt:i4>1900596</vt:i4>
      </vt:variant>
      <vt:variant>
        <vt:i4>8</vt:i4>
      </vt:variant>
      <vt:variant>
        <vt:i4>0</vt:i4>
      </vt:variant>
      <vt:variant>
        <vt:i4>5</vt:i4>
      </vt:variant>
      <vt:variant>
        <vt:lpwstr/>
      </vt:variant>
      <vt:variant>
        <vt:lpwstr>_Toc171237782</vt:lpwstr>
      </vt:variant>
      <vt:variant>
        <vt:i4>1900596</vt:i4>
      </vt:variant>
      <vt:variant>
        <vt:i4>2</vt:i4>
      </vt:variant>
      <vt:variant>
        <vt:i4>0</vt:i4>
      </vt:variant>
      <vt:variant>
        <vt:i4>5</vt:i4>
      </vt:variant>
      <vt:variant>
        <vt:lpwstr/>
      </vt:variant>
      <vt:variant>
        <vt:lpwstr>_Toc171237781</vt:lpwstr>
      </vt:variant>
      <vt:variant>
        <vt:i4>22</vt:i4>
      </vt:variant>
      <vt:variant>
        <vt:i4>141</vt:i4>
      </vt:variant>
      <vt:variant>
        <vt:i4>0</vt:i4>
      </vt:variant>
      <vt:variant>
        <vt:i4>5</vt:i4>
      </vt:variant>
      <vt:variant>
        <vt:lpwstr>https://www.thegef.org/council-meeting-documents/gef-c-67-08</vt:lpwstr>
      </vt:variant>
      <vt:variant>
        <vt:lpwstr/>
      </vt:variant>
      <vt:variant>
        <vt:i4>851990</vt:i4>
      </vt:variant>
      <vt:variant>
        <vt:i4>138</vt:i4>
      </vt:variant>
      <vt:variant>
        <vt:i4>0</vt:i4>
      </vt:variant>
      <vt:variant>
        <vt:i4>5</vt:i4>
      </vt:variant>
      <vt:variant>
        <vt:lpwstr>https://www.thegef.org/council-meeting-documents/gef-c-66-15</vt:lpwstr>
      </vt:variant>
      <vt:variant>
        <vt:lpwstr/>
      </vt:variant>
      <vt:variant>
        <vt:i4>4522065</vt:i4>
      </vt:variant>
      <vt:variant>
        <vt:i4>135</vt:i4>
      </vt:variant>
      <vt:variant>
        <vt:i4>0</vt:i4>
      </vt:variant>
      <vt:variant>
        <vt:i4>5</vt:i4>
      </vt:variant>
      <vt:variant>
        <vt:lpwstr>https://www.gefieo.org/sites/default/files/documents/council-documents/c-66-e-02.pdf</vt:lpwstr>
      </vt:variant>
      <vt:variant>
        <vt:lpwstr/>
      </vt:variant>
      <vt:variant>
        <vt:i4>786454</vt:i4>
      </vt:variant>
      <vt:variant>
        <vt:i4>132</vt:i4>
      </vt:variant>
      <vt:variant>
        <vt:i4>0</vt:i4>
      </vt:variant>
      <vt:variant>
        <vt:i4>5</vt:i4>
      </vt:variant>
      <vt:variant>
        <vt:lpwstr>https://www.thegef.org/council-meeting-documents/gef-c-66-14</vt:lpwstr>
      </vt:variant>
      <vt:variant>
        <vt:lpwstr/>
      </vt:variant>
      <vt:variant>
        <vt:i4>2556028</vt:i4>
      </vt:variant>
      <vt:variant>
        <vt:i4>129</vt:i4>
      </vt:variant>
      <vt:variant>
        <vt:i4>0</vt:i4>
      </vt:variant>
      <vt:variant>
        <vt:i4>5</vt:i4>
      </vt:variant>
      <vt:variant>
        <vt:lpwstr>https://www.gefieo.org/sites/default/files/documents/council-documents/c-66-e-01-a.pdf</vt:lpwstr>
      </vt:variant>
      <vt:variant>
        <vt:lpwstr/>
      </vt:variant>
      <vt:variant>
        <vt:i4>786452</vt:i4>
      </vt:variant>
      <vt:variant>
        <vt:i4>126</vt:i4>
      </vt:variant>
      <vt:variant>
        <vt:i4>0</vt:i4>
      </vt:variant>
      <vt:variant>
        <vt:i4>5</vt:i4>
      </vt:variant>
      <vt:variant>
        <vt:lpwstr>https://www.thegef.org/council-meeting-documents/gef-c-64-14</vt:lpwstr>
      </vt:variant>
      <vt:variant>
        <vt:lpwstr/>
      </vt:variant>
      <vt:variant>
        <vt:i4>2949181</vt:i4>
      </vt:variant>
      <vt:variant>
        <vt:i4>123</vt:i4>
      </vt:variant>
      <vt:variant>
        <vt:i4>0</vt:i4>
      </vt:variant>
      <vt:variant>
        <vt:i4>5</vt:i4>
      </vt:variant>
      <vt:variant>
        <vt:lpwstr>https://www.gefieo.org/sites/default/files/documents/council-documents/c-64-e-02-rev-01.pdf</vt:lpwstr>
      </vt:variant>
      <vt:variant>
        <vt:lpwstr/>
      </vt:variant>
      <vt:variant>
        <vt:i4>3670135</vt:i4>
      </vt:variant>
      <vt:variant>
        <vt:i4>120</vt:i4>
      </vt:variant>
      <vt:variant>
        <vt:i4>0</vt:i4>
      </vt:variant>
      <vt:variant>
        <vt:i4>5</vt:i4>
      </vt:variant>
      <vt:variant>
        <vt:lpwstr>https://www.thegef.org/council-meeting-documents/gef-c-62-14-rev-01</vt:lpwstr>
      </vt:variant>
      <vt:variant>
        <vt:lpwstr/>
      </vt:variant>
      <vt:variant>
        <vt:i4>4522069</vt:i4>
      </vt:variant>
      <vt:variant>
        <vt:i4>117</vt:i4>
      </vt:variant>
      <vt:variant>
        <vt:i4>0</vt:i4>
      </vt:variant>
      <vt:variant>
        <vt:i4>5</vt:i4>
      </vt:variant>
      <vt:variant>
        <vt:lpwstr>https://www.gefieo.org/sites/default/files/documents/council-documents/c-62-e-02.pdf</vt:lpwstr>
      </vt:variant>
      <vt:variant>
        <vt:lpwstr/>
      </vt:variant>
      <vt:variant>
        <vt:i4>3997759</vt:i4>
      </vt:variant>
      <vt:variant>
        <vt:i4>114</vt:i4>
      </vt:variant>
      <vt:variant>
        <vt:i4>0</vt:i4>
      </vt:variant>
      <vt:variant>
        <vt:i4>5</vt:i4>
      </vt:variant>
      <vt:variant>
        <vt:lpwstr>https://www.thegef.org/sites/default/files/documents/2024-06/GEFScorecard_June2024_v2.pdf</vt:lpwstr>
      </vt:variant>
      <vt:variant>
        <vt:lpwstr/>
      </vt:variant>
      <vt:variant>
        <vt:i4>3997759</vt:i4>
      </vt:variant>
      <vt:variant>
        <vt:i4>111</vt:i4>
      </vt:variant>
      <vt:variant>
        <vt:i4>0</vt:i4>
      </vt:variant>
      <vt:variant>
        <vt:i4>5</vt:i4>
      </vt:variant>
      <vt:variant>
        <vt:lpwstr>https://www.thegef.org/sites/default/files/documents/2024-06/GEFScorecard_June2024_v2.pdf</vt:lpwstr>
      </vt:variant>
      <vt:variant>
        <vt:lpwstr/>
      </vt:variant>
      <vt:variant>
        <vt:i4>7929866</vt:i4>
      </vt:variant>
      <vt:variant>
        <vt:i4>108</vt:i4>
      </vt:variant>
      <vt:variant>
        <vt:i4>0</vt:i4>
      </vt:variant>
      <vt:variant>
        <vt:i4>5</vt:i4>
      </vt:variant>
      <vt:variant>
        <vt:lpwstr>https://www.thegef.org/sites/default/files/documents/2022-06/EN_GEF.C.62.Inf_.04_GEF_Corporate_Scorecard_June_2020.pdf</vt:lpwstr>
      </vt:variant>
      <vt:variant>
        <vt:lpwstr/>
      </vt:variant>
      <vt:variant>
        <vt:i4>7209048</vt:i4>
      </vt:variant>
      <vt:variant>
        <vt:i4>105</vt:i4>
      </vt:variant>
      <vt:variant>
        <vt:i4>0</vt:i4>
      </vt:variant>
      <vt:variant>
        <vt:i4>5</vt:i4>
      </vt:variant>
      <vt:variant>
        <vt:lpwstr>http://www.thegef.org/sites/default/files/council-meeting-documents/EN_GEF.C.54.11.Rev_.02_Results.pdf</vt:lpwstr>
      </vt:variant>
      <vt:variant>
        <vt:lpwstr/>
      </vt:variant>
      <vt:variant>
        <vt:i4>5439587</vt:i4>
      </vt:variant>
      <vt:variant>
        <vt:i4>102</vt:i4>
      </vt:variant>
      <vt:variant>
        <vt:i4>0</vt:i4>
      </vt:variant>
      <vt:variant>
        <vt:i4>5</vt:i4>
      </vt:variant>
      <vt:variant>
        <vt:lpwstr>https://www.thegef.org/sites/default/files/council-meeting-documents/EN_GEF.C.56.03.Rev_.01_Policy_on_Monitoring.pdf</vt:lpwstr>
      </vt:variant>
      <vt:variant>
        <vt:lpwstr/>
      </vt:variant>
      <vt:variant>
        <vt:i4>7208997</vt:i4>
      </vt:variant>
      <vt:variant>
        <vt:i4>99</vt:i4>
      </vt:variant>
      <vt:variant>
        <vt:i4>0</vt:i4>
      </vt:variant>
      <vt:variant>
        <vt:i4>5</vt:i4>
      </vt:variant>
      <vt:variant>
        <vt:lpwstr>https://www.thegef.org/council-meeting-documents/gef-gbff-02-03</vt:lpwstr>
      </vt:variant>
      <vt:variant>
        <vt:lpwstr/>
      </vt:variant>
      <vt:variant>
        <vt:i4>3866658</vt:i4>
      </vt:variant>
      <vt:variant>
        <vt:i4>96</vt:i4>
      </vt:variant>
      <vt:variant>
        <vt:i4>0</vt:i4>
      </vt:variant>
      <vt:variant>
        <vt:i4>5</vt:i4>
      </vt:variant>
      <vt:variant>
        <vt:lpwstr>https://www.thegef.org/council-meeting-documents/gef-gbff-01-03-rev-03</vt:lpwstr>
      </vt:variant>
      <vt:variant>
        <vt:lpwstr/>
      </vt:variant>
      <vt:variant>
        <vt:i4>6357094</vt:i4>
      </vt:variant>
      <vt:variant>
        <vt:i4>93</vt:i4>
      </vt:variant>
      <vt:variant>
        <vt:i4>0</vt:i4>
      </vt:variant>
      <vt:variant>
        <vt:i4>5</vt:i4>
      </vt:variant>
      <vt:variant>
        <vt:lpwstr>https://www.thegef.org/council-meeting-documents/gef-gbff-02-inf-01</vt:lpwstr>
      </vt:variant>
      <vt:variant>
        <vt:lpwstr/>
      </vt:variant>
      <vt:variant>
        <vt:i4>3801125</vt:i4>
      </vt:variant>
      <vt:variant>
        <vt:i4>90</vt:i4>
      </vt:variant>
      <vt:variant>
        <vt:i4>0</vt:i4>
      </vt:variant>
      <vt:variant>
        <vt:i4>5</vt:i4>
      </vt:variant>
      <vt:variant>
        <vt:lpwstr>https://www.thegef.org/council-meeting-documents/gef-gbff-01-04-rev-02</vt:lpwstr>
      </vt:variant>
      <vt:variant>
        <vt:lpwstr/>
      </vt:variant>
      <vt:variant>
        <vt:i4>6422582</vt:i4>
      </vt:variant>
      <vt:variant>
        <vt:i4>87</vt:i4>
      </vt:variant>
      <vt:variant>
        <vt:i4>0</vt:i4>
      </vt:variant>
      <vt:variant>
        <vt:i4>5</vt:i4>
      </vt:variant>
      <vt:variant>
        <vt:lpwstr>https://www.cbd.int/notifications/2023-062</vt:lpwstr>
      </vt:variant>
      <vt:variant>
        <vt:lpwstr/>
      </vt:variant>
      <vt:variant>
        <vt:i4>6684725</vt:i4>
      </vt:variant>
      <vt:variant>
        <vt:i4>84</vt:i4>
      </vt:variant>
      <vt:variant>
        <vt:i4>0</vt:i4>
      </vt:variant>
      <vt:variant>
        <vt:i4>5</vt:i4>
      </vt:variant>
      <vt:variant>
        <vt:lpwstr>https://www.cbd.int/notifications/2023-056</vt:lpwstr>
      </vt:variant>
      <vt:variant>
        <vt:lpwstr/>
      </vt:variant>
      <vt:variant>
        <vt:i4>6684725</vt:i4>
      </vt:variant>
      <vt:variant>
        <vt:i4>81</vt:i4>
      </vt:variant>
      <vt:variant>
        <vt:i4>0</vt:i4>
      </vt:variant>
      <vt:variant>
        <vt:i4>5</vt:i4>
      </vt:variant>
      <vt:variant>
        <vt:lpwstr>https://www.cbd.int/notifications/2023-056</vt:lpwstr>
      </vt:variant>
      <vt:variant>
        <vt:lpwstr/>
      </vt:variant>
      <vt:variant>
        <vt:i4>6357044</vt:i4>
      </vt:variant>
      <vt:variant>
        <vt:i4>78</vt:i4>
      </vt:variant>
      <vt:variant>
        <vt:i4>0</vt:i4>
      </vt:variant>
      <vt:variant>
        <vt:i4>5</vt:i4>
      </vt:variant>
      <vt:variant>
        <vt:lpwstr>https://www.cbd.int/notifications/2023-041</vt:lpwstr>
      </vt:variant>
      <vt:variant>
        <vt:lpwstr/>
      </vt:variant>
      <vt:variant>
        <vt:i4>6357044</vt:i4>
      </vt:variant>
      <vt:variant>
        <vt:i4>75</vt:i4>
      </vt:variant>
      <vt:variant>
        <vt:i4>0</vt:i4>
      </vt:variant>
      <vt:variant>
        <vt:i4>5</vt:i4>
      </vt:variant>
      <vt:variant>
        <vt:lpwstr>https://www.cbd.int/notifications/2023-041</vt:lpwstr>
      </vt:variant>
      <vt:variant>
        <vt:lpwstr/>
      </vt:variant>
      <vt:variant>
        <vt:i4>7208997</vt:i4>
      </vt:variant>
      <vt:variant>
        <vt:i4>72</vt:i4>
      </vt:variant>
      <vt:variant>
        <vt:i4>0</vt:i4>
      </vt:variant>
      <vt:variant>
        <vt:i4>5</vt:i4>
      </vt:variant>
      <vt:variant>
        <vt:lpwstr>https://www.thegef.org/council-meeting-documents/gef-gbff-02-04</vt:lpwstr>
      </vt:variant>
      <vt:variant>
        <vt:lpwstr/>
      </vt:variant>
      <vt:variant>
        <vt:i4>8257640</vt:i4>
      </vt:variant>
      <vt:variant>
        <vt:i4>69</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66</vt:i4>
      </vt:variant>
      <vt:variant>
        <vt:i4>0</vt:i4>
      </vt:variant>
      <vt:variant>
        <vt:i4>5</vt:i4>
      </vt:variant>
      <vt:variant>
        <vt:lpwstr>https://www.thegef.org/sites/default/files/documents/2023-07/EN_GEF.C.64.05.REV01_Global Biodiversity_Framework_Fund_Establishment final checked.pdf</vt:lpwstr>
      </vt:variant>
      <vt:variant>
        <vt:lpwstr/>
      </vt:variant>
      <vt:variant>
        <vt:i4>655384</vt:i4>
      </vt:variant>
      <vt:variant>
        <vt:i4>63</vt:i4>
      </vt:variant>
      <vt:variant>
        <vt:i4>0</vt:i4>
      </vt:variant>
      <vt:variant>
        <vt:i4>5</vt:i4>
      </vt:variant>
      <vt:variant>
        <vt:lpwstr>https://www.thegef.org/sites/default/files/documents/2024-02/EN_GEF.C.66.08.Rev_.03_Streamlining_GEF_Project_Cycle.pdf</vt:lpwstr>
      </vt:variant>
      <vt:variant>
        <vt:lpwstr/>
      </vt:variant>
      <vt:variant>
        <vt:i4>4915271</vt:i4>
      </vt:variant>
      <vt:variant>
        <vt:i4>60</vt:i4>
      </vt:variant>
      <vt:variant>
        <vt:i4>0</vt:i4>
      </vt:variant>
      <vt:variant>
        <vt:i4>5</vt:i4>
      </vt:variant>
      <vt:variant>
        <vt:lpwstr>https://www.ebrd.com/documents/environment/mdb-common-principles-to-nature-positive-finance-tracking.pdf</vt:lpwstr>
      </vt:variant>
      <vt:variant>
        <vt:lpwstr/>
      </vt:variant>
      <vt:variant>
        <vt:i4>1900550</vt:i4>
      </vt:variant>
      <vt:variant>
        <vt:i4>57</vt:i4>
      </vt:variant>
      <vt:variant>
        <vt:i4>0</vt:i4>
      </vt:variant>
      <vt:variant>
        <vt:i4>5</vt:i4>
      </vt:variant>
      <vt:variant>
        <vt:lpwstr>https://ukcop26.org/mdb-joint-statement/</vt:lpwstr>
      </vt:variant>
      <vt:variant>
        <vt:lpwstr/>
      </vt:variant>
      <vt:variant>
        <vt:i4>4718598</vt:i4>
      </vt:variant>
      <vt:variant>
        <vt:i4>54</vt:i4>
      </vt:variant>
      <vt:variant>
        <vt:i4>0</vt:i4>
      </vt:variant>
      <vt:variant>
        <vt:i4>5</vt:i4>
      </vt:variant>
      <vt:variant>
        <vt:lpwstr>https://www.thegef.org/sites/default/files/documents/gef_environmental_social_safeguards_policy.pdf</vt:lpwstr>
      </vt:variant>
      <vt:variant>
        <vt:lpwstr/>
      </vt:variant>
      <vt:variant>
        <vt:i4>5636111</vt:i4>
      </vt:variant>
      <vt:variant>
        <vt:i4>51</vt:i4>
      </vt:variant>
      <vt:variant>
        <vt:i4>0</vt:i4>
      </vt:variant>
      <vt:variant>
        <vt:i4>5</vt:i4>
      </vt:variant>
      <vt:variant>
        <vt:lpwstr>https://www.thegef.org/sites/default/files/documents/Gender_Equality_Policy.pdf</vt:lpwstr>
      </vt:variant>
      <vt:variant>
        <vt:lpwstr/>
      </vt:variant>
      <vt:variant>
        <vt:i4>3866658</vt:i4>
      </vt:variant>
      <vt:variant>
        <vt:i4>48</vt:i4>
      </vt:variant>
      <vt:variant>
        <vt:i4>0</vt:i4>
      </vt:variant>
      <vt:variant>
        <vt:i4>5</vt:i4>
      </vt:variant>
      <vt:variant>
        <vt:lpwstr>https://www.thegef.org/council-meeting-documents/gef-gbff-01-03-rev-03</vt:lpwstr>
      </vt:variant>
      <vt:variant>
        <vt:lpwstr/>
      </vt:variant>
      <vt:variant>
        <vt:i4>8257640</vt:i4>
      </vt:variant>
      <vt:variant>
        <vt:i4>45</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42</vt:i4>
      </vt:variant>
      <vt:variant>
        <vt:i4>0</vt:i4>
      </vt:variant>
      <vt:variant>
        <vt:i4>5</vt:i4>
      </vt:variant>
      <vt:variant>
        <vt:lpwstr>https://www.thegef.org/sites/default/files/documents/2023-07/EN_GEF.C.64.05.REV01_Global Biodiversity_Framework_Fund_Establishment final checked.pdf</vt:lpwstr>
      </vt:variant>
      <vt:variant>
        <vt:lpwstr/>
      </vt:variant>
      <vt:variant>
        <vt:i4>6422582</vt:i4>
      </vt:variant>
      <vt:variant>
        <vt:i4>39</vt:i4>
      </vt:variant>
      <vt:variant>
        <vt:i4>0</vt:i4>
      </vt:variant>
      <vt:variant>
        <vt:i4>5</vt:i4>
      </vt:variant>
      <vt:variant>
        <vt:lpwstr>https://www.cbd.int/notifications/2023-062</vt:lpwstr>
      </vt:variant>
      <vt:variant>
        <vt:lpwstr/>
      </vt:variant>
      <vt:variant>
        <vt:i4>6684725</vt:i4>
      </vt:variant>
      <vt:variant>
        <vt:i4>36</vt:i4>
      </vt:variant>
      <vt:variant>
        <vt:i4>0</vt:i4>
      </vt:variant>
      <vt:variant>
        <vt:i4>5</vt:i4>
      </vt:variant>
      <vt:variant>
        <vt:lpwstr>https://www.cbd.int/notifications/2023-056</vt:lpwstr>
      </vt:variant>
      <vt:variant>
        <vt:lpwstr/>
      </vt:variant>
      <vt:variant>
        <vt:i4>6684725</vt:i4>
      </vt:variant>
      <vt:variant>
        <vt:i4>33</vt:i4>
      </vt:variant>
      <vt:variant>
        <vt:i4>0</vt:i4>
      </vt:variant>
      <vt:variant>
        <vt:i4>5</vt:i4>
      </vt:variant>
      <vt:variant>
        <vt:lpwstr>https://www.cbd.int/notifications/2023-056</vt:lpwstr>
      </vt:variant>
      <vt:variant>
        <vt:lpwstr/>
      </vt:variant>
      <vt:variant>
        <vt:i4>6357044</vt:i4>
      </vt:variant>
      <vt:variant>
        <vt:i4>30</vt:i4>
      </vt:variant>
      <vt:variant>
        <vt:i4>0</vt:i4>
      </vt:variant>
      <vt:variant>
        <vt:i4>5</vt:i4>
      </vt:variant>
      <vt:variant>
        <vt:lpwstr>https://www.cbd.int/notifications/2023-041</vt:lpwstr>
      </vt:variant>
      <vt:variant>
        <vt:lpwstr/>
      </vt:variant>
      <vt:variant>
        <vt:i4>6357044</vt:i4>
      </vt:variant>
      <vt:variant>
        <vt:i4>27</vt:i4>
      </vt:variant>
      <vt:variant>
        <vt:i4>0</vt:i4>
      </vt:variant>
      <vt:variant>
        <vt:i4>5</vt:i4>
      </vt:variant>
      <vt:variant>
        <vt:lpwstr>https://www.cbd.int/notifications/2023-041</vt:lpwstr>
      </vt:variant>
      <vt:variant>
        <vt:lpwstr/>
      </vt:variant>
      <vt:variant>
        <vt:i4>655384</vt:i4>
      </vt:variant>
      <vt:variant>
        <vt:i4>24</vt:i4>
      </vt:variant>
      <vt:variant>
        <vt:i4>0</vt:i4>
      </vt:variant>
      <vt:variant>
        <vt:i4>5</vt:i4>
      </vt:variant>
      <vt:variant>
        <vt:lpwstr>https://www.thegef.org/sites/default/files/documents/2024-02/EN_GEF.C.66.08.Rev_.03_Streamlining_GEF_Project_Cycle.pdf</vt:lpwstr>
      </vt:variant>
      <vt:variant>
        <vt:lpwstr/>
      </vt:variant>
      <vt:variant>
        <vt:i4>720970</vt:i4>
      </vt:variant>
      <vt:variant>
        <vt:i4>21</vt:i4>
      </vt:variant>
      <vt:variant>
        <vt:i4>0</vt:i4>
      </vt:variant>
      <vt:variant>
        <vt:i4>5</vt:i4>
      </vt:variant>
      <vt:variant>
        <vt:lpwstr>https://www.cbd.int/doc/decisions/cop-15/cop-15-dec-15-en.pdf</vt:lpwstr>
      </vt:variant>
      <vt:variant>
        <vt:lpwstr/>
      </vt:variant>
      <vt:variant>
        <vt:i4>5963790</vt:i4>
      </vt:variant>
      <vt:variant>
        <vt:i4>18</vt:i4>
      </vt:variant>
      <vt:variant>
        <vt:i4>0</vt:i4>
      </vt:variant>
      <vt:variant>
        <vt:i4>5</vt:i4>
      </vt:variant>
      <vt:variant>
        <vt:lpwstr>https://sgp.undp.org/innovation-library/item/2458-gef-small-grants-programme-annual-monitoring-report-2022---2023-(summary-infographic).html</vt:lpwstr>
      </vt:variant>
      <vt:variant>
        <vt:lpwstr/>
      </vt:variant>
      <vt:variant>
        <vt:i4>983063</vt:i4>
      </vt:variant>
      <vt:variant>
        <vt:i4>15</vt:i4>
      </vt:variant>
      <vt:variant>
        <vt:i4>0</vt:i4>
      </vt:variant>
      <vt:variant>
        <vt:i4>5</vt:i4>
      </vt:variant>
      <vt:variant>
        <vt:lpwstr>https://www.thegef.org/council-meeting-documents/gef-c-66-07</vt:lpwstr>
      </vt:variant>
      <vt:variant>
        <vt:lpwstr/>
      </vt:variant>
      <vt:variant>
        <vt:i4>7995448</vt:i4>
      </vt:variant>
      <vt:variant>
        <vt:i4>12</vt:i4>
      </vt:variant>
      <vt:variant>
        <vt:i4>0</vt:i4>
      </vt:variant>
      <vt:variant>
        <vt:i4>5</vt:i4>
      </vt:variant>
      <vt:variant>
        <vt:lpwstr>https://www.cbd.int/gbf/targets</vt:lpwstr>
      </vt:variant>
      <vt:variant>
        <vt:lpwstr/>
      </vt:variant>
      <vt:variant>
        <vt:i4>8257640</vt:i4>
      </vt:variant>
      <vt:variant>
        <vt:i4>6</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3</vt:i4>
      </vt:variant>
      <vt:variant>
        <vt:i4>0</vt:i4>
      </vt:variant>
      <vt:variant>
        <vt:i4>5</vt:i4>
      </vt:variant>
      <vt:variant>
        <vt:lpwstr>https://www.thegef.org/sites/default/files/documents/2023-07/EN_GEF.C.64.05.REV01_Global Biodiversity_Framework_Fund_Establishment final checked.pdf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sur le sixième examen de l’efficacité du mécanisme de financement</dc:title>
  <dc:subject>CBD/COP/15/8</dc:subject>
  <dc:creator>Mark Thomas Zimsky</dc:creator>
  <cp:keywords>Subsidiary Body on Implementation, third meeting</cp:keywords>
  <dc:description/>
  <cp:lastModifiedBy>Mariko Nishi</cp:lastModifiedBy>
  <cp:revision>66</cp:revision>
  <cp:lastPrinted>2024-09-19T20:31:00Z</cp:lastPrinted>
  <dcterms:created xsi:type="dcterms:W3CDTF">2024-09-30T07:43:00Z</dcterms:created>
  <dcterms:modified xsi:type="dcterms:W3CDTF">2024-09-30T13:28:00Z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