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52" w:type="dxa"/>
        <w:tblInd w:w="-4" w:type="dxa"/>
        <w:tblBorders>
          <w:bottom w:val="single" w:sz="30" w:space="0" w:color="000000"/>
        </w:tblBorders>
        <w:tblLayout w:type="fixed"/>
        <w:tblLook w:val="0000"/>
      </w:tblPr>
      <w:tblGrid>
        <w:gridCol w:w="1371"/>
        <w:gridCol w:w="1260"/>
        <w:gridCol w:w="2611"/>
        <w:gridCol w:w="1030"/>
        <w:gridCol w:w="2880"/>
      </w:tblGrid>
      <w:tr w:rsidR="00047BD6" w:rsidRPr="00851002" w:rsidTr="0031304F">
        <w:tc>
          <w:tcPr>
            <w:tcW w:w="1371" w:type="dxa"/>
            <w:tcBorders>
              <w:bottom w:val="single" w:sz="12" w:space="0" w:color="000000"/>
            </w:tcBorders>
          </w:tcPr>
          <w:p w:rsidR="00047BD6" w:rsidRPr="00851002" w:rsidRDefault="00047BD6" w:rsidP="00851002">
            <w:pPr>
              <w:rPr>
                <w:noProof/>
              </w:rPr>
            </w:pPr>
            <w:r w:rsidRPr="000172BD">
              <w:rPr>
                <w:noProof/>
                <w:kern w:val="22"/>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33pt;visibility:visible">
                  <v:imagedata r:id="rId7" o:title=""/>
                </v:shape>
              </w:pict>
            </w:r>
          </w:p>
        </w:tc>
        <w:tc>
          <w:tcPr>
            <w:tcW w:w="1260" w:type="dxa"/>
            <w:tcBorders>
              <w:bottom w:val="single" w:sz="12" w:space="0" w:color="000000"/>
            </w:tcBorders>
          </w:tcPr>
          <w:p w:rsidR="00047BD6" w:rsidRPr="00851002" w:rsidRDefault="00047BD6" w:rsidP="00851002">
            <w:r w:rsidRPr="000172BD">
              <w:rPr>
                <w:noProof/>
                <w:lang w:val="en-US" w:eastAsia="zh-CN"/>
              </w:rPr>
              <w:pict>
                <v:shape id="Picture 16" o:spid="_x0000_i1026" type="#_x0000_t75" style="width:36.75pt;height:39.75pt;visibility:visible">
                  <v:imagedata r:id="rId8" o:title=""/>
                </v:shape>
              </w:pict>
            </w:r>
          </w:p>
        </w:tc>
        <w:tc>
          <w:tcPr>
            <w:tcW w:w="6521" w:type="dxa"/>
            <w:gridSpan w:val="3"/>
            <w:tcBorders>
              <w:bottom w:val="single" w:sz="12" w:space="0" w:color="000000"/>
            </w:tcBorders>
          </w:tcPr>
          <w:p w:rsidR="00047BD6" w:rsidRPr="00851002" w:rsidRDefault="00047BD6" w:rsidP="008B0A16">
            <w:pPr>
              <w:pStyle w:val="Heading8"/>
              <w:spacing w:beforeLines="30"/>
              <w:rPr>
                <w:rFonts w:ascii="Times New Roman" w:hAnsi="Times New Roman"/>
                <w:b w:val="0"/>
                <w:sz w:val="24"/>
                <w:szCs w:val="32"/>
              </w:rPr>
            </w:pPr>
            <w:r w:rsidRPr="00851002">
              <w:rPr>
                <w:rFonts w:ascii="Times New Roman" w:hAnsi="Times New Roman"/>
                <w:b w:val="0"/>
                <w:sz w:val="24"/>
                <w:szCs w:val="32"/>
              </w:rPr>
              <w:t>CBD</w:t>
            </w:r>
          </w:p>
          <w:p w:rsidR="00047BD6" w:rsidRPr="00851002" w:rsidRDefault="00047BD6" w:rsidP="00851002">
            <w:pPr>
              <w:jc w:val="left"/>
              <w:rPr>
                <w:szCs w:val="36"/>
              </w:rPr>
            </w:pPr>
          </w:p>
        </w:tc>
      </w:tr>
      <w:tr w:rsidR="00047BD6" w:rsidRPr="00851002" w:rsidTr="0031304F">
        <w:trPr>
          <w:trHeight w:val="1693"/>
        </w:trPr>
        <w:tc>
          <w:tcPr>
            <w:tcW w:w="5242" w:type="dxa"/>
            <w:gridSpan w:val="3"/>
            <w:tcBorders>
              <w:bottom w:val="single" w:sz="30" w:space="0" w:color="000000"/>
            </w:tcBorders>
          </w:tcPr>
          <w:p w:rsidR="00047BD6" w:rsidRPr="00851002" w:rsidRDefault="00047BD6" w:rsidP="00851002">
            <w:pPr>
              <w:rPr>
                <w:szCs w:val="16"/>
              </w:rPr>
            </w:pPr>
          </w:p>
          <w:p w:rsidR="00047BD6" w:rsidRPr="00851002" w:rsidRDefault="00047BD6" w:rsidP="00851002">
            <w:pPr>
              <w:rPr>
                <w:szCs w:val="40"/>
              </w:rPr>
            </w:pPr>
            <w:r w:rsidRPr="000172BD">
              <w:rPr>
                <w:noProof/>
                <w:szCs w:val="40"/>
                <w:lang w:val="en-US" w:eastAsia="zh-CN"/>
              </w:rPr>
              <w:pict>
                <v:shape id="Picture 3" o:spid="_x0000_i1027" type="#_x0000_t75" alt="CBD_logo_ch-CMYK-black [Converted]" style="width:234pt;height:83.25pt;visibility:visible">
                  <v:imagedata r:id="rId9" o:title=""/>
                </v:shape>
              </w:pict>
            </w:r>
          </w:p>
          <w:p w:rsidR="00047BD6" w:rsidRPr="00851002" w:rsidRDefault="00047BD6" w:rsidP="00851002">
            <w:pPr>
              <w:rPr>
                <w:szCs w:val="16"/>
              </w:rPr>
            </w:pPr>
          </w:p>
        </w:tc>
        <w:tc>
          <w:tcPr>
            <w:tcW w:w="1030" w:type="dxa"/>
            <w:tcBorders>
              <w:bottom w:val="single" w:sz="30" w:space="0" w:color="000000"/>
            </w:tcBorders>
          </w:tcPr>
          <w:p w:rsidR="00047BD6" w:rsidRPr="00851002" w:rsidRDefault="00047BD6" w:rsidP="00851002"/>
        </w:tc>
        <w:tc>
          <w:tcPr>
            <w:tcW w:w="2880" w:type="dxa"/>
            <w:tcBorders>
              <w:bottom w:val="single" w:sz="30" w:space="0" w:color="000000"/>
            </w:tcBorders>
          </w:tcPr>
          <w:p w:rsidR="00047BD6" w:rsidRPr="00851002" w:rsidRDefault="00047BD6" w:rsidP="00047BD6">
            <w:pPr>
              <w:spacing w:before="120"/>
              <w:ind w:leftChars="-145" w:left="31680" w:rightChars="-82" w:right="31680" w:firstLineChars="145" w:firstLine="31680"/>
            </w:pPr>
            <w:r w:rsidRPr="00851002">
              <w:t xml:space="preserve">Distr. </w:t>
            </w:r>
          </w:p>
          <w:p w:rsidR="00047BD6" w:rsidRPr="00851002" w:rsidRDefault="00047BD6" w:rsidP="00047BD6">
            <w:pPr>
              <w:spacing w:after="120"/>
              <w:ind w:rightChars="-82" w:right="31680"/>
            </w:pPr>
            <w:r w:rsidRPr="00851002">
              <w:t>GENERAL</w:t>
            </w:r>
          </w:p>
          <w:p w:rsidR="00047BD6" w:rsidRPr="00851002" w:rsidRDefault="00047BD6" w:rsidP="00047BD6">
            <w:pPr>
              <w:ind w:rightChars="-82" w:right="31680"/>
            </w:pPr>
            <w:r w:rsidRPr="00851002">
              <w:rPr>
                <w:bCs/>
                <w:snapToGrid w:val="0"/>
                <w:kern w:val="22"/>
                <w:szCs w:val="22"/>
              </w:rPr>
              <w:t>CBD/COP/14/1/Add.1/Rev.1</w:t>
            </w:r>
          </w:p>
          <w:p w:rsidR="00047BD6" w:rsidRPr="00851002" w:rsidRDefault="00047BD6" w:rsidP="00047BD6">
            <w:pPr>
              <w:spacing w:after="120"/>
              <w:ind w:rightChars="-82" w:right="31680"/>
            </w:pPr>
            <w:r>
              <w:rPr>
                <w:snapToGrid w:val="0"/>
                <w:kern w:val="22"/>
                <w:szCs w:val="22"/>
                <w:lang w:val="en-US"/>
              </w:rPr>
              <w:t>1 September</w:t>
            </w:r>
            <w:r w:rsidRPr="00851002">
              <w:rPr>
                <w:snapToGrid w:val="0"/>
                <w:kern w:val="22"/>
                <w:szCs w:val="22"/>
                <w:lang w:val="en-US"/>
              </w:rPr>
              <w:t xml:space="preserve"> 2018</w:t>
            </w:r>
          </w:p>
          <w:p w:rsidR="00047BD6" w:rsidRPr="00851002" w:rsidRDefault="00047BD6" w:rsidP="00047BD6">
            <w:pPr>
              <w:ind w:rightChars="-82" w:right="31680"/>
            </w:pPr>
            <w:r w:rsidRPr="00851002">
              <w:t>CHINESE</w:t>
            </w:r>
          </w:p>
          <w:p w:rsidR="00047BD6" w:rsidRPr="00851002" w:rsidRDefault="00047BD6" w:rsidP="00047BD6">
            <w:pPr>
              <w:spacing w:after="120"/>
              <w:ind w:rightChars="-82" w:right="31680"/>
            </w:pPr>
            <w:r w:rsidRPr="00851002">
              <w:t>ORIGINAL: ENGLISH</w:t>
            </w:r>
          </w:p>
        </w:tc>
      </w:tr>
    </w:tbl>
    <w:p w:rsidR="00047BD6" w:rsidRPr="001E0C3F" w:rsidRDefault="00047BD6" w:rsidP="00851002">
      <w:pPr>
        <w:adjustRightInd w:val="0"/>
        <w:spacing w:before="60"/>
        <w:rPr>
          <w:lang w:val="zh-CN" w:eastAsia="zh-CN"/>
        </w:rPr>
      </w:pPr>
      <w:r w:rsidRPr="001E0C3F">
        <w:rPr>
          <w:rFonts w:hint="eastAsia"/>
          <w:noProof/>
          <w:lang w:eastAsia="zh-CN"/>
        </w:rPr>
        <w:t>生物多样性公约缔约方大会</w:t>
      </w:r>
    </w:p>
    <w:p w:rsidR="00047BD6" w:rsidRPr="001E0C3F" w:rsidRDefault="00047BD6" w:rsidP="00851002">
      <w:pPr>
        <w:adjustRightInd w:val="0"/>
        <w:rPr>
          <w:lang w:eastAsia="zh-CN"/>
        </w:rPr>
      </w:pPr>
      <w:r w:rsidRPr="001E0C3F">
        <w:rPr>
          <w:rFonts w:hint="eastAsia"/>
          <w:noProof/>
          <w:lang w:eastAsia="zh-CN"/>
        </w:rPr>
        <w:t>第十四届会议</w:t>
      </w:r>
    </w:p>
    <w:p w:rsidR="00047BD6" w:rsidRPr="001E0C3F" w:rsidRDefault="00047BD6" w:rsidP="00851002">
      <w:pPr>
        <w:rPr>
          <w:lang w:eastAsia="zh-CN"/>
        </w:rPr>
      </w:pPr>
      <w:smartTag w:uri="urn:schemas-microsoft-com:office:smarttags" w:element="chsdate">
        <w:smartTagPr>
          <w:attr w:name="IsROCDate" w:val="False"/>
          <w:attr w:name="IsLunarDate" w:val="False"/>
          <w:attr w:name="Day" w:val="17"/>
          <w:attr w:name="Month" w:val="11"/>
          <w:attr w:name="Year" w:val="2018"/>
        </w:smartTagPr>
        <w:r w:rsidRPr="001E0C3F">
          <w:rPr>
            <w:lang w:eastAsia="zh-CN"/>
          </w:rPr>
          <w:t>2018</w:t>
        </w:r>
        <w:r w:rsidRPr="001E0C3F">
          <w:rPr>
            <w:rFonts w:hint="eastAsia"/>
            <w:lang w:eastAsia="zh-CN"/>
          </w:rPr>
          <w:t>年</w:t>
        </w:r>
        <w:r w:rsidRPr="001E0C3F">
          <w:rPr>
            <w:lang w:eastAsia="zh-CN"/>
          </w:rPr>
          <w:t>11</w:t>
        </w:r>
        <w:r w:rsidRPr="001E0C3F">
          <w:rPr>
            <w:rFonts w:hint="eastAsia"/>
            <w:lang w:eastAsia="zh-CN"/>
          </w:rPr>
          <w:t>月</w:t>
        </w:r>
        <w:r w:rsidRPr="001E0C3F">
          <w:rPr>
            <w:lang w:eastAsia="zh-CN"/>
          </w:rPr>
          <w:t>17</w:t>
        </w:r>
        <w:r w:rsidRPr="001E0C3F">
          <w:rPr>
            <w:rFonts w:hint="eastAsia"/>
            <w:lang w:eastAsia="zh-CN"/>
          </w:rPr>
          <w:t>日</w:t>
        </w:r>
      </w:smartTag>
      <w:r w:rsidRPr="001E0C3F">
        <w:rPr>
          <w:rFonts w:hint="eastAsia"/>
          <w:lang w:eastAsia="zh-CN"/>
        </w:rPr>
        <w:t>至</w:t>
      </w:r>
      <w:r w:rsidRPr="001E0C3F">
        <w:rPr>
          <w:lang w:eastAsia="zh-CN"/>
        </w:rPr>
        <w:t>29</w:t>
      </w:r>
      <w:r w:rsidRPr="001E0C3F">
        <w:rPr>
          <w:rFonts w:hint="eastAsia"/>
          <w:lang w:eastAsia="zh-CN"/>
        </w:rPr>
        <w:t>日，埃及沙姆沙伊赫</w:t>
      </w:r>
    </w:p>
    <w:p w:rsidR="00047BD6" w:rsidRPr="00EB07E5" w:rsidRDefault="00047BD6" w:rsidP="00851002">
      <w:pPr>
        <w:pStyle w:val="Heading1"/>
        <w:spacing w:before="360"/>
        <w:ind w:right="360"/>
        <w:rPr>
          <w:bCs/>
          <w:kern w:val="22"/>
          <w:sz w:val="28"/>
          <w:szCs w:val="28"/>
          <w:lang w:eastAsia="zh-CN"/>
        </w:rPr>
      </w:pPr>
      <w:r w:rsidRPr="00EB07E5">
        <w:rPr>
          <w:rFonts w:hint="eastAsia"/>
          <w:bCs/>
          <w:caps w:val="0"/>
          <w:kern w:val="22"/>
          <w:sz w:val="28"/>
          <w:szCs w:val="28"/>
          <w:lang w:val="en-US" w:eastAsia="zh-CN"/>
        </w:rPr>
        <w:t>订</w:t>
      </w:r>
      <w:r w:rsidRPr="00EB07E5">
        <w:rPr>
          <w:rFonts w:hint="eastAsia"/>
          <w:bCs/>
          <w:kern w:val="22"/>
          <w:sz w:val="28"/>
          <w:szCs w:val="28"/>
          <w:lang w:val="en-US" w:eastAsia="zh-CN"/>
        </w:rPr>
        <w:t>正的</w:t>
      </w:r>
      <w:r w:rsidRPr="00EB07E5">
        <w:rPr>
          <w:rFonts w:hint="eastAsia"/>
          <w:bCs/>
          <w:kern w:val="22"/>
          <w:sz w:val="28"/>
          <w:szCs w:val="28"/>
          <w:lang w:eastAsia="zh-CN"/>
        </w:rPr>
        <w:t>附加说明的临时议程</w:t>
      </w:r>
      <w:r w:rsidRPr="00EB07E5">
        <w:rPr>
          <w:bCs/>
          <w:kern w:val="22"/>
          <w:sz w:val="28"/>
          <w:szCs w:val="28"/>
          <w:lang w:eastAsia="zh-CN"/>
        </w:rPr>
        <w:t xml:space="preserve">  </w:t>
      </w:r>
      <w:r>
        <w:rPr>
          <w:bCs/>
          <w:kern w:val="22"/>
          <w:sz w:val="28"/>
          <w:szCs w:val="28"/>
          <w:lang w:eastAsia="zh-CN"/>
        </w:rPr>
        <w:t xml:space="preserve">  </w:t>
      </w:r>
    </w:p>
    <w:p w:rsidR="00047BD6" w:rsidRPr="00EB07E5" w:rsidRDefault="00047BD6" w:rsidP="00851002">
      <w:pPr>
        <w:pStyle w:val="Heading1"/>
        <w:ind w:right="0"/>
        <w:rPr>
          <w:bCs/>
          <w:kern w:val="22"/>
          <w:szCs w:val="24"/>
          <w:lang w:eastAsia="zh-CN"/>
        </w:rPr>
      </w:pPr>
      <w:r w:rsidRPr="00EB07E5">
        <w:rPr>
          <w:rFonts w:hint="eastAsia"/>
          <w:bCs/>
          <w:kern w:val="22"/>
          <w:szCs w:val="24"/>
          <w:lang w:eastAsia="zh-CN"/>
        </w:rPr>
        <w:t>导言</w:t>
      </w:r>
      <w:r w:rsidRPr="00EB07E5">
        <w:rPr>
          <w:bCs/>
          <w:kern w:val="22"/>
          <w:szCs w:val="24"/>
          <w:lang w:eastAsia="zh-CN"/>
        </w:rPr>
        <w:t xml:space="preserve"> </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经埃及政府邀请，并按照缔约方大会</w:t>
      </w:r>
      <w:hyperlink r:id="rId10" w:history="1">
        <w:r w:rsidRPr="00EB07E5">
          <w:rPr>
            <w:rStyle w:val="Hyperlink"/>
            <w:rFonts w:hint="eastAsia"/>
            <w:kern w:val="22"/>
            <w:sz w:val="24"/>
            <w:szCs w:val="24"/>
          </w:rPr>
          <w:t>第</w:t>
        </w:r>
        <w:r w:rsidRPr="00EB07E5">
          <w:rPr>
            <w:rStyle w:val="Hyperlink"/>
            <w:kern w:val="22"/>
            <w:sz w:val="24"/>
            <w:szCs w:val="24"/>
          </w:rPr>
          <w:t>XIII/33</w:t>
        </w:r>
        <w:r w:rsidRPr="00EB07E5">
          <w:rPr>
            <w:rStyle w:val="Hyperlink"/>
            <w:rFonts w:hint="eastAsia"/>
            <w:kern w:val="22"/>
            <w:sz w:val="24"/>
            <w:szCs w:val="24"/>
          </w:rPr>
          <w:t>号决定</w:t>
        </w:r>
      </w:hyperlink>
      <w:r w:rsidRPr="00EB07E5">
        <w:rPr>
          <w:rFonts w:hint="eastAsia"/>
          <w:kern w:val="22"/>
          <w:sz w:val="24"/>
          <w:szCs w:val="24"/>
        </w:rPr>
        <w:t>，缔约方大会第十四届会议将于</w:t>
      </w:r>
      <w:smartTag w:uri="urn:schemas-microsoft-com:office:smarttags" w:element="chsdate">
        <w:smartTagPr>
          <w:attr w:name="IsROCDate" w:val="False"/>
          <w:attr w:name="IsLunarDate" w:val="False"/>
          <w:attr w:name="Day" w:val="17"/>
          <w:attr w:name="Month" w:val="11"/>
          <w:attr w:name="Year" w:val="2018"/>
        </w:smartTagPr>
        <w:r w:rsidRPr="00EB07E5">
          <w:rPr>
            <w:kern w:val="22"/>
            <w:sz w:val="24"/>
            <w:szCs w:val="24"/>
          </w:rPr>
          <w:t>2018</w:t>
        </w:r>
        <w:r w:rsidRPr="00EB07E5">
          <w:rPr>
            <w:rFonts w:hint="eastAsia"/>
            <w:kern w:val="22"/>
            <w:sz w:val="24"/>
            <w:szCs w:val="24"/>
          </w:rPr>
          <w:t>年</w:t>
        </w:r>
        <w:r w:rsidRPr="00EB07E5">
          <w:rPr>
            <w:kern w:val="22"/>
            <w:sz w:val="24"/>
            <w:szCs w:val="24"/>
          </w:rPr>
          <w:t>11</w:t>
        </w:r>
        <w:r w:rsidRPr="00EB07E5">
          <w:rPr>
            <w:rFonts w:hint="eastAsia"/>
            <w:kern w:val="22"/>
            <w:sz w:val="24"/>
            <w:szCs w:val="24"/>
          </w:rPr>
          <w:t>月</w:t>
        </w:r>
        <w:r w:rsidRPr="00EB07E5">
          <w:rPr>
            <w:kern w:val="22"/>
            <w:sz w:val="24"/>
            <w:szCs w:val="24"/>
          </w:rPr>
          <w:t>17</w:t>
        </w:r>
        <w:r w:rsidRPr="00EB07E5">
          <w:rPr>
            <w:rFonts w:hint="eastAsia"/>
            <w:kern w:val="22"/>
            <w:sz w:val="24"/>
            <w:szCs w:val="24"/>
          </w:rPr>
          <w:t>日</w:t>
        </w:r>
      </w:smartTag>
      <w:r w:rsidRPr="00EB07E5">
        <w:rPr>
          <w:rFonts w:hint="eastAsia"/>
          <w:kern w:val="22"/>
          <w:sz w:val="24"/>
          <w:szCs w:val="24"/>
        </w:rPr>
        <w:t>至</w:t>
      </w:r>
      <w:r w:rsidRPr="00EB07E5">
        <w:rPr>
          <w:kern w:val="22"/>
          <w:sz w:val="24"/>
          <w:szCs w:val="24"/>
        </w:rPr>
        <w:t>29</w:t>
      </w:r>
      <w:r w:rsidRPr="00EB07E5">
        <w:rPr>
          <w:rFonts w:hint="eastAsia"/>
          <w:kern w:val="22"/>
          <w:sz w:val="24"/>
          <w:szCs w:val="24"/>
        </w:rPr>
        <w:t>日在埃及沙姆沙伊赫举行。</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主席团于</w:t>
      </w:r>
      <w:smartTag w:uri="urn:schemas-microsoft-com:office:smarttags" w:element="chsdate">
        <w:smartTagPr>
          <w:attr w:name="IsROCDate" w:val="False"/>
          <w:attr w:name="IsLunarDate" w:val="False"/>
          <w:attr w:name="Day" w:val="26"/>
          <w:attr w:name="Month" w:val="4"/>
          <w:attr w:name="Year" w:val="2017"/>
        </w:smartTagPr>
        <w:r w:rsidRPr="00EB07E5">
          <w:rPr>
            <w:kern w:val="22"/>
            <w:sz w:val="24"/>
            <w:szCs w:val="24"/>
          </w:rPr>
          <w:t>2017</w:t>
        </w:r>
        <w:r w:rsidRPr="00EB07E5">
          <w:rPr>
            <w:rFonts w:hint="eastAsia"/>
            <w:kern w:val="22"/>
            <w:sz w:val="24"/>
            <w:szCs w:val="24"/>
          </w:rPr>
          <w:t>年</w:t>
        </w:r>
        <w:r w:rsidRPr="00EB07E5">
          <w:rPr>
            <w:kern w:val="22"/>
            <w:sz w:val="24"/>
            <w:szCs w:val="24"/>
          </w:rPr>
          <w:t>4</w:t>
        </w:r>
        <w:r w:rsidRPr="00EB07E5">
          <w:rPr>
            <w:rFonts w:hint="eastAsia"/>
            <w:kern w:val="22"/>
            <w:sz w:val="24"/>
            <w:szCs w:val="24"/>
          </w:rPr>
          <w:t>月</w:t>
        </w:r>
        <w:r w:rsidRPr="00EB07E5">
          <w:rPr>
            <w:kern w:val="22"/>
            <w:sz w:val="24"/>
            <w:szCs w:val="24"/>
          </w:rPr>
          <w:t>26</w:t>
        </w:r>
        <w:r w:rsidRPr="00EB07E5">
          <w:rPr>
            <w:rFonts w:hint="eastAsia"/>
            <w:kern w:val="22"/>
            <w:sz w:val="24"/>
            <w:szCs w:val="24"/>
          </w:rPr>
          <w:t>日</w:t>
        </w:r>
      </w:smartTag>
      <w:r w:rsidRPr="00EB07E5">
        <w:rPr>
          <w:rFonts w:hint="eastAsia"/>
          <w:kern w:val="22"/>
          <w:sz w:val="24"/>
          <w:szCs w:val="24"/>
        </w:rPr>
        <w:t>在墨西哥城举行的会议上审议了该会议议程要点，于</w:t>
      </w:r>
      <w:smartTag w:uri="urn:schemas-microsoft-com:office:smarttags" w:element="chsdate">
        <w:smartTagPr>
          <w:attr w:name="IsROCDate" w:val="False"/>
          <w:attr w:name="IsLunarDate" w:val="False"/>
          <w:attr w:name="Day" w:val="6"/>
          <w:attr w:name="Month" w:val="3"/>
          <w:attr w:name="Year" w:val="2018"/>
        </w:smartTagPr>
        <w:r w:rsidRPr="00EB07E5">
          <w:rPr>
            <w:kern w:val="22"/>
            <w:sz w:val="24"/>
            <w:szCs w:val="24"/>
          </w:rPr>
          <w:t>2018</w:t>
        </w:r>
        <w:r w:rsidRPr="00EB07E5">
          <w:rPr>
            <w:rFonts w:hint="eastAsia"/>
            <w:kern w:val="22"/>
            <w:sz w:val="24"/>
            <w:szCs w:val="24"/>
          </w:rPr>
          <w:t>年</w:t>
        </w:r>
        <w:r w:rsidRPr="00EB07E5">
          <w:rPr>
            <w:kern w:val="22"/>
            <w:sz w:val="24"/>
            <w:szCs w:val="24"/>
          </w:rPr>
          <w:t>3</w:t>
        </w:r>
        <w:r w:rsidRPr="00EB07E5">
          <w:rPr>
            <w:rFonts w:hint="eastAsia"/>
            <w:kern w:val="22"/>
            <w:sz w:val="24"/>
            <w:szCs w:val="24"/>
          </w:rPr>
          <w:t>月</w:t>
        </w:r>
        <w:r w:rsidRPr="00EB07E5">
          <w:rPr>
            <w:kern w:val="22"/>
            <w:sz w:val="24"/>
            <w:szCs w:val="24"/>
          </w:rPr>
          <w:t>6</w:t>
        </w:r>
        <w:r w:rsidRPr="00EB07E5">
          <w:rPr>
            <w:rFonts w:hint="eastAsia"/>
            <w:kern w:val="22"/>
            <w:sz w:val="24"/>
            <w:szCs w:val="24"/>
          </w:rPr>
          <w:t>日</w:t>
        </w:r>
      </w:smartTag>
      <w:r w:rsidRPr="00EB07E5">
        <w:rPr>
          <w:rFonts w:hint="eastAsia"/>
          <w:kern w:val="22"/>
          <w:sz w:val="24"/>
          <w:szCs w:val="24"/>
        </w:rPr>
        <w:t>在瑞士谢布尔举行的会议上确定了临时议程（</w:t>
      </w:r>
      <w:r w:rsidRPr="00EB07E5">
        <w:rPr>
          <w:kern w:val="22"/>
          <w:sz w:val="24"/>
          <w:szCs w:val="24"/>
        </w:rPr>
        <w:t>CBD/COP/14/1</w:t>
      </w:r>
      <w:r w:rsidRPr="00EB07E5">
        <w:rPr>
          <w:rFonts w:hint="eastAsia"/>
          <w:kern w:val="22"/>
          <w:sz w:val="24"/>
          <w:szCs w:val="24"/>
        </w:rPr>
        <w:t>），并审议了说明草案。执行秘书考虑了主席团在该次会议提出的评论意见，最后确定了附加说明的议程（</w:t>
      </w:r>
      <w:r w:rsidRPr="00EB07E5">
        <w:rPr>
          <w:kern w:val="22"/>
          <w:sz w:val="24"/>
          <w:szCs w:val="24"/>
        </w:rPr>
        <w:t>CBD/COP/14/1/Add.1</w:t>
      </w:r>
      <w:r w:rsidRPr="00EB07E5">
        <w:rPr>
          <w:rFonts w:hint="eastAsia"/>
          <w:kern w:val="22"/>
          <w:sz w:val="24"/>
          <w:szCs w:val="24"/>
        </w:rPr>
        <w:t>）。参照科学、技术和工艺咨询附属机构第二十二次会议和执行问题附属机构第二次会议的成果，对这份附加说明的议程作出了更新。</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临时议程及说明是根据第</w:t>
      </w:r>
      <w:r w:rsidRPr="00EB07E5">
        <w:rPr>
          <w:kern w:val="22"/>
          <w:sz w:val="24"/>
          <w:szCs w:val="24"/>
        </w:rPr>
        <w:t>XII/31</w:t>
      </w:r>
      <w:r w:rsidRPr="00EB07E5">
        <w:rPr>
          <w:rFonts w:hint="eastAsia"/>
          <w:kern w:val="22"/>
          <w:sz w:val="24"/>
          <w:szCs w:val="24"/>
        </w:rPr>
        <w:t>号决定中通过的缔约方大会直至</w:t>
      </w:r>
      <w:r w:rsidRPr="00EB07E5">
        <w:rPr>
          <w:kern w:val="22"/>
          <w:sz w:val="24"/>
          <w:szCs w:val="24"/>
        </w:rPr>
        <w:t>2020</w:t>
      </w:r>
      <w:r w:rsidRPr="00EB07E5">
        <w:rPr>
          <w:rFonts w:hint="eastAsia"/>
          <w:kern w:val="22"/>
          <w:sz w:val="24"/>
          <w:szCs w:val="24"/>
        </w:rPr>
        <w:t>年多年期工作方案以及缔约方大会其他决定编制的，缔约方大会在第</w:t>
      </w:r>
      <w:r w:rsidRPr="00EB07E5">
        <w:rPr>
          <w:kern w:val="22"/>
          <w:sz w:val="24"/>
          <w:szCs w:val="24"/>
        </w:rPr>
        <w:t>XII/31</w:t>
      </w:r>
      <w:r w:rsidRPr="00EB07E5">
        <w:rPr>
          <w:rFonts w:hint="eastAsia"/>
          <w:kern w:val="22"/>
          <w:sz w:val="24"/>
          <w:szCs w:val="24"/>
        </w:rPr>
        <w:t>号决定中确定了第十四届会议将审议的问题。</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根据缔约方大会会议议事规则第</w:t>
      </w:r>
      <w:r w:rsidRPr="00EB07E5">
        <w:rPr>
          <w:kern w:val="22"/>
          <w:sz w:val="24"/>
          <w:szCs w:val="24"/>
        </w:rPr>
        <w:t>6</w:t>
      </w:r>
      <w:r w:rsidRPr="00EB07E5">
        <w:rPr>
          <w:rFonts w:hint="eastAsia"/>
          <w:kern w:val="22"/>
          <w:sz w:val="24"/>
          <w:szCs w:val="24"/>
        </w:rPr>
        <w:t>条，秘书处将举行本届会议一事通知了联合国及其专门机构和国际原子能机构，以及尚未加入《公约》的国家，使其能以观察员身份与会。</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根据议事规则第</w:t>
      </w:r>
      <w:r w:rsidRPr="00EB07E5">
        <w:rPr>
          <w:kern w:val="22"/>
          <w:sz w:val="24"/>
          <w:szCs w:val="24"/>
        </w:rPr>
        <w:t>7</w:t>
      </w:r>
      <w:r w:rsidRPr="00EB07E5">
        <w:rPr>
          <w:rFonts w:hint="eastAsia"/>
          <w:kern w:val="22"/>
          <w:sz w:val="24"/>
          <w:szCs w:val="24"/>
        </w:rPr>
        <w:t>条，秘书处通知了在与保护和可持续利用生物多样性相关领域具备必要的资格、并已通知秘书处其愿意出席会议的政府或非政府性的组织和机构，使其能够派观察员与会。将向缔约方大会提供此类机构的名单，供其参考。</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东道国将与秘书处和主席团协商，组织一次高级别部长会议。高级别会议将于</w:t>
      </w:r>
      <w:smartTag w:uri="urn:schemas-microsoft-com:office:smarttags" w:element="chsdate">
        <w:smartTagPr>
          <w:attr w:name="IsROCDate" w:val="False"/>
          <w:attr w:name="IsLunarDate" w:val="False"/>
          <w:attr w:name="Day" w:val="14"/>
          <w:attr w:name="Month" w:val="11"/>
          <w:attr w:name="Year" w:val="2018"/>
        </w:smartTagPr>
        <w:r w:rsidRPr="00EB07E5">
          <w:rPr>
            <w:kern w:val="22"/>
            <w:sz w:val="24"/>
            <w:szCs w:val="24"/>
          </w:rPr>
          <w:t>2018</w:t>
        </w:r>
        <w:r w:rsidRPr="00EB07E5">
          <w:rPr>
            <w:rFonts w:hint="eastAsia"/>
            <w:kern w:val="22"/>
            <w:sz w:val="24"/>
            <w:szCs w:val="24"/>
          </w:rPr>
          <w:t>年</w:t>
        </w:r>
        <w:r w:rsidRPr="00EB07E5">
          <w:rPr>
            <w:kern w:val="22"/>
            <w:sz w:val="24"/>
            <w:szCs w:val="24"/>
          </w:rPr>
          <w:t>11</w:t>
        </w:r>
        <w:r w:rsidRPr="00EB07E5">
          <w:rPr>
            <w:rFonts w:hint="eastAsia"/>
            <w:kern w:val="22"/>
            <w:sz w:val="24"/>
            <w:szCs w:val="24"/>
          </w:rPr>
          <w:t>月</w:t>
        </w:r>
        <w:r w:rsidRPr="00EB07E5">
          <w:rPr>
            <w:kern w:val="22"/>
            <w:sz w:val="24"/>
            <w:szCs w:val="24"/>
          </w:rPr>
          <w:t>14</w:t>
        </w:r>
        <w:r w:rsidRPr="00EB07E5">
          <w:rPr>
            <w:rFonts w:hint="eastAsia"/>
            <w:kern w:val="22"/>
            <w:sz w:val="24"/>
            <w:szCs w:val="24"/>
          </w:rPr>
          <w:t>日</w:t>
        </w:r>
      </w:smartTag>
      <w:r w:rsidRPr="00EB07E5">
        <w:rPr>
          <w:rFonts w:hint="eastAsia"/>
          <w:kern w:val="22"/>
          <w:sz w:val="24"/>
          <w:szCs w:val="24"/>
        </w:rPr>
        <w:t>至</w:t>
      </w:r>
      <w:r w:rsidRPr="00EB07E5">
        <w:rPr>
          <w:kern w:val="22"/>
          <w:sz w:val="24"/>
          <w:szCs w:val="24"/>
        </w:rPr>
        <w:t>15</w:t>
      </w:r>
      <w:r w:rsidRPr="00EB07E5">
        <w:rPr>
          <w:rFonts w:hint="eastAsia"/>
          <w:kern w:val="22"/>
          <w:sz w:val="24"/>
          <w:szCs w:val="24"/>
        </w:rPr>
        <w:t>日举行。预期高级别会议将由埃及环境部部长阁下宣布开幕，并且埃及总统阁下将出席会议。其他高级官员也将在会上发言。</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根据惯例，执行秘书编制了一份闭会期间各附属机构会议所拟定或由执行秘书根据以往决定和建议编制的决定草案汇编（</w:t>
      </w:r>
      <w:r w:rsidRPr="00EB07E5">
        <w:rPr>
          <w:kern w:val="22"/>
          <w:sz w:val="24"/>
          <w:szCs w:val="24"/>
        </w:rPr>
        <w:t>UNEP/CBD/COP/14/2</w:t>
      </w:r>
      <w:r w:rsidRPr="00EB07E5">
        <w:rPr>
          <w:rFonts w:hint="eastAsia"/>
          <w:kern w:val="22"/>
          <w:sz w:val="24"/>
          <w:szCs w:val="24"/>
        </w:rPr>
        <w:t>）和将编制一份决定草案所涉财务问题的摘要。</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非洲、亚洲和拉丁美洲和加勒比区域可能在缔约方大会第十四届会议之前，于</w:t>
      </w:r>
      <w:smartTag w:uri="urn:schemas-microsoft-com:office:smarttags" w:element="chsdate">
        <w:smartTagPr>
          <w:attr w:name="IsROCDate" w:val="False"/>
          <w:attr w:name="IsLunarDate" w:val="False"/>
          <w:attr w:name="Day" w:val="16"/>
          <w:attr w:name="Month" w:val="11"/>
          <w:attr w:name="Year" w:val="2018"/>
        </w:smartTagPr>
        <w:r w:rsidRPr="00EB07E5">
          <w:rPr>
            <w:kern w:val="22"/>
            <w:sz w:val="24"/>
            <w:szCs w:val="24"/>
          </w:rPr>
          <w:t>11</w:t>
        </w:r>
        <w:r w:rsidRPr="00EB07E5">
          <w:rPr>
            <w:rFonts w:hint="eastAsia"/>
            <w:kern w:val="22"/>
            <w:sz w:val="24"/>
            <w:szCs w:val="24"/>
          </w:rPr>
          <w:t>月</w:t>
        </w:r>
        <w:r w:rsidRPr="00EB07E5">
          <w:rPr>
            <w:kern w:val="22"/>
            <w:sz w:val="24"/>
            <w:szCs w:val="24"/>
          </w:rPr>
          <w:t>16</w:t>
        </w:r>
        <w:r w:rsidRPr="00EB07E5">
          <w:rPr>
            <w:rFonts w:hint="eastAsia"/>
            <w:kern w:val="22"/>
            <w:sz w:val="24"/>
            <w:szCs w:val="24"/>
          </w:rPr>
          <w:t>日</w:t>
        </w:r>
      </w:smartTag>
      <w:r w:rsidRPr="00EB07E5">
        <w:rPr>
          <w:rFonts w:hint="eastAsia"/>
          <w:kern w:val="22"/>
          <w:sz w:val="24"/>
          <w:szCs w:val="24"/>
        </w:rPr>
        <w:t>举行筹备会议。</w:t>
      </w:r>
    </w:p>
    <w:p w:rsidR="00047BD6" w:rsidRPr="00EB07E5" w:rsidRDefault="00047BD6" w:rsidP="00851002">
      <w:pPr>
        <w:pStyle w:val="Heading2"/>
        <w:tabs>
          <w:tab w:val="left" w:pos="851"/>
        </w:tabs>
        <w:rPr>
          <w:i w:val="0"/>
          <w:snapToGrid w:val="0"/>
          <w:kern w:val="22"/>
        </w:rPr>
      </w:pPr>
      <w:r w:rsidRPr="00EB07E5">
        <w:rPr>
          <w:rFonts w:hint="eastAsia"/>
          <w:i w:val="0"/>
          <w:snapToGrid w:val="0"/>
          <w:kern w:val="22"/>
        </w:rPr>
        <w:t>项目</w:t>
      </w:r>
      <w:r w:rsidRPr="00EB07E5">
        <w:rPr>
          <w:i w:val="0"/>
          <w:snapToGrid w:val="0"/>
          <w:kern w:val="22"/>
        </w:rPr>
        <w:t xml:space="preserve">1. </w:t>
      </w:r>
      <w:r w:rsidRPr="00EB07E5">
        <w:rPr>
          <w:rFonts w:hint="eastAsia"/>
          <w:i w:val="0"/>
          <w:snapToGrid w:val="0"/>
          <w:kern w:val="22"/>
        </w:rPr>
        <w:t>会议开幕</w:t>
      </w:r>
    </w:p>
    <w:p w:rsidR="00047BD6" w:rsidRPr="00EB07E5" w:rsidRDefault="00047BD6" w:rsidP="00851002">
      <w:pPr>
        <w:pStyle w:val="Para10"/>
        <w:numPr>
          <w:ilvl w:val="0"/>
          <w:numId w:val="20"/>
        </w:numPr>
        <w:tabs>
          <w:tab w:val="clear" w:pos="360"/>
        </w:tabs>
        <w:snapToGrid w:val="0"/>
        <w:rPr>
          <w:kern w:val="22"/>
          <w:sz w:val="24"/>
          <w:szCs w:val="24"/>
        </w:rPr>
      </w:pPr>
      <w:smartTag w:uri="urn:schemas-microsoft-com:office:smarttags" w:element="chsdate">
        <w:smartTagPr>
          <w:attr w:name="IsROCDate" w:val="False"/>
          <w:attr w:name="IsLunarDate" w:val="False"/>
          <w:attr w:name="Day" w:val="17"/>
          <w:attr w:name="Month" w:val="11"/>
          <w:attr w:name="Year" w:val="2018"/>
        </w:smartTagPr>
        <w:r w:rsidRPr="00EB07E5">
          <w:rPr>
            <w:kern w:val="22"/>
            <w:sz w:val="24"/>
            <w:szCs w:val="24"/>
          </w:rPr>
          <w:t>2018</w:t>
        </w:r>
        <w:r w:rsidRPr="00EB07E5">
          <w:rPr>
            <w:rFonts w:hint="eastAsia"/>
            <w:kern w:val="22"/>
            <w:sz w:val="24"/>
            <w:szCs w:val="24"/>
          </w:rPr>
          <w:t>年</w:t>
        </w:r>
        <w:r w:rsidRPr="00EB07E5">
          <w:rPr>
            <w:kern w:val="22"/>
            <w:sz w:val="24"/>
            <w:szCs w:val="24"/>
          </w:rPr>
          <w:t>11</w:t>
        </w:r>
        <w:r w:rsidRPr="00EB07E5">
          <w:rPr>
            <w:rFonts w:hint="eastAsia"/>
            <w:kern w:val="22"/>
            <w:sz w:val="24"/>
            <w:szCs w:val="24"/>
          </w:rPr>
          <w:t>月</w:t>
        </w:r>
        <w:r w:rsidRPr="00EB07E5">
          <w:rPr>
            <w:kern w:val="22"/>
            <w:sz w:val="24"/>
            <w:szCs w:val="24"/>
          </w:rPr>
          <w:t>17</w:t>
        </w:r>
        <w:r w:rsidRPr="00EB07E5">
          <w:rPr>
            <w:rFonts w:hint="eastAsia"/>
            <w:kern w:val="22"/>
            <w:sz w:val="24"/>
            <w:szCs w:val="24"/>
          </w:rPr>
          <w:t>日</w:t>
        </w:r>
      </w:smartTag>
      <w:r w:rsidRPr="00EB07E5">
        <w:rPr>
          <w:rFonts w:hint="eastAsia"/>
          <w:kern w:val="22"/>
          <w:sz w:val="24"/>
          <w:szCs w:val="24"/>
        </w:rPr>
        <w:t>星期六上午</w:t>
      </w:r>
      <w:r w:rsidRPr="00EB07E5">
        <w:rPr>
          <w:kern w:val="22"/>
          <w:sz w:val="24"/>
          <w:szCs w:val="24"/>
        </w:rPr>
        <w:t>10</w:t>
      </w:r>
      <w:r w:rsidRPr="00EB07E5">
        <w:rPr>
          <w:rFonts w:hint="eastAsia"/>
          <w:kern w:val="22"/>
          <w:sz w:val="24"/>
          <w:szCs w:val="24"/>
        </w:rPr>
        <w:t>时举行开幕式。随后立即继续进行开幕会议。</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会议将由缔约方大会第十三届会议主席或其代表宣布开幕。在开幕会议上，大会将听取埃及政府和地方当局代表致欢迎辞。</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执行秘书将在会议上发言，并向缔约方大会重点说明各主要事项。</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各区域集团、土著人民和地方社区以及数量有限的其他团体的代表也可以发言。</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开幕会议将包括庆祝《公约》生效二十五周年。</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作为卡特赫纳议定书缔约方会议的缔约方大会第九次会议和作为名古屋议定书缔约方会议的缔约方大会第三次会议将与缔约方大会第十四届会议同时开幕</w:t>
      </w:r>
      <w:r w:rsidRPr="00EB07E5">
        <w:rPr>
          <w:sz w:val="24"/>
          <w:szCs w:val="24"/>
          <w:vertAlign w:val="superscript"/>
        </w:rPr>
        <w:footnoteReference w:id="2"/>
      </w:r>
      <w:r w:rsidRPr="00EB07E5">
        <w:rPr>
          <w:rFonts w:hint="eastAsia"/>
          <w:kern w:val="22"/>
          <w:sz w:val="24"/>
          <w:szCs w:val="24"/>
        </w:rPr>
        <w:t>。</w:t>
      </w:r>
      <w:r w:rsidRPr="00EB07E5">
        <w:rPr>
          <w:kern w:val="22"/>
          <w:sz w:val="24"/>
          <w:szCs w:val="24"/>
        </w:rPr>
        <w:t xml:space="preserve"> </w:t>
      </w:r>
    </w:p>
    <w:p w:rsidR="00047BD6" w:rsidRPr="00EB07E5" w:rsidRDefault="00047BD6" w:rsidP="00851002">
      <w:pPr>
        <w:pStyle w:val="Heading2"/>
        <w:tabs>
          <w:tab w:val="left" w:pos="851"/>
        </w:tabs>
        <w:rPr>
          <w:i w:val="0"/>
          <w:snapToGrid w:val="0"/>
          <w:kern w:val="22"/>
        </w:rPr>
      </w:pPr>
      <w:r w:rsidRPr="00EB07E5">
        <w:rPr>
          <w:rFonts w:hint="eastAsia"/>
          <w:i w:val="0"/>
          <w:snapToGrid w:val="0"/>
          <w:kern w:val="22"/>
        </w:rPr>
        <w:t>项目</w:t>
      </w:r>
      <w:r w:rsidRPr="00EB07E5">
        <w:rPr>
          <w:i w:val="0"/>
          <w:snapToGrid w:val="0"/>
          <w:kern w:val="22"/>
        </w:rPr>
        <w:t xml:space="preserve">2. </w:t>
      </w:r>
      <w:r w:rsidRPr="00EB07E5">
        <w:rPr>
          <w:rFonts w:hint="eastAsia"/>
          <w:i w:val="0"/>
          <w:snapToGrid w:val="0"/>
          <w:kern w:val="22"/>
        </w:rPr>
        <w:t>组织事项</w:t>
      </w:r>
    </w:p>
    <w:p w:rsidR="00047BD6" w:rsidRPr="00EB07E5" w:rsidRDefault="00047BD6" w:rsidP="00851002">
      <w:pPr>
        <w:pStyle w:val="Heading3"/>
        <w:jc w:val="both"/>
        <w:rPr>
          <w:rFonts w:eastAsia="楷体"/>
          <w:i w:val="0"/>
          <w:snapToGrid w:val="0"/>
          <w:kern w:val="22"/>
          <w:lang w:eastAsia="zh-CN"/>
        </w:rPr>
      </w:pPr>
      <w:r w:rsidRPr="00EB07E5">
        <w:rPr>
          <w:rFonts w:eastAsia="楷体" w:hint="eastAsia"/>
          <w:i w:val="0"/>
          <w:kern w:val="22"/>
          <w:lang w:eastAsia="zh-CN"/>
        </w:rPr>
        <w:t>选举主席</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预期缔约方大会第十三届会议主席或其代表将在开幕会议上要求选举东道国的一位代表担任第十四届会议主席。主席任期于他或她在缔约方大会第十四届会议上当选起立即开始，至第十五届会议选举产生继任人为止。</w:t>
      </w:r>
    </w:p>
    <w:p w:rsidR="00047BD6" w:rsidRPr="00EB07E5" w:rsidRDefault="00047BD6" w:rsidP="00851002">
      <w:pPr>
        <w:pStyle w:val="Para10"/>
        <w:numPr>
          <w:ilvl w:val="0"/>
          <w:numId w:val="0"/>
        </w:numPr>
        <w:snapToGrid w:val="0"/>
        <w:rPr>
          <w:rFonts w:eastAsia="楷体"/>
          <w:kern w:val="22"/>
          <w:sz w:val="24"/>
          <w:szCs w:val="24"/>
        </w:rPr>
      </w:pPr>
      <w:r w:rsidRPr="00EB07E5">
        <w:rPr>
          <w:rFonts w:eastAsia="楷体" w:hint="eastAsia"/>
          <w:kern w:val="22"/>
          <w:sz w:val="24"/>
          <w:szCs w:val="24"/>
        </w:rPr>
        <w:t>选举主席以外的其他主席团成员</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按照议事规则第</w:t>
      </w:r>
      <w:r w:rsidRPr="00EB07E5">
        <w:rPr>
          <w:kern w:val="22"/>
          <w:sz w:val="24"/>
          <w:szCs w:val="24"/>
        </w:rPr>
        <w:t>21</w:t>
      </w:r>
      <w:r w:rsidRPr="00EB07E5">
        <w:rPr>
          <w:rFonts w:hint="eastAsia"/>
          <w:kern w:val="22"/>
          <w:sz w:val="24"/>
          <w:szCs w:val="24"/>
        </w:rPr>
        <w:t>条的规定（第</w:t>
      </w:r>
      <w:r w:rsidRPr="00EB07E5">
        <w:rPr>
          <w:kern w:val="22"/>
          <w:sz w:val="24"/>
          <w:szCs w:val="24"/>
        </w:rPr>
        <w:t>I/1</w:t>
      </w:r>
      <w:r w:rsidRPr="00EB07E5">
        <w:rPr>
          <w:rFonts w:hint="eastAsia"/>
          <w:kern w:val="22"/>
          <w:sz w:val="24"/>
          <w:szCs w:val="24"/>
        </w:rPr>
        <w:t>号决定通过并经</w:t>
      </w:r>
      <w:r w:rsidRPr="00EB07E5">
        <w:rPr>
          <w:kern w:val="22"/>
          <w:sz w:val="24"/>
          <w:szCs w:val="24"/>
        </w:rPr>
        <w:t>V/20</w:t>
      </w:r>
      <w:r w:rsidRPr="00EB07E5">
        <w:rPr>
          <w:rFonts w:hint="eastAsia"/>
          <w:kern w:val="22"/>
          <w:sz w:val="24"/>
          <w:szCs w:val="24"/>
        </w:rPr>
        <w:t>号决定修订），除主席外，还将从出席会议的缔约方代表中选举产生</w:t>
      </w:r>
      <w:r w:rsidRPr="00EB07E5">
        <w:rPr>
          <w:kern w:val="22"/>
          <w:sz w:val="24"/>
          <w:szCs w:val="24"/>
        </w:rPr>
        <w:t>10</w:t>
      </w:r>
      <w:r w:rsidRPr="00EB07E5">
        <w:rPr>
          <w:rFonts w:hint="eastAsia"/>
          <w:kern w:val="22"/>
          <w:sz w:val="24"/>
          <w:szCs w:val="24"/>
        </w:rPr>
        <w:t>名副主席，其中一人将担任报告员。副主席的任期从缔约方大会第十四届会议闭幕时开始，至第十五届会议闭幕时结束。缔约方大会在第十三届会议上，从以下国家选举产生了</w:t>
      </w:r>
      <w:r w:rsidRPr="00EB07E5">
        <w:rPr>
          <w:kern w:val="22"/>
          <w:sz w:val="24"/>
          <w:szCs w:val="24"/>
        </w:rPr>
        <w:t>10</w:t>
      </w:r>
      <w:r w:rsidRPr="00EB07E5">
        <w:rPr>
          <w:rFonts w:hint="eastAsia"/>
          <w:kern w:val="22"/>
          <w:sz w:val="24"/>
          <w:szCs w:val="24"/>
        </w:rPr>
        <w:t>名副主席，其任期从第十三届会议闭幕时开始至第十四届会议闭幕时为止：</w:t>
      </w:r>
    </w:p>
    <w:p w:rsidR="00047BD6" w:rsidRPr="00EB07E5" w:rsidRDefault="00047BD6" w:rsidP="00851002">
      <w:pPr>
        <w:pStyle w:val="Para10"/>
        <w:keepNext/>
        <w:keepLines/>
        <w:numPr>
          <w:ilvl w:val="0"/>
          <w:numId w:val="0"/>
        </w:numPr>
        <w:spacing w:after="0" w:line="228" w:lineRule="auto"/>
        <w:ind w:left="2160"/>
        <w:rPr>
          <w:kern w:val="22"/>
          <w:sz w:val="24"/>
          <w:szCs w:val="24"/>
        </w:rPr>
      </w:pPr>
      <w:r w:rsidRPr="00EB07E5">
        <w:rPr>
          <w:noProof/>
          <w:kern w:val="22"/>
          <w:sz w:val="24"/>
          <w:szCs w:val="24"/>
        </w:rPr>
        <w:t>Mohamed Ali ben Temessek</w:t>
      </w:r>
      <w:r w:rsidRPr="00EB07E5">
        <w:rPr>
          <w:rFonts w:hint="eastAsia"/>
          <w:noProof/>
          <w:kern w:val="22"/>
          <w:sz w:val="24"/>
          <w:szCs w:val="24"/>
        </w:rPr>
        <w:t>先生</w:t>
      </w:r>
      <w:r w:rsidRPr="00EB07E5">
        <w:rPr>
          <w:kern w:val="22"/>
          <w:sz w:val="24"/>
          <w:szCs w:val="24"/>
        </w:rPr>
        <w:t xml:space="preserve"> (</w:t>
      </w:r>
      <w:r w:rsidRPr="00EB07E5">
        <w:rPr>
          <w:rFonts w:hint="eastAsia"/>
          <w:kern w:val="22"/>
          <w:sz w:val="24"/>
          <w:szCs w:val="24"/>
        </w:rPr>
        <w:t>突尼斯</w:t>
      </w:r>
      <w:r w:rsidRPr="00EB07E5">
        <w:rPr>
          <w:kern w:val="22"/>
          <w:sz w:val="24"/>
          <w:szCs w:val="24"/>
        </w:rPr>
        <w:t>)</w:t>
      </w:r>
    </w:p>
    <w:p w:rsidR="00047BD6" w:rsidRPr="00EB07E5" w:rsidRDefault="00047BD6" w:rsidP="00851002">
      <w:pPr>
        <w:pStyle w:val="Para10"/>
        <w:keepNext/>
        <w:keepLines/>
        <w:numPr>
          <w:ilvl w:val="0"/>
          <w:numId w:val="0"/>
        </w:numPr>
        <w:spacing w:before="0" w:after="0" w:line="228" w:lineRule="auto"/>
        <w:ind w:left="2160"/>
        <w:rPr>
          <w:kern w:val="22"/>
          <w:sz w:val="24"/>
          <w:szCs w:val="24"/>
        </w:rPr>
      </w:pPr>
      <w:r w:rsidRPr="00EB07E5">
        <w:rPr>
          <w:noProof/>
          <w:kern w:val="22"/>
          <w:sz w:val="24"/>
          <w:szCs w:val="24"/>
        </w:rPr>
        <w:t>Samuel Ndayiragije</w:t>
      </w:r>
      <w:r w:rsidRPr="00EB07E5">
        <w:rPr>
          <w:kern w:val="22"/>
          <w:sz w:val="24"/>
          <w:szCs w:val="24"/>
        </w:rPr>
        <w:t xml:space="preserve"> </w:t>
      </w:r>
      <w:r w:rsidRPr="00EB07E5">
        <w:rPr>
          <w:rFonts w:hint="eastAsia"/>
          <w:kern w:val="22"/>
          <w:sz w:val="24"/>
          <w:szCs w:val="24"/>
        </w:rPr>
        <w:t>先生</w:t>
      </w:r>
      <w:r w:rsidRPr="00EB07E5">
        <w:rPr>
          <w:kern w:val="22"/>
          <w:sz w:val="24"/>
          <w:szCs w:val="24"/>
        </w:rPr>
        <w:t>(</w:t>
      </w:r>
      <w:r w:rsidRPr="00EB07E5">
        <w:rPr>
          <w:rFonts w:hint="eastAsia"/>
          <w:kern w:val="22"/>
          <w:sz w:val="24"/>
          <w:szCs w:val="24"/>
        </w:rPr>
        <w:t>布隆迪</w:t>
      </w:r>
      <w:r w:rsidRPr="00EB07E5">
        <w:rPr>
          <w:kern w:val="22"/>
          <w:sz w:val="24"/>
          <w:szCs w:val="24"/>
        </w:rPr>
        <w:t>)</w:t>
      </w:r>
    </w:p>
    <w:p w:rsidR="00047BD6" w:rsidRPr="00EB07E5" w:rsidRDefault="00047BD6" w:rsidP="00851002">
      <w:pPr>
        <w:pStyle w:val="Para10"/>
        <w:keepNext/>
        <w:keepLines/>
        <w:numPr>
          <w:ilvl w:val="0"/>
          <w:numId w:val="0"/>
        </w:numPr>
        <w:spacing w:before="0" w:after="0" w:line="228" w:lineRule="auto"/>
        <w:ind w:left="2160"/>
        <w:rPr>
          <w:kern w:val="22"/>
          <w:sz w:val="24"/>
          <w:szCs w:val="24"/>
        </w:rPr>
      </w:pPr>
      <w:r w:rsidRPr="00EB07E5">
        <w:rPr>
          <w:noProof/>
          <w:kern w:val="22"/>
          <w:sz w:val="24"/>
          <w:szCs w:val="24"/>
        </w:rPr>
        <w:t>Elvana Ramaj</w:t>
      </w:r>
      <w:r w:rsidRPr="00EB07E5">
        <w:rPr>
          <w:kern w:val="22"/>
          <w:sz w:val="24"/>
          <w:szCs w:val="24"/>
        </w:rPr>
        <w:t xml:space="preserve"> </w:t>
      </w:r>
      <w:r w:rsidRPr="00EB07E5">
        <w:rPr>
          <w:rFonts w:hint="eastAsia"/>
          <w:kern w:val="22"/>
          <w:sz w:val="24"/>
          <w:szCs w:val="24"/>
        </w:rPr>
        <w:t>女士</w:t>
      </w:r>
      <w:r w:rsidRPr="00EB07E5">
        <w:rPr>
          <w:kern w:val="22"/>
          <w:sz w:val="24"/>
          <w:szCs w:val="24"/>
        </w:rPr>
        <w:t>(</w:t>
      </w:r>
      <w:r w:rsidRPr="00EB07E5">
        <w:rPr>
          <w:rFonts w:hint="eastAsia"/>
          <w:kern w:val="22"/>
          <w:sz w:val="24"/>
          <w:szCs w:val="24"/>
        </w:rPr>
        <w:t>阿尔巴尼亚</w:t>
      </w:r>
      <w:r w:rsidRPr="00EB07E5">
        <w:rPr>
          <w:kern w:val="22"/>
          <w:sz w:val="24"/>
          <w:szCs w:val="24"/>
        </w:rPr>
        <w:t>)</w:t>
      </w:r>
    </w:p>
    <w:p w:rsidR="00047BD6" w:rsidRPr="00EB07E5" w:rsidRDefault="00047BD6" w:rsidP="00851002">
      <w:pPr>
        <w:pStyle w:val="Para10"/>
        <w:keepNext/>
        <w:keepLines/>
        <w:numPr>
          <w:ilvl w:val="0"/>
          <w:numId w:val="0"/>
        </w:numPr>
        <w:spacing w:before="0" w:after="0" w:line="228" w:lineRule="auto"/>
        <w:ind w:left="2160"/>
        <w:rPr>
          <w:kern w:val="22"/>
          <w:sz w:val="24"/>
          <w:szCs w:val="24"/>
        </w:rPr>
      </w:pPr>
      <w:r w:rsidRPr="00EB07E5">
        <w:rPr>
          <w:noProof/>
          <w:kern w:val="22"/>
          <w:sz w:val="24"/>
          <w:szCs w:val="24"/>
        </w:rPr>
        <w:t>Sergei Melnov</w:t>
      </w:r>
      <w:r w:rsidRPr="00EB07E5">
        <w:rPr>
          <w:rFonts w:hint="eastAsia"/>
          <w:noProof/>
          <w:kern w:val="22"/>
          <w:sz w:val="24"/>
          <w:szCs w:val="24"/>
        </w:rPr>
        <w:t>先生</w:t>
      </w:r>
      <w:r w:rsidRPr="00EB07E5">
        <w:rPr>
          <w:kern w:val="22"/>
          <w:sz w:val="24"/>
          <w:szCs w:val="24"/>
        </w:rPr>
        <w:t xml:space="preserve"> (</w:t>
      </w:r>
      <w:r w:rsidRPr="00EB07E5">
        <w:rPr>
          <w:rFonts w:hint="eastAsia"/>
          <w:kern w:val="22"/>
          <w:sz w:val="24"/>
          <w:szCs w:val="24"/>
        </w:rPr>
        <w:t>白俄罗斯</w:t>
      </w:r>
      <w:r w:rsidRPr="00EB07E5">
        <w:rPr>
          <w:kern w:val="22"/>
          <w:sz w:val="24"/>
          <w:szCs w:val="24"/>
        </w:rPr>
        <w:t>)</w:t>
      </w:r>
    </w:p>
    <w:p w:rsidR="00047BD6" w:rsidRPr="00EB07E5" w:rsidRDefault="00047BD6" w:rsidP="00851002">
      <w:pPr>
        <w:pStyle w:val="Para10"/>
        <w:keepNext/>
        <w:keepLines/>
        <w:numPr>
          <w:ilvl w:val="0"/>
          <w:numId w:val="0"/>
        </w:numPr>
        <w:spacing w:before="0" w:after="0" w:line="228" w:lineRule="auto"/>
        <w:ind w:left="2160"/>
        <w:rPr>
          <w:kern w:val="22"/>
          <w:sz w:val="24"/>
          <w:szCs w:val="24"/>
        </w:rPr>
      </w:pPr>
      <w:r w:rsidRPr="00EB07E5">
        <w:rPr>
          <w:noProof/>
          <w:kern w:val="22"/>
          <w:sz w:val="24"/>
          <w:szCs w:val="24"/>
        </w:rPr>
        <w:t>Randolph Edmead</w:t>
      </w:r>
      <w:r w:rsidRPr="00EB07E5">
        <w:rPr>
          <w:kern w:val="22"/>
          <w:sz w:val="24"/>
          <w:szCs w:val="24"/>
        </w:rPr>
        <w:t xml:space="preserve"> </w:t>
      </w:r>
      <w:r w:rsidRPr="00EB07E5">
        <w:rPr>
          <w:rFonts w:hint="eastAsia"/>
          <w:kern w:val="22"/>
          <w:sz w:val="24"/>
          <w:szCs w:val="24"/>
        </w:rPr>
        <w:t>先生</w:t>
      </w:r>
      <w:r w:rsidRPr="00EB07E5">
        <w:rPr>
          <w:kern w:val="22"/>
          <w:sz w:val="24"/>
          <w:szCs w:val="24"/>
        </w:rPr>
        <w:t>(</w:t>
      </w:r>
      <w:r w:rsidRPr="00EB07E5">
        <w:rPr>
          <w:rFonts w:hint="eastAsia"/>
          <w:kern w:val="22"/>
          <w:sz w:val="24"/>
          <w:szCs w:val="24"/>
        </w:rPr>
        <w:t>圣基茨和尼维斯</w:t>
      </w:r>
      <w:r w:rsidRPr="00EB07E5">
        <w:rPr>
          <w:kern w:val="22"/>
          <w:sz w:val="24"/>
          <w:szCs w:val="24"/>
        </w:rPr>
        <w:t>)</w:t>
      </w:r>
    </w:p>
    <w:p w:rsidR="00047BD6" w:rsidRPr="00EB07E5" w:rsidRDefault="00047BD6" w:rsidP="00851002">
      <w:pPr>
        <w:pStyle w:val="Para10"/>
        <w:keepNext/>
        <w:keepLines/>
        <w:numPr>
          <w:ilvl w:val="0"/>
          <w:numId w:val="0"/>
        </w:numPr>
        <w:spacing w:before="0" w:after="0" w:line="228" w:lineRule="auto"/>
        <w:ind w:left="2160"/>
        <w:rPr>
          <w:kern w:val="22"/>
          <w:sz w:val="24"/>
          <w:szCs w:val="24"/>
        </w:rPr>
      </w:pPr>
      <w:r w:rsidRPr="00EB07E5">
        <w:rPr>
          <w:noProof/>
          <w:kern w:val="22"/>
          <w:sz w:val="24"/>
          <w:szCs w:val="24"/>
        </w:rPr>
        <w:t>Clarissa Nina</w:t>
      </w:r>
      <w:r w:rsidRPr="00EB07E5">
        <w:rPr>
          <w:kern w:val="22"/>
          <w:sz w:val="24"/>
          <w:szCs w:val="24"/>
        </w:rPr>
        <w:t xml:space="preserve"> </w:t>
      </w:r>
      <w:r w:rsidRPr="00EB07E5">
        <w:rPr>
          <w:rFonts w:hint="eastAsia"/>
          <w:kern w:val="22"/>
          <w:sz w:val="24"/>
          <w:szCs w:val="24"/>
        </w:rPr>
        <w:t>女士</w:t>
      </w:r>
      <w:r w:rsidRPr="00EB07E5">
        <w:rPr>
          <w:kern w:val="22"/>
          <w:sz w:val="24"/>
          <w:szCs w:val="24"/>
        </w:rPr>
        <w:t>(</w:t>
      </w:r>
      <w:r w:rsidRPr="00EB07E5">
        <w:rPr>
          <w:rFonts w:hint="eastAsia"/>
          <w:kern w:val="22"/>
          <w:sz w:val="24"/>
          <w:szCs w:val="24"/>
        </w:rPr>
        <w:t>巴西</w:t>
      </w:r>
      <w:r w:rsidRPr="00EB07E5">
        <w:rPr>
          <w:kern w:val="22"/>
          <w:sz w:val="24"/>
          <w:szCs w:val="24"/>
        </w:rPr>
        <w:t>)</w:t>
      </w:r>
    </w:p>
    <w:p w:rsidR="00047BD6" w:rsidRPr="00EB07E5" w:rsidRDefault="00047BD6" w:rsidP="00851002">
      <w:pPr>
        <w:pStyle w:val="Para10"/>
        <w:keepNext/>
        <w:keepLines/>
        <w:numPr>
          <w:ilvl w:val="0"/>
          <w:numId w:val="0"/>
        </w:numPr>
        <w:spacing w:before="0" w:after="0" w:line="228" w:lineRule="auto"/>
        <w:ind w:left="2160"/>
        <w:rPr>
          <w:kern w:val="22"/>
          <w:sz w:val="24"/>
          <w:szCs w:val="24"/>
        </w:rPr>
      </w:pPr>
      <w:r w:rsidRPr="00EB07E5">
        <w:rPr>
          <w:noProof/>
          <w:kern w:val="22"/>
          <w:sz w:val="24"/>
          <w:szCs w:val="24"/>
        </w:rPr>
        <w:t>Hayo Haanstra</w:t>
      </w:r>
      <w:r w:rsidRPr="00EB07E5">
        <w:rPr>
          <w:rFonts w:hint="eastAsia"/>
          <w:noProof/>
          <w:kern w:val="22"/>
          <w:sz w:val="24"/>
          <w:szCs w:val="24"/>
        </w:rPr>
        <w:t>先生</w:t>
      </w:r>
      <w:r w:rsidRPr="00EB07E5">
        <w:rPr>
          <w:kern w:val="22"/>
          <w:sz w:val="24"/>
          <w:szCs w:val="24"/>
        </w:rPr>
        <w:t xml:space="preserve"> (</w:t>
      </w:r>
      <w:r w:rsidRPr="00EB07E5">
        <w:rPr>
          <w:rFonts w:hint="eastAsia"/>
          <w:kern w:val="22"/>
          <w:sz w:val="24"/>
          <w:szCs w:val="24"/>
        </w:rPr>
        <w:t>荷兰</w:t>
      </w:r>
      <w:r w:rsidRPr="00EB07E5">
        <w:rPr>
          <w:kern w:val="22"/>
          <w:sz w:val="24"/>
          <w:szCs w:val="24"/>
        </w:rPr>
        <w:t>)</w:t>
      </w:r>
    </w:p>
    <w:p w:rsidR="00047BD6" w:rsidRPr="00EB07E5" w:rsidRDefault="00047BD6" w:rsidP="00851002">
      <w:pPr>
        <w:pStyle w:val="Para10"/>
        <w:keepNext/>
        <w:keepLines/>
        <w:numPr>
          <w:ilvl w:val="0"/>
          <w:numId w:val="0"/>
        </w:numPr>
        <w:spacing w:before="0" w:after="0" w:line="228" w:lineRule="auto"/>
        <w:ind w:left="2160"/>
        <w:rPr>
          <w:kern w:val="22"/>
          <w:sz w:val="24"/>
          <w:szCs w:val="24"/>
        </w:rPr>
      </w:pPr>
      <w:r w:rsidRPr="00EB07E5">
        <w:rPr>
          <w:noProof/>
          <w:kern w:val="22"/>
          <w:sz w:val="24"/>
          <w:szCs w:val="24"/>
        </w:rPr>
        <w:t>Basile van Havre</w:t>
      </w:r>
      <w:r w:rsidRPr="00EB07E5">
        <w:rPr>
          <w:kern w:val="22"/>
          <w:sz w:val="24"/>
          <w:szCs w:val="24"/>
        </w:rPr>
        <w:t xml:space="preserve"> </w:t>
      </w:r>
      <w:r w:rsidRPr="00EB07E5">
        <w:rPr>
          <w:rFonts w:hint="eastAsia"/>
          <w:kern w:val="22"/>
          <w:sz w:val="24"/>
          <w:szCs w:val="24"/>
        </w:rPr>
        <w:t>先生</w:t>
      </w:r>
      <w:r w:rsidRPr="00EB07E5">
        <w:rPr>
          <w:kern w:val="22"/>
          <w:sz w:val="24"/>
          <w:szCs w:val="24"/>
        </w:rPr>
        <w:t>(</w:t>
      </w:r>
      <w:r w:rsidRPr="00EB07E5">
        <w:rPr>
          <w:rFonts w:hint="eastAsia"/>
          <w:kern w:val="22"/>
          <w:sz w:val="24"/>
          <w:szCs w:val="24"/>
        </w:rPr>
        <w:t>加拿大</w:t>
      </w:r>
      <w:r w:rsidRPr="00EB07E5">
        <w:rPr>
          <w:kern w:val="22"/>
          <w:sz w:val="24"/>
          <w:szCs w:val="24"/>
        </w:rPr>
        <w:t>)</w:t>
      </w:r>
    </w:p>
    <w:p w:rsidR="00047BD6" w:rsidRPr="00EB07E5" w:rsidRDefault="00047BD6" w:rsidP="00851002">
      <w:pPr>
        <w:pStyle w:val="Para10"/>
        <w:keepNext/>
        <w:keepLines/>
        <w:numPr>
          <w:ilvl w:val="0"/>
          <w:numId w:val="0"/>
        </w:numPr>
        <w:spacing w:before="0" w:after="0" w:line="228" w:lineRule="auto"/>
        <w:ind w:left="2160"/>
        <w:rPr>
          <w:kern w:val="22"/>
          <w:sz w:val="24"/>
          <w:szCs w:val="24"/>
        </w:rPr>
      </w:pPr>
      <w:r w:rsidRPr="00EB07E5">
        <w:rPr>
          <w:noProof/>
          <w:kern w:val="22"/>
          <w:sz w:val="24"/>
          <w:szCs w:val="24"/>
        </w:rPr>
        <w:t>Gwendalyn K. Sisior</w:t>
      </w:r>
      <w:r w:rsidRPr="00EB07E5">
        <w:rPr>
          <w:rFonts w:hint="eastAsia"/>
          <w:noProof/>
          <w:kern w:val="22"/>
          <w:sz w:val="24"/>
          <w:szCs w:val="24"/>
        </w:rPr>
        <w:t>女士</w:t>
      </w:r>
      <w:r w:rsidRPr="00EB07E5">
        <w:rPr>
          <w:kern w:val="22"/>
          <w:sz w:val="24"/>
          <w:szCs w:val="24"/>
        </w:rPr>
        <w:t xml:space="preserve"> (</w:t>
      </w:r>
      <w:r w:rsidRPr="00EB07E5">
        <w:rPr>
          <w:rFonts w:hint="eastAsia"/>
          <w:kern w:val="22"/>
          <w:sz w:val="24"/>
          <w:szCs w:val="24"/>
        </w:rPr>
        <w:t>帕劳</w:t>
      </w:r>
      <w:r w:rsidRPr="00EB07E5">
        <w:rPr>
          <w:kern w:val="22"/>
          <w:sz w:val="24"/>
          <w:szCs w:val="24"/>
        </w:rPr>
        <w:t>)</w:t>
      </w:r>
    </w:p>
    <w:p w:rsidR="00047BD6" w:rsidRPr="00EB07E5" w:rsidRDefault="00047BD6" w:rsidP="00851002">
      <w:pPr>
        <w:pStyle w:val="Para10"/>
        <w:keepLines/>
        <w:numPr>
          <w:ilvl w:val="0"/>
          <w:numId w:val="0"/>
        </w:numPr>
        <w:spacing w:before="0" w:line="228" w:lineRule="auto"/>
        <w:ind w:left="2160"/>
        <w:rPr>
          <w:kern w:val="22"/>
          <w:sz w:val="24"/>
          <w:szCs w:val="24"/>
        </w:rPr>
      </w:pPr>
      <w:r w:rsidRPr="00EB07E5">
        <w:rPr>
          <w:noProof/>
          <w:kern w:val="22"/>
          <w:sz w:val="24"/>
          <w:szCs w:val="24"/>
        </w:rPr>
        <w:t>Monyrak Meng</w:t>
      </w:r>
      <w:r w:rsidRPr="00EB07E5">
        <w:rPr>
          <w:kern w:val="22"/>
          <w:sz w:val="24"/>
          <w:szCs w:val="24"/>
        </w:rPr>
        <w:t xml:space="preserve"> </w:t>
      </w:r>
      <w:r w:rsidRPr="00EB07E5">
        <w:rPr>
          <w:rFonts w:hint="eastAsia"/>
          <w:kern w:val="22"/>
          <w:sz w:val="24"/>
          <w:szCs w:val="24"/>
        </w:rPr>
        <w:t>先生</w:t>
      </w:r>
      <w:r w:rsidRPr="00EB07E5">
        <w:rPr>
          <w:kern w:val="22"/>
          <w:sz w:val="24"/>
          <w:szCs w:val="24"/>
        </w:rPr>
        <w:t>(</w:t>
      </w:r>
      <w:r w:rsidRPr="00EB07E5">
        <w:rPr>
          <w:rFonts w:hint="eastAsia"/>
          <w:kern w:val="22"/>
          <w:sz w:val="24"/>
          <w:szCs w:val="24"/>
        </w:rPr>
        <w:t>柬埔寨</w:t>
      </w:r>
      <w:r w:rsidRPr="00EB07E5">
        <w:rPr>
          <w:kern w:val="22"/>
          <w:sz w:val="24"/>
          <w:szCs w:val="24"/>
        </w:rPr>
        <w:t>)</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敦促区域集团在会议开幕时提交提名。这将使新当选的主席团成员能够以观察员身份出席在缔约方大会会议期间举行的主席团会议，确保即将离任和就任的主席团成员之间顺利过渡。</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必要时卡塔赫纳议定书缔约方第九次会议和名古屋议定书缔约方第三次会议将选举替补主席团成员。</w:t>
      </w:r>
    </w:p>
    <w:p w:rsidR="00047BD6" w:rsidRPr="00EB07E5" w:rsidRDefault="00047BD6" w:rsidP="00851002">
      <w:pPr>
        <w:pStyle w:val="Heading2"/>
        <w:tabs>
          <w:tab w:val="left" w:pos="851"/>
        </w:tabs>
        <w:spacing w:before="240"/>
        <w:jc w:val="left"/>
        <w:rPr>
          <w:rFonts w:eastAsia="楷体"/>
          <w:b w:val="0"/>
          <w:i w:val="0"/>
          <w:kern w:val="22"/>
        </w:rPr>
      </w:pPr>
      <w:r w:rsidRPr="00EB07E5">
        <w:rPr>
          <w:rFonts w:eastAsia="楷体" w:hint="eastAsia"/>
          <w:b w:val="0"/>
          <w:bCs w:val="0"/>
          <w:i w:val="0"/>
          <w:iCs w:val="0"/>
          <w:kern w:val="22"/>
        </w:rPr>
        <w:t>选举各附属机构及其他会议的主席团成员</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议事规则第</w:t>
      </w:r>
      <w:r w:rsidRPr="00EB07E5">
        <w:rPr>
          <w:kern w:val="22"/>
          <w:sz w:val="24"/>
          <w:szCs w:val="24"/>
        </w:rPr>
        <w:t>26</w:t>
      </w:r>
      <w:r w:rsidRPr="00EB07E5">
        <w:rPr>
          <w:rFonts w:hint="eastAsia"/>
          <w:kern w:val="22"/>
          <w:sz w:val="24"/>
          <w:szCs w:val="24"/>
        </w:rPr>
        <w:t>条规定，附属机构的主席均应由缔约方大会选举产生，而其他主席团成员的选举则由附属机构自行负责。因此，在本届会议上，缔约方大会需要选举科学、技术和工艺咨询附属机构（科咨机构）的主席和执行问题附属机构的主席，来主持各自机构的会议，任期至缔约方大会第十五届会议闭幕时止。根据区域轮流惯例，预期科咨机构的主席将从拉丁美洲和加勒比地区选出，执行问题附属机构的主席将从西欧和其他国家集团中选出。</w:t>
      </w:r>
    </w:p>
    <w:p w:rsidR="00047BD6" w:rsidRPr="00EB07E5" w:rsidRDefault="00047BD6" w:rsidP="00851002">
      <w:pPr>
        <w:pStyle w:val="Heading3"/>
        <w:jc w:val="both"/>
        <w:rPr>
          <w:rFonts w:eastAsia="楷体"/>
          <w:i w:val="0"/>
          <w:snapToGrid w:val="0"/>
          <w:kern w:val="22"/>
        </w:rPr>
      </w:pPr>
      <w:r w:rsidRPr="00EB07E5">
        <w:rPr>
          <w:rFonts w:eastAsia="楷体" w:hint="eastAsia"/>
          <w:bCs/>
          <w:i w:val="0"/>
          <w:iCs w:val="0"/>
          <w:kern w:val="22"/>
          <w:lang w:eastAsia="zh-CN"/>
        </w:rPr>
        <w:t>通过议程</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临时议程</w:t>
      </w:r>
      <w:r w:rsidRPr="00EB07E5">
        <w:rPr>
          <w:kern w:val="22"/>
          <w:sz w:val="24"/>
          <w:szCs w:val="24"/>
        </w:rPr>
        <w:t xml:space="preserve">(CBD/COP/14/1) </w:t>
      </w:r>
      <w:r w:rsidRPr="00EB07E5">
        <w:rPr>
          <w:rFonts w:hint="eastAsia"/>
          <w:kern w:val="22"/>
          <w:sz w:val="24"/>
          <w:szCs w:val="24"/>
        </w:rPr>
        <w:t>已由缔约方大会主席团核准。议程由执行秘书在主席团指导下，按照议事规则第</w:t>
      </w:r>
      <w:r w:rsidRPr="00EB07E5">
        <w:rPr>
          <w:kern w:val="22"/>
          <w:sz w:val="24"/>
          <w:szCs w:val="24"/>
        </w:rPr>
        <w:t>8</w:t>
      </w:r>
      <w:r w:rsidRPr="00EB07E5">
        <w:rPr>
          <w:rFonts w:hint="eastAsia"/>
          <w:kern w:val="22"/>
          <w:sz w:val="24"/>
          <w:szCs w:val="24"/>
        </w:rPr>
        <w:t>条，并考虑到</w:t>
      </w:r>
      <w:hyperlink r:id="rId11" w:history="1">
        <w:r w:rsidRPr="00EB07E5">
          <w:rPr>
            <w:rStyle w:val="Hyperlink"/>
            <w:rFonts w:hint="eastAsia"/>
            <w:kern w:val="22"/>
            <w:sz w:val="24"/>
            <w:szCs w:val="24"/>
          </w:rPr>
          <w:t>第</w:t>
        </w:r>
        <w:r w:rsidRPr="00EB07E5">
          <w:rPr>
            <w:rStyle w:val="Hyperlink"/>
            <w:kern w:val="22"/>
            <w:sz w:val="24"/>
            <w:szCs w:val="24"/>
          </w:rPr>
          <w:t>XII/31</w:t>
        </w:r>
        <w:r w:rsidRPr="00EB07E5">
          <w:rPr>
            <w:rStyle w:val="Hyperlink"/>
            <w:rFonts w:hint="eastAsia"/>
            <w:kern w:val="22"/>
            <w:sz w:val="24"/>
            <w:szCs w:val="24"/>
          </w:rPr>
          <w:t>号决定</w:t>
        </w:r>
      </w:hyperlink>
      <w:r w:rsidRPr="00EB07E5">
        <w:rPr>
          <w:rFonts w:hint="eastAsia"/>
          <w:kern w:val="22"/>
          <w:sz w:val="24"/>
          <w:szCs w:val="24"/>
        </w:rPr>
        <w:t>所载缔约方大会直至</w:t>
      </w:r>
      <w:r w:rsidRPr="00EB07E5">
        <w:rPr>
          <w:kern w:val="22"/>
          <w:sz w:val="24"/>
          <w:szCs w:val="24"/>
        </w:rPr>
        <w:t>2020</w:t>
      </w:r>
      <w:r w:rsidRPr="00EB07E5">
        <w:rPr>
          <w:rFonts w:hint="eastAsia"/>
          <w:kern w:val="22"/>
          <w:sz w:val="24"/>
          <w:szCs w:val="24"/>
        </w:rPr>
        <w:t>年多年期工作方案和缔约方大会其他相关决定编制。</w:t>
      </w:r>
    </w:p>
    <w:p w:rsidR="00047BD6" w:rsidRPr="00EB07E5" w:rsidRDefault="00047BD6" w:rsidP="00851002">
      <w:pPr>
        <w:pStyle w:val="Heading2"/>
        <w:spacing w:before="240"/>
        <w:jc w:val="left"/>
        <w:rPr>
          <w:rFonts w:eastAsia="楷体"/>
          <w:b w:val="0"/>
          <w:i w:val="0"/>
          <w:kern w:val="22"/>
        </w:rPr>
      </w:pPr>
      <w:r w:rsidRPr="00EB07E5">
        <w:rPr>
          <w:rFonts w:eastAsia="楷体" w:hint="eastAsia"/>
          <w:b w:val="0"/>
          <w:i w:val="0"/>
          <w:kern w:val="22"/>
        </w:rPr>
        <w:t>工作安排</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按照惯例，缔约方大会不妨设立两个工作组以支持全体会议的工作。</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根据缔约方大会</w:t>
      </w:r>
      <w:hyperlink r:id="rId12" w:history="1">
        <w:r w:rsidRPr="00EB07E5">
          <w:rPr>
            <w:rFonts w:hint="eastAsia"/>
            <w:color w:val="0000FF"/>
            <w:kern w:val="22"/>
            <w:sz w:val="24"/>
            <w:szCs w:val="24"/>
            <w:u w:val="single"/>
          </w:rPr>
          <w:t>第</w:t>
        </w:r>
        <w:r w:rsidRPr="00EB07E5">
          <w:rPr>
            <w:color w:val="0000FF"/>
            <w:kern w:val="22"/>
            <w:sz w:val="24"/>
            <w:szCs w:val="24"/>
            <w:u w:val="single"/>
          </w:rPr>
          <w:t>XII/27</w:t>
        </w:r>
        <w:r w:rsidRPr="00EB07E5">
          <w:rPr>
            <w:rFonts w:hint="eastAsia"/>
            <w:color w:val="0000FF"/>
            <w:kern w:val="22"/>
            <w:sz w:val="24"/>
            <w:szCs w:val="24"/>
            <w:u w:val="single"/>
          </w:rPr>
          <w:t>号决定</w:t>
        </w:r>
      </w:hyperlink>
      <w:r w:rsidRPr="00EB07E5">
        <w:rPr>
          <w:rFonts w:hint="eastAsia"/>
          <w:kern w:val="22"/>
          <w:sz w:val="24"/>
          <w:szCs w:val="24"/>
        </w:rPr>
        <w:t>第</w:t>
      </w:r>
      <w:r w:rsidRPr="00EB07E5">
        <w:rPr>
          <w:kern w:val="22"/>
          <w:sz w:val="24"/>
          <w:szCs w:val="24"/>
        </w:rPr>
        <w:t>3</w:t>
      </w:r>
      <w:r w:rsidRPr="00EB07E5">
        <w:rPr>
          <w:rFonts w:hint="eastAsia"/>
          <w:kern w:val="22"/>
          <w:sz w:val="24"/>
          <w:szCs w:val="24"/>
        </w:rPr>
        <w:t>段的决定</w:t>
      </w:r>
      <w:r w:rsidRPr="00EB07E5">
        <w:rPr>
          <w:kern w:val="22"/>
          <w:sz w:val="24"/>
          <w:szCs w:val="24"/>
        </w:rPr>
        <w:t>,</w:t>
      </w:r>
      <w:r w:rsidRPr="00EB07E5">
        <w:rPr>
          <w:rFonts w:hint="eastAsia"/>
          <w:kern w:val="22"/>
          <w:sz w:val="24"/>
          <w:szCs w:val="24"/>
        </w:rPr>
        <w:t>并由作为卡塔赫纳议定书缔约方会议的缔约方大会在</w:t>
      </w:r>
      <w:hyperlink r:id="rId13" w:history="1">
        <w:r w:rsidRPr="00EB07E5">
          <w:rPr>
            <w:rFonts w:hint="eastAsia"/>
            <w:color w:val="0000FF"/>
            <w:kern w:val="22"/>
            <w:sz w:val="24"/>
            <w:szCs w:val="24"/>
            <w:u w:val="single"/>
          </w:rPr>
          <w:t>第</w:t>
        </w:r>
        <w:r w:rsidRPr="00EB07E5">
          <w:rPr>
            <w:color w:val="0000FF"/>
            <w:kern w:val="22"/>
            <w:sz w:val="24"/>
            <w:szCs w:val="24"/>
            <w:u w:val="single"/>
          </w:rPr>
          <w:t>BS-VII/9</w:t>
        </w:r>
        <w:r w:rsidRPr="00EB07E5">
          <w:rPr>
            <w:rFonts w:hint="eastAsia"/>
            <w:color w:val="0000FF"/>
            <w:kern w:val="22"/>
            <w:sz w:val="24"/>
            <w:szCs w:val="24"/>
            <w:u w:val="single"/>
          </w:rPr>
          <w:t>号决定</w:t>
        </w:r>
      </w:hyperlink>
      <w:r w:rsidRPr="00EB07E5">
        <w:rPr>
          <w:rFonts w:hint="eastAsia"/>
          <w:kern w:val="22"/>
          <w:sz w:val="24"/>
          <w:szCs w:val="24"/>
        </w:rPr>
        <w:t>第</w:t>
      </w:r>
      <w:r w:rsidRPr="00EB07E5">
        <w:rPr>
          <w:kern w:val="22"/>
          <w:sz w:val="24"/>
          <w:szCs w:val="24"/>
        </w:rPr>
        <w:t>1</w:t>
      </w:r>
      <w:r w:rsidRPr="00EB07E5">
        <w:rPr>
          <w:rFonts w:hint="eastAsia"/>
          <w:kern w:val="22"/>
          <w:sz w:val="24"/>
          <w:szCs w:val="24"/>
        </w:rPr>
        <w:t>段中商定以及作为名古屋议定书缔约方会议的缔约方大会在</w:t>
      </w:r>
      <w:hyperlink r:id="rId14" w:history="1">
        <w:r w:rsidRPr="00EB07E5">
          <w:rPr>
            <w:rFonts w:hint="eastAsia"/>
            <w:color w:val="0000FF"/>
            <w:kern w:val="22"/>
            <w:sz w:val="24"/>
            <w:szCs w:val="24"/>
            <w:u w:val="single"/>
          </w:rPr>
          <w:t>第</w:t>
        </w:r>
        <w:r w:rsidRPr="00EB07E5">
          <w:rPr>
            <w:color w:val="0000FF"/>
            <w:kern w:val="22"/>
            <w:sz w:val="24"/>
            <w:szCs w:val="24"/>
            <w:u w:val="single"/>
          </w:rPr>
          <w:t>NP-1/12</w:t>
        </w:r>
        <w:r w:rsidRPr="00EB07E5">
          <w:rPr>
            <w:rFonts w:hint="eastAsia"/>
            <w:color w:val="0000FF"/>
            <w:kern w:val="22"/>
            <w:sz w:val="24"/>
            <w:szCs w:val="24"/>
            <w:u w:val="single"/>
          </w:rPr>
          <w:t>号决定</w:t>
        </w:r>
      </w:hyperlink>
      <w:r w:rsidRPr="00EB07E5">
        <w:rPr>
          <w:rFonts w:hint="eastAsia"/>
          <w:kern w:val="22"/>
          <w:sz w:val="24"/>
          <w:szCs w:val="24"/>
        </w:rPr>
        <w:t>第</w:t>
      </w:r>
      <w:r w:rsidRPr="00EB07E5">
        <w:rPr>
          <w:kern w:val="22"/>
          <w:sz w:val="24"/>
          <w:szCs w:val="24"/>
        </w:rPr>
        <w:t>1</w:t>
      </w:r>
      <w:r w:rsidRPr="00EB07E5">
        <w:rPr>
          <w:rFonts w:hint="eastAsia"/>
          <w:kern w:val="22"/>
          <w:sz w:val="24"/>
          <w:szCs w:val="24"/>
        </w:rPr>
        <w:t>段中商定</w:t>
      </w:r>
      <w:r w:rsidRPr="00EB07E5">
        <w:rPr>
          <w:kern w:val="22"/>
          <w:sz w:val="24"/>
          <w:szCs w:val="24"/>
        </w:rPr>
        <w:t>,</w:t>
      </w:r>
      <w:r w:rsidRPr="00EB07E5">
        <w:rPr>
          <w:rFonts w:hint="eastAsia"/>
          <w:kern w:val="22"/>
          <w:sz w:val="24"/>
          <w:szCs w:val="24"/>
        </w:rPr>
        <w:t>缔约方大会的常会在两周内举行</w:t>
      </w:r>
      <w:r w:rsidRPr="00EB07E5">
        <w:rPr>
          <w:kern w:val="22"/>
          <w:sz w:val="24"/>
          <w:szCs w:val="24"/>
        </w:rPr>
        <w:t>,</w:t>
      </w:r>
      <w:r w:rsidRPr="00EB07E5">
        <w:rPr>
          <w:rFonts w:hint="eastAsia"/>
          <w:kern w:val="22"/>
          <w:sz w:val="24"/>
          <w:szCs w:val="24"/>
        </w:rPr>
        <w:t>其间还包括作为卡塔赫纳议定书缔约方会议的缔约方大会的会议和作为名古屋议定书缔约方会议的缔约方大会的会议。因此</w:t>
      </w:r>
      <w:r w:rsidRPr="00EB07E5">
        <w:rPr>
          <w:kern w:val="22"/>
          <w:sz w:val="24"/>
          <w:szCs w:val="24"/>
        </w:rPr>
        <w:t>,</w:t>
      </w:r>
      <w:r w:rsidRPr="00EB07E5">
        <w:rPr>
          <w:rFonts w:hint="eastAsia"/>
          <w:kern w:val="22"/>
          <w:sz w:val="24"/>
          <w:szCs w:val="24"/>
        </w:rPr>
        <w:t>预期两工作组还将处理缔约方代表会议可能分派给两工作组的与《卡塔赫纳议定书》和《名古屋议定书》有关的问题。</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全体会议将讨论组织事项、闭会期间会议和区域筹备会议的报告、以及行政和预算事项。全体会议还将审议决定草案和最后事项。</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如果设立两工作组，缔约方大会需要为各组选举一位主席。</w:t>
      </w:r>
    </w:p>
    <w:p w:rsidR="00047BD6" w:rsidRPr="00EB07E5" w:rsidRDefault="00047BD6" w:rsidP="00851002">
      <w:pPr>
        <w:pStyle w:val="Para10"/>
        <w:numPr>
          <w:ilvl w:val="0"/>
          <w:numId w:val="20"/>
        </w:numPr>
        <w:tabs>
          <w:tab w:val="clear" w:pos="360"/>
        </w:tabs>
        <w:snapToGrid w:val="0"/>
        <w:rPr>
          <w:kern w:val="22"/>
          <w:sz w:val="24"/>
          <w:szCs w:val="24"/>
        </w:rPr>
      </w:pPr>
      <w:r w:rsidRPr="00EB07E5">
        <w:rPr>
          <w:kern w:val="22"/>
          <w:sz w:val="24"/>
          <w:szCs w:val="24"/>
        </w:rPr>
        <w:t>CBD/COP/14/1/Add.2</w:t>
      </w:r>
      <w:r w:rsidRPr="00EB07E5">
        <w:rPr>
          <w:rFonts w:hint="eastAsia"/>
          <w:kern w:val="22"/>
          <w:sz w:val="24"/>
          <w:szCs w:val="24"/>
        </w:rPr>
        <w:t>时间表中载有缔约方大会和两工作组的拟议分工，同时显示了作为卡塔赫纳议定书缔约方会议的缔约方大会第九次会议和作为名古屋议定书缔约方会议的缔约方大会第三次会议的拟议时间表。</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建议在会议第一周举行的全体会议或工作组会议期间与议程项目</w:t>
      </w:r>
      <w:r w:rsidRPr="00EB07E5">
        <w:rPr>
          <w:kern w:val="22"/>
          <w:sz w:val="24"/>
          <w:szCs w:val="24"/>
        </w:rPr>
        <w:t>17</w:t>
      </w:r>
      <w:r w:rsidRPr="00EB07E5">
        <w:rPr>
          <w:rFonts w:hint="eastAsia"/>
          <w:kern w:val="22"/>
          <w:sz w:val="24"/>
          <w:szCs w:val="24"/>
        </w:rPr>
        <w:t>同时举行关于</w:t>
      </w:r>
      <w:r w:rsidRPr="00EB07E5">
        <w:rPr>
          <w:kern w:val="22"/>
          <w:sz w:val="24"/>
          <w:szCs w:val="24"/>
        </w:rPr>
        <w:t>“</w:t>
      </w:r>
      <w:r w:rsidRPr="00EB07E5">
        <w:rPr>
          <w:rFonts w:hint="eastAsia"/>
          <w:kern w:val="22"/>
          <w:sz w:val="24"/>
          <w:szCs w:val="24"/>
        </w:rPr>
        <w:t>与大自然和谐共处的方法</w:t>
      </w:r>
      <w:r w:rsidRPr="00EB07E5">
        <w:rPr>
          <w:kern w:val="22"/>
          <w:sz w:val="24"/>
          <w:szCs w:val="24"/>
        </w:rPr>
        <w:t>”</w:t>
      </w:r>
      <w:r w:rsidRPr="00EB07E5">
        <w:rPr>
          <w:rFonts w:hint="eastAsia"/>
          <w:kern w:val="22"/>
          <w:sz w:val="24"/>
          <w:szCs w:val="24"/>
        </w:rPr>
        <w:t>主题的对话会议。</w:t>
      </w:r>
    </w:p>
    <w:p w:rsidR="00047BD6" w:rsidRPr="00EB07E5" w:rsidRDefault="00047BD6" w:rsidP="00851002">
      <w:pPr>
        <w:pStyle w:val="Heading2longmultiline"/>
        <w:ind w:left="0" w:right="0" w:firstLine="0"/>
        <w:jc w:val="center"/>
        <w:rPr>
          <w:i w:val="0"/>
          <w:snapToGrid w:val="0"/>
          <w:kern w:val="22"/>
          <w:sz w:val="24"/>
          <w:szCs w:val="24"/>
          <w:lang w:eastAsia="zh-CN"/>
        </w:rPr>
      </w:pPr>
      <w:r w:rsidRPr="00EB07E5">
        <w:rPr>
          <w:rFonts w:hint="eastAsia"/>
          <w:i w:val="0"/>
          <w:snapToGrid w:val="0"/>
          <w:kern w:val="22"/>
          <w:sz w:val="24"/>
          <w:szCs w:val="24"/>
          <w:lang w:eastAsia="zh-CN"/>
        </w:rPr>
        <w:t>项目</w:t>
      </w:r>
      <w:r w:rsidRPr="00EB07E5">
        <w:rPr>
          <w:i w:val="0"/>
          <w:snapToGrid w:val="0"/>
          <w:kern w:val="22"/>
          <w:sz w:val="24"/>
          <w:szCs w:val="24"/>
          <w:lang w:eastAsia="zh-CN"/>
        </w:rPr>
        <w:t xml:space="preserve">3. </w:t>
      </w:r>
      <w:r w:rsidRPr="00EB07E5">
        <w:rPr>
          <w:rFonts w:hint="eastAsia"/>
          <w:i w:val="0"/>
          <w:kern w:val="22"/>
          <w:sz w:val="24"/>
          <w:szCs w:val="24"/>
          <w:lang w:eastAsia="zh-CN"/>
        </w:rPr>
        <w:t>关于缔约方大会第十四届会议代表的全权证书的报告</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议事规则第</w:t>
      </w:r>
      <w:r w:rsidRPr="00EB07E5">
        <w:rPr>
          <w:kern w:val="22"/>
          <w:sz w:val="24"/>
          <w:szCs w:val="24"/>
        </w:rPr>
        <w:t>18</w:t>
      </w:r>
      <w:r w:rsidRPr="00EB07E5">
        <w:rPr>
          <w:rFonts w:hint="eastAsia"/>
          <w:kern w:val="22"/>
          <w:sz w:val="24"/>
          <w:szCs w:val="24"/>
        </w:rPr>
        <w:t>条规定：</w:t>
      </w:r>
    </w:p>
    <w:p w:rsidR="00047BD6" w:rsidRPr="00EB07E5" w:rsidRDefault="00047BD6" w:rsidP="00851002">
      <w:pPr>
        <w:pStyle w:val="Para10"/>
        <w:numPr>
          <w:ilvl w:val="0"/>
          <w:numId w:val="0"/>
        </w:numPr>
        <w:tabs>
          <w:tab w:val="left" w:pos="720"/>
        </w:tabs>
        <w:snapToGrid w:val="0"/>
        <w:ind w:left="720"/>
        <w:jc w:val="left"/>
        <w:rPr>
          <w:kern w:val="22"/>
          <w:sz w:val="24"/>
          <w:szCs w:val="24"/>
        </w:rPr>
      </w:pPr>
      <w:r w:rsidRPr="00EB07E5">
        <w:rPr>
          <w:kern w:val="22"/>
          <w:sz w:val="24"/>
          <w:szCs w:val="24"/>
        </w:rPr>
        <w:t>“</w:t>
      </w:r>
      <w:r w:rsidRPr="00EB07E5">
        <w:rPr>
          <w:rFonts w:hint="eastAsia"/>
          <w:kern w:val="22"/>
          <w:sz w:val="24"/>
          <w:szCs w:val="24"/>
        </w:rPr>
        <w:t>代表的代表证书及副代表和顾问的名单应尽可能不迟于会议开幕之后二十四小时内提交缔约方大会执行秘书或执行秘书的代表。其后代表团组成的任何变更也应报送执行秘书或执行秘书的代表。代表证书应由国家元首或政府首脑或外交部长签发；或如果是区域经济一体化组织，则应由该组织的主管当局签发。</w:t>
      </w:r>
      <w:r w:rsidRPr="00EB07E5">
        <w:rPr>
          <w:kern w:val="22"/>
          <w:sz w:val="24"/>
          <w:szCs w:val="24"/>
        </w:rPr>
        <w:t>”</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第</w:t>
      </w:r>
      <w:r w:rsidRPr="00EB07E5">
        <w:rPr>
          <w:kern w:val="22"/>
          <w:sz w:val="24"/>
          <w:szCs w:val="24"/>
        </w:rPr>
        <w:t>19</w:t>
      </w:r>
      <w:r w:rsidRPr="00EB07E5">
        <w:rPr>
          <w:rFonts w:hint="eastAsia"/>
          <w:kern w:val="22"/>
          <w:sz w:val="24"/>
          <w:szCs w:val="24"/>
        </w:rPr>
        <w:t>条规定：</w:t>
      </w:r>
      <w:r w:rsidRPr="00EB07E5">
        <w:rPr>
          <w:kern w:val="22"/>
          <w:sz w:val="24"/>
          <w:szCs w:val="24"/>
        </w:rPr>
        <w:t>“</w:t>
      </w:r>
      <w:r w:rsidRPr="00EB07E5">
        <w:rPr>
          <w:rFonts w:hint="eastAsia"/>
          <w:kern w:val="22"/>
          <w:sz w:val="24"/>
          <w:szCs w:val="24"/>
        </w:rPr>
        <w:t>会议主席团应对代表证书进行检查，并就此向缔约方大会提出报告，以便做出决定</w:t>
      </w:r>
      <w:r w:rsidRPr="00EB07E5">
        <w:rPr>
          <w:kern w:val="22"/>
          <w:sz w:val="24"/>
          <w:szCs w:val="24"/>
        </w:rPr>
        <w:t>”</w:t>
      </w:r>
      <w:r w:rsidRPr="00EB07E5">
        <w:rPr>
          <w:rFonts w:hint="eastAsia"/>
          <w:kern w:val="22"/>
          <w:sz w:val="24"/>
          <w:szCs w:val="24"/>
        </w:rPr>
        <w:t>。</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为协助缔约方履行第</w:t>
      </w:r>
      <w:r w:rsidRPr="00EB07E5">
        <w:rPr>
          <w:kern w:val="22"/>
          <w:sz w:val="24"/>
          <w:szCs w:val="24"/>
        </w:rPr>
        <w:t>18</w:t>
      </w:r>
      <w:r w:rsidRPr="00EB07E5">
        <w:rPr>
          <w:rFonts w:hint="eastAsia"/>
          <w:kern w:val="22"/>
          <w:sz w:val="24"/>
          <w:szCs w:val="24"/>
        </w:rPr>
        <w:t>条的要求，执行秘书将发出通知并将全权证书范本格式分发给各国家联络点。</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将邀请缔约方大会审议并通过主席团向其提交的关于全权证书的报告。</w:t>
      </w:r>
    </w:p>
    <w:p w:rsidR="00047BD6" w:rsidRPr="00EB07E5" w:rsidRDefault="00047BD6" w:rsidP="00851002">
      <w:pPr>
        <w:pStyle w:val="Heading2"/>
        <w:tabs>
          <w:tab w:val="left" w:pos="851"/>
        </w:tabs>
        <w:rPr>
          <w:i w:val="0"/>
          <w:snapToGrid w:val="0"/>
          <w:kern w:val="22"/>
        </w:rPr>
      </w:pPr>
      <w:r w:rsidRPr="00EB07E5">
        <w:rPr>
          <w:rFonts w:hint="eastAsia"/>
          <w:i w:val="0"/>
          <w:snapToGrid w:val="0"/>
          <w:kern w:val="22"/>
        </w:rPr>
        <w:t>项目</w:t>
      </w:r>
      <w:r w:rsidRPr="00EB07E5">
        <w:rPr>
          <w:i w:val="0"/>
          <w:snapToGrid w:val="0"/>
          <w:kern w:val="22"/>
        </w:rPr>
        <w:t xml:space="preserve">4. </w:t>
      </w:r>
      <w:r w:rsidRPr="00EB07E5">
        <w:rPr>
          <w:rFonts w:hint="eastAsia"/>
          <w:i w:val="0"/>
          <w:snapToGrid w:val="0"/>
          <w:kern w:val="22"/>
        </w:rPr>
        <w:t>未决问题</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缔约方大会第一届会议在</w:t>
      </w:r>
      <w:hyperlink r:id="rId15" w:history="1">
        <w:r w:rsidRPr="00EB07E5">
          <w:rPr>
            <w:rStyle w:val="Hyperlink"/>
            <w:rFonts w:hint="eastAsia"/>
            <w:kern w:val="22"/>
            <w:sz w:val="24"/>
            <w:szCs w:val="24"/>
          </w:rPr>
          <w:t>第</w:t>
        </w:r>
        <w:r w:rsidRPr="00EB07E5">
          <w:rPr>
            <w:rStyle w:val="Hyperlink"/>
            <w:kern w:val="22"/>
            <w:sz w:val="24"/>
            <w:szCs w:val="24"/>
          </w:rPr>
          <w:t>I/1</w:t>
        </w:r>
        <w:r w:rsidRPr="00EB07E5">
          <w:rPr>
            <w:rStyle w:val="Hyperlink"/>
            <w:rFonts w:hint="eastAsia"/>
            <w:kern w:val="22"/>
            <w:sz w:val="24"/>
            <w:szCs w:val="24"/>
          </w:rPr>
          <w:t>号决定</w:t>
        </w:r>
      </w:hyperlink>
      <w:r w:rsidRPr="00EB07E5">
        <w:rPr>
          <w:rFonts w:hint="eastAsia"/>
          <w:kern w:val="22"/>
          <w:sz w:val="24"/>
          <w:szCs w:val="24"/>
        </w:rPr>
        <w:t>中通过了会议的议事规则，但有关做出实质性决定的第</w:t>
      </w:r>
      <w:r w:rsidRPr="00EB07E5">
        <w:rPr>
          <w:kern w:val="22"/>
          <w:sz w:val="24"/>
          <w:szCs w:val="24"/>
        </w:rPr>
        <w:t>40</w:t>
      </w:r>
      <w:r w:rsidRPr="00EB07E5">
        <w:rPr>
          <w:rFonts w:hint="eastAsia"/>
          <w:kern w:val="22"/>
          <w:sz w:val="24"/>
          <w:szCs w:val="24"/>
        </w:rPr>
        <w:t>条第</w:t>
      </w:r>
      <w:r w:rsidRPr="00EB07E5">
        <w:rPr>
          <w:kern w:val="22"/>
          <w:sz w:val="24"/>
          <w:szCs w:val="24"/>
        </w:rPr>
        <w:t>1</w:t>
      </w:r>
      <w:r w:rsidRPr="00EB07E5">
        <w:rPr>
          <w:rFonts w:hint="eastAsia"/>
          <w:kern w:val="22"/>
          <w:sz w:val="24"/>
          <w:szCs w:val="24"/>
        </w:rPr>
        <w:t>款除外。缔约方大会嗣后几届会议对此未决事项进行了审议，但未能最终解决。第三届会议对方括号中的部分、但并非全部案文达成了协商一致意见。</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缔约方大会在</w:t>
      </w:r>
      <w:hyperlink r:id="rId16" w:history="1">
        <w:r w:rsidRPr="00EB07E5">
          <w:rPr>
            <w:rFonts w:hint="eastAsia"/>
            <w:color w:val="0000FF"/>
            <w:sz w:val="24"/>
            <w:szCs w:val="24"/>
            <w:u w:val="single"/>
          </w:rPr>
          <w:t>第</w:t>
        </w:r>
        <w:r w:rsidRPr="00EB07E5">
          <w:rPr>
            <w:color w:val="0000FF"/>
            <w:sz w:val="24"/>
            <w:szCs w:val="24"/>
            <w:u w:val="single"/>
          </w:rPr>
          <w:t>I/6</w:t>
        </w:r>
        <w:r w:rsidRPr="00EB07E5">
          <w:rPr>
            <w:rFonts w:hint="eastAsia"/>
            <w:color w:val="0000FF"/>
            <w:sz w:val="24"/>
            <w:szCs w:val="24"/>
            <w:u w:val="single"/>
          </w:rPr>
          <w:t>号决定</w:t>
        </w:r>
      </w:hyperlink>
      <w:r w:rsidRPr="00EB07E5">
        <w:rPr>
          <w:rFonts w:hint="eastAsia"/>
          <w:kern w:val="22"/>
          <w:sz w:val="24"/>
          <w:szCs w:val="24"/>
        </w:rPr>
        <w:t>中通过了管理生物多样性公约信托基金的财务规则。财务规则第</w:t>
      </w:r>
      <w:r w:rsidRPr="00EB07E5">
        <w:rPr>
          <w:kern w:val="22"/>
          <w:sz w:val="24"/>
          <w:szCs w:val="24"/>
        </w:rPr>
        <w:t>4</w:t>
      </w:r>
      <w:r w:rsidRPr="00EB07E5">
        <w:rPr>
          <w:rFonts w:hint="eastAsia"/>
          <w:kern w:val="22"/>
          <w:sz w:val="24"/>
          <w:szCs w:val="24"/>
        </w:rPr>
        <w:t>段和第</w:t>
      </w:r>
      <w:r w:rsidRPr="00EB07E5">
        <w:rPr>
          <w:kern w:val="22"/>
          <w:sz w:val="24"/>
          <w:szCs w:val="24"/>
        </w:rPr>
        <w:t>16</w:t>
      </w:r>
      <w:r w:rsidRPr="00EB07E5">
        <w:rPr>
          <w:rFonts w:hint="eastAsia"/>
          <w:kern w:val="22"/>
          <w:sz w:val="24"/>
          <w:szCs w:val="24"/>
        </w:rPr>
        <w:t>段中包含了一些载于方括号中的案文。第</w:t>
      </w:r>
      <w:r w:rsidRPr="00EB07E5">
        <w:rPr>
          <w:kern w:val="22"/>
          <w:sz w:val="24"/>
          <w:szCs w:val="24"/>
        </w:rPr>
        <w:t>4</w:t>
      </w:r>
      <w:r w:rsidRPr="00EB07E5">
        <w:rPr>
          <w:rFonts w:hint="eastAsia"/>
          <w:kern w:val="22"/>
          <w:sz w:val="24"/>
          <w:szCs w:val="24"/>
        </w:rPr>
        <w:t>段涉及各缔约方向信托基金提供捐助的分摊比额表。第</w:t>
      </w:r>
      <w:r w:rsidRPr="00EB07E5">
        <w:rPr>
          <w:kern w:val="22"/>
          <w:sz w:val="24"/>
          <w:szCs w:val="24"/>
        </w:rPr>
        <w:t>16</w:t>
      </w:r>
      <w:r w:rsidRPr="00EB07E5">
        <w:rPr>
          <w:rFonts w:hint="eastAsia"/>
          <w:kern w:val="22"/>
          <w:sz w:val="24"/>
          <w:szCs w:val="24"/>
        </w:rPr>
        <w:t>段涉及通过有关信托基金的决定。缔约方大会嗣后的几届会议对这些段落进行了审议，但没有达成协议。因此，所涉案文仍保留在方括号中。</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鉴于这些事项预期不会在缔约方大会第十四届会议上得到解决，会建议将这些事项推迟至今后一届会议审议。</w:t>
      </w:r>
    </w:p>
    <w:p w:rsidR="00047BD6" w:rsidRPr="00EB07E5" w:rsidRDefault="00047BD6" w:rsidP="00851002">
      <w:pPr>
        <w:pStyle w:val="Heading2"/>
        <w:tabs>
          <w:tab w:val="left" w:pos="851"/>
        </w:tabs>
        <w:rPr>
          <w:i w:val="0"/>
          <w:snapToGrid w:val="0"/>
          <w:kern w:val="22"/>
        </w:rPr>
      </w:pPr>
      <w:r w:rsidRPr="00EB07E5">
        <w:rPr>
          <w:rFonts w:hint="eastAsia"/>
          <w:i w:val="0"/>
          <w:snapToGrid w:val="0"/>
          <w:kern w:val="22"/>
        </w:rPr>
        <w:t>项目</w:t>
      </w:r>
      <w:r w:rsidRPr="00EB07E5">
        <w:rPr>
          <w:i w:val="0"/>
          <w:snapToGrid w:val="0"/>
          <w:kern w:val="22"/>
        </w:rPr>
        <w:t xml:space="preserve"> 5. </w:t>
      </w:r>
      <w:r w:rsidRPr="00EB07E5">
        <w:rPr>
          <w:rFonts w:hint="eastAsia"/>
          <w:i w:val="0"/>
          <w:kern w:val="22"/>
        </w:rPr>
        <w:t>缔约方大会今后会议的日期和地点</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根据议事规则第</w:t>
      </w:r>
      <w:r w:rsidRPr="00EB07E5">
        <w:rPr>
          <w:kern w:val="22"/>
          <w:sz w:val="24"/>
          <w:szCs w:val="24"/>
        </w:rPr>
        <w:t>4</w:t>
      </w:r>
      <w:r w:rsidRPr="00EB07E5">
        <w:rPr>
          <w:rFonts w:hint="eastAsia"/>
          <w:kern w:val="22"/>
          <w:sz w:val="24"/>
          <w:szCs w:val="24"/>
        </w:rPr>
        <w:t>条第</w:t>
      </w:r>
      <w:r w:rsidRPr="00EB07E5">
        <w:rPr>
          <w:kern w:val="22"/>
          <w:sz w:val="24"/>
          <w:szCs w:val="24"/>
        </w:rPr>
        <w:t>2</w:t>
      </w:r>
      <w:r w:rsidRPr="00EB07E5">
        <w:rPr>
          <w:rFonts w:hint="eastAsia"/>
          <w:kern w:val="22"/>
          <w:sz w:val="24"/>
          <w:szCs w:val="24"/>
        </w:rPr>
        <w:t>款，缔约方大会应决定其下一届常会的日期和持续时间。根据经缔约方大会第五届会议修正的第</w:t>
      </w:r>
      <w:r w:rsidRPr="00EB07E5">
        <w:rPr>
          <w:kern w:val="22"/>
          <w:sz w:val="24"/>
          <w:szCs w:val="24"/>
        </w:rPr>
        <w:t>4</w:t>
      </w:r>
      <w:r w:rsidRPr="00EB07E5">
        <w:rPr>
          <w:rFonts w:hint="eastAsia"/>
          <w:kern w:val="22"/>
          <w:sz w:val="24"/>
          <w:szCs w:val="24"/>
        </w:rPr>
        <w:t>条，常会将每两年举行一次。缔约方大会在</w:t>
      </w:r>
      <w:hyperlink r:id="rId17" w:history="1">
        <w:r w:rsidRPr="00EB07E5">
          <w:rPr>
            <w:rFonts w:hint="eastAsia"/>
            <w:color w:val="0000FF"/>
            <w:sz w:val="24"/>
            <w:szCs w:val="24"/>
            <w:u w:val="single"/>
          </w:rPr>
          <w:t>第</w:t>
        </w:r>
        <w:r w:rsidRPr="00EB07E5">
          <w:rPr>
            <w:color w:val="0000FF"/>
            <w:sz w:val="24"/>
            <w:szCs w:val="24"/>
            <w:u w:val="single"/>
          </w:rPr>
          <w:t>XIII/33</w:t>
        </w:r>
        <w:r w:rsidRPr="00EB07E5">
          <w:rPr>
            <w:rFonts w:hint="eastAsia"/>
            <w:color w:val="0000FF"/>
            <w:sz w:val="24"/>
            <w:szCs w:val="24"/>
            <w:u w:val="single"/>
          </w:rPr>
          <w:t>号决定</w:t>
        </w:r>
      </w:hyperlink>
      <w:r w:rsidRPr="00EB07E5">
        <w:rPr>
          <w:rFonts w:hint="eastAsia"/>
          <w:kern w:val="22"/>
          <w:sz w:val="24"/>
          <w:szCs w:val="24"/>
        </w:rPr>
        <w:t>中决定，第十五届会议（连同作为卡塔赫纳议定书缔约方会议的缔约方大会第十次会议和作为名古屋议定书缔约方会议的缔约方大会第四次会议）将于</w:t>
      </w:r>
      <w:r w:rsidRPr="00EB07E5">
        <w:rPr>
          <w:kern w:val="22"/>
          <w:sz w:val="24"/>
          <w:szCs w:val="24"/>
        </w:rPr>
        <w:t>2020</w:t>
      </w:r>
      <w:r w:rsidRPr="00EB07E5">
        <w:rPr>
          <w:rFonts w:hint="eastAsia"/>
          <w:kern w:val="22"/>
          <w:sz w:val="24"/>
          <w:szCs w:val="24"/>
        </w:rPr>
        <w:t>年第四季度在中国举行，第十六届会议（连同作为卡塔赫纳议定书缔约方会议的缔约方大会第十一次会议和作为名古屋议定书缔约方会议的缔约方大会第五次会议）将在土耳其举行。缔约方大会还为其主席设立了区域轮换。因此，请感兴趣的缔约方通知执行秘书关于其提出主办缔约方大会第十七届会议以及作为卡塔赫纳议定书缔约方会议的缔约方大会第十二次会议和作为名古屋议定书缔约方会议的缔约方大会第六次会议的事宜。</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在决定草案的汇编中提供了执行秘书编制的决定草案（</w:t>
      </w:r>
      <w:r w:rsidRPr="00EB07E5">
        <w:rPr>
          <w:color w:val="000000"/>
          <w:kern w:val="22"/>
          <w:sz w:val="24"/>
          <w:szCs w:val="24"/>
        </w:rPr>
        <w:t>CBD/COP/14/2</w:t>
      </w:r>
      <w:r w:rsidRPr="00EB07E5">
        <w:rPr>
          <w:rFonts w:hint="eastAsia"/>
          <w:kern w:val="22"/>
          <w:sz w:val="24"/>
          <w:szCs w:val="24"/>
        </w:rPr>
        <w:t>）。</w:t>
      </w:r>
    </w:p>
    <w:p w:rsidR="00047BD6" w:rsidRPr="00EB07E5" w:rsidRDefault="00047BD6" w:rsidP="00851002">
      <w:pPr>
        <w:pStyle w:val="Heading2"/>
        <w:tabs>
          <w:tab w:val="left" w:pos="851"/>
        </w:tabs>
        <w:rPr>
          <w:i w:val="0"/>
          <w:snapToGrid w:val="0"/>
          <w:kern w:val="22"/>
        </w:rPr>
      </w:pPr>
      <w:r w:rsidRPr="00EB07E5">
        <w:rPr>
          <w:rFonts w:hint="eastAsia"/>
          <w:i w:val="0"/>
          <w:snapToGrid w:val="0"/>
          <w:kern w:val="22"/>
        </w:rPr>
        <w:t>项目</w:t>
      </w:r>
      <w:r w:rsidRPr="00EB07E5">
        <w:rPr>
          <w:i w:val="0"/>
          <w:snapToGrid w:val="0"/>
          <w:kern w:val="22"/>
        </w:rPr>
        <w:t xml:space="preserve">6. </w:t>
      </w:r>
      <w:r w:rsidRPr="00EB07E5">
        <w:rPr>
          <w:rFonts w:hint="eastAsia"/>
          <w:i w:val="0"/>
          <w:kern w:val="22"/>
        </w:rPr>
        <w:t>闭会期间会议和区域筹备会议的报告</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在本项目下，主席将向缔约方大会通报在闭会期间举行的各附属机构的会议以及这些会议的报告，但前提是将在适当议程项目下审议由这些报告所产生的实质性问题。向缔约方大会提交了以下会议的报告：</w:t>
      </w:r>
    </w:p>
    <w:p w:rsidR="00047BD6" w:rsidRPr="00EB07E5" w:rsidRDefault="00047BD6" w:rsidP="00851002">
      <w:pPr>
        <w:pStyle w:val="Para10"/>
        <w:numPr>
          <w:ilvl w:val="1"/>
          <w:numId w:val="21"/>
        </w:numPr>
        <w:tabs>
          <w:tab w:val="clear" w:pos="1571"/>
        </w:tabs>
        <w:ind w:left="0"/>
        <w:rPr>
          <w:kern w:val="22"/>
          <w:sz w:val="24"/>
          <w:szCs w:val="24"/>
        </w:rPr>
      </w:pPr>
      <w:r w:rsidRPr="00EB07E5">
        <w:rPr>
          <w:rFonts w:hint="eastAsia"/>
          <w:kern w:val="22"/>
          <w:sz w:val="24"/>
          <w:szCs w:val="24"/>
        </w:rPr>
        <w:t>生物多样性公约第</w:t>
      </w:r>
      <w:r w:rsidRPr="00EB07E5">
        <w:rPr>
          <w:kern w:val="22"/>
          <w:sz w:val="24"/>
          <w:szCs w:val="24"/>
        </w:rPr>
        <w:t>8</w:t>
      </w:r>
      <w:r w:rsidRPr="00EB07E5">
        <w:rPr>
          <w:rFonts w:hint="eastAsia"/>
          <w:kern w:val="22"/>
          <w:sz w:val="24"/>
          <w:szCs w:val="24"/>
        </w:rPr>
        <w:t>（</w:t>
      </w:r>
      <w:r w:rsidRPr="00EB07E5">
        <w:rPr>
          <w:kern w:val="22"/>
          <w:sz w:val="24"/>
          <w:szCs w:val="24"/>
        </w:rPr>
        <w:t>j</w:t>
      </w:r>
      <w:r w:rsidRPr="00EB07E5">
        <w:rPr>
          <w:rFonts w:hint="eastAsia"/>
          <w:kern w:val="22"/>
          <w:sz w:val="24"/>
          <w:szCs w:val="24"/>
        </w:rPr>
        <w:t>）条和相关条款执行问题不限成员名额休会期间特设工作组第十次会议的报告（</w:t>
      </w:r>
      <w:r w:rsidRPr="00EB07E5">
        <w:rPr>
          <w:kern w:val="22"/>
          <w:sz w:val="24"/>
          <w:szCs w:val="24"/>
        </w:rPr>
        <w:t>CBD/WG8J/10/11</w:t>
      </w:r>
      <w:r w:rsidRPr="00EB07E5">
        <w:rPr>
          <w:rFonts w:hint="eastAsia"/>
          <w:kern w:val="22"/>
          <w:sz w:val="24"/>
          <w:szCs w:val="24"/>
        </w:rPr>
        <w:t>）；</w:t>
      </w:r>
    </w:p>
    <w:p w:rsidR="00047BD6" w:rsidRPr="00EB07E5" w:rsidRDefault="00047BD6" w:rsidP="00851002">
      <w:pPr>
        <w:pStyle w:val="Para10"/>
        <w:numPr>
          <w:ilvl w:val="1"/>
          <w:numId w:val="21"/>
        </w:numPr>
        <w:tabs>
          <w:tab w:val="clear" w:pos="1571"/>
        </w:tabs>
        <w:ind w:left="0"/>
        <w:rPr>
          <w:kern w:val="22"/>
          <w:sz w:val="24"/>
          <w:szCs w:val="24"/>
        </w:rPr>
      </w:pPr>
      <w:r w:rsidRPr="00EB07E5">
        <w:rPr>
          <w:rFonts w:hint="eastAsia"/>
          <w:kern w:val="22"/>
          <w:sz w:val="24"/>
          <w:szCs w:val="24"/>
        </w:rPr>
        <w:t>科学、技术和工艺咨询附属机构第二十一次和第二十二次会议的报告（</w:t>
      </w:r>
      <w:r w:rsidRPr="00EB07E5">
        <w:rPr>
          <w:kern w:val="22"/>
          <w:sz w:val="24"/>
          <w:szCs w:val="24"/>
        </w:rPr>
        <w:t>CBD/SBSTTA/21/10</w:t>
      </w:r>
      <w:r w:rsidRPr="00EB07E5">
        <w:rPr>
          <w:rFonts w:hint="eastAsia"/>
          <w:kern w:val="22"/>
          <w:sz w:val="24"/>
          <w:szCs w:val="24"/>
        </w:rPr>
        <w:t>和</w:t>
      </w:r>
      <w:r w:rsidRPr="00EB07E5">
        <w:rPr>
          <w:kern w:val="22"/>
          <w:sz w:val="24"/>
          <w:szCs w:val="24"/>
        </w:rPr>
        <w:t xml:space="preserve"> CBD/SBSTTA/22/12</w:t>
      </w:r>
      <w:r w:rsidRPr="00EB07E5">
        <w:rPr>
          <w:rFonts w:hint="eastAsia"/>
          <w:kern w:val="22"/>
          <w:sz w:val="24"/>
          <w:szCs w:val="24"/>
        </w:rPr>
        <w:t>）；</w:t>
      </w:r>
    </w:p>
    <w:p w:rsidR="00047BD6" w:rsidRPr="00EB07E5" w:rsidRDefault="00047BD6" w:rsidP="00851002">
      <w:pPr>
        <w:pStyle w:val="Para10"/>
        <w:numPr>
          <w:ilvl w:val="1"/>
          <w:numId w:val="21"/>
        </w:numPr>
        <w:tabs>
          <w:tab w:val="clear" w:pos="1571"/>
        </w:tabs>
        <w:ind w:left="0"/>
        <w:rPr>
          <w:kern w:val="22"/>
          <w:sz w:val="24"/>
          <w:szCs w:val="24"/>
        </w:rPr>
      </w:pPr>
      <w:r w:rsidRPr="00EB07E5">
        <w:rPr>
          <w:rFonts w:hint="eastAsia"/>
          <w:kern w:val="22"/>
          <w:sz w:val="24"/>
          <w:szCs w:val="24"/>
        </w:rPr>
        <w:t>执行问题附属机构第二次会议的报告（</w:t>
      </w:r>
      <w:r w:rsidRPr="00EB07E5">
        <w:rPr>
          <w:kern w:val="22"/>
          <w:sz w:val="24"/>
          <w:szCs w:val="24"/>
        </w:rPr>
        <w:t>CBD/SBI/2/22</w:t>
      </w:r>
      <w:r w:rsidRPr="00EB07E5">
        <w:rPr>
          <w:rFonts w:hint="eastAsia"/>
          <w:kern w:val="22"/>
          <w:sz w:val="24"/>
          <w:szCs w:val="24"/>
        </w:rPr>
        <w:t>）。</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缔约方大会在这个项目下不妨注意到科咨机构建议</w:t>
      </w:r>
      <w:r w:rsidRPr="00EB07E5">
        <w:rPr>
          <w:kern w:val="22"/>
          <w:sz w:val="24"/>
          <w:szCs w:val="24"/>
        </w:rPr>
        <w:t>21/7</w:t>
      </w:r>
      <w:r w:rsidRPr="00EB07E5">
        <w:rPr>
          <w:rFonts w:hint="eastAsia"/>
          <w:kern w:val="22"/>
          <w:sz w:val="24"/>
          <w:szCs w:val="24"/>
        </w:rPr>
        <w:t>，并决定在科咨机构下一个两年期的议程中不添加执行秘书关于新的和新出现的问题的说明中所列的拟议新的和新出现的问题</w:t>
      </w:r>
      <w:r w:rsidRPr="00EB07E5">
        <w:rPr>
          <w:sz w:val="24"/>
          <w:szCs w:val="24"/>
          <w:vertAlign w:val="superscript"/>
        </w:rPr>
        <w:footnoteReference w:id="3"/>
      </w:r>
      <w:r w:rsidRPr="00EB07E5">
        <w:rPr>
          <w:rFonts w:hint="eastAsia"/>
          <w:kern w:val="22"/>
          <w:sz w:val="24"/>
          <w:szCs w:val="24"/>
        </w:rPr>
        <w:t>。</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区域集团不妨向缔约方大会报告将在缔约方大会第十四届会议前举行的区域筹备会议的结果。</w:t>
      </w:r>
    </w:p>
    <w:p w:rsidR="00047BD6" w:rsidRPr="00EB07E5" w:rsidRDefault="00047BD6" w:rsidP="00851002">
      <w:pPr>
        <w:pStyle w:val="Heading2longmultiline"/>
        <w:tabs>
          <w:tab w:val="left" w:pos="900"/>
        </w:tabs>
        <w:ind w:left="0" w:right="0" w:firstLine="0"/>
        <w:jc w:val="center"/>
        <w:rPr>
          <w:i w:val="0"/>
          <w:snapToGrid w:val="0"/>
          <w:kern w:val="22"/>
          <w:sz w:val="24"/>
          <w:szCs w:val="24"/>
          <w:lang w:eastAsia="zh-CN"/>
        </w:rPr>
      </w:pPr>
      <w:r w:rsidRPr="00EB07E5">
        <w:rPr>
          <w:rFonts w:hint="eastAsia"/>
          <w:i w:val="0"/>
          <w:snapToGrid w:val="0"/>
          <w:kern w:val="22"/>
          <w:sz w:val="24"/>
          <w:szCs w:val="24"/>
          <w:lang w:eastAsia="zh-CN"/>
        </w:rPr>
        <w:t>项目</w:t>
      </w:r>
      <w:r w:rsidRPr="00EB07E5">
        <w:rPr>
          <w:i w:val="0"/>
          <w:snapToGrid w:val="0"/>
          <w:kern w:val="22"/>
          <w:sz w:val="24"/>
          <w:szCs w:val="24"/>
          <w:lang w:eastAsia="zh-CN"/>
        </w:rPr>
        <w:t>7.</w:t>
      </w:r>
      <w:r w:rsidRPr="00EB07E5">
        <w:rPr>
          <w:i w:val="0"/>
          <w:snapToGrid w:val="0"/>
          <w:kern w:val="22"/>
          <w:sz w:val="24"/>
          <w:szCs w:val="24"/>
          <w:lang w:eastAsia="zh-CN"/>
        </w:rPr>
        <w:tab/>
      </w:r>
      <w:r w:rsidRPr="00EB07E5">
        <w:rPr>
          <w:rFonts w:hint="eastAsia"/>
          <w:i w:val="0"/>
          <w:iCs w:val="0"/>
          <w:kern w:val="22"/>
          <w:sz w:val="24"/>
          <w:szCs w:val="24"/>
          <w:lang w:eastAsia="zh-CN"/>
        </w:rPr>
        <w:t>《公约》的行政管理和信托基金的预算</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缔约方大会将收到执行秘书关于《公约》行政管理的报告，包括《公约》信托基金的预算（</w:t>
      </w:r>
      <w:r w:rsidRPr="00EB07E5">
        <w:rPr>
          <w:kern w:val="22"/>
          <w:sz w:val="24"/>
          <w:szCs w:val="24"/>
        </w:rPr>
        <w:t>UNEP/CBD/COP/14/3</w:t>
      </w:r>
      <w:r w:rsidRPr="00EB07E5">
        <w:rPr>
          <w:rFonts w:hint="eastAsia"/>
          <w:kern w:val="22"/>
          <w:sz w:val="24"/>
          <w:szCs w:val="24"/>
        </w:rPr>
        <w:t>），供其审议。将请缔约方大会注意到该报告。</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在本项目下，预期缔约方大会将根据</w:t>
      </w:r>
      <w:hyperlink r:id="rId18" w:history="1">
        <w:r w:rsidRPr="00EB07E5">
          <w:rPr>
            <w:rFonts w:hint="eastAsia"/>
            <w:sz w:val="24"/>
            <w:szCs w:val="24"/>
          </w:rPr>
          <w:t>第</w:t>
        </w:r>
        <w:r w:rsidRPr="00EB07E5">
          <w:rPr>
            <w:sz w:val="24"/>
            <w:szCs w:val="24"/>
          </w:rPr>
          <w:t>XIII/32</w:t>
        </w:r>
        <w:r w:rsidRPr="00EB07E5">
          <w:rPr>
            <w:rFonts w:hint="eastAsia"/>
            <w:sz w:val="24"/>
            <w:szCs w:val="24"/>
          </w:rPr>
          <w:t>号决定</w:t>
        </w:r>
      </w:hyperlink>
      <w:r w:rsidRPr="00EB07E5">
        <w:rPr>
          <w:rFonts w:hint="eastAsia"/>
          <w:kern w:val="22"/>
          <w:sz w:val="24"/>
          <w:szCs w:val="24"/>
        </w:rPr>
        <w:t>，以执行秘书编制的拟议预算（</w:t>
      </w:r>
      <w:r w:rsidRPr="00EB07E5">
        <w:rPr>
          <w:kern w:val="22"/>
          <w:sz w:val="24"/>
          <w:szCs w:val="24"/>
        </w:rPr>
        <w:t>CBD/COP/14/4</w:t>
      </w:r>
      <w:r w:rsidRPr="00EB07E5">
        <w:rPr>
          <w:rFonts w:hint="eastAsia"/>
          <w:kern w:val="22"/>
          <w:sz w:val="24"/>
          <w:szCs w:val="24"/>
        </w:rPr>
        <w:t>）为基础，通过</w:t>
      </w:r>
      <w:r w:rsidRPr="00EB07E5">
        <w:rPr>
          <w:kern w:val="22"/>
          <w:sz w:val="24"/>
          <w:szCs w:val="24"/>
        </w:rPr>
        <w:t>2019-2020</w:t>
      </w:r>
      <w:r w:rsidRPr="00EB07E5">
        <w:rPr>
          <w:rFonts w:hint="eastAsia"/>
          <w:kern w:val="22"/>
          <w:sz w:val="24"/>
          <w:szCs w:val="24"/>
        </w:rPr>
        <w:t>两年期方案预算。继</w:t>
      </w:r>
      <w:hyperlink r:id="rId19" w:history="1">
        <w:r w:rsidRPr="00EB07E5">
          <w:rPr>
            <w:rStyle w:val="Hyperlink"/>
            <w:rFonts w:hint="eastAsia"/>
            <w:kern w:val="22"/>
            <w:sz w:val="24"/>
            <w:szCs w:val="24"/>
          </w:rPr>
          <w:t>第</w:t>
        </w:r>
        <w:r w:rsidRPr="00EB07E5">
          <w:rPr>
            <w:rStyle w:val="Hyperlink"/>
            <w:kern w:val="22"/>
            <w:sz w:val="24"/>
            <w:szCs w:val="24"/>
          </w:rPr>
          <w:t>XIII/32</w:t>
        </w:r>
        <w:r w:rsidRPr="00EB07E5">
          <w:rPr>
            <w:rStyle w:val="Hyperlink"/>
            <w:rFonts w:hint="eastAsia"/>
            <w:kern w:val="22"/>
            <w:sz w:val="24"/>
            <w:szCs w:val="24"/>
          </w:rPr>
          <w:t>号决定</w:t>
        </w:r>
      </w:hyperlink>
      <w:r w:rsidRPr="00EB07E5">
        <w:rPr>
          <w:rFonts w:hint="eastAsia"/>
          <w:kern w:val="22"/>
          <w:sz w:val="24"/>
          <w:szCs w:val="24"/>
        </w:rPr>
        <w:t>后</w:t>
      </w:r>
      <w:r w:rsidRPr="00EB07E5">
        <w:rPr>
          <w:kern w:val="22"/>
          <w:sz w:val="24"/>
          <w:szCs w:val="24"/>
        </w:rPr>
        <w:t xml:space="preserve">, </w:t>
      </w:r>
      <w:r w:rsidRPr="00EB07E5">
        <w:rPr>
          <w:rFonts w:hint="eastAsia"/>
          <w:kern w:val="22"/>
          <w:sz w:val="24"/>
          <w:szCs w:val="24"/>
        </w:rPr>
        <w:t>缔约方大会还将在本议程项目下根据执行问题附属机构的</w:t>
      </w:r>
      <w:r w:rsidRPr="00EB07E5">
        <w:rPr>
          <w:rFonts w:hint="eastAsia"/>
          <w:kern w:val="22"/>
          <w:sz w:val="24"/>
          <w:szCs w:val="24"/>
          <w:lang w:val="en-US"/>
        </w:rPr>
        <w:t>第</w:t>
      </w:r>
      <w:r w:rsidRPr="00EB07E5">
        <w:rPr>
          <w:kern w:val="22"/>
          <w:sz w:val="24"/>
          <w:szCs w:val="24"/>
        </w:rPr>
        <w:t>2/20</w:t>
      </w:r>
      <w:r w:rsidRPr="00EB07E5">
        <w:rPr>
          <w:rFonts w:hint="eastAsia"/>
          <w:kern w:val="22"/>
          <w:sz w:val="24"/>
          <w:szCs w:val="24"/>
        </w:rPr>
        <w:t>号建议，审议有关资助发展中国家与会者的事项。执行秘书编制了决定草案的要素并载于决定草案汇编（</w:t>
      </w:r>
      <w:r w:rsidRPr="00EB07E5">
        <w:rPr>
          <w:kern w:val="22"/>
          <w:sz w:val="24"/>
          <w:szCs w:val="24"/>
        </w:rPr>
        <w:t>CBD/COP/14/2</w:t>
      </w:r>
      <w:r w:rsidRPr="00EB07E5">
        <w:rPr>
          <w:rFonts w:hint="eastAsia"/>
          <w:kern w:val="22"/>
          <w:sz w:val="24"/>
          <w:szCs w:val="24"/>
        </w:rPr>
        <w:t>）。这包括执行问题附属机构第</w:t>
      </w:r>
      <w:r w:rsidRPr="00EB07E5">
        <w:rPr>
          <w:kern w:val="22"/>
          <w:sz w:val="24"/>
          <w:szCs w:val="24"/>
        </w:rPr>
        <w:t>2/20</w:t>
      </w:r>
      <w:r w:rsidRPr="00EB07E5">
        <w:rPr>
          <w:rFonts w:hint="eastAsia"/>
          <w:kern w:val="22"/>
          <w:sz w:val="24"/>
          <w:szCs w:val="24"/>
        </w:rPr>
        <w:t>号建议的要素。</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全体会议不妨设立一个预算问题联络小组来讨论本预算项目，同时预期作为卡塔赫纳议定书和名古屋议定书缔约方会议的各自的缔约方大会也会在其第一次全体会议上，将其工作方案预算提交这一联络小组审议。</w:t>
      </w:r>
    </w:p>
    <w:p w:rsidR="00047BD6" w:rsidRPr="00EB07E5" w:rsidRDefault="00047BD6" w:rsidP="00851002">
      <w:pPr>
        <w:pStyle w:val="Heading2longmultiline"/>
        <w:ind w:left="1844" w:right="0" w:hanging="1138"/>
        <w:rPr>
          <w:i w:val="0"/>
          <w:iCs w:val="0"/>
          <w:kern w:val="22"/>
          <w:sz w:val="24"/>
          <w:szCs w:val="24"/>
          <w:lang w:eastAsia="zh-CN"/>
        </w:rPr>
      </w:pPr>
      <w:r w:rsidRPr="00EB07E5">
        <w:rPr>
          <w:b w:val="0"/>
          <w:i w:val="0"/>
          <w:snapToGrid w:val="0"/>
          <w:kern w:val="22"/>
          <w:sz w:val="24"/>
          <w:szCs w:val="24"/>
          <w:lang w:eastAsia="zh-CN"/>
        </w:rPr>
        <w:t xml:space="preserve"> </w:t>
      </w:r>
      <w:r w:rsidRPr="00EB07E5">
        <w:rPr>
          <w:i w:val="0"/>
          <w:snapToGrid w:val="0"/>
          <w:kern w:val="22"/>
          <w:sz w:val="24"/>
          <w:szCs w:val="24"/>
          <w:lang w:eastAsia="zh-CN"/>
        </w:rPr>
        <w:t xml:space="preserve"> </w:t>
      </w:r>
      <w:r w:rsidRPr="00EB07E5">
        <w:rPr>
          <w:rFonts w:hint="eastAsia"/>
          <w:i w:val="0"/>
          <w:snapToGrid w:val="0"/>
          <w:kern w:val="22"/>
          <w:sz w:val="24"/>
          <w:szCs w:val="24"/>
          <w:lang w:eastAsia="zh-CN"/>
        </w:rPr>
        <w:t>项目</w:t>
      </w:r>
      <w:r w:rsidRPr="00EB07E5">
        <w:rPr>
          <w:i w:val="0"/>
          <w:snapToGrid w:val="0"/>
          <w:kern w:val="22"/>
          <w:sz w:val="24"/>
          <w:szCs w:val="24"/>
          <w:lang w:eastAsia="zh-CN"/>
        </w:rPr>
        <w:t xml:space="preserve"> 8. </w:t>
      </w:r>
      <w:r w:rsidRPr="00EB07E5">
        <w:rPr>
          <w:i w:val="0"/>
          <w:snapToGrid w:val="0"/>
          <w:kern w:val="22"/>
          <w:sz w:val="24"/>
          <w:szCs w:val="24"/>
          <w:lang w:eastAsia="zh-CN"/>
        </w:rPr>
        <w:tab/>
      </w:r>
      <w:r w:rsidRPr="00EB07E5">
        <w:rPr>
          <w:rFonts w:hint="eastAsia"/>
          <w:i w:val="0"/>
          <w:snapToGrid w:val="0"/>
          <w:kern w:val="22"/>
          <w:sz w:val="24"/>
          <w:szCs w:val="24"/>
          <w:lang w:eastAsia="zh-CN"/>
        </w:rPr>
        <w:t>审查</w:t>
      </w:r>
      <w:r w:rsidRPr="00EB07E5">
        <w:rPr>
          <w:rFonts w:hint="eastAsia"/>
          <w:i w:val="0"/>
          <w:iCs w:val="0"/>
          <w:kern w:val="22"/>
          <w:sz w:val="24"/>
          <w:szCs w:val="24"/>
          <w:lang w:eastAsia="zh-CN"/>
        </w:rPr>
        <w:t>《公约》和《</w:t>
      </w:r>
      <w:r w:rsidRPr="00EB07E5">
        <w:rPr>
          <w:i w:val="0"/>
          <w:iCs w:val="0"/>
          <w:kern w:val="22"/>
          <w:sz w:val="24"/>
          <w:szCs w:val="24"/>
          <w:lang w:eastAsia="zh-CN"/>
        </w:rPr>
        <w:t>2011-2020</w:t>
      </w:r>
      <w:r w:rsidRPr="00EB07E5">
        <w:rPr>
          <w:rFonts w:hint="eastAsia"/>
          <w:i w:val="0"/>
          <w:iCs w:val="0"/>
          <w:kern w:val="22"/>
          <w:sz w:val="24"/>
          <w:szCs w:val="24"/>
          <w:lang w:eastAsia="zh-CN"/>
        </w:rPr>
        <w:t>年生物多样性战略计划》执行进展情况</w:t>
      </w:r>
    </w:p>
    <w:p w:rsidR="00047BD6" w:rsidRPr="00EB07E5" w:rsidRDefault="00047BD6" w:rsidP="009C648F">
      <w:pPr>
        <w:pStyle w:val="Heading2longmultiline"/>
        <w:ind w:leftChars="21" w:left="31680" w:right="0" w:hanging="1138"/>
        <w:rPr>
          <w:rFonts w:eastAsia="楷体"/>
          <w:b w:val="0"/>
          <w:i w:val="0"/>
          <w:snapToGrid w:val="0"/>
          <w:kern w:val="22"/>
          <w:sz w:val="24"/>
          <w:szCs w:val="24"/>
          <w:lang w:eastAsia="zh-CN"/>
        </w:rPr>
      </w:pPr>
      <w:r w:rsidRPr="00EB07E5">
        <w:rPr>
          <w:rFonts w:eastAsia="楷体" w:hint="eastAsia"/>
          <w:b w:val="0"/>
          <w:i w:val="0"/>
          <w:sz w:val="24"/>
          <w:szCs w:val="24"/>
          <w:lang w:eastAsia="zh-CN"/>
        </w:rPr>
        <w:t>评估和审查实现</w:t>
      </w:r>
      <w:r w:rsidRPr="00EB07E5">
        <w:rPr>
          <w:rFonts w:eastAsia="楷体" w:hint="eastAsia"/>
          <w:b w:val="0"/>
          <w:i w:val="0"/>
          <w:sz w:val="24"/>
          <w:szCs w:val="24"/>
          <w:lang w:val="zh-CN" w:eastAsia="zh-CN"/>
        </w:rPr>
        <w:t>爱知生物多样性指标取得的进展和加速取得进展的备选方案</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缔约方大会在</w:t>
      </w:r>
      <w:hyperlink r:id="rId20" w:history="1">
        <w:r w:rsidRPr="00EB07E5">
          <w:rPr>
            <w:rStyle w:val="Hyperlink"/>
            <w:rFonts w:hint="eastAsia"/>
            <w:kern w:val="22"/>
            <w:sz w:val="24"/>
            <w:szCs w:val="24"/>
          </w:rPr>
          <w:t>第</w:t>
        </w:r>
        <w:r w:rsidRPr="00EB07E5">
          <w:rPr>
            <w:rStyle w:val="Hyperlink"/>
            <w:kern w:val="22"/>
            <w:sz w:val="24"/>
            <w:szCs w:val="24"/>
          </w:rPr>
          <w:t>X/2</w:t>
        </w:r>
        <w:r w:rsidRPr="00EB07E5">
          <w:rPr>
            <w:rStyle w:val="Hyperlink"/>
            <w:rFonts w:hint="eastAsia"/>
            <w:kern w:val="22"/>
            <w:sz w:val="24"/>
            <w:szCs w:val="24"/>
          </w:rPr>
          <w:t>号决定</w:t>
        </w:r>
      </w:hyperlink>
      <w:r w:rsidRPr="00EB07E5">
        <w:rPr>
          <w:rFonts w:hint="eastAsia"/>
          <w:kern w:val="22"/>
          <w:sz w:val="24"/>
          <w:szCs w:val="24"/>
        </w:rPr>
        <w:t>第</w:t>
      </w:r>
      <w:r w:rsidRPr="00EB07E5">
        <w:rPr>
          <w:kern w:val="22"/>
          <w:sz w:val="24"/>
          <w:szCs w:val="24"/>
        </w:rPr>
        <w:t>14</w:t>
      </w:r>
      <w:r w:rsidRPr="00EB07E5">
        <w:rPr>
          <w:rFonts w:hint="eastAsia"/>
          <w:kern w:val="22"/>
          <w:sz w:val="24"/>
          <w:szCs w:val="24"/>
        </w:rPr>
        <w:t>段中回顾缔约方大会的任务是对《公约》的执行情况进行经常的审查，并决定缔约方大会今后的会议将审查执行《</w:t>
      </w:r>
      <w:hyperlink r:id="rId21" w:history="1">
        <w:r w:rsidRPr="00EB07E5">
          <w:rPr>
            <w:rStyle w:val="Hyperlink"/>
            <w:kern w:val="22"/>
            <w:sz w:val="24"/>
            <w:szCs w:val="24"/>
          </w:rPr>
          <w:t>2011-2010</w:t>
        </w:r>
        <w:r w:rsidRPr="00EB07E5">
          <w:rPr>
            <w:rStyle w:val="Hyperlink"/>
            <w:rFonts w:hint="eastAsia"/>
            <w:kern w:val="22"/>
            <w:sz w:val="24"/>
            <w:szCs w:val="24"/>
          </w:rPr>
          <w:t>年生物多样性战略计划</w:t>
        </w:r>
      </w:hyperlink>
      <w:r w:rsidRPr="00EB07E5">
        <w:rPr>
          <w:rFonts w:hint="eastAsia"/>
          <w:kern w:val="22"/>
          <w:sz w:val="24"/>
          <w:szCs w:val="24"/>
        </w:rPr>
        <w:t>》的进展情况，分享与执行工作相关的经验以及就解决遇到的障碍的方法提供指导意见。此外，根据缔约方大会截至</w:t>
      </w:r>
      <w:r w:rsidRPr="00EB07E5">
        <w:rPr>
          <w:kern w:val="22"/>
          <w:sz w:val="24"/>
          <w:szCs w:val="24"/>
        </w:rPr>
        <w:t>2020</w:t>
      </w:r>
      <w:r w:rsidRPr="00EB07E5">
        <w:rPr>
          <w:rFonts w:hint="eastAsia"/>
          <w:kern w:val="22"/>
          <w:sz w:val="24"/>
          <w:szCs w:val="24"/>
        </w:rPr>
        <w:t>年的多年期工作方案（</w:t>
      </w:r>
      <w:hyperlink r:id="rId22" w:history="1">
        <w:r w:rsidRPr="00EB07E5">
          <w:rPr>
            <w:rStyle w:val="Hyperlink"/>
            <w:rFonts w:hint="eastAsia"/>
            <w:kern w:val="22"/>
            <w:sz w:val="24"/>
            <w:szCs w:val="24"/>
          </w:rPr>
          <w:t>第</w:t>
        </w:r>
        <w:r w:rsidRPr="00EB07E5">
          <w:rPr>
            <w:rStyle w:val="Hyperlink"/>
            <w:kern w:val="22"/>
            <w:sz w:val="24"/>
            <w:szCs w:val="24"/>
          </w:rPr>
          <w:t>XII/31</w:t>
        </w:r>
        <w:r w:rsidRPr="00EB07E5">
          <w:rPr>
            <w:rStyle w:val="Hyperlink"/>
            <w:rFonts w:hint="eastAsia"/>
            <w:kern w:val="22"/>
            <w:sz w:val="24"/>
            <w:szCs w:val="24"/>
          </w:rPr>
          <w:t>号决定</w:t>
        </w:r>
      </w:hyperlink>
      <w:r w:rsidRPr="00EB07E5">
        <w:rPr>
          <w:rFonts w:hint="eastAsia"/>
          <w:kern w:val="22"/>
          <w:sz w:val="24"/>
          <w:szCs w:val="24"/>
        </w:rPr>
        <w:t>），缔约方大会将在第十四次会议上对进展情况进行中期审查。</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u w:val="single"/>
        </w:rPr>
        <w:t>继</w:t>
      </w:r>
      <w:hyperlink r:id="rId23" w:history="1">
        <w:r w:rsidRPr="00EB07E5">
          <w:rPr>
            <w:rStyle w:val="Hyperlink"/>
            <w:rFonts w:hint="eastAsia"/>
            <w:kern w:val="22"/>
            <w:sz w:val="24"/>
            <w:szCs w:val="24"/>
          </w:rPr>
          <w:t>第</w:t>
        </w:r>
        <w:r w:rsidRPr="00EB07E5">
          <w:rPr>
            <w:rStyle w:val="Hyperlink"/>
            <w:kern w:val="22"/>
            <w:sz w:val="24"/>
            <w:szCs w:val="24"/>
          </w:rPr>
          <w:t>XIII/30</w:t>
        </w:r>
        <w:r w:rsidRPr="00EB07E5">
          <w:rPr>
            <w:rStyle w:val="Hyperlink"/>
            <w:rFonts w:hint="eastAsia"/>
            <w:kern w:val="22"/>
            <w:sz w:val="24"/>
            <w:szCs w:val="24"/>
          </w:rPr>
          <w:t>号决定</w:t>
        </w:r>
      </w:hyperlink>
      <w:r w:rsidRPr="00EB07E5">
        <w:rPr>
          <w:rFonts w:hint="eastAsia"/>
          <w:kern w:val="22"/>
          <w:sz w:val="24"/>
          <w:szCs w:val="24"/>
        </w:rPr>
        <w:t>之后，科学、技术和工艺咨询附属机构第二十二次会议审议了对实现爱知生物多样性指标进展情况的最新科学评估，特别侧重取得进展最小的指标以及加快实现这些指标的进展的各种选择。</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继</w:t>
      </w:r>
      <w:hyperlink r:id="rId24" w:history="1">
        <w:r w:rsidRPr="00EB07E5">
          <w:rPr>
            <w:rStyle w:val="Hyperlink"/>
            <w:rFonts w:hint="eastAsia"/>
            <w:kern w:val="22"/>
            <w:sz w:val="24"/>
            <w:szCs w:val="24"/>
          </w:rPr>
          <w:t>第</w:t>
        </w:r>
        <w:r w:rsidRPr="00EB07E5">
          <w:rPr>
            <w:rStyle w:val="Hyperlink"/>
            <w:kern w:val="22"/>
            <w:sz w:val="24"/>
            <w:szCs w:val="24"/>
          </w:rPr>
          <w:t>XIII/1</w:t>
        </w:r>
        <w:r w:rsidRPr="00EB07E5">
          <w:rPr>
            <w:rStyle w:val="Hyperlink"/>
            <w:rFonts w:hint="eastAsia"/>
            <w:kern w:val="22"/>
            <w:sz w:val="24"/>
            <w:szCs w:val="24"/>
          </w:rPr>
          <w:t>号决之后</w:t>
        </w:r>
      </w:hyperlink>
      <w:r w:rsidRPr="00EB07E5">
        <w:rPr>
          <w:rFonts w:hint="eastAsia"/>
          <w:kern w:val="22"/>
          <w:sz w:val="24"/>
          <w:szCs w:val="24"/>
        </w:rPr>
        <w:t>，执行问题附属机构第二次会议审议了各缔约方、其他国家政府、土著人民和地方社区以及有关国际组织提供的关于《</w:t>
      </w:r>
      <w:r w:rsidRPr="00EB07E5">
        <w:rPr>
          <w:kern w:val="22"/>
          <w:sz w:val="24"/>
          <w:szCs w:val="24"/>
        </w:rPr>
        <w:t>2011 - 2020</w:t>
      </w:r>
      <w:r w:rsidRPr="00EB07E5">
        <w:rPr>
          <w:rFonts w:hint="eastAsia"/>
          <w:kern w:val="22"/>
          <w:sz w:val="24"/>
          <w:szCs w:val="24"/>
        </w:rPr>
        <w:t>年生物多样性战略计划》执行进展情况的最新综合资料。</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将请缔约方大会审议载于决定草案汇编（</w:t>
      </w:r>
      <w:r w:rsidRPr="00EB07E5">
        <w:rPr>
          <w:color w:val="000000"/>
          <w:kern w:val="22"/>
          <w:sz w:val="24"/>
          <w:szCs w:val="24"/>
        </w:rPr>
        <w:t>CBD/COP/14/2</w:t>
      </w:r>
      <w:r w:rsidRPr="00EB07E5">
        <w:rPr>
          <w:rFonts w:hint="eastAsia"/>
          <w:kern w:val="22"/>
          <w:sz w:val="24"/>
          <w:szCs w:val="24"/>
        </w:rPr>
        <w:t>）依照科咨机构第</w:t>
      </w:r>
      <w:r w:rsidRPr="00EB07E5">
        <w:rPr>
          <w:kern w:val="22"/>
          <w:sz w:val="24"/>
          <w:szCs w:val="24"/>
          <w:lang w:val="en-US"/>
        </w:rPr>
        <w:t>22</w:t>
      </w:r>
      <w:r w:rsidRPr="00EB07E5">
        <w:rPr>
          <w:sz w:val="24"/>
          <w:szCs w:val="24"/>
        </w:rPr>
        <w:t>/4</w:t>
      </w:r>
      <w:r w:rsidRPr="00EB07E5">
        <w:rPr>
          <w:rFonts w:hint="eastAsia"/>
          <w:sz w:val="24"/>
          <w:szCs w:val="24"/>
        </w:rPr>
        <w:t>号建议</w:t>
      </w:r>
      <w:r w:rsidRPr="00EB07E5">
        <w:rPr>
          <w:rFonts w:hint="eastAsia"/>
          <w:kern w:val="22"/>
          <w:sz w:val="24"/>
          <w:szCs w:val="24"/>
        </w:rPr>
        <w:t>和执行问题附属机构第</w:t>
      </w:r>
      <w:r w:rsidRPr="00EB07E5">
        <w:rPr>
          <w:iCs/>
          <w:kern w:val="22"/>
          <w:sz w:val="24"/>
          <w:szCs w:val="24"/>
        </w:rPr>
        <w:t>2/1</w:t>
      </w:r>
      <w:r w:rsidRPr="00EB07E5">
        <w:rPr>
          <w:rFonts w:hint="eastAsia"/>
          <w:iCs/>
          <w:kern w:val="22"/>
          <w:sz w:val="24"/>
          <w:szCs w:val="24"/>
        </w:rPr>
        <w:t>号建议编制的</w:t>
      </w:r>
      <w:r w:rsidRPr="00EB07E5">
        <w:rPr>
          <w:rFonts w:hint="eastAsia"/>
          <w:kern w:val="22"/>
          <w:sz w:val="24"/>
          <w:szCs w:val="24"/>
        </w:rPr>
        <w:t>决定草案，同时还考虑到秘书处编制的最新报告（</w:t>
      </w:r>
      <w:r w:rsidRPr="00EB07E5">
        <w:rPr>
          <w:kern w:val="22"/>
          <w:sz w:val="24"/>
          <w:szCs w:val="24"/>
        </w:rPr>
        <w:t>CBD/COP/14/5</w:t>
      </w:r>
      <w:r w:rsidRPr="00EB07E5">
        <w:rPr>
          <w:rFonts w:hint="eastAsia"/>
          <w:kern w:val="22"/>
          <w:sz w:val="24"/>
          <w:szCs w:val="24"/>
        </w:rPr>
        <w:t>）。</w:t>
      </w:r>
    </w:p>
    <w:p w:rsidR="00047BD6" w:rsidRPr="00EB07E5" w:rsidRDefault="00047BD6" w:rsidP="00851002">
      <w:pPr>
        <w:pStyle w:val="Para10"/>
        <w:numPr>
          <w:ilvl w:val="0"/>
          <w:numId w:val="0"/>
        </w:numPr>
        <w:snapToGrid w:val="0"/>
        <w:rPr>
          <w:rFonts w:eastAsia="楷体"/>
          <w:kern w:val="22"/>
          <w:sz w:val="24"/>
          <w:szCs w:val="24"/>
        </w:rPr>
      </w:pPr>
      <w:r w:rsidRPr="00EB07E5">
        <w:rPr>
          <w:rFonts w:eastAsia="楷体" w:hint="eastAsia"/>
          <w:kern w:val="22"/>
          <w:sz w:val="24"/>
          <w:szCs w:val="24"/>
        </w:rPr>
        <w:t>性别问题行动计划</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u w:val="single"/>
        </w:rPr>
        <w:t>继</w:t>
      </w:r>
      <w:hyperlink r:id="rId25" w:history="1">
        <w:r w:rsidRPr="00EB07E5">
          <w:rPr>
            <w:rStyle w:val="Hyperlink"/>
            <w:rFonts w:hint="eastAsia"/>
            <w:kern w:val="22"/>
            <w:sz w:val="24"/>
            <w:szCs w:val="24"/>
          </w:rPr>
          <w:t>第</w:t>
        </w:r>
        <w:r w:rsidRPr="00EB07E5">
          <w:rPr>
            <w:rStyle w:val="Hyperlink"/>
            <w:kern w:val="22"/>
            <w:sz w:val="24"/>
            <w:szCs w:val="24"/>
          </w:rPr>
          <w:t>XII/7</w:t>
        </w:r>
        <w:r w:rsidRPr="00EB07E5">
          <w:rPr>
            <w:rStyle w:val="Hyperlink"/>
            <w:rFonts w:hint="eastAsia"/>
            <w:kern w:val="22"/>
            <w:sz w:val="24"/>
            <w:szCs w:val="24"/>
          </w:rPr>
          <w:t>号决定</w:t>
        </w:r>
      </w:hyperlink>
      <w:r w:rsidRPr="00EB07E5">
        <w:rPr>
          <w:rFonts w:hint="eastAsia"/>
          <w:kern w:val="22"/>
          <w:sz w:val="24"/>
          <w:szCs w:val="24"/>
        </w:rPr>
        <w:t>之后，执行问题附属机构第二次会议审议了关于执行《</w:t>
      </w:r>
      <w:hyperlink r:id="rId26" w:history="1">
        <w:r w:rsidRPr="00EB07E5">
          <w:rPr>
            <w:rStyle w:val="Hyperlink"/>
            <w:kern w:val="22"/>
            <w:sz w:val="24"/>
            <w:szCs w:val="24"/>
          </w:rPr>
          <w:t>2015-2020</w:t>
        </w:r>
        <w:r w:rsidRPr="00EB07E5">
          <w:rPr>
            <w:rStyle w:val="Hyperlink"/>
            <w:rFonts w:hint="eastAsia"/>
            <w:kern w:val="22"/>
            <w:sz w:val="24"/>
            <w:szCs w:val="24"/>
          </w:rPr>
          <w:t>年性别问题行动计划</w:t>
        </w:r>
      </w:hyperlink>
      <w:r w:rsidRPr="00EB07E5">
        <w:rPr>
          <w:rFonts w:hint="eastAsia"/>
          <w:kern w:val="22"/>
          <w:sz w:val="24"/>
          <w:szCs w:val="24"/>
        </w:rPr>
        <w:t>》进展情况的综合资料。</w:t>
      </w:r>
    </w:p>
    <w:p w:rsidR="00047BD6" w:rsidRPr="00EB07E5" w:rsidRDefault="00047BD6" w:rsidP="00851002">
      <w:pPr>
        <w:pStyle w:val="Para10"/>
        <w:numPr>
          <w:ilvl w:val="0"/>
          <w:numId w:val="20"/>
        </w:numPr>
        <w:tabs>
          <w:tab w:val="clear" w:pos="360"/>
        </w:tabs>
        <w:snapToGrid w:val="0"/>
        <w:rPr>
          <w:kern w:val="22"/>
          <w:sz w:val="24"/>
          <w:szCs w:val="24"/>
        </w:rPr>
      </w:pPr>
      <w:r w:rsidRPr="00EB07E5">
        <w:rPr>
          <w:rFonts w:hint="eastAsia"/>
          <w:kern w:val="22"/>
          <w:sz w:val="24"/>
          <w:szCs w:val="24"/>
        </w:rPr>
        <w:t>还请缔约方大会审议载于决定草案汇编（</w:t>
      </w:r>
      <w:r w:rsidRPr="00EB07E5">
        <w:rPr>
          <w:color w:val="000000"/>
          <w:kern w:val="22"/>
          <w:sz w:val="24"/>
          <w:szCs w:val="24"/>
        </w:rPr>
        <w:t>CBD/COP/14/2</w:t>
      </w:r>
      <w:r w:rsidRPr="00EB07E5">
        <w:rPr>
          <w:rFonts w:hint="eastAsia"/>
          <w:kern w:val="22"/>
          <w:sz w:val="24"/>
          <w:szCs w:val="24"/>
        </w:rPr>
        <w:t>）依照执行问题附属机构第</w:t>
      </w:r>
      <w:r w:rsidRPr="00EB07E5">
        <w:rPr>
          <w:kern w:val="22"/>
          <w:sz w:val="24"/>
          <w:szCs w:val="24"/>
        </w:rPr>
        <w:t>2/1</w:t>
      </w:r>
      <w:r w:rsidRPr="00EB07E5">
        <w:rPr>
          <w:rFonts w:hint="eastAsia"/>
          <w:kern w:val="22"/>
          <w:sz w:val="24"/>
          <w:szCs w:val="24"/>
        </w:rPr>
        <w:t>号建议</w:t>
      </w:r>
      <w:r w:rsidRPr="00EB07E5">
        <w:rPr>
          <w:kern w:val="22"/>
          <w:sz w:val="24"/>
          <w:szCs w:val="24"/>
        </w:rPr>
        <w:t xml:space="preserve"> B</w:t>
      </w:r>
      <w:r w:rsidRPr="00EB07E5">
        <w:rPr>
          <w:rFonts w:hint="eastAsia"/>
          <w:kern w:val="22"/>
          <w:sz w:val="24"/>
          <w:szCs w:val="24"/>
        </w:rPr>
        <w:t>部分编制的关于性别问题行动计划的决定草案。</w:t>
      </w:r>
    </w:p>
    <w:p w:rsidR="00047BD6" w:rsidRPr="00EB07E5" w:rsidRDefault="00047BD6" w:rsidP="00851002">
      <w:pPr>
        <w:keepNext/>
        <w:tabs>
          <w:tab w:val="left" w:pos="900"/>
        </w:tabs>
        <w:spacing w:before="120" w:after="120"/>
        <w:jc w:val="center"/>
        <w:rPr>
          <w:b/>
          <w:snapToGrid w:val="0"/>
          <w:kern w:val="22"/>
          <w:lang w:eastAsia="zh-CN"/>
        </w:rPr>
      </w:pPr>
      <w:r w:rsidRPr="00EB07E5">
        <w:rPr>
          <w:rFonts w:hint="eastAsia"/>
          <w:b/>
          <w:snapToGrid w:val="0"/>
          <w:kern w:val="22"/>
          <w:lang w:eastAsia="zh-CN"/>
        </w:rPr>
        <w:t>项目</w:t>
      </w:r>
      <w:r w:rsidRPr="00EB07E5">
        <w:rPr>
          <w:b/>
          <w:snapToGrid w:val="0"/>
          <w:kern w:val="22"/>
          <w:lang w:eastAsia="zh-CN"/>
        </w:rPr>
        <w:t xml:space="preserve">9. </w:t>
      </w:r>
      <w:r w:rsidRPr="00EB07E5">
        <w:rPr>
          <w:rFonts w:hint="eastAsia"/>
          <w:b/>
          <w:snapToGrid w:val="0"/>
          <w:kern w:val="22"/>
          <w:lang w:eastAsia="zh-CN"/>
        </w:rPr>
        <w:t>资源调动和财务机制</w:t>
      </w:r>
    </w:p>
    <w:p w:rsidR="00047BD6" w:rsidRPr="00EB07E5" w:rsidRDefault="00047BD6" w:rsidP="00851002">
      <w:pPr>
        <w:keepNext/>
        <w:jc w:val="left"/>
        <w:rPr>
          <w:rFonts w:eastAsia="楷体"/>
          <w:kern w:val="22"/>
          <w:lang w:eastAsia="zh-CN"/>
        </w:rPr>
      </w:pPr>
      <w:r w:rsidRPr="00EB07E5">
        <w:rPr>
          <w:rFonts w:eastAsia="楷体" w:hint="eastAsia"/>
          <w:kern w:val="22"/>
          <w:lang w:eastAsia="zh-CN"/>
        </w:rPr>
        <w:t>资源调动：财务报告最新分析包括方法论</w:t>
      </w:r>
    </w:p>
    <w:p w:rsidR="00047BD6" w:rsidRPr="00EB07E5" w:rsidRDefault="00047BD6" w:rsidP="00851002">
      <w:pPr>
        <w:pStyle w:val="Para10"/>
        <w:numPr>
          <w:ilvl w:val="0"/>
          <w:numId w:val="21"/>
        </w:numPr>
        <w:tabs>
          <w:tab w:val="clear" w:pos="360"/>
        </w:tabs>
        <w:rPr>
          <w:iCs/>
          <w:kern w:val="22"/>
          <w:sz w:val="24"/>
          <w:szCs w:val="24"/>
        </w:rPr>
      </w:pPr>
      <w:r w:rsidRPr="00EB07E5">
        <w:rPr>
          <w:rFonts w:hint="eastAsia"/>
          <w:iCs/>
          <w:kern w:val="22"/>
          <w:sz w:val="24"/>
          <w:szCs w:val="24"/>
        </w:rPr>
        <w:t>在第十三届会议上，缔约方大会注意到</w:t>
      </w:r>
      <w:hyperlink r:id="rId27" w:history="1">
        <w:r w:rsidRPr="00EB07E5">
          <w:rPr>
            <w:rStyle w:val="Hyperlink"/>
            <w:rFonts w:hint="eastAsia"/>
            <w:iCs/>
            <w:kern w:val="22"/>
            <w:sz w:val="24"/>
            <w:szCs w:val="24"/>
          </w:rPr>
          <w:t>第</w:t>
        </w:r>
        <w:r w:rsidRPr="00EB07E5">
          <w:rPr>
            <w:rStyle w:val="Hyperlink"/>
            <w:iCs/>
            <w:kern w:val="22"/>
            <w:sz w:val="24"/>
            <w:szCs w:val="24"/>
          </w:rPr>
          <w:t>XII/3</w:t>
        </w:r>
        <w:r w:rsidRPr="00EB07E5">
          <w:rPr>
            <w:rStyle w:val="Hyperlink"/>
            <w:rFonts w:hint="eastAsia"/>
            <w:iCs/>
            <w:kern w:val="22"/>
            <w:sz w:val="24"/>
            <w:szCs w:val="24"/>
          </w:rPr>
          <w:t>号决定</w:t>
        </w:r>
      </w:hyperlink>
      <w:r w:rsidRPr="00EB07E5">
        <w:rPr>
          <w:rFonts w:hint="eastAsia"/>
          <w:iCs/>
          <w:kern w:val="22"/>
          <w:sz w:val="24"/>
          <w:szCs w:val="24"/>
        </w:rPr>
        <w:t>中通过的调集资源目标方面取得的进展，但关切地注意到</w:t>
      </w:r>
      <w:r w:rsidRPr="00EB07E5">
        <w:rPr>
          <w:rFonts w:hint="eastAsia"/>
          <w:kern w:val="22"/>
          <w:sz w:val="24"/>
          <w:szCs w:val="24"/>
        </w:rPr>
        <w:t>缔约方提交的财务报告框架收集的信息不足，限制了对进展情况作全面评估的基础</w:t>
      </w:r>
      <w:r w:rsidRPr="00EB07E5">
        <w:rPr>
          <w:rFonts w:hint="eastAsia"/>
          <w:iCs/>
          <w:kern w:val="22"/>
          <w:sz w:val="24"/>
          <w:szCs w:val="24"/>
        </w:rPr>
        <w:t>。敦促缔约方加紧努力实现这些目标，并促请尚未这样做的缔约方提供必要的基准信息和关于实现这些目标进展情况的信息。</w:t>
      </w:r>
    </w:p>
    <w:p w:rsidR="00047BD6" w:rsidRPr="00EB07E5" w:rsidRDefault="00047BD6" w:rsidP="00851002">
      <w:pPr>
        <w:pStyle w:val="Para10"/>
        <w:numPr>
          <w:ilvl w:val="0"/>
          <w:numId w:val="21"/>
        </w:numPr>
        <w:tabs>
          <w:tab w:val="clear" w:pos="360"/>
        </w:tabs>
        <w:rPr>
          <w:iCs/>
          <w:kern w:val="22"/>
          <w:sz w:val="24"/>
          <w:szCs w:val="24"/>
        </w:rPr>
      </w:pPr>
      <w:r w:rsidRPr="00EB07E5">
        <w:rPr>
          <w:rFonts w:hint="eastAsia"/>
          <w:iCs/>
          <w:kern w:val="22"/>
          <w:sz w:val="24"/>
          <w:szCs w:val="24"/>
        </w:rPr>
        <w:t>执行问题附属机构第二次会议审议了关于实现这些目标进展情况的评估和最新报告以及关于各种方法之间差异的分析，并编制了有关这项事务的决定草案，供缔约方大会审议。</w:t>
      </w:r>
    </w:p>
    <w:p w:rsidR="00047BD6" w:rsidRPr="00EB07E5" w:rsidRDefault="00047BD6" w:rsidP="00851002">
      <w:pPr>
        <w:pStyle w:val="Para10"/>
        <w:numPr>
          <w:ilvl w:val="0"/>
          <w:numId w:val="21"/>
        </w:numPr>
        <w:tabs>
          <w:tab w:val="clear" w:pos="360"/>
        </w:tabs>
        <w:rPr>
          <w:iCs/>
          <w:kern w:val="22"/>
          <w:sz w:val="24"/>
          <w:szCs w:val="24"/>
        </w:rPr>
      </w:pPr>
      <w:r w:rsidRPr="00EB07E5">
        <w:rPr>
          <w:rFonts w:hint="eastAsia"/>
          <w:iCs/>
          <w:kern w:val="22"/>
          <w:sz w:val="24"/>
          <w:szCs w:val="24"/>
        </w:rPr>
        <w:t>附属机构还敦促所有缔约方为实现这些目标作出更多努力、敦促尚未提供必要的基准信息和报告到</w:t>
      </w:r>
      <w:r w:rsidRPr="00EB07E5">
        <w:rPr>
          <w:iCs/>
          <w:kern w:val="22"/>
          <w:sz w:val="24"/>
          <w:szCs w:val="24"/>
        </w:rPr>
        <w:t>2015</w:t>
      </w:r>
      <w:r w:rsidRPr="00EB07E5">
        <w:rPr>
          <w:rFonts w:hint="eastAsia"/>
          <w:iCs/>
          <w:kern w:val="22"/>
          <w:sz w:val="24"/>
          <w:szCs w:val="24"/>
        </w:rPr>
        <w:t>年资源调动目标的初步进展情况的缔约方提供这方面的信息并要求执行秘书编制最新分析报告，供缔约方大会第十四届会议审议。</w:t>
      </w:r>
    </w:p>
    <w:p w:rsidR="00047BD6" w:rsidRPr="00EB07E5" w:rsidRDefault="00047BD6" w:rsidP="00851002">
      <w:pPr>
        <w:pStyle w:val="Para10"/>
        <w:numPr>
          <w:ilvl w:val="0"/>
          <w:numId w:val="21"/>
        </w:numPr>
        <w:tabs>
          <w:tab w:val="clear" w:pos="360"/>
        </w:tabs>
        <w:rPr>
          <w:iCs/>
          <w:kern w:val="22"/>
          <w:sz w:val="24"/>
          <w:szCs w:val="24"/>
        </w:rPr>
      </w:pPr>
      <w:r w:rsidRPr="00EB07E5">
        <w:rPr>
          <w:rFonts w:hint="eastAsia"/>
          <w:iCs/>
          <w:kern w:val="22"/>
          <w:sz w:val="24"/>
          <w:szCs w:val="24"/>
        </w:rPr>
        <w:t>在这个议程项目下，将请缔约方大会审议载于决定草案汇编（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2/6</w:t>
      </w:r>
      <w:r w:rsidRPr="00EB07E5">
        <w:rPr>
          <w:rFonts w:hint="eastAsia"/>
          <w:iCs/>
          <w:kern w:val="22"/>
          <w:sz w:val="24"/>
          <w:szCs w:val="24"/>
        </w:rPr>
        <w:t>号建议编制的决定草案，同时考虑到执行秘书提供的最新信息和分析报告（</w:t>
      </w:r>
      <w:r w:rsidRPr="00EB07E5">
        <w:rPr>
          <w:iCs/>
          <w:kern w:val="22"/>
          <w:sz w:val="24"/>
          <w:szCs w:val="24"/>
        </w:rPr>
        <w:t>CBD/COP/14/6</w:t>
      </w:r>
      <w:r w:rsidRPr="00EB07E5">
        <w:rPr>
          <w:rFonts w:hint="eastAsia"/>
          <w:iCs/>
          <w:kern w:val="22"/>
          <w:sz w:val="24"/>
          <w:szCs w:val="24"/>
        </w:rPr>
        <w:t>）。</w:t>
      </w:r>
    </w:p>
    <w:p w:rsidR="00047BD6" w:rsidRPr="00EB07E5" w:rsidRDefault="00047BD6" w:rsidP="00851002">
      <w:pPr>
        <w:pStyle w:val="Para10"/>
        <w:numPr>
          <w:ilvl w:val="0"/>
          <w:numId w:val="0"/>
        </w:numPr>
        <w:rPr>
          <w:rFonts w:eastAsia="楷体"/>
          <w:iCs/>
          <w:kern w:val="22"/>
          <w:sz w:val="24"/>
          <w:szCs w:val="24"/>
        </w:rPr>
      </w:pPr>
      <w:r w:rsidRPr="00EB07E5">
        <w:rPr>
          <w:rFonts w:eastAsia="楷体" w:hint="eastAsia"/>
          <w:kern w:val="22"/>
          <w:sz w:val="24"/>
          <w:szCs w:val="24"/>
        </w:rPr>
        <w:t>生物多样性融资机制的保障措施</w:t>
      </w:r>
    </w:p>
    <w:p w:rsidR="00047BD6" w:rsidRPr="00EB07E5" w:rsidRDefault="00047BD6" w:rsidP="00851002">
      <w:pPr>
        <w:pStyle w:val="Para10"/>
        <w:numPr>
          <w:ilvl w:val="0"/>
          <w:numId w:val="21"/>
        </w:numPr>
        <w:tabs>
          <w:tab w:val="clear" w:pos="360"/>
        </w:tabs>
        <w:rPr>
          <w:iCs/>
          <w:kern w:val="22"/>
          <w:sz w:val="24"/>
          <w:szCs w:val="24"/>
        </w:rPr>
      </w:pPr>
      <w:r w:rsidRPr="00EB07E5">
        <w:rPr>
          <w:rFonts w:hint="eastAsia"/>
          <w:kern w:val="22"/>
          <w:sz w:val="24"/>
          <w:szCs w:val="24"/>
        </w:rPr>
        <w:t>在</w:t>
      </w:r>
      <w:hyperlink r:id="rId28" w:history="1">
        <w:r w:rsidRPr="00EB07E5">
          <w:rPr>
            <w:rStyle w:val="Hyperlink"/>
            <w:rFonts w:hint="eastAsia"/>
            <w:kern w:val="22"/>
            <w:sz w:val="24"/>
            <w:szCs w:val="24"/>
          </w:rPr>
          <w:t>第</w:t>
        </w:r>
        <w:r w:rsidRPr="00EB07E5">
          <w:rPr>
            <w:rStyle w:val="Hyperlink"/>
            <w:kern w:val="22"/>
            <w:sz w:val="24"/>
            <w:szCs w:val="24"/>
          </w:rPr>
          <w:t>XII/3</w:t>
        </w:r>
        <w:r w:rsidRPr="00EB07E5">
          <w:rPr>
            <w:rStyle w:val="Hyperlink"/>
            <w:rFonts w:hint="eastAsia"/>
            <w:kern w:val="22"/>
            <w:sz w:val="24"/>
            <w:szCs w:val="24"/>
          </w:rPr>
          <w:t>号决定</w:t>
        </w:r>
      </w:hyperlink>
      <w:r w:rsidRPr="00EB07E5">
        <w:rPr>
          <w:rFonts w:hint="eastAsia"/>
          <w:kern w:val="22"/>
          <w:sz w:val="24"/>
          <w:szCs w:val="24"/>
        </w:rPr>
        <w:t>中，缔约方大会通过了关于生物多样性融资机制中的保障措施的自愿准则，并敦促各缔约方、其他国家政府、商业组织和其他利益攸关方在选择、设计和执行生物多样性融资机制以及为其制定具体工具的保障措施时考虑到自愿准则，以期有效发挥其积极作用并避免或减轻负面效应。根据该决定和</w:t>
      </w:r>
      <w:hyperlink r:id="rId29" w:history="1">
        <w:r w:rsidRPr="00EB07E5">
          <w:rPr>
            <w:rStyle w:val="Hyperlink"/>
            <w:rFonts w:hint="eastAsia"/>
            <w:kern w:val="22"/>
            <w:sz w:val="24"/>
            <w:szCs w:val="24"/>
          </w:rPr>
          <w:t>第</w:t>
        </w:r>
        <w:r w:rsidRPr="00EB07E5">
          <w:rPr>
            <w:rStyle w:val="Hyperlink"/>
            <w:kern w:val="22"/>
            <w:sz w:val="24"/>
            <w:szCs w:val="24"/>
          </w:rPr>
          <w:t>XIII/20</w:t>
        </w:r>
        <w:r w:rsidRPr="00EB07E5">
          <w:rPr>
            <w:rStyle w:val="Hyperlink"/>
            <w:rFonts w:hint="eastAsia"/>
            <w:kern w:val="22"/>
            <w:sz w:val="24"/>
            <w:szCs w:val="24"/>
          </w:rPr>
          <w:t>号决定</w:t>
        </w:r>
      </w:hyperlink>
      <w:r w:rsidRPr="00EB07E5">
        <w:rPr>
          <w:rFonts w:hint="eastAsia"/>
          <w:kern w:val="22"/>
          <w:sz w:val="24"/>
          <w:szCs w:val="24"/>
        </w:rPr>
        <w:t>，执行秘书印发了一份文件，分析缔约方和其他方面提供的关于此事的信息，供第</w:t>
      </w:r>
      <w:r w:rsidRPr="00EB07E5">
        <w:rPr>
          <w:kern w:val="22"/>
          <w:sz w:val="24"/>
          <w:szCs w:val="24"/>
        </w:rPr>
        <w:t>8</w:t>
      </w:r>
      <w:r w:rsidRPr="00EB07E5">
        <w:rPr>
          <w:rFonts w:hint="eastAsia"/>
          <w:kern w:val="22"/>
          <w:sz w:val="24"/>
          <w:szCs w:val="24"/>
        </w:rPr>
        <w:t>（</w:t>
      </w:r>
      <w:r w:rsidRPr="00EB07E5">
        <w:rPr>
          <w:kern w:val="22"/>
          <w:sz w:val="24"/>
          <w:szCs w:val="24"/>
        </w:rPr>
        <w:t>j</w:t>
      </w:r>
      <w:r w:rsidRPr="00EB07E5">
        <w:rPr>
          <w:rFonts w:hint="eastAsia"/>
          <w:kern w:val="22"/>
          <w:sz w:val="24"/>
          <w:szCs w:val="24"/>
        </w:rPr>
        <w:t>）条和相关条款问题不限成员名额特设工作组第十次会议审议，并按照该工作组</w:t>
      </w:r>
      <w:hyperlink r:id="rId30" w:history="1">
        <w:r w:rsidRPr="00EB07E5">
          <w:rPr>
            <w:rStyle w:val="Hyperlink"/>
            <w:rFonts w:hint="eastAsia"/>
            <w:kern w:val="22"/>
            <w:sz w:val="24"/>
            <w:szCs w:val="24"/>
          </w:rPr>
          <w:t>第</w:t>
        </w:r>
        <w:r w:rsidRPr="00EB07E5">
          <w:rPr>
            <w:rStyle w:val="Hyperlink"/>
            <w:kern w:val="22"/>
            <w:sz w:val="24"/>
            <w:szCs w:val="24"/>
          </w:rPr>
          <w:t>10/4</w:t>
        </w:r>
        <w:r w:rsidRPr="00EB07E5">
          <w:rPr>
            <w:rStyle w:val="Hyperlink"/>
            <w:rFonts w:hint="eastAsia"/>
            <w:kern w:val="22"/>
            <w:sz w:val="24"/>
            <w:szCs w:val="24"/>
          </w:rPr>
          <w:t>号建议</w:t>
        </w:r>
      </w:hyperlink>
      <w:r w:rsidRPr="00EB07E5">
        <w:rPr>
          <w:rFonts w:hint="eastAsia"/>
          <w:kern w:val="22"/>
          <w:sz w:val="24"/>
          <w:szCs w:val="24"/>
        </w:rPr>
        <w:t>的要求，嗣后根据同行审查的评论修订了该文件，供执行问题附属机构第二次会议审议。</w:t>
      </w:r>
    </w:p>
    <w:p w:rsidR="00047BD6" w:rsidRPr="00EB07E5" w:rsidRDefault="00047BD6" w:rsidP="00851002">
      <w:pPr>
        <w:pStyle w:val="Para10"/>
        <w:numPr>
          <w:ilvl w:val="0"/>
          <w:numId w:val="21"/>
        </w:numPr>
        <w:tabs>
          <w:tab w:val="clear" w:pos="360"/>
        </w:tabs>
        <w:rPr>
          <w:iCs/>
          <w:kern w:val="22"/>
          <w:sz w:val="24"/>
          <w:szCs w:val="24"/>
        </w:rPr>
      </w:pPr>
      <w:r w:rsidRPr="00EB07E5">
        <w:rPr>
          <w:rFonts w:hint="eastAsia"/>
          <w:iCs/>
          <w:kern w:val="22"/>
          <w:sz w:val="24"/>
          <w:szCs w:val="24"/>
        </w:rPr>
        <w:t>在这个议程项目下，还将请缔约方大会审议载于决定草案汇编（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2/17</w:t>
      </w:r>
      <w:r w:rsidRPr="00EB07E5">
        <w:rPr>
          <w:rFonts w:hint="eastAsia"/>
          <w:iCs/>
          <w:kern w:val="22"/>
          <w:sz w:val="24"/>
          <w:szCs w:val="24"/>
        </w:rPr>
        <w:t>号建议编制的决定草案。</w:t>
      </w:r>
    </w:p>
    <w:p w:rsidR="00047BD6" w:rsidRPr="00EB07E5" w:rsidRDefault="00047BD6" w:rsidP="00851002">
      <w:pPr>
        <w:pStyle w:val="Para10"/>
        <w:numPr>
          <w:ilvl w:val="0"/>
          <w:numId w:val="0"/>
        </w:numPr>
        <w:rPr>
          <w:rFonts w:eastAsia="楷体"/>
          <w:sz w:val="24"/>
          <w:szCs w:val="24"/>
          <w:lang w:val="zh-CN"/>
        </w:rPr>
      </w:pPr>
      <w:r w:rsidRPr="00EB07E5">
        <w:rPr>
          <w:rFonts w:eastAsia="楷体" w:hint="eastAsia"/>
          <w:sz w:val="24"/>
          <w:szCs w:val="24"/>
          <w:lang w:val="zh-CN"/>
        </w:rPr>
        <w:t>关于土著人民和地方社区所作贡献的方法指导</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在</w:t>
      </w:r>
      <w:hyperlink r:id="rId31" w:history="1">
        <w:r w:rsidRPr="00EB07E5">
          <w:rPr>
            <w:rStyle w:val="Hyperlink"/>
            <w:rFonts w:hint="eastAsia"/>
            <w:kern w:val="22"/>
            <w:sz w:val="24"/>
            <w:szCs w:val="24"/>
          </w:rPr>
          <w:t>第</w:t>
        </w:r>
        <w:r w:rsidRPr="00EB07E5">
          <w:rPr>
            <w:rStyle w:val="Hyperlink"/>
            <w:kern w:val="22"/>
            <w:sz w:val="24"/>
            <w:szCs w:val="24"/>
          </w:rPr>
          <w:t>XIII/20</w:t>
        </w:r>
        <w:r w:rsidRPr="00EB07E5">
          <w:rPr>
            <w:rStyle w:val="Hyperlink"/>
            <w:rFonts w:hint="eastAsia"/>
            <w:kern w:val="22"/>
            <w:sz w:val="24"/>
            <w:szCs w:val="24"/>
          </w:rPr>
          <w:t>号决定</w:t>
        </w:r>
      </w:hyperlink>
      <w:r w:rsidRPr="00EB07E5">
        <w:rPr>
          <w:rFonts w:hint="eastAsia"/>
          <w:kern w:val="22"/>
          <w:sz w:val="24"/>
          <w:szCs w:val="24"/>
        </w:rPr>
        <w:t>中，缔约方大会审议了包括土著和地方社区在内的集体行动的作用以及为实现《公约》各项目标筹集资源的非市场方式的作用，并欢迎评估土著人民和地方社区的集体行动的贡献的指导原则。缔约方大会请执行秘书汇编和分析缔约方提供的关于这一事项的资料，并为制定确认、监测和评估土著人民和地方社区对实现《</w:t>
      </w:r>
      <w:r w:rsidRPr="00EB07E5">
        <w:rPr>
          <w:kern w:val="22"/>
          <w:sz w:val="24"/>
          <w:szCs w:val="24"/>
        </w:rPr>
        <w:t>2011</w:t>
      </w:r>
      <w:r w:rsidRPr="00EB07E5">
        <w:rPr>
          <w:rFonts w:hint="eastAsia"/>
          <w:kern w:val="22"/>
          <w:sz w:val="24"/>
          <w:szCs w:val="24"/>
        </w:rPr>
        <w:t>年</w:t>
      </w:r>
      <w:r w:rsidRPr="00EB07E5">
        <w:rPr>
          <w:kern w:val="22"/>
          <w:sz w:val="24"/>
          <w:szCs w:val="24"/>
        </w:rPr>
        <w:t>2020</w:t>
      </w:r>
      <w:r w:rsidRPr="00EB07E5">
        <w:rPr>
          <w:rFonts w:hint="eastAsia"/>
          <w:kern w:val="22"/>
          <w:sz w:val="24"/>
          <w:szCs w:val="24"/>
        </w:rPr>
        <w:t>年生物多样性战略计划》和爱知生物多样性指标的贡献的方法指导意见要点。印发了一份文件供第</w:t>
      </w:r>
      <w:r w:rsidRPr="00EB07E5">
        <w:rPr>
          <w:kern w:val="22"/>
          <w:sz w:val="24"/>
          <w:szCs w:val="24"/>
        </w:rPr>
        <w:t>8</w:t>
      </w:r>
      <w:r w:rsidRPr="00EB07E5">
        <w:rPr>
          <w:rFonts w:hint="eastAsia"/>
          <w:kern w:val="22"/>
          <w:sz w:val="24"/>
          <w:szCs w:val="24"/>
        </w:rPr>
        <w:t>（</w:t>
      </w:r>
      <w:r w:rsidRPr="00EB07E5">
        <w:rPr>
          <w:kern w:val="22"/>
          <w:sz w:val="24"/>
          <w:szCs w:val="24"/>
        </w:rPr>
        <w:t>j</w:t>
      </w:r>
      <w:r w:rsidRPr="00EB07E5">
        <w:rPr>
          <w:rFonts w:hint="eastAsia"/>
          <w:kern w:val="22"/>
          <w:sz w:val="24"/>
          <w:szCs w:val="24"/>
        </w:rPr>
        <w:t>）条和相关条款问题不限成员名额特设工作组第十次会议审议，并按照工作组</w:t>
      </w:r>
      <w:hyperlink r:id="rId32" w:history="1">
        <w:r w:rsidRPr="00EB07E5">
          <w:rPr>
            <w:rStyle w:val="Hyperlink"/>
            <w:rFonts w:hint="eastAsia"/>
            <w:kern w:val="22"/>
            <w:sz w:val="24"/>
            <w:szCs w:val="24"/>
          </w:rPr>
          <w:t>第</w:t>
        </w:r>
        <w:r w:rsidRPr="00EB07E5">
          <w:rPr>
            <w:rStyle w:val="Hyperlink"/>
            <w:kern w:val="22"/>
            <w:sz w:val="24"/>
            <w:szCs w:val="24"/>
          </w:rPr>
          <w:t>10/4</w:t>
        </w:r>
        <w:r w:rsidRPr="00EB07E5">
          <w:rPr>
            <w:rStyle w:val="Hyperlink"/>
            <w:rFonts w:hint="eastAsia"/>
            <w:kern w:val="22"/>
            <w:sz w:val="24"/>
            <w:szCs w:val="24"/>
          </w:rPr>
          <w:t>号建议</w:t>
        </w:r>
      </w:hyperlink>
      <w:r w:rsidRPr="00EB07E5">
        <w:rPr>
          <w:rFonts w:hint="eastAsia"/>
          <w:kern w:val="22"/>
          <w:sz w:val="24"/>
          <w:szCs w:val="24"/>
        </w:rPr>
        <w:t>的要求，嗣后参照同行审议的评论对其进行修改，供执行问题附属机构第二次会议审议。</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iCs/>
          <w:kern w:val="22"/>
          <w:sz w:val="24"/>
          <w:szCs w:val="24"/>
        </w:rPr>
        <w:t>在这个议程项目下，还将请缔约方大会审议载于决定草案汇编（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2/18</w:t>
      </w:r>
      <w:r w:rsidRPr="00EB07E5">
        <w:rPr>
          <w:rFonts w:hint="eastAsia"/>
          <w:iCs/>
          <w:kern w:val="22"/>
          <w:sz w:val="24"/>
          <w:szCs w:val="24"/>
        </w:rPr>
        <w:t>号建议编制的决定草案。</w:t>
      </w:r>
    </w:p>
    <w:p w:rsidR="00047BD6" w:rsidRPr="00EB07E5" w:rsidRDefault="00047BD6" w:rsidP="00851002">
      <w:pPr>
        <w:pStyle w:val="Para10"/>
        <w:keepNext/>
        <w:numPr>
          <w:ilvl w:val="0"/>
          <w:numId w:val="0"/>
        </w:numPr>
        <w:rPr>
          <w:kern w:val="22"/>
          <w:sz w:val="24"/>
          <w:szCs w:val="24"/>
        </w:rPr>
      </w:pPr>
    </w:p>
    <w:p w:rsidR="00047BD6" w:rsidRPr="00EB07E5" w:rsidRDefault="00047BD6" w:rsidP="00851002">
      <w:pPr>
        <w:pStyle w:val="Para10"/>
        <w:keepNext/>
        <w:numPr>
          <w:ilvl w:val="0"/>
          <w:numId w:val="0"/>
        </w:numPr>
        <w:rPr>
          <w:rFonts w:eastAsia="楷体"/>
          <w:iCs/>
          <w:kern w:val="22"/>
          <w:sz w:val="24"/>
          <w:szCs w:val="24"/>
        </w:rPr>
      </w:pPr>
      <w:r w:rsidRPr="00EB07E5">
        <w:rPr>
          <w:rFonts w:eastAsia="楷体" w:hint="eastAsia"/>
          <w:kern w:val="22"/>
          <w:sz w:val="24"/>
          <w:szCs w:val="24"/>
        </w:rPr>
        <w:t>财务机制</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缔约方大会第十三届会议在</w:t>
      </w:r>
      <w:hyperlink r:id="rId33" w:history="1">
        <w:r w:rsidRPr="00EB07E5">
          <w:rPr>
            <w:rStyle w:val="Hyperlink"/>
            <w:rFonts w:hint="eastAsia"/>
            <w:kern w:val="22"/>
            <w:sz w:val="24"/>
            <w:szCs w:val="24"/>
          </w:rPr>
          <w:t>第</w:t>
        </w:r>
        <w:r w:rsidRPr="00EB07E5">
          <w:rPr>
            <w:rStyle w:val="Hyperlink"/>
            <w:kern w:val="22"/>
            <w:sz w:val="24"/>
            <w:szCs w:val="24"/>
          </w:rPr>
          <w:t>XIII/21</w:t>
        </w:r>
        <w:r w:rsidRPr="00EB07E5">
          <w:rPr>
            <w:rStyle w:val="Hyperlink"/>
            <w:rFonts w:hint="eastAsia"/>
            <w:kern w:val="22"/>
            <w:sz w:val="24"/>
            <w:szCs w:val="24"/>
          </w:rPr>
          <w:t>号决定</w:t>
        </w:r>
      </w:hyperlink>
      <w:r w:rsidRPr="00EB07E5">
        <w:rPr>
          <w:rFonts w:hint="eastAsia"/>
          <w:kern w:val="22"/>
          <w:sz w:val="24"/>
          <w:szCs w:val="24"/>
        </w:rPr>
        <w:t>中通过了</w:t>
      </w:r>
      <w:r w:rsidRPr="00EB07E5">
        <w:rPr>
          <w:rFonts w:hint="eastAsia"/>
          <w:sz w:val="24"/>
          <w:szCs w:val="24"/>
        </w:rPr>
        <w:t>全球环境基金信托基金第七次充资期间的四年期方案优先事项框架（</w:t>
      </w:r>
      <w:r w:rsidRPr="00EB07E5">
        <w:rPr>
          <w:sz w:val="24"/>
          <w:szCs w:val="24"/>
        </w:rPr>
        <w:t>2018-2022</w:t>
      </w:r>
      <w:r w:rsidRPr="00EB07E5">
        <w:rPr>
          <w:rFonts w:hint="eastAsia"/>
          <w:sz w:val="24"/>
          <w:szCs w:val="24"/>
        </w:rPr>
        <w:t>年）</w:t>
      </w:r>
      <w:r w:rsidRPr="00EB07E5">
        <w:rPr>
          <w:rFonts w:hint="eastAsia"/>
          <w:kern w:val="22"/>
          <w:sz w:val="24"/>
          <w:szCs w:val="24"/>
        </w:rPr>
        <w:t>，并通过了对财务机制以及财务机制成效第五次审查职权范围的综合指导意见。会议还注意到对第七次充资所需资金的全面评估报告。缔约方大会请全球环境基金在其提交给缔约方大会的报告中</w:t>
      </w:r>
      <w:r w:rsidRPr="00EB07E5">
        <w:rPr>
          <w:rFonts w:hint="eastAsia"/>
          <w:sz w:val="24"/>
          <w:szCs w:val="24"/>
        </w:rPr>
        <w:t>纳入关于指导意见和框架的各个组成部分的信息，</w:t>
      </w:r>
      <w:r w:rsidRPr="00EB07E5">
        <w:rPr>
          <w:rFonts w:hint="eastAsia"/>
          <w:kern w:val="22"/>
          <w:sz w:val="24"/>
          <w:szCs w:val="24"/>
        </w:rPr>
        <w:t>以及它如何回应需求评估的信息。充资进程于</w:t>
      </w:r>
      <w:r w:rsidRPr="00EB07E5">
        <w:rPr>
          <w:kern w:val="22"/>
          <w:sz w:val="24"/>
          <w:szCs w:val="24"/>
        </w:rPr>
        <w:t>2018</w:t>
      </w:r>
      <w:r w:rsidRPr="00EB07E5">
        <w:rPr>
          <w:rFonts w:hint="eastAsia"/>
          <w:kern w:val="22"/>
          <w:sz w:val="24"/>
          <w:szCs w:val="24"/>
        </w:rPr>
        <w:t>年</w:t>
      </w:r>
      <w:r w:rsidRPr="00EB07E5">
        <w:rPr>
          <w:kern w:val="22"/>
          <w:sz w:val="24"/>
          <w:szCs w:val="24"/>
        </w:rPr>
        <w:t>6</w:t>
      </w:r>
      <w:r w:rsidRPr="00EB07E5">
        <w:rPr>
          <w:rFonts w:hint="eastAsia"/>
          <w:kern w:val="22"/>
          <w:sz w:val="24"/>
          <w:szCs w:val="24"/>
        </w:rPr>
        <w:t>月完成。</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执行问题附属机构第二次会议审议了执行秘书公布的充资结果和相关文件以及全球环境基金的初步报告。</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sz w:val="24"/>
          <w:szCs w:val="24"/>
          <w:lang w:val="zh-CN"/>
        </w:rPr>
        <w:t>科咨机构还请缔约方和其他各方在</w:t>
      </w:r>
      <w:r w:rsidRPr="00EB07E5">
        <w:rPr>
          <w:sz w:val="24"/>
          <w:szCs w:val="24"/>
          <w:lang w:val="zh-CN"/>
        </w:rPr>
        <w:t>2018</w:t>
      </w:r>
      <w:r w:rsidRPr="00EB07E5">
        <w:rPr>
          <w:rFonts w:hint="eastAsia"/>
          <w:sz w:val="24"/>
          <w:szCs w:val="24"/>
          <w:lang w:val="zh-CN"/>
        </w:rPr>
        <w:t>年</w:t>
      </w:r>
      <w:r w:rsidRPr="00EB07E5">
        <w:rPr>
          <w:sz w:val="24"/>
          <w:szCs w:val="24"/>
          <w:lang w:val="zh-CN"/>
        </w:rPr>
        <w:t>9</w:t>
      </w:r>
      <w:r w:rsidRPr="00EB07E5">
        <w:rPr>
          <w:rFonts w:hint="eastAsia"/>
          <w:sz w:val="24"/>
          <w:szCs w:val="24"/>
          <w:lang w:val="zh-CN"/>
        </w:rPr>
        <w:t>月</w:t>
      </w:r>
      <w:r w:rsidRPr="00EB07E5">
        <w:rPr>
          <w:sz w:val="24"/>
          <w:szCs w:val="24"/>
          <w:lang w:val="zh-CN"/>
        </w:rPr>
        <w:t>15</w:t>
      </w:r>
      <w:r w:rsidRPr="00EB07E5">
        <w:rPr>
          <w:rFonts w:hint="eastAsia"/>
          <w:sz w:val="24"/>
          <w:szCs w:val="24"/>
          <w:lang w:val="zh-CN"/>
        </w:rPr>
        <w:t>日之前提交关于全球环境基金独立评价办公室进行的全球环境基金第六次总体绩效研究报告以及全球环境基金独立评价办公室的评价结果摘要的意见和其他信息，并请执行秘书编写一份有关收到的意见和独立评价办公室的报告提供的信息的汇编，作为缔约方大会第十四届会议第五次审查财务机制成效的基础（</w:t>
      </w:r>
      <w:r w:rsidRPr="00EB07E5">
        <w:rPr>
          <w:sz w:val="24"/>
          <w:szCs w:val="24"/>
          <w:lang w:val="zh-CN"/>
        </w:rPr>
        <w:t>CBD/COP/14/</w:t>
      </w:r>
      <w:r w:rsidRPr="00EB07E5">
        <w:rPr>
          <w:sz w:val="24"/>
          <w:szCs w:val="24"/>
          <w:lang w:val="en-US"/>
        </w:rPr>
        <w:t>8</w:t>
      </w:r>
      <w:r w:rsidRPr="00EB07E5">
        <w:rPr>
          <w:rFonts w:hint="eastAsia"/>
          <w:sz w:val="24"/>
          <w:szCs w:val="24"/>
          <w:lang w:val="zh-CN"/>
        </w:rPr>
        <w:t>）。</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lang w:val="zh-CN"/>
        </w:rPr>
        <w:t>请缔约方大会根据载于决定草案汇编</w:t>
      </w:r>
      <w:r w:rsidRPr="00EB07E5">
        <w:rPr>
          <w:rFonts w:hint="eastAsia"/>
          <w:kern w:val="22"/>
          <w:sz w:val="24"/>
          <w:szCs w:val="24"/>
        </w:rPr>
        <w:t>（</w:t>
      </w:r>
      <w:r w:rsidRPr="00EB07E5">
        <w:rPr>
          <w:kern w:val="22"/>
          <w:sz w:val="24"/>
          <w:szCs w:val="24"/>
        </w:rPr>
        <w:t>CBD/COP/14/2</w:t>
      </w:r>
      <w:r w:rsidRPr="00EB07E5">
        <w:rPr>
          <w:rFonts w:hint="eastAsia"/>
          <w:kern w:val="22"/>
          <w:sz w:val="24"/>
          <w:szCs w:val="24"/>
        </w:rPr>
        <w:t>）</w:t>
      </w:r>
      <w:r w:rsidRPr="00EB07E5">
        <w:rPr>
          <w:rFonts w:hint="eastAsia"/>
          <w:kern w:val="22"/>
          <w:sz w:val="24"/>
          <w:szCs w:val="24"/>
          <w:lang w:val="zh-CN"/>
        </w:rPr>
        <w:t>依照执行问题附属机构第</w:t>
      </w:r>
      <w:r w:rsidRPr="00EB07E5">
        <w:rPr>
          <w:kern w:val="22"/>
          <w:sz w:val="24"/>
          <w:szCs w:val="24"/>
        </w:rPr>
        <w:t>2/7</w:t>
      </w:r>
      <w:r w:rsidRPr="00EB07E5">
        <w:rPr>
          <w:rFonts w:hint="eastAsia"/>
          <w:kern w:val="22"/>
          <w:sz w:val="24"/>
          <w:szCs w:val="24"/>
        </w:rPr>
        <w:t>号建议</w:t>
      </w:r>
      <w:r w:rsidRPr="00EB07E5">
        <w:rPr>
          <w:rFonts w:hint="eastAsia"/>
          <w:kern w:val="22"/>
          <w:sz w:val="24"/>
          <w:szCs w:val="24"/>
          <w:lang w:val="en-US"/>
        </w:rPr>
        <w:t>、全球环境基金的最后报告（</w:t>
      </w:r>
      <w:r w:rsidRPr="00EB07E5">
        <w:rPr>
          <w:kern w:val="22"/>
          <w:sz w:val="24"/>
          <w:szCs w:val="24"/>
        </w:rPr>
        <w:t>CBD/COP/14/7</w:t>
      </w:r>
      <w:r w:rsidRPr="00EB07E5">
        <w:rPr>
          <w:rFonts w:hint="eastAsia"/>
          <w:kern w:val="22"/>
          <w:sz w:val="24"/>
          <w:szCs w:val="24"/>
          <w:lang w:val="en-US"/>
        </w:rPr>
        <w:t>）和</w:t>
      </w:r>
      <w:r w:rsidRPr="00EB07E5">
        <w:rPr>
          <w:rFonts w:hint="eastAsia"/>
          <w:kern w:val="22"/>
          <w:sz w:val="24"/>
          <w:szCs w:val="24"/>
          <w:lang w:val="zh-CN"/>
        </w:rPr>
        <w:t>执行秘书提供的信息</w:t>
      </w:r>
      <w:r w:rsidRPr="00EB07E5">
        <w:rPr>
          <w:rFonts w:hint="eastAsia"/>
          <w:kern w:val="22"/>
          <w:sz w:val="24"/>
          <w:szCs w:val="24"/>
        </w:rPr>
        <w:t>（</w:t>
      </w:r>
      <w:r w:rsidRPr="00EB07E5">
        <w:rPr>
          <w:kern w:val="22"/>
          <w:sz w:val="24"/>
          <w:szCs w:val="24"/>
        </w:rPr>
        <w:t>CBD/COP/14/8</w:t>
      </w:r>
      <w:r w:rsidRPr="00EB07E5">
        <w:rPr>
          <w:rFonts w:hint="eastAsia"/>
          <w:kern w:val="22"/>
          <w:sz w:val="24"/>
          <w:szCs w:val="24"/>
        </w:rPr>
        <w:t>）</w:t>
      </w:r>
      <w:r w:rsidRPr="00EB07E5">
        <w:rPr>
          <w:rFonts w:hint="eastAsia"/>
          <w:kern w:val="22"/>
          <w:sz w:val="24"/>
          <w:szCs w:val="24"/>
          <w:lang w:val="zh-CN"/>
        </w:rPr>
        <w:t>编制的决定草案审议这个事项。</w:t>
      </w:r>
    </w:p>
    <w:p w:rsidR="00047BD6" w:rsidRPr="00EB07E5" w:rsidRDefault="00047BD6" w:rsidP="00851002">
      <w:pPr>
        <w:tabs>
          <w:tab w:val="left" w:pos="990"/>
        </w:tabs>
        <w:spacing w:before="120" w:after="120"/>
        <w:jc w:val="center"/>
        <w:rPr>
          <w:b/>
          <w:snapToGrid w:val="0"/>
          <w:kern w:val="22"/>
          <w:lang w:eastAsia="zh-CN"/>
        </w:rPr>
      </w:pPr>
      <w:r w:rsidRPr="00EB07E5">
        <w:rPr>
          <w:rFonts w:hint="eastAsia"/>
          <w:b/>
          <w:snapToGrid w:val="0"/>
          <w:kern w:val="22"/>
          <w:lang w:eastAsia="zh-CN"/>
        </w:rPr>
        <w:t>项目</w:t>
      </w:r>
      <w:r w:rsidRPr="00EB07E5">
        <w:rPr>
          <w:b/>
          <w:snapToGrid w:val="0"/>
          <w:kern w:val="22"/>
          <w:lang w:eastAsia="zh-CN"/>
        </w:rPr>
        <w:t xml:space="preserve">10. </w:t>
      </w:r>
      <w:r w:rsidRPr="00EB07E5">
        <w:rPr>
          <w:rFonts w:hint="eastAsia"/>
          <w:b/>
          <w:snapToGrid w:val="0"/>
          <w:kern w:val="22"/>
          <w:lang w:eastAsia="zh-CN"/>
        </w:rPr>
        <w:t>能力建设和科技合作</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缔约方大会第十三届会议在</w:t>
      </w:r>
      <w:hyperlink r:id="rId34" w:history="1">
        <w:r w:rsidRPr="00EB07E5">
          <w:rPr>
            <w:rStyle w:val="Hyperlink"/>
            <w:rFonts w:hint="eastAsia"/>
            <w:kern w:val="22"/>
            <w:sz w:val="24"/>
            <w:szCs w:val="24"/>
          </w:rPr>
          <w:t>第</w:t>
        </w:r>
        <w:r w:rsidRPr="00EB07E5">
          <w:rPr>
            <w:rStyle w:val="Hyperlink"/>
            <w:kern w:val="22"/>
            <w:sz w:val="24"/>
            <w:szCs w:val="24"/>
          </w:rPr>
          <w:t>XIII/23</w:t>
        </w:r>
        <w:r w:rsidRPr="00EB07E5">
          <w:rPr>
            <w:rStyle w:val="Hyperlink"/>
            <w:rFonts w:hint="eastAsia"/>
            <w:kern w:val="22"/>
            <w:sz w:val="24"/>
            <w:szCs w:val="24"/>
          </w:rPr>
          <w:t>号决定</w:t>
        </w:r>
      </w:hyperlink>
      <w:r w:rsidRPr="00EB07E5">
        <w:rPr>
          <w:rFonts w:hint="eastAsia"/>
          <w:kern w:val="22"/>
          <w:sz w:val="24"/>
          <w:szCs w:val="24"/>
        </w:rPr>
        <w:t>中通过了</w:t>
      </w:r>
      <w:r w:rsidRPr="00EB07E5">
        <w:rPr>
          <w:rFonts w:hint="eastAsia"/>
          <w:kern w:val="22"/>
          <w:sz w:val="24"/>
          <w:szCs w:val="24"/>
          <w:lang w:val="zh-CN"/>
        </w:rPr>
        <w:t>旨在加强和支持执行《公约》及其《议定书》的能力建设的短期行动计划（</w:t>
      </w:r>
      <w:r w:rsidRPr="00EB07E5">
        <w:rPr>
          <w:kern w:val="22"/>
          <w:sz w:val="24"/>
          <w:szCs w:val="24"/>
          <w:lang w:val="zh-CN"/>
        </w:rPr>
        <w:t>2017-2020</w:t>
      </w:r>
      <w:r w:rsidRPr="00EB07E5">
        <w:rPr>
          <w:rFonts w:hint="eastAsia"/>
          <w:kern w:val="22"/>
          <w:sz w:val="24"/>
          <w:szCs w:val="24"/>
          <w:lang w:val="zh-CN"/>
        </w:rPr>
        <w:t>年</w:t>
      </w:r>
      <w:r w:rsidRPr="00EB07E5">
        <w:rPr>
          <w:rFonts w:hint="eastAsia"/>
          <w:kern w:val="22"/>
          <w:sz w:val="24"/>
          <w:szCs w:val="24"/>
          <w:lang w:val="en-US"/>
        </w:rPr>
        <w:t>）</w:t>
      </w:r>
      <w:r w:rsidRPr="00EB07E5">
        <w:rPr>
          <w:rFonts w:hint="eastAsia"/>
          <w:kern w:val="22"/>
          <w:sz w:val="24"/>
          <w:szCs w:val="24"/>
        </w:rPr>
        <w:t>。决定请执行秘书</w:t>
      </w:r>
      <w:r w:rsidRPr="00EB07E5">
        <w:rPr>
          <w:rFonts w:hint="eastAsia"/>
          <w:noProof/>
          <w:snapToGrid w:val="0"/>
          <w:kern w:val="22"/>
          <w:sz w:val="24"/>
          <w:szCs w:val="24"/>
        </w:rPr>
        <w:t>对秘书处所支持和协助推进的现行</w:t>
      </w:r>
      <w:r w:rsidRPr="00EB07E5">
        <w:rPr>
          <w:rFonts w:hint="eastAsia"/>
          <w:iCs/>
          <w:kern w:val="22"/>
          <w:sz w:val="24"/>
          <w:szCs w:val="24"/>
        </w:rPr>
        <w:t>能力</w:t>
      </w:r>
      <w:r w:rsidRPr="00EB07E5">
        <w:rPr>
          <w:rFonts w:hint="eastAsia"/>
          <w:noProof/>
          <w:snapToGrid w:val="0"/>
          <w:kern w:val="22"/>
          <w:sz w:val="24"/>
          <w:szCs w:val="24"/>
        </w:rPr>
        <w:t>建设活动的结果和成效进行监测和评估，以期更好地定向和改进未来的能力建设活动</w:t>
      </w:r>
      <w:r w:rsidRPr="00EB07E5">
        <w:rPr>
          <w:rFonts w:hint="eastAsia"/>
          <w:kern w:val="22"/>
          <w:sz w:val="24"/>
          <w:szCs w:val="24"/>
        </w:rPr>
        <w:t>。决定还请执行秘书</w:t>
      </w:r>
      <w:r w:rsidRPr="00EB07E5">
        <w:rPr>
          <w:rFonts w:hint="eastAsia"/>
          <w:snapToGrid w:val="0"/>
          <w:kern w:val="22"/>
          <w:sz w:val="24"/>
          <w:szCs w:val="24"/>
        </w:rPr>
        <w:t>启动制定</w:t>
      </w:r>
      <w:r w:rsidRPr="00EB07E5">
        <w:rPr>
          <w:snapToGrid w:val="0"/>
          <w:kern w:val="22"/>
          <w:sz w:val="24"/>
          <w:szCs w:val="24"/>
        </w:rPr>
        <w:t>2020</w:t>
      </w:r>
      <w:r w:rsidRPr="00EB07E5">
        <w:rPr>
          <w:rFonts w:hint="eastAsia"/>
          <w:snapToGrid w:val="0"/>
          <w:kern w:val="22"/>
          <w:sz w:val="24"/>
          <w:szCs w:val="24"/>
        </w:rPr>
        <w:t>年以后能力建设长期战略框架的进程，确保其与《</w:t>
      </w:r>
      <w:r w:rsidRPr="00EB07E5">
        <w:rPr>
          <w:snapToGrid w:val="0"/>
          <w:kern w:val="22"/>
          <w:sz w:val="24"/>
          <w:szCs w:val="24"/>
        </w:rPr>
        <w:t>2011-2020</w:t>
      </w:r>
      <w:r w:rsidRPr="00EB07E5">
        <w:rPr>
          <w:rFonts w:hint="eastAsia"/>
          <w:snapToGrid w:val="0"/>
          <w:kern w:val="22"/>
          <w:sz w:val="24"/>
          <w:szCs w:val="24"/>
        </w:rPr>
        <w:t>年生物多样性战略计划》的后续行动和《议定书》的工作保持一致</w:t>
      </w:r>
      <w:r w:rsidRPr="00EB07E5">
        <w:rPr>
          <w:rFonts w:hint="eastAsia"/>
          <w:kern w:val="22"/>
          <w:sz w:val="24"/>
          <w:szCs w:val="24"/>
        </w:rPr>
        <w:t>，并</w:t>
      </w:r>
      <w:r w:rsidRPr="00EB07E5">
        <w:rPr>
          <w:rFonts w:hint="eastAsia"/>
          <w:snapToGrid w:val="0"/>
          <w:kern w:val="22"/>
          <w:sz w:val="24"/>
          <w:szCs w:val="24"/>
        </w:rPr>
        <w:t>制订研究报告的职权范围，以提供编制该框架的知识基础。</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执行问题附属机构第二次会议审议了这些事项。</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iCs/>
          <w:kern w:val="22"/>
          <w:sz w:val="24"/>
          <w:szCs w:val="24"/>
        </w:rPr>
        <w:t>将请缔约方大会根据载于决议草案汇编（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2/8</w:t>
      </w:r>
      <w:r w:rsidRPr="00EB07E5">
        <w:rPr>
          <w:rFonts w:hint="eastAsia"/>
          <w:iCs/>
          <w:kern w:val="22"/>
          <w:sz w:val="24"/>
          <w:szCs w:val="24"/>
        </w:rPr>
        <w:t>号建议编制的决定草案审议这个议程项目。</w:t>
      </w:r>
    </w:p>
    <w:p w:rsidR="00047BD6" w:rsidRPr="00EB07E5" w:rsidRDefault="00047BD6" w:rsidP="00851002">
      <w:pPr>
        <w:tabs>
          <w:tab w:val="left" w:pos="990"/>
        </w:tabs>
        <w:spacing w:before="120" w:after="120"/>
        <w:jc w:val="center"/>
        <w:rPr>
          <w:b/>
          <w:snapToGrid w:val="0"/>
          <w:kern w:val="22"/>
        </w:rPr>
      </w:pPr>
      <w:r w:rsidRPr="00EB07E5">
        <w:rPr>
          <w:rFonts w:hint="eastAsia"/>
          <w:b/>
          <w:snapToGrid w:val="0"/>
          <w:kern w:val="22"/>
          <w:lang w:eastAsia="zh-CN"/>
        </w:rPr>
        <w:t>项目</w:t>
      </w:r>
      <w:r w:rsidRPr="00EB07E5">
        <w:rPr>
          <w:b/>
          <w:snapToGrid w:val="0"/>
          <w:kern w:val="22"/>
        </w:rPr>
        <w:t xml:space="preserve">11. </w:t>
      </w:r>
      <w:r w:rsidRPr="00EB07E5">
        <w:rPr>
          <w:rFonts w:hint="eastAsia"/>
          <w:b/>
          <w:snapToGrid w:val="0"/>
          <w:kern w:val="22"/>
          <w:lang w:eastAsia="zh-CN"/>
        </w:rPr>
        <w:t>知识管理和传播</w:t>
      </w:r>
      <w:r w:rsidRPr="00EB07E5">
        <w:rPr>
          <w:b/>
          <w:snapToGrid w:val="0"/>
          <w:kern w:val="22"/>
        </w:rPr>
        <w:t xml:space="preserve"> </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缔约方大会第十三届会议在</w:t>
      </w:r>
      <w:hyperlink r:id="rId35" w:history="1">
        <w:r w:rsidRPr="00EB07E5">
          <w:rPr>
            <w:rStyle w:val="Hyperlink"/>
            <w:rFonts w:hint="eastAsia"/>
            <w:kern w:val="22"/>
            <w:sz w:val="24"/>
            <w:szCs w:val="24"/>
          </w:rPr>
          <w:t>第</w:t>
        </w:r>
        <w:r w:rsidRPr="00EB07E5">
          <w:rPr>
            <w:rStyle w:val="Hyperlink"/>
            <w:kern w:val="22"/>
            <w:sz w:val="24"/>
            <w:szCs w:val="24"/>
          </w:rPr>
          <w:t>XIII/23</w:t>
        </w:r>
        <w:r w:rsidRPr="00EB07E5">
          <w:rPr>
            <w:rStyle w:val="Hyperlink"/>
            <w:rFonts w:hint="eastAsia"/>
            <w:kern w:val="22"/>
            <w:sz w:val="24"/>
            <w:szCs w:val="24"/>
          </w:rPr>
          <w:t>号决定</w:t>
        </w:r>
      </w:hyperlink>
      <w:r w:rsidRPr="00EB07E5">
        <w:rPr>
          <w:rFonts w:hint="eastAsia"/>
          <w:kern w:val="22"/>
          <w:sz w:val="24"/>
          <w:szCs w:val="24"/>
        </w:rPr>
        <w:t>中注意到《公约》及其《议定书》的网络战略，请执行秘书按照传播战略框架执行网络战略，并根据缔约方大会第十三届会议和同时举行的议定书会议的决定，在</w:t>
      </w:r>
      <w:r w:rsidRPr="00EB07E5">
        <w:rPr>
          <w:snapToGrid w:val="0"/>
          <w:kern w:val="22"/>
          <w:sz w:val="24"/>
          <w:szCs w:val="24"/>
        </w:rPr>
        <w:t>2018</w:t>
      </w:r>
      <w:r w:rsidRPr="00EB07E5">
        <w:rPr>
          <w:rFonts w:hint="eastAsia"/>
          <w:snapToGrid w:val="0"/>
          <w:kern w:val="22"/>
          <w:sz w:val="24"/>
          <w:szCs w:val="24"/>
        </w:rPr>
        <w:t>年之前采取的优先行动，更新网络战略，并</w:t>
      </w:r>
      <w:r w:rsidRPr="00EB07E5">
        <w:rPr>
          <w:rFonts w:hint="eastAsia"/>
          <w:snapToGrid w:val="0"/>
          <w:kern w:val="22"/>
          <w:sz w:val="24"/>
          <w:szCs w:val="24"/>
          <w:lang w:val="zh-CN"/>
        </w:rPr>
        <w:t>根据网络战略和信息交换所机制工作方案</w:t>
      </w:r>
      <w:r w:rsidRPr="00EB07E5">
        <w:rPr>
          <w:rFonts w:hint="eastAsia"/>
          <w:snapToGrid w:val="0"/>
          <w:kern w:val="22"/>
          <w:sz w:val="24"/>
          <w:szCs w:val="24"/>
        </w:rPr>
        <w:t>，</w:t>
      </w:r>
      <w:r w:rsidRPr="00EB07E5">
        <w:rPr>
          <w:rFonts w:hint="eastAsia"/>
          <w:snapToGrid w:val="0"/>
          <w:kern w:val="22"/>
          <w:sz w:val="24"/>
          <w:szCs w:val="24"/>
          <w:lang w:val="zh-CN"/>
        </w:rPr>
        <w:t>进一步发展信息交换所机制。</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预期缔约方大会将根据执行秘书提出的进度报告（</w:t>
      </w:r>
      <w:r w:rsidRPr="00EB07E5">
        <w:rPr>
          <w:kern w:val="22"/>
          <w:sz w:val="24"/>
          <w:szCs w:val="24"/>
          <w:lang w:val="en-US"/>
        </w:rPr>
        <w:t>CBD/COP/14/INF/4</w:t>
      </w:r>
      <w:r w:rsidRPr="00EB07E5">
        <w:rPr>
          <w:rFonts w:hint="eastAsia"/>
          <w:kern w:val="22"/>
          <w:sz w:val="24"/>
          <w:szCs w:val="24"/>
        </w:rPr>
        <w:t>），审议这一议程项目。</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本项目将根据各议定书下关于议定书信息交换所的相应项目同时审议。</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有关信息交换所机制在促进科技合作中的作用的事项将在项目</w:t>
      </w:r>
      <w:r w:rsidRPr="00EB07E5">
        <w:rPr>
          <w:kern w:val="22"/>
          <w:sz w:val="24"/>
          <w:szCs w:val="24"/>
        </w:rPr>
        <w:t>10</w:t>
      </w:r>
      <w:r w:rsidRPr="00EB07E5">
        <w:rPr>
          <w:rFonts w:hint="eastAsia"/>
          <w:kern w:val="22"/>
          <w:sz w:val="24"/>
          <w:szCs w:val="24"/>
        </w:rPr>
        <w:t>下审议。</w:t>
      </w:r>
    </w:p>
    <w:p w:rsidR="00047BD6" w:rsidRPr="00EB07E5" w:rsidRDefault="00047BD6" w:rsidP="00851002">
      <w:pPr>
        <w:pStyle w:val="Para10"/>
        <w:keepNext/>
        <w:numPr>
          <w:ilvl w:val="0"/>
          <w:numId w:val="0"/>
        </w:numPr>
        <w:tabs>
          <w:tab w:val="left" w:pos="900"/>
        </w:tabs>
        <w:snapToGrid w:val="0"/>
        <w:jc w:val="center"/>
        <w:rPr>
          <w:b/>
          <w:kern w:val="22"/>
          <w:sz w:val="24"/>
          <w:szCs w:val="24"/>
        </w:rPr>
      </w:pPr>
      <w:r w:rsidRPr="00EB07E5">
        <w:rPr>
          <w:rFonts w:hint="eastAsia"/>
          <w:b/>
          <w:kern w:val="22"/>
          <w:sz w:val="24"/>
          <w:szCs w:val="24"/>
        </w:rPr>
        <w:t>项目</w:t>
      </w:r>
      <w:r w:rsidRPr="00EB07E5">
        <w:rPr>
          <w:b/>
          <w:kern w:val="22"/>
          <w:sz w:val="24"/>
          <w:szCs w:val="24"/>
        </w:rPr>
        <w:t xml:space="preserve"> 12. </w:t>
      </w:r>
      <w:r w:rsidRPr="00EB07E5">
        <w:rPr>
          <w:b/>
          <w:kern w:val="22"/>
          <w:sz w:val="24"/>
          <w:szCs w:val="24"/>
        </w:rPr>
        <w:tab/>
      </w:r>
      <w:r w:rsidRPr="00EB07E5">
        <w:rPr>
          <w:rFonts w:hint="eastAsia"/>
          <w:b/>
          <w:kern w:val="22"/>
          <w:sz w:val="24"/>
          <w:szCs w:val="24"/>
        </w:rPr>
        <w:t>国家报告、评估和审查机制</w:t>
      </w:r>
    </w:p>
    <w:p w:rsidR="00047BD6" w:rsidRPr="00EB07E5" w:rsidRDefault="00047BD6" w:rsidP="00851002">
      <w:pPr>
        <w:pStyle w:val="Para10"/>
        <w:numPr>
          <w:ilvl w:val="0"/>
          <w:numId w:val="0"/>
        </w:numPr>
        <w:tabs>
          <w:tab w:val="left" w:pos="720"/>
        </w:tabs>
        <w:snapToGrid w:val="0"/>
        <w:rPr>
          <w:rFonts w:eastAsia="楷体"/>
          <w:kern w:val="22"/>
          <w:sz w:val="24"/>
          <w:szCs w:val="24"/>
        </w:rPr>
      </w:pPr>
      <w:r w:rsidRPr="00EB07E5">
        <w:rPr>
          <w:rFonts w:eastAsia="楷体" w:hint="eastAsia"/>
          <w:snapToGrid w:val="0"/>
          <w:sz w:val="24"/>
          <w:szCs w:val="24"/>
        </w:rPr>
        <w:t>协调国家报告、评估和审查的程序</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缔约方应于</w:t>
      </w:r>
      <w:r w:rsidRPr="00EB07E5">
        <w:rPr>
          <w:kern w:val="22"/>
          <w:sz w:val="24"/>
          <w:szCs w:val="24"/>
        </w:rPr>
        <w:t>2018</w:t>
      </w:r>
      <w:r w:rsidRPr="00EB07E5">
        <w:rPr>
          <w:rFonts w:hint="eastAsia"/>
          <w:kern w:val="22"/>
          <w:sz w:val="24"/>
          <w:szCs w:val="24"/>
        </w:rPr>
        <w:t>年</w:t>
      </w:r>
      <w:r w:rsidRPr="00EB07E5">
        <w:rPr>
          <w:kern w:val="22"/>
          <w:sz w:val="24"/>
          <w:szCs w:val="24"/>
        </w:rPr>
        <w:t>12</w:t>
      </w:r>
      <w:r w:rsidRPr="00EB07E5">
        <w:rPr>
          <w:rFonts w:hint="eastAsia"/>
          <w:kern w:val="22"/>
          <w:sz w:val="24"/>
          <w:szCs w:val="24"/>
        </w:rPr>
        <w:t>月</w:t>
      </w:r>
      <w:r w:rsidRPr="00EB07E5">
        <w:rPr>
          <w:kern w:val="22"/>
          <w:sz w:val="24"/>
          <w:szCs w:val="24"/>
        </w:rPr>
        <w:t>31</w:t>
      </w:r>
      <w:r w:rsidRPr="00EB07E5">
        <w:rPr>
          <w:rFonts w:hint="eastAsia"/>
          <w:kern w:val="22"/>
          <w:sz w:val="24"/>
          <w:szCs w:val="24"/>
        </w:rPr>
        <w:t>日前提交其第六次国家报告。根据缔约方大会在</w:t>
      </w:r>
      <w:hyperlink r:id="rId36" w:history="1">
        <w:r w:rsidRPr="00EB07E5">
          <w:rPr>
            <w:rStyle w:val="Hyperlink"/>
            <w:rFonts w:hint="eastAsia"/>
            <w:kern w:val="22"/>
            <w:sz w:val="24"/>
            <w:szCs w:val="24"/>
          </w:rPr>
          <w:t>第</w:t>
        </w:r>
        <w:r w:rsidRPr="00EB07E5">
          <w:rPr>
            <w:rStyle w:val="Hyperlink"/>
            <w:kern w:val="22"/>
            <w:sz w:val="24"/>
            <w:szCs w:val="24"/>
          </w:rPr>
          <w:t>XIII/27</w:t>
        </w:r>
        <w:r w:rsidRPr="00EB07E5">
          <w:rPr>
            <w:rStyle w:val="Hyperlink"/>
            <w:rFonts w:hint="eastAsia"/>
            <w:kern w:val="22"/>
            <w:sz w:val="24"/>
            <w:szCs w:val="24"/>
          </w:rPr>
          <w:t>号决定</w:t>
        </w:r>
      </w:hyperlink>
      <w:r w:rsidRPr="00EB07E5">
        <w:rPr>
          <w:rFonts w:hint="eastAsia"/>
          <w:kern w:val="22"/>
          <w:sz w:val="24"/>
          <w:szCs w:val="24"/>
        </w:rPr>
        <w:t>中的要求，执行秘书通过《公约》信息交换所机制和自愿在线报告工具颁布了准则，包括</w:t>
      </w:r>
      <w:r w:rsidRPr="00EB07E5">
        <w:rPr>
          <w:kern w:val="22"/>
          <w:sz w:val="24"/>
          <w:szCs w:val="24"/>
        </w:rPr>
        <w:t>2017</w:t>
      </w:r>
      <w:r w:rsidRPr="00EB07E5">
        <w:rPr>
          <w:rFonts w:hint="eastAsia"/>
          <w:kern w:val="22"/>
          <w:sz w:val="24"/>
          <w:szCs w:val="24"/>
        </w:rPr>
        <w:t>年</w:t>
      </w:r>
      <w:r w:rsidRPr="00EB07E5">
        <w:rPr>
          <w:kern w:val="22"/>
          <w:sz w:val="24"/>
          <w:szCs w:val="24"/>
        </w:rPr>
        <w:t>3</w:t>
      </w:r>
      <w:r w:rsidRPr="00EB07E5">
        <w:rPr>
          <w:rFonts w:hint="eastAsia"/>
          <w:kern w:val="22"/>
          <w:sz w:val="24"/>
          <w:szCs w:val="24"/>
        </w:rPr>
        <w:t>月</w:t>
      </w:r>
      <w:r w:rsidRPr="00EB07E5">
        <w:rPr>
          <w:kern w:val="22"/>
          <w:sz w:val="24"/>
          <w:szCs w:val="24"/>
        </w:rPr>
        <w:t>31</w:t>
      </w:r>
      <w:r w:rsidRPr="00EB07E5">
        <w:rPr>
          <w:rFonts w:hint="eastAsia"/>
          <w:kern w:val="22"/>
          <w:sz w:val="24"/>
          <w:szCs w:val="24"/>
        </w:rPr>
        <w:t>日前的第六次国家报告的报告模板和资源手册。</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继</w:t>
      </w:r>
      <w:hyperlink r:id="rId37" w:history="1">
        <w:r w:rsidRPr="00EB07E5">
          <w:rPr>
            <w:rStyle w:val="Hyperlink"/>
            <w:rFonts w:hint="eastAsia"/>
            <w:kern w:val="22"/>
            <w:sz w:val="24"/>
            <w:szCs w:val="24"/>
          </w:rPr>
          <w:t>第</w:t>
        </w:r>
        <w:r w:rsidRPr="00EB07E5">
          <w:rPr>
            <w:rStyle w:val="Hyperlink"/>
            <w:kern w:val="22"/>
            <w:sz w:val="24"/>
            <w:szCs w:val="24"/>
          </w:rPr>
          <w:t>XIII/27</w:t>
        </w:r>
        <w:r w:rsidRPr="00EB07E5">
          <w:rPr>
            <w:rStyle w:val="Hyperlink"/>
            <w:rFonts w:hint="eastAsia"/>
            <w:kern w:val="22"/>
            <w:sz w:val="24"/>
            <w:szCs w:val="24"/>
          </w:rPr>
          <w:t>号决定</w:t>
        </w:r>
      </w:hyperlink>
      <w:r w:rsidRPr="00EB07E5">
        <w:rPr>
          <w:rFonts w:hint="eastAsia"/>
          <w:kern w:val="22"/>
          <w:sz w:val="24"/>
          <w:szCs w:val="24"/>
        </w:rPr>
        <w:t>之后，执行秘书制定了协调根据《公约》及其《议定书》提交国家报告的建议，以及在与生物多样性相关公约和里约各公约之间加强国家报告协同增效的备选方案。执行问题附属机构第二次会议审查了这一资料。</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iCs/>
          <w:kern w:val="22"/>
          <w:sz w:val="24"/>
          <w:szCs w:val="24"/>
        </w:rPr>
        <w:t>还将请缔约方大会根据载于决议草案汇编（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2/11</w:t>
      </w:r>
      <w:r w:rsidRPr="00EB07E5">
        <w:rPr>
          <w:rFonts w:hint="eastAsia"/>
          <w:iCs/>
          <w:kern w:val="22"/>
          <w:sz w:val="24"/>
          <w:szCs w:val="24"/>
        </w:rPr>
        <w:t>号建议编制的决定草案审议这个事项。</w:t>
      </w:r>
    </w:p>
    <w:p w:rsidR="00047BD6" w:rsidRPr="00EB07E5" w:rsidRDefault="00047BD6" w:rsidP="00851002">
      <w:pPr>
        <w:pStyle w:val="Para10"/>
        <w:numPr>
          <w:ilvl w:val="0"/>
          <w:numId w:val="0"/>
        </w:numPr>
        <w:snapToGrid w:val="0"/>
        <w:rPr>
          <w:rFonts w:eastAsia="楷体"/>
          <w:kern w:val="22"/>
          <w:sz w:val="24"/>
          <w:szCs w:val="24"/>
        </w:rPr>
      </w:pPr>
      <w:r w:rsidRPr="00EB07E5">
        <w:rPr>
          <w:rFonts w:eastAsia="楷体" w:hint="eastAsia"/>
          <w:snapToGrid w:val="0"/>
          <w:sz w:val="24"/>
          <w:szCs w:val="24"/>
        </w:rPr>
        <w:t>评价执行《</w:t>
      </w:r>
      <w:r w:rsidRPr="00EB07E5">
        <w:rPr>
          <w:rFonts w:eastAsia="楷体"/>
          <w:snapToGrid w:val="0"/>
          <w:sz w:val="24"/>
          <w:szCs w:val="24"/>
        </w:rPr>
        <w:t>2011-2020</w:t>
      </w:r>
      <w:r w:rsidRPr="00EB07E5">
        <w:rPr>
          <w:rFonts w:eastAsia="楷体" w:hint="eastAsia"/>
          <w:snapToGrid w:val="0"/>
          <w:sz w:val="24"/>
          <w:szCs w:val="24"/>
        </w:rPr>
        <w:t>年生物多样性战略计划》的政策工具的成效的工具</w:t>
      </w:r>
      <w:r w:rsidRPr="00EB07E5">
        <w:rPr>
          <w:rFonts w:eastAsia="楷体"/>
          <w:snapToGrid w:val="0"/>
          <w:sz w:val="24"/>
          <w:szCs w:val="24"/>
        </w:rPr>
        <w:t xml:space="preserve">  </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按照《公约》第</w:t>
      </w:r>
      <w:r w:rsidRPr="00EB07E5">
        <w:rPr>
          <w:kern w:val="22"/>
          <w:sz w:val="24"/>
          <w:szCs w:val="24"/>
        </w:rPr>
        <w:t>25</w:t>
      </w:r>
      <w:r w:rsidRPr="00EB07E5">
        <w:rPr>
          <w:rFonts w:hint="eastAsia"/>
          <w:kern w:val="22"/>
          <w:sz w:val="24"/>
          <w:szCs w:val="24"/>
        </w:rPr>
        <w:t>条的规定，科咨机构的一项职能是</w:t>
      </w:r>
      <w:r w:rsidRPr="00EB07E5">
        <w:rPr>
          <w:kern w:val="22"/>
          <w:sz w:val="24"/>
          <w:szCs w:val="24"/>
          <w:lang w:val="en-US"/>
        </w:rPr>
        <w:t>“</w:t>
      </w:r>
      <w:r w:rsidRPr="00EB07E5">
        <w:rPr>
          <w:rFonts w:hint="eastAsia"/>
          <w:sz w:val="24"/>
          <w:szCs w:val="24"/>
        </w:rPr>
        <w:t>编制有关按照本公约条款所采取各类措施取得的成效的科学和技术评估报告</w:t>
      </w:r>
      <w:r w:rsidRPr="00EB07E5">
        <w:rPr>
          <w:sz w:val="24"/>
          <w:szCs w:val="24"/>
        </w:rPr>
        <w:t>”</w:t>
      </w:r>
      <w:r w:rsidRPr="00EB07E5">
        <w:rPr>
          <w:rFonts w:hint="eastAsia"/>
          <w:sz w:val="24"/>
          <w:szCs w:val="24"/>
        </w:rPr>
        <w:t>。</w:t>
      </w:r>
      <w:r w:rsidRPr="00EB07E5">
        <w:rPr>
          <w:rFonts w:hint="eastAsia"/>
          <w:kern w:val="22"/>
          <w:sz w:val="24"/>
          <w:szCs w:val="24"/>
        </w:rPr>
        <w:t>继</w:t>
      </w:r>
      <w:hyperlink r:id="rId38" w:history="1">
        <w:r w:rsidRPr="00EB07E5">
          <w:rPr>
            <w:rStyle w:val="Hyperlink"/>
            <w:rFonts w:hint="eastAsia"/>
            <w:kern w:val="22"/>
            <w:sz w:val="24"/>
            <w:szCs w:val="24"/>
          </w:rPr>
          <w:t>第</w:t>
        </w:r>
        <w:r w:rsidRPr="00EB07E5">
          <w:rPr>
            <w:rStyle w:val="Hyperlink"/>
            <w:kern w:val="22"/>
            <w:sz w:val="24"/>
            <w:szCs w:val="24"/>
          </w:rPr>
          <w:t>XIII/1</w:t>
        </w:r>
        <w:r w:rsidRPr="00EB07E5">
          <w:rPr>
            <w:rStyle w:val="Hyperlink"/>
            <w:rFonts w:hint="eastAsia"/>
            <w:kern w:val="22"/>
            <w:sz w:val="24"/>
            <w:szCs w:val="24"/>
          </w:rPr>
          <w:t>号决定</w:t>
        </w:r>
      </w:hyperlink>
      <w:r w:rsidRPr="00EB07E5">
        <w:rPr>
          <w:rFonts w:hint="eastAsia"/>
          <w:kern w:val="22"/>
          <w:sz w:val="24"/>
          <w:szCs w:val="24"/>
        </w:rPr>
        <w:t>（第</w:t>
      </w:r>
      <w:r w:rsidRPr="00EB07E5">
        <w:rPr>
          <w:kern w:val="22"/>
          <w:sz w:val="24"/>
          <w:szCs w:val="24"/>
        </w:rPr>
        <w:t>29</w:t>
      </w:r>
      <w:r w:rsidRPr="00EB07E5">
        <w:rPr>
          <w:rFonts w:hint="eastAsia"/>
          <w:kern w:val="22"/>
          <w:sz w:val="24"/>
          <w:szCs w:val="24"/>
        </w:rPr>
        <w:t>和</w:t>
      </w:r>
      <w:r w:rsidRPr="00EB07E5">
        <w:rPr>
          <w:kern w:val="22"/>
          <w:sz w:val="24"/>
          <w:szCs w:val="24"/>
        </w:rPr>
        <w:t>30</w:t>
      </w:r>
      <w:r w:rsidRPr="00EB07E5">
        <w:rPr>
          <w:rFonts w:hint="eastAsia"/>
          <w:kern w:val="22"/>
          <w:sz w:val="24"/>
          <w:szCs w:val="24"/>
        </w:rPr>
        <w:t>段）之后，科咨机构在</w:t>
      </w:r>
      <w:hyperlink r:id="rId39" w:history="1">
        <w:r w:rsidRPr="00EB07E5">
          <w:rPr>
            <w:rStyle w:val="Hyperlink"/>
            <w:rFonts w:hint="eastAsia"/>
            <w:kern w:val="22"/>
            <w:sz w:val="24"/>
            <w:szCs w:val="24"/>
          </w:rPr>
          <w:t>第</w:t>
        </w:r>
        <w:r w:rsidRPr="00EB07E5">
          <w:rPr>
            <w:rStyle w:val="Hyperlink"/>
            <w:kern w:val="22"/>
            <w:sz w:val="24"/>
            <w:szCs w:val="24"/>
          </w:rPr>
          <w:t>XXI/6</w:t>
        </w:r>
        <w:r w:rsidRPr="00EB07E5">
          <w:rPr>
            <w:rStyle w:val="Hyperlink"/>
            <w:rFonts w:hint="eastAsia"/>
            <w:kern w:val="22"/>
            <w:sz w:val="24"/>
            <w:szCs w:val="24"/>
          </w:rPr>
          <w:t>号建议</w:t>
        </w:r>
      </w:hyperlink>
      <w:r w:rsidRPr="00EB07E5">
        <w:rPr>
          <w:rFonts w:hint="eastAsia"/>
          <w:kern w:val="22"/>
          <w:sz w:val="24"/>
          <w:szCs w:val="24"/>
        </w:rPr>
        <w:t>中注意到评估执行《公约》和《</w:t>
      </w:r>
      <w:r w:rsidRPr="00EB07E5">
        <w:rPr>
          <w:kern w:val="22"/>
          <w:sz w:val="24"/>
          <w:szCs w:val="24"/>
        </w:rPr>
        <w:t>2011-2020</w:t>
      </w:r>
      <w:r w:rsidRPr="00EB07E5">
        <w:rPr>
          <w:rFonts w:hint="eastAsia"/>
          <w:kern w:val="22"/>
          <w:sz w:val="24"/>
          <w:szCs w:val="24"/>
        </w:rPr>
        <w:t>年生物多样性战略计划》的政策工具或措施的成效的各种办法，并鼓励使用这些办法。科咨机构还请执行问题附属机构在关于执行情况审查机制的议程项目中顾及这一点。</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iCs/>
          <w:kern w:val="22"/>
          <w:sz w:val="24"/>
          <w:szCs w:val="24"/>
        </w:rPr>
        <w:t>还将请缔约方大会根据载于决议草案汇编（</w:t>
      </w:r>
      <w:r w:rsidRPr="00EB07E5">
        <w:rPr>
          <w:iCs/>
          <w:kern w:val="22"/>
          <w:sz w:val="24"/>
          <w:szCs w:val="24"/>
        </w:rPr>
        <w:t>CBD/COP/14/2</w:t>
      </w:r>
      <w:r w:rsidRPr="00EB07E5">
        <w:rPr>
          <w:rFonts w:hint="eastAsia"/>
          <w:iCs/>
          <w:kern w:val="22"/>
          <w:sz w:val="24"/>
          <w:szCs w:val="24"/>
        </w:rPr>
        <w:t>）依照科咨机构第</w:t>
      </w:r>
      <w:r w:rsidRPr="00EB07E5">
        <w:rPr>
          <w:kern w:val="22"/>
          <w:sz w:val="24"/>
          <w:szCs w:val="24"/>
        </w:rPr>
        <w:t>XXI/6</w:t>
      </w:r>
      <w:r w:rsidRPr="00EB07E5">
        <w:rPr>
          <w:rFonts w:hint="eastAsia"/>
          <w:kern w:val="22"/>
          <w:sz w:val="24"/>
          <w:szCs w:val="24"/>
        </w:rPr>
        <w:t>号建议</w:t>
      </w:r>
      <w:r w:rsidRPr="00EB07E5">
        <w:rPr>
          <w:rFonts w:hint="eastAsia"/>
          <w:iCs/>
          <w:kern w:val="22"/>
          <w:sz w:val="24"/>
          <w:szCs w:val="24"/>
        </w:rPr>
        <w:t>编制的决定草案审议这个事项。</w:t>
      </w:r>
    </w:p>
    <w:p w:rsidR="00047BD6" w:rsidRPr="00EB07E5" w:rsidRDefault="00047BD6" w:rsidP="00851002">
      <w:pPr>
        <w:suppressLineNumbers/>
        <w:tabs>
          <w:tab w:val="left" w:pos="1440"/>
        </w:tabs>
        <w:suppressAutoHyphens/>
        <w:spacing w:before="120"/>
        <w:rPr>
          <w:rFonts w:eastAsia="楷体"/>
          <w:lang w:eastAsia="zh-CN"/>
        </w:rPr>
      </w:pPr>
      <w:r w:rsidRPr="00EB07E5">
        <w:rPr>
          <w:rFonts w:eastAsia="楷体" w:hint="eastAsia"/>
          <w:snapToGrid w:val="0"/>
          <w:lang w:eastAsia="zh-CN"/>
        </w:rPr>
        <w:t>审查机制</w:t>
      </w:r>
      <w:r w:rsidRPr="00EB07E5">
        <w:rPr>
          <w:rFonts w:eastAsia="楷体"/>
          <w:snapToGrid w:val="0"/>
          <w:lang w:eastAsia="zh-CN"/>
        </w:rPr>
        <w:t xml:space="preserve">  </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缔约方大会在</w:t>
      </w:r>
      <w:hyperlink r:id="rId40" w:history="1">
        <w:r w:rsidRPr="00EB07E5">
          <w:rPr>
            <w:rStyle w:val="Hyperlink"/>
            <w:rFonts w:hint="eastAsia"/>
            <w:kern w:val="22"/>
            <w:sz w:val="24"/>
            <w:szCs w:val="24"/>
          </w:rPr>
          <w:t>第</w:t>
        </w:r>
        <w:r w:rsidRPr="00EB07E5">
          <w:rPr>
            <w:rStyle w:val="Hyperlink"/>
            <w:kern w:val="22"/>
            <w:sz w:val="24"/>
            <w:szCs w:val="24"/>
          </w:rPr>
          <w:t>XIII/25</w:t>
        </w:r>
        <w:r w:rsidRPr="00EB07E5">
          <w:rPr>
            <w:rStyle w:val="Hyperlink"/>
            <w:rFonts w:hint="eastAsia"/>
            <w:kern w:val="22"/>
            <w:sz w:val="24"/>
            <w:szCs w:val="24"/>
          </w:rPr>
          <w:t>号决定</w:t>
        </w:r>
      </w:hyperlink>
      <w:r w:rsidRPr="00EB07E5">
        <w:rPr>
          <w:rFonts w:hint="eastAsia"/>
          <w:kern w:val="22"/>
          <w:sz w:val="24"/>
          <w:szCs w:val="24"/>
        </w:rPr>
        <w:t>中，请各缔约方制定、加强和利用国家进程审查为执行《公约》和相关战略计划所采取的各项措施，查明执行中可能存在的障碍，并通过信息交换所机制分享这些信息。请执行秘书编制已查明的各种障碍的资料，并查明与执行国家和全球目标有关的有效做法，包括审查执行情况审查机制的可能要素，例如国家生物多样性战略和行动计划的自愿同行审议机制，并顾及缔约方和观察员表示的看法。还请执行秘书为进一步测试同行审查自愿机制提供便利并制定方法。此外，还请执行秘书进一步制定和应用决策追踪工具。</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执行问题附属机构将第二次会议讨论了这些事项，同时顾及科咨机构第</w:t>
      </w:r>
      <w:r w:rsidRPr="00EB07E5">
        <w:rPr>
          <w:kern w:val="22"/>
          <w:sz w:val="24"/>
          <w:szCs w:val="24"/>
        </w:rPr>
        <w:t>XXI/6</w:t>
      </w:r>
      <w:r w:rsidRPr="00EB07E5">
        <w:rPr>
          <w:rFonts w:hint="eastAsia"/>
          <w:kern w:val="22"/>
          <w:sz w:val="24"/>
          <w:szCs w:val="24"/>
        </w:rPr>
        <w:t>号建议。</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iCs/>
          <w:kern w:val="22"/>
          <w:sz w:val="24"/>
          <w:szCs w:val="24"/>
        </w:rPr>
        <w:t>还将请缔约方大会根据载于决议草案汇编（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2/10</w:t>
      </w:r>
      <w:r w:rsidRPr="00EB07E5">
        <w:rPr>
          <w:rFonts w:hint="eastAsia"/>
          <w:iCs/>
          <w:kern w:val="22"/>
          <w:sz w:val="24"/>
          <w:szCs w:val="24"/>
        </w:rPr>
        <w:t>号建议编制的决定草案审议这些事项。</w:t>
      </w:r>
    </w:p>
    <w:p w:rsidR="00047BD6" w:rsidRPr="00EB07E5" w:rsidRDefault="00047BD6" w:rsidP="00851002">
      <w:pPr>
        <w:pStyle w:val="Para10"/>
        <w:numPr>
          <w:ilvl w:val="0"/>
          <w:numId w:val="0"/>
        </w:numPr>
        <w:tabs>
          <w:tab w:val="left" w:pos="720"/>
        </w:tabs>
        <w:snapToGrid w:val="0"/>
        <w:ind w:left="1800" w:hanging="1080"/>
        <w:rPr>
          <w:b/>
          <w:kern w:val="22"/>
          <w:sz w:val="24"/>
          <w:szCs w:val="24"/>
        </w:rPr>
      </w:pPr>
      <w:r w:rsidRPr="00EB07E5">
        <w:rPr>
          <w:rFonts w:hint="eastAsia"/>
          <w:b/>
          <w:kern w:val="22"/>
          <w:sz w:val="24"/>
          <w:szCs w:val="24"/>
        </w:rPr>
        <w:t>项目</w:t>
      </w:r>
      <w:r w:rsidRPr="00EB07E5">
        <w:rPr>
          <w:b/>
          <w:kern w:val="22"/>
          <w:sz w:val="24"/>
          <w:szCs w:val="24"/>
        </w:rPr>
        <w:t xml:space="preserve"> 13.  </w:t>
      </w:r>
      <w:r w:rsidRPr="00EB07E5">
        <w:rPr>
          <w:rFonts w:hint="eastAsia"/>
          <w:b/>
          <w:kern w:val="22"/>
          <w:sz w:val="24"/>
          <w:szCs w:val="24"/>
        </w:rPr>
        <w:t>加强《公约》及其《议定书》有关获取和惠益分享条款及生物安全条款</w:t>
      </w:r>
    </w:p>
    <w:p w:rsidR="00047BD6" w:rsidRPr="00EB07E5" w:rsidRDefault="00047BD6" w:rsidP="00851002">
      <w:pPr>
        <w:pStyle w:val="Para10"/>
        <w:numPr>
          <w:ilvl w:val="0"/>
          <w:numId w:val="0"/>
        </w:numPr>
        <w:tabs>
          <w:tab w:val="left" w:pos="720"/>
        </w:tabs>
        <w:snapToGrid w:val="0"/>
        <w:spacing w:after="0"/>
        <w:ind w:left="1800" w:hanging="1080"/>
        <w:rPr>
          <w:b/>
          <w:kern w:val="22"/>
          <w:sz w:val="24"/>
          <w:szCs w:val="24"/>
        </w:rPr>
      </w:pPr>
      <w:r w:rsidRPr="00EB07E5">
        <w:rPr>
          <w:b/>
          <w:kern w:val="22"/>
          <w:sz w:val="24"/>
          <w:szCs w:val="24"/>
        </w:rPr>
        <w:t xml:space="preserve">               </w:t>
      </w:r>
      <w:r w:rsidRPr="00EB07E5">
        <w:rPr>
          <w:rFonts w:hint="eastAsia"/>
          <w:b/>
          <w:kern w:val="22"/>
          <w:sz w:val="24"/>
          <w:szCs w:val="24"/>
        </w:rPr>
        <w:t>和第</w:t>
      </w:r>
      <w:r w:rsidRPr="00EB07E5">
        <w:rPr>
          <w:b/>
          <w:kern w:val="22"/>
          <w:sz w:val="24"/>
          <w:szCs w:val="24"/>
        </w:rPr>
        <w:t>8</w:t>
      </w:r>
      <w:r w:rsidRPr="00EB07E5">
        <w:rPr>
          <w:rFonts w:hint="eastAsia"/>
          <w:b/>
          <w:kern w:val="22"/>
          <w:sz w:val="24"/>
          <w:szCs w:val="24"/>
        </w:rPr>
        <w:t>（</w:t>
      </w:r>
      <w:r w:rsidRPr="00EB07E5">
        <w:rPr>
          <w:b/>
          <w:kern w:val="22"/>
          <w:sz w:val="24"/>
          <w:szCs w:val="24"/>
        </w:rPr>
        <w:t>j</w:t>
      </w:r>
      <w:r w:rsidRPr="00EB07E5">
        <w:rPr>
          <w:rFonts w:hint="eastAsia"/>
          <w:b/>
          <w:kern w:val="22"/>
          <w:sz w:val="24"/>
          <w:szCs w:val="24"/>
        </w:rPr>
        <w:t>）条和相关条款的一体化</w:t>
      </w:r>
    </w:p>
    <w:p w:rsidR="00047BD6" w:rsidRPr="00EB07E5" w:rsidRDefault="00047BD6" w:rsidP="00851002">
      <w:pPr>
        <w:pStyle w:val="Para10"/>
        <w:numPr>
          <w:ilvl w:val="0"/>
          <w:numId w:val="0"/>
        </w:numPr>
        <w:snapToGrid w:val="0"/>
        <w:rPr>
          <w:rFonts w:eastAsia="楷体"/>
          <w:kern w:val="22"/>
          <w:sz w:val="24"/>
          <w:szCs w:val="24"/>
        </w:rPr>
      </w:pPr>
      <w:r w:rsidRPr="00EB07E5">
        <w:rPr>
          <w:rFonts w:eastAsia="楷体" w:hint="eastAsia"/>
          <w:kern w:val="22"/>
          <w:sz w:val="24"/>
          <w:szCs w:val="24"/>
        </w:rPr>
        <w:t>加强《公约》及其《议定书》下有关生物安全的条款和有关获取和惠益分享的条款的一体化</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在</w:t>
      </w:r>
      <w:hyperlink r:id="rId41" w:history="1">
        <w:r w:rsidRPr="00EB07E5">
          <w:rPr>
            <w:rStyle w:val="Hyperlink"/>
            <w:rFonts w:hint="eastAsia"/>
            <w:kern w:val="22"/>
            <w:sz w:val="24"/>
            <w:szCs w:val="24"/>
          </w:rPr>
          <w:t>第</w:t>
        </w:r>
        <w:r w:rsidRPr="00EB07E5">
          <w:rPr>
            <w:rStyle w:val="Hyperlink"/>
            <w:kern w:val="22"/>
            <w:sz w:val="24"/>
            <w:szCs w:val="24"/>
          </w:rPr>
          <w:t>XII/13</w:t>
        </w:r>
        <w:r w:rsidRPr="00EB07E5">
          <w:rPr>
            <w:rStyle w:val="Hyperlink"/>
            <w:rFonts w:hint="eastAsia"/>
            <w:kern w:val="22"/>
            <w:sz w:val="24"/>
            <w:szCs w:val="24"/>
          </w:rPr>
          <w:t>号决定</w:t>
        </w:r>
      </w:hyperlink>
      <w:r w:rsidRPr="00EB07E5">
        <w:rPr>
          <w:rFonts w:hint="eastAsia"/>
          <w:kern w:val="22"/>
          <w:sz w:val="24"/>
          <w:szCs w:val="24"/>
        </w:rPr>
        <w:t>中，缔约方大会请执行秘书</w:t>
      </w:r>
      <w:r w:rsidRPr="00EB07E5">
        <w:rPr>
          <w:rFonts w:hint="eastAsia"/>
          <w:kern w:val="22"/>
          <w:sz w:val="24"/>
          <w:szCs w:val="24"/>
          <w:lang w:val="zh-CN"/>
        </w:rPr>
        <w:t>提交一份关于</w:t>
      </w:r>
      <w:r w:rsidRPr="00EB07E5">
        <w:rPr>
          <w:rFonts w:hint="eastAsia"/>
          <w:kern w:val="22"/>
          <w:sz w:val="24"/>
          <w:szCs w:val="24"/>
          <w:lang w:val="en-US"/>
        </w:rPr>
        <w:t>可以</w:t>
      </w:r>
      <w:r w:rsidRPr="00EB07E5">
        <w:rPr>
          <w:rFonts w:hint="eastAsia"/>
          <w:kern w:val="22"/>
          <w:sz w:val="24"/>
          <w:szCs w:val="24"/>
          <w:lang w:val="zh-CN"/>
        </w:rPr>
        <w:t>采取何种途径和手段促使综合解决《公约》与获取和惠益分享有关的条款与《名古屋议定书》条款共有问题的说明</w:t>
      </w:r>
      <w:r w:rsidRPr="00EB07E5">
        <w:rPr>
          <w:rFonts w:hint="eastAsia"/>
          <w:kern w:val="22"/>
          <w:sz w:val="24"/>
          <w:szCs w:val="24"/>
        </w:rPr>
        <w:t>。</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缔约方大会在</w:t>
      </w:r>
      <w:hyperlink r:id="rId42" w:history="1">
        <w:r w:rsidRPr="00EB07E5">
          <w:rPr>
            <w:rStyle w:val="Hyperlink"/>
            <w:rFonts w:hint="eastAsia"/>
            <w:kern w:val="22"/>
            <w:sz w:val="24"/>
            <w:szCs w:val="24"/>
          </w:rPr>
          <w:t>第</w:t>
        </w:r>
        <w:r w:rsidRPr="00EB07E5">
          <w:rPr>
            <w:rStyle w:val="Hyperlink"/>
            <w:kern w:val="22"/>
            <w:sz w:val="24"/>
            <w:szCs w:val="24"/>
          </w:rPr>
          <w:t>XIII/26</w:t>
        </w:r>
        <w:r w:rsidRPr="00EB07E5">
          <w:rPr>
            <w:rStyle w:val="Hyperlink"/>
            <w:rFonts w:hint="eastAsia"/>
            <w:kern w:val="22"/>
            <w:sz w:val="24"/>
            <w:szCs w:val="24"/>
          </w:rPr>
          <w:t>号决定</w:t>
        </w:r>
      </w:hyperlink>
      <w:r w:rsidRPr="00EB07E5">
        <w:rPr>
          <w:rFonts w:hint="eastAsia"/>
          <w:kern w:val="22"/>
          <w:sz w:val="24"/>
          <w:szCs w:val="24"/>
        </w:rPr>
        <w:t>第</w:t>
      </w:r>
      <w:r w:rsidRPr="00EB07E5">
        <w:rPr>
          <w:kern w:val="22"/>
          <w:sz w:val="24"/>
          <w:szCs w:val="24"/>
        </w:rPr>
        <w:t>1</w:t>
      </w:r>
      <w:r w:rsidRPr="00EB07E5">
        <w:rPr>
          <w:rFonts w:hint="eastAsia"/>
          <w:kern w:val="22"/>
          <w:sz w:val="24"/>
          <w:szCs w:val="24"/>
        </w:rPr>
        <w:t>段中请执行秘书</w:t>
      </w:r>
      <w:r w:rsidRPr="00EB07E5">
        <w:rPr>
          <w:rFonts w:hint="eastAsia"/>
          <w:kern w:val="22"/>
          <w:sz w:val="24"/>
          <w:szCs w:val="24"/>
          <w:lang w:val="zh-CN"/>
        </w:rPr>
        <w:t>提交一份关于</w:t>
      </w:r>
      <w:r w:rsidRPr="00EB07E5">
        <w:rPr>
          <w:rFonts w:hint="eastAsia"/>
          <w:kern w:val="22"/>
          <w:sz w:val="24"/>
          <w:szCs w:val="24"/>
          <w:lang w:val="en-US"/>
        </w:rPr>
        <w:t>可以</w:t>
      </w:r>
      <w:r w:rsidRPr="00EB07E5">
        <w:rPr>
          <w:rFonts w:hint="eastAsia"/>
          <w:kern w:val="22"/>
          <w:sz w:val="24"/>
          <w:szCs w:val="24"/>
          <w:lang w:val="zh-CN"/>
        </w:rPr>
        <w:t>采取何种途径和手段促使综合解决</w:t>
      </w:r>
      <w:r w:rsidRPr="00EB07E5">
        <w:rPr>
          <w:rFonts w:hint="eastAsia"/>
          <w:kern w:val="22"/>
          <w:sz w:val="24"/>
          <w:szCs w:val="24"/>
        </w:rPr>
        <w:t>《公约》与生物技术安全有关的条款与《卡塔赫纳议定书》条款共有问题的说明，</w:t>
      </w:r>
      <w:r w:rsidRPr="00EB07E5">
        <w:rPr>
          <w:rFonts w:hint="eastAsia"/>
          <w:iCs/>
          <w:kern w:val="22"/>
          <w:sz w:val="24"/>
          <w:szCs w:val="24"/>
        </w:rPr>
        <w:t>同时亦顾及</w:t>
      </w:r>
      <w:r w:rsidRPr="00EB07E5">
        <w:rPr>
          <w:rFonts w:hint="eastAsia"/>
          <w:kern w:val="22"/>
          <w:sz w:val="24"/>
          <w:szCs w:val="24"/>
          <w:lang w:val="zh-CN"/>
        </w:rPr>
        <w:t>《公约》第</w:t>
      </w:r>
      <w:r w:rsidRPr="00EB07E5">
        <w:rPr>
          <w:kern w:val="22"/>
          <w:sz w:val="24"/>
          <w:szCs w:val="24"/>
        </w:rPr>
        <w:t xml:space="preserve"> 8 (j) </w:t>
      </w:r>
      <w:r w:rsidRPr="00EB07E5">
        <w:rPr>
          <w:rFonts w:hint="eastAsia"/>
          <w:kern w:val="22"/>
          <w:sz w:val="24"/>
          <w:szCs w:val="24"/>
          <w:lang w:val="zh-CN"/>
        </w:rPr>
        <w:t>条和第</w:t>
      </w:r>
      <w:r w:rsidRPr="00EB07E5">
        <w:rPr>
          <w:kern w:val="22"/>
          <w:sz w:val="24"/>
          <w:szCs w:val="24"/>
        </w:rPr>
        <w:t xml:space="preserve"> 19 </w:t>
      </w:r>
      <w:r w:rsidRPr="00EB07E5">
        <w:rPr>
          <w:rFonts w:hint="eastAsia"/>
          <w:kern w:val="22"/>
          <w:sz w:val="24"/>
          <w:szCs w:val="24"/>
          <w:lang w:val="zh-CN"/>
        </w:rPr>
        <w:t>条第</w:t>
      </w:r>
      <w:r w:rsidRPr="00EB07E5">
        <w:rPr>
          <w:kern w:val="22"/>
          <w:sz w:val="24"/>
          <w:szCs w:val="24"/>
        </w:rPr>
        <w:t xml:space="preserve"> 4 </w:t>
      </w:r>
      <w:r w:rsidRPr="00EB07E5">
        <w:rPr>
          <w:rFonts w:hint="eastAsia"/>
          <w:kern w:val="22"/>
          <w:sz w:val="24"/>
          <w:szCs w:val="24"/>
          <w:lang w:val="zh-CN"/>
        </w:rPr>
        <w:t>款以及与《公约》和《卡塔赫纳议定书》都相关的其他问题。</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iCs/>
          <w:kern w:val="22"/>
          <w:sz w:val="24"/>
          <w:szCs w:val="24"/>
        </w:rPr>
        <w:t>还请缔约方大会根据载于决议草案汇编（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2/14</w:t>
      </w:r>
      <w:r w:rsidRPr="00EB07E5">
        <w:rPr>
          <w:rFonts w:hint="eastAsia"/>
          <w:iCs/>
          <w:kern w:val="22"/>
          <w:sz w:val="24"/>
          <w:szCs w:val="24"/>
        </w:rPr>
        <w:t>号建议编制的决定草案审议这些事项。</w:t>
      </w:r>
    </w:p>
    <w:p w:rsidR="00047BD6" w:rsidRPr="00EB07E5" w:rsidRDefault="00047BD6" w:rsidP="00851002">
      <w:pPr>
        <w:pStyle w:val="Para10"/>
        <w:numPr>
          <w:ilvl w:val="0"/>
          <w:numId w:val="0"/>
        </w:numPr>
        <w:rPr>
          <w:rFonts w:eastAsia="楷体"/>
          <w:kern w:val="22"/>
          <w:sz w:val="24"/>
          <w:szCs w:val="24"/>
        </w:rPr>
      </w:pPr>
      <w:r w:rsidRPr="00EB07E5">
        <w:rPr>
          <w:rFonts w:eastAsia="楷体" w:hint="eastAsia"/>
          <w:kern w:val="22"/>
          <w:sz w:val="24"/>
          <w:szCs w:val="24"/>
        </w:rPr>
        <w:t>《公约》及其《议定书》工作中将第</w:t>
      </w:r>
      <w:r w:rsidRPr="00EB07E5">
        <w:rPr>
          <w:rFonts w:eastAsia="楷体"/>
          <w:kern w:val="22"/>
          <w:sz w:val="24"/>
          <w:szCs w:val="24"/>
        </w:rPr>
        <w:t>8</w:t>
      </w:r>
      <w:r w:rsidRPr="00EB07E5">
        <w:rPr>
          <w:rFonts w:eastAsia="楷体" w:hint="eastAsia"/>
          <w:kern w:val="22"/>
          <w:sz w:val="24"/>
          <w:szCs w:val="24"/>
        </w:rPr>
        <w:t>（</w:t>
      </w:r>
      <w:r w:rsidRPr="00EB07E5">
        <w:rPr>
          <w:rFonts w:eastAsia="楷体"/>
          <w:kern w:val="22"/>
          <w:sz w:val="24"/>
          <w:szCs w:val="24"/>
        </w:rPr>
        <w:t>j</w:t>
      </w:r>
      <w:r w:rsidRPr="00EB07E5">
        <w:rPr>
          <w:rFonts w:eastAsia="楷体" w:hint="eastAsia"/>
          <w:kern w:val="22"/>
          <w:sz w:val="24"/>
          <w:szCs w:val="24"/>
        </w:rPr>
        <w:t>）条和与土著人民和地方社区有关条款一体化</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继第</w:t>
      </w:r>
      <w:r w:rsidRPr="00EB07E5">
        <w:rPr>
          <w:sz w:val="24"/>
          <w:szCs w:val="24"/>
        </w:rPr>
        <w:t>XIII/26</w:t>
      </w:r>
      <w:r w:rsidRPr="00EB07E5">
        <w:rPr>
          <w:rFonts w:hint="eastAsia"/>
          <w:sz w:val="24"/>
          <w:szCs w:val="24"/>
        </w:rPr>
        <w:t>号决定第</w:t>
      </w:r>
      <w:r w:rsidRPr="00EB07E5">
        <w:rPr>
          <w:sz w:val="24"/>
          <w:szCs w:val="24"/>
        </w:rPr>
        <w:t>3</w:t>
      </w:r>
      <w:r w:rsidRPr="00EB07E5">
        <w:rPr>
          <w:rFonts w:hint="eastAsia"/>
          <w:sz w:val="24"/>
          <w:szCs w:val="24"/>
        </w:rPr>
        <w:t>段之后，</w:t>
      </w:r>
      <w:r w:rsidRPr="00EB07E5">
        <w:rPr>
          <w:rFonts w:hint="eastAsia"/>
          <w:kern w:val="22"/>
          <w:sz w:val="24"/>
          <w:szCs w:val="24"/>
        </w:rPr>
        <w:t>第</w:t>
      </w:r>
      <w:r w:rsidRPr="00EB07E5">
        <w:rPr>
          <w:kern w:val="22"/>
          <w:sz w:val="24"/>
          <w:szCs w:val="24"/>
        </w:rPr>
        <w:t>8</w:t>
      </w:r>
      <w:r w:rsidRPr="00EB07E5">
        <w:rPr>
          <w:rFonts w:hint="eastAsia"/>
          <w:kern w:val="22"/>
          <w:sz w:val="24"/>
          <w:szCs w:val="24"/>
        </w:rPr>
        <w:t>（</w:t>
      </w:r>
      <w:r w:rsidRPr="00EB07E5">
        <w:rPr>
          <w:kern w:val="22"/>
          <w:sz w:val="24"/>
          <w:szCs w:val="24"/>
        </w:rPr>
        <w:t>j</w:t>
      </w:r>
      <w:r w:rsidRPr="00EB07E5">
        <w:rPr>
          <w:rFonts w:hint="eastAsia"/>
          <w:kern w:val="22"/>
          <w:sz w:val="24"/>
          <w:szCs w:val="24"/>
        </w:rPr>
        <w:t>）条和相关条款问题不限成员名额闭会期间特设工作组第十次会议，在土著人民和地方社区充分有效的参与下，审议了在《公约》及其《议定书》工作中将第</w:t>
      </w:r>
      <w:r w:rsidRPr="00EB07E5">
        <w:rPr>
          <w:kern w:val="22"/>
          <w:sz w:val="24"/>
          <w:szCs w:val="24"/>
        </w:rPr>
        <w:t>8</w:t>
      </w:r>
      <w:r w:rsidRPr="00EB07E5">
        <w:rPr>
          <w:rFonts w:hint="eastAsia"/>
          <w:kern w:val="22"/>
          <w:sz w:val="24"/>
          <w:szCs w:val="24"/>
        </w:rPr>
        <w:t>（</w:t>
      </w:r>
      <w:r w:rsidRPr="00EB07E5">
        <w:rPr>
          <w:kern w:val="22"/>
          <w:sz w:val="24"/>
          <w:szCs w:val="24"/>
        </w:rPr>
        <w:t>j</w:t>
      </w:r>
      <w:r w:rsidRPr="00EB07E5">
        <w:rPr>
          <w:rFonts w:hint="eastAsia"/>
          <w:kern w:val="22"/>
          <w:sz w:val="24"/>
          <w:szCs w:val="24"/>
        </w:rPr>
        <w:t>）条和与土著人民和地方社区有关条款充分一体化的途径和手段，目的是提高效率、连贯性和协调性，并通过了</w:t>
      </w:r>
      <w:hyperlink r:id="rId43" w:history="1">
        <w:r w:rsidRPr="00EB07E5">
          <w:rPr>
            <w:rStyle w:val="Hyperlink"/>
            <w:rFonts w:hint="eastAsia"/>
            <w:kern w:val="22"/>
            <w:sz w:val="24"/>
            <w:szCs w:val="24"/>
          </w:rPr>
          <w:t>第</w:t>
        </w:r>
        <w:r w:rsidRPr="00EB07E5">
          <w:rPr>
            <w:rStyle w:val="Hyperlink"/>
            <w:kern w:val="22"/>
            <w:sz w:val="24"/>
            <w:szCs w:val="24"/>
          </w:rPr>
          <w:t>10/3</w:t>
        </w:r>
        <w:r w:rsidRPr="00EB07E5">
          <w:rPr>
            <w:rStyle w:val="Hyperlink"/>
            <w:rFonts w:hint="eastAsia"/>
            <w:kern w:val="22"/>
            <w:sz w:val="24"/>
            <w:szCs w:val="24"/>
          </w:rPr>
          <w:t>号建议</w:t>
        </w:r>
      </w:hyperlink>
      <w:r w:rsidRPr="00EB07E5">
        <w:rPr>
          <w:rFonts w:hint="eastAsia"/>
          <w:kern w:val="22"/>
          <w:sz w:val="24"/>
          <w:szCs w:val="24"/>
        </w:rPr>
        <w:t>，其中含有决定草案的要素。执行问题附属机构第二次会议审议了这些事项并编制了第</w:t>
      </w:r>
      <w:r w:rsidRPr="00EB07E5">
        <w:rPr>
          <w:kern w:val="22"/>
          <w:sz w:val="24"/>
          <w:szCs w:val="24"/>
        </w:rPr>
        <w:t>2/16</w:t>
      </w:r>
      <w:r w:rsidRPr="00EB07E5">
        <w:rPr>
          <w:rFonts w:hint="eastAsia"/>
          <w:kern w:val="22"/>
          <w:sz w:val="24"/>
          <w:szCs w:val="24"/>
        </w:rPr>
        <w:t>号建议。</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将请缔约方大会根据执行问题附属机构第</w:t>
      </w:r>
      <w:r w:rsidRPr="00EB07E5">
        <w:rPr>
          <w:kern w:val="22"/>
          <w:sz w:val="24"/>
          <w:szCs w:val="24"/>
        </w:rPr>
        <w:t>2/16</w:t>
      </w:r>
      <w:r w:rsidRPr="00EB07E5">
        <w:rPr>
          <w:rFonts w:hint="eastAsia"/>
          <w:kern w:val="22"/>
          <w:sz w:val="24"/>
          <w:szCs w:val="24"/>
        </w:rPr>
        <w:t>号建议编制的决定草案审议这一事项。</w:t>
      </w:r>
    </w:p>
    <w:p w:rsidR="00047BD6" w:rsidRPr="00EB07E5" w:rsidRDefault="00047BD6" w:rsidP="00851002">
      <w:pPr>
        <w:pStyle w:val="Para10"/>
        <w:keepNext/>
        <w:numPr>
          <w:ilvl w:val="0"/>
          <w:numId w:val="0"/>
        </w:numPr>
        <w:tabs>
          <w:tab w:val="left" w:pos="990"/>
        </w:tabs>
        <w:snapToGrid w:val="0"/>
        <w:jc w:val="center"/>
        <w:rPr>
          <w:b/>
          <w:kern w:val="22"/>
          <w:sz w:val="24"/>
          <w:szCs w:val="24"/>
        </w:rPr>
      </w:pPr>
      <w:r w:rsidRPr="00EB07E5">
        <w:rPr>
          <w:rFonts w:hint="eastAsia"/>
          <w:b/>
          <w:kern w:val="22"/>
          <w:sz w:val="24"/>
          <w:szCs w:val="24"/>
        </w:rPr>
        <w:t>项目</w:t>
      </w:r>
      <w:r w:rsidRPr="00EB07E5">
        <w:rPr>
          <w:b/>
          <w:kern w:val="22"/>
          <w:sz w:val="24"/>
          <w:szCs w:val="24"/>
        </w:rPr>
        <w:t xml:space="preserve">14. </w:t>
      </w:r>
      <w:r w:rsidRPr="00EB07E5">
        <w:rPr>
          <w:b/>
          <w:kern w:val="22"/>
          <w:sz w:val="24"/>
          <w:szCs w:val="24"/>
        </w:rPr>
        <w:tab/>
      </w:r>
      <w:r w:rsidRPr="00EB07E5">
        <w:rPr>
          <w:rFonts w:hint="eastAsia"/>
          <w:b/>
          <w:sz w:val="24"/>
          <w:szCs w:val="24"/>
          <w:lang w:val="en-US"/>
        </w:rPr>
        <w:t>与其他公约、国际组织和倡议的合作</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根据缔约方大会截止</w:t>
      </w:r>
      <w:r w:rsidRPr="00EB07E5">
        <w:rPr>
          <w:kern w:val="22"/>
          <w:sz w:val="24"/>
          <w:szCs w:val="24"/>
        </w:rPr>
        <w:t>2020</w:t>
      </w:r>
      <w:r w:rsidRPr="00EB07E5">
        <w:rPr>
          <w:rFonts w:hint="eastAsia"/>
          <w:kern w:val="22"/>
          <w:sz w:val="24"/>
          <w:szCs w:val="24"/>
        </w:rPr>
        <w:t>年的多年期工作方案</w:t>
      </w:r>
      <w:bookmarkStart w:id="0" w:name="_Ref508805988"/>
      <w:r w:rsidRPr="00EB07E5">
        <w:rPr>
          <w:rStyle w:val="FootnoteReference"/>
          <w:kern w:val="22"/>
          <w:sz w:val="24"/>
          <w:szCs w:val="24"/>
          <w:u w:val="none"/>
          <w:vertAlign w:val="superscript"/>
        </w:rPr>
        <w:footnoteReference w:id="4"/>
      </w:r>
      <w:bookmarkEnd w:id="0"/>
      <w:r w:rsidRPr="00EB07E5">
        <w:rPr>
          <w:rFonts w:hint="eastAsia"/>
          <w:kern w:val="22"/>
          <w:sz w:val="24"/>
          <w:szCs w:val="24"/>
        </w:rPr>
        <w:t>，缔约方大会将在第十四届会议上审议与生物多样性相关公约之间的协同作用。缔约方大会第十三届会议审议了加强与生物多样性相关公约之间协同作用的备选办法。在</w:t>
      </w:r>
      <w:hyperlink r:id="rId44" w:history="1">
        <w:r w:rsidRPr="00EB07E5">
          <w:rPr>
            <w:rStyle w:val="Hyperlink"/>
            <w:rFonts w:hint="eastAsia"/>
            <w:kern w:val="22"/>
            <w:sz w:val="24"/>
            <w:szCs w:val="24"/>
          </w:rPr>
          <w:t>第</w:t>
        </w:r>
        <w:r w:rsidRPr="00EB07E5">
          <w:rPr>
            <w:rStyle w:val="Hyperlink"/>
            <w:kern w:val="22"/>
            <w:sz w:val="24"/>
            <w:szCs w:val="24"/>
          </w:rPr>
          <w:t>XIII/24</w:t>
        </w:r>
        <w:r w:rsidRPr="00EB07E5">
          <w:rPr>
            <w:rStyle w:val="Hyperlink"/>
            <w:rFonts w:hint="eastAsia"/>
            <w:kern w:val="22"/>
            <w:sz w:val="24"/>
            <w:szCs w:val="24"/>
          </w:rPr>
          <w:t>号决定</w:t>
        </w:r>
      </w:hyperlink>
      <w:r w:rsidRPr="00EB07E5">
        <w:rPr>
          <w:rFonts w:hint="eastAsia"/>
          <w:kern w:val="22"/>
          <w:sz w:val="24"/>
          <w:szCs w:val="24"/>
        </w:rPr>
        <w:t>中，大会欢迎国家一级加强协同作用的备选办法以及</w:t>
      </w:r>
      <w:r w:rsidRPr="00EB07E5">
        <w:rPr>
          <w:snapToGrid w:val="0"/>
          <w:kern w:val="22"/>
          <w:sz w:val="24"/>
          <w:szCs w:val="24"/>
        </w:rPr>
        <w:t>2017-2020</w:t>
      </w:r>
      <w:r w:rsidRPr="00EB07E5">
        <w:rPr>
          <w:rFonts w:hint="eastAsia"/>
          <w:snapToGrid w:val="0"/>
          <w:kern w:val="22"/>
          <w:sz w:val="24"/>
          <w:szCs w:val="24"/>
        </w:rPr>
        <w:t>年国际一级加强生物多样性相关公约之间协同作用的路线图</w:t>
      </w:r>
      <w:r w:rsidRPr="00EB07E5">
        <w:rPr>
          <w:rFonts w:hint="eastAsia"/>
          <w:kern w:val="22"/>
          <w:sz w:val="24"/>
          <w:szCs w:val="24"/>
        </w:rPr>
        <w:t>。请执行秘书提供</w:t>
      </w:r>
      <w:r w:rsidRPr="00EB07E5">
        <w:rPr>
          <w:rFonts w:hint="eastAsia"/>
          <w:snapToGrid w:val="0"/>
          <w:kern w:val="22"/>
          <w:sz w:val="24"/>
          <w:szCs w:val="24"/>
        </w:rPr>
        <w:t>所缺信息，规定一个时间表，并在可能的情况下采取所述的行动</w:t>
      </w:r>
      <w:r w:rsidRPr="00EB07E5">
        <w:rPr>
          <w:rFonts w:hint="eastAsia"/>
          <w:kern w:val="22"/>
          <w:sz w:val="24"/>
          <w:szCs w:val="24"/>
        </w:rPr>
        <w:t>。又请执行秘书设立一个非正式咨询小组，就进一步确定优先次序和实施行动提供咨询意见，并向执行问题附属机构第二次会议提出报告。</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缔约方大会在</w:t>
      </w:r>
      <w:hyperlink r:id="rId45" w:history="1">
        <w:r w:rsidRPr="00EB07E5">
          <w:rPr>
            <w:rStyle w:val="Hyperlink"/>
            <w:rFonts w:hint="eastAsia"/>
            <w:kern w:val="22"/>
            <w:sz w:val="24"/>
            <w:szCs w:val="24"/>
          </w:rPr>
          <w:t>第</w:t>
        </w:r>
        <w:r w:rsidRPr="00EB07E5">
          <w:rPr>
            <w:rStyle w:val="Hyperlink"/>
            <w:kern w:val="22"/>
            <w:sz w:val="24"/>
            <w:szCs w:val="24"/>
          </w:rPr>
          <w:t>XIII/7</w:t>
        </w:r>
        <w:r w:rsidRPr="00EB07E5">
          <w:rPr>
            <w:rStyle w:val="Hyperlink"/>
            <w:rFonts w:hint="eastAsia"/>
            <w:kern w:val="22"/>
            <w:sz w:val="24"/>
            <w:szCs w:val="24"/>
          </w:rPr>
          <w:t>号决定</w:t>
        </w:r>
      </w:hyperlink>
      <w:r w:rsidRPr="00EB07E5">
        <w:rPr>
          <w:rFonts w:hint="eastAsia"/>
          <w:kern w:val="22"/>
          <w:sz w:val="24"/>
          <w:szCs w:val="24"/>
        </w:rPr>
        <w:t>中，请执行秘书加强与森林合作伙伴关系所有成员以及其他有关组织和倡议的协作，以充分响应</w:t>
      </w:r>
      <w:hyperlink r:id="rId46" w:history="1">
        <w:r w:rsidRPr="00EB07E5">
          <w:rPr>
            <w:rStyle w:val="Hyperlink"/>
            <w:rFonts w:hint="eastAsia"/>
            <w:kern w:val="22"/>
            <w:sz w:val="24"/>
            <w:szCs w:val="24"/>
          </w:rPr>
          <w:t>第</w:t>
        </w:r>
        <w:r w:rsidRPr="00EB07E5">
          <w:rPr>
            <w:rStyle w:val="Hyperlink"/>
            <w:kern w:val="22"/>
            <w:sz w:val="24"/>
            <w:szCs w:val="24"/>
          </w:rPr>
          <w:t>XII/6</w:t>
        </w:r>
        <w:r w:rsidRPr="00EB07E5">
          <w:rPr>
            <w:rStyle w:val="Hyperlink"/>
            <w:rFonts w:hint="eastAsia"/>
            <w:kern w:val="22"/>
            <w:sz w:val="24"/>
            <w:szCs w:val="24"/>
          </w:rPr>
          <w:t>号决定</w:t>
        </w:r>
      </w:hyperlink>
      <w:r w:rsidRPr="00EB07E5">
        <w:rPr>
          <w:rFonts w:hint="eastAsia"/>
          <w:kern w:val="22"/>
          <w:sz w:val="24"/>
          <w:szCs w:val="24"/>
        </w:rPr>
        <w:t>的要求，促进实现与森林有关的《爱知生物多样性指标》。</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这些事项已由执行问题附属机构第二次会议审议。</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将请缔约方大会根据载于</w:t>
      </w:r>
      <w:r w:rsidRPr="00EB07E5">
        <w:rPr>
          <w:rFonts w:hint="eastAsia"/>
          <w:iCs/>
          <w:kern w:val="22"/>
          <w:sz w:val="24"/>
          <w:szCs w:val="24"/>
        </w:rPr>
        <w:t>决议草案汇编（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2/9</w:t>
      </w:r>
      <w:r w:rsidRPr="00EB07E5">
        <w:rPr>
          <w:rFonts w:hint="eastAsia"/>
          <w:iCs/>
          <w:kern w:val="22"/>
          <w:sz w:val="24"/>
          <w:szCs w:val="24"/>
        </w:rPr>
        <w:t>号建议编制的决定草案审议这些事项，同时考虑到执行秘书提供的生物多样性相关公约之间协同作用问题非正式咨询小组的报告，其中包括它的咨询意见（</w:t>
      </w:r>
      <w:r w:rsidRPr="00EB07E5">
        <w:rPr>
          <w:iCs/>
          <w:kern w:val="22"/>
          <w:sz w:val="24"/>
          <w:szCs w:val="24"/>
        </w:rPr>
        <w:t>CBD/COP/14/INF/2</w:t>
      </w:r>
      <w:r w:rsidRPr="00EB07E5">
        <w:rPr>
          <w:rFonts w:hint="eastAsia"/>
          <w:iCs/>
          <w:kern w:val="22"/>
          <w:sz w:val="24"/>
          <w:szCs w:val="24"/>
        </w:rPr>
        <w:t>）。</w:t>
      </w:r>
    </w:p>
    <w:p w:rsidR="00047BD6" w:rsidRPr="00EB07E5" w:rsidRDefault="00047BD6" w:rsidP="00851002">
      <w:pPr>
        <w:pStyle w:val="Para10"/>
        <w:numPr>
          <w:ilvl w:val="0"/>
          <w:numId w:val="0"/>
        </w:numPr>
        <w:tabs>
          <w:tab w:val="left" w:pos="990"/>
        </w:tabs>
        <w:snapToGrid w:val="0"/>
        <w:jc w:val="center"/>
        <w:rPr>
          <w:b/>
          <w:kern w:val="22"/>
          <w:sz w:val="24"/>
          <w:szCs w:val="24"/>
        </w:rPr>
      </w:pPr>
      <w:r w:rsidRPr="00EB07E5">
        <w:rPr>
          <w:rFonts w:hint="eastAsia"/>
          <w:b/>
          <w:kern w:val="22"/>
          <w:sz w:val="24"/>
          <w:szCs w:val="24"/>
        </w:rPr>
        <w:t>项目</w:t>
      </w:r>
      <w:r w:rsidRPr="00EB07E5">
        <w:rPr>
          <w:b/>
          <w:kern w:val="22"/>
          <w:sz w:val="24"/>
          <w:szCs w:val="24"/>
        </w:rPr>
        <w:t xml:space="preserve"> 15. </w:t>
      </w:r>
      <w:r w:rsidRPr="00EB07E5">
        <w:rPr>
          <w:b/>
          <w:kern w:val="22"/>
          <w:sz w:val="24"/>
          <w:szCs w:val="24"/>
        </w:rPr>
        <w:tab/>
      </w:r>
      <w:r w:rsidRPr="00EB07E5">
        <w:rPr>
          <w:rFonts w:hint="eastAsia"/>
          <w:b/>
          <w:sz w:val="24"/>
          <w:szCs w:val="24"/>
          <w:lang w:val="en-US"/>
        </w:rPr>
        <w:t>审查《公约》及其《议定书》下各进程的成效</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根据缔约方大会至</w:t>
      </w:r>
      <w:r w:rsidRPr="00EB07E5">
        <w:rPr>
          <w:kern w:val="22"/>
          <w:sz w:val="24"/>
          <w:szCs w:val="24"/>
        </w:rPr>
        <w:t>2020</w:t>
      </w:r>
      <w:r w:rsidRPr="00EB07E5">
        <w:rPr>
          <w:rFonts w:hint="eastAsia"/>
          <w:kern w:val="22"/>
          <w:sz w:val="24"/>
          <w:szCs w:val="24"/>
        </w:rPr>
        <w:t>年的多年期工作方案</w:t>
      </w:r>
      <w:r w:rsidRPr="00EB07E5">
        <w:rPr>
          <w:sz w:val="24"/>
          <w:szCs w:val="24"/>
          <w:vertAlign w:val="superscript"/>
        </w:rPr>
        <w:t>3</w:t>
      </w:r>
      <w:r w:rsidRPr="00EB07E5">
        <w:rPr>
          <w:rFonts w:hint="eastAsia"/>
          <w:sz w:val="24"/>
          <w:szCs w:val="24"/>
        </w:rPr>
        <w:t>，</w:t>
      </w:r>
      <w:r w:rsidRPr="00EB07E5">
        <w:rPr>
          <w:rFonts w:hint="eastAsia"/>
          <w:kern w:val="22"/>
          <w:sz w:val="24"/>
          <w:szCs w:val="24"/>
        </w:rPr>
        <w:t>缔约方大会将在第十四届会议上审议对《公约》及其《议定书》下进程的有效性的审查。</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执行问题附属机构根据执行秘书提供的信息以及缔约方和观察员的意见审议了这个事项。</w:t>
      </w:r>
    </w:p>
    <w:p w:rsidR="00047BD6" w:rsidRPr="00EB07E5" w:rsidRDefault="00047BD6" w:rsidP="00851002">
      <w:pPr>
        <w:suppressLineNumbers/>
        <w:tabs>
          <w:tab w:val="left" w:pos="1440"/>
        </w:tabs>
        <w:suppressAutoHyphens/>
        <w:spacing w:before="120"/>
        <w:rPr>
          <w:rFonts w:eastAsia="楷体"/>
          <w:lang w:eastAsia="zh-CN"/>
        </w:rPr>
      </w:pPr>
      <w:r w:rsidRPr="00EB07E5">
        <w:rPr>
          <w:rFonts w:eastAsia="楷体" w:hint="eastAsia"/>
          <w:snapToGrid w:val="0"/>
          <w:lang w:eastAsia="zh-CN"/>
        </w:rPr>
        <w:t>审查《公约》和《议定书》同时举行会议的经验</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在第十二次会议上，缔约方大会决定在两周的时间内举行今后的常会，其中包括卡塔赫纳和名古屋议定书缔约方会议</w:t>
      </w:r>
      <w:r w:rsidRPr="00EB07E5">
        <w:rPr>
          <w:rFonts w:hint="eastAsia"/>
          <w:iCs/>
          <w:kern w:val="22"/>
          <w:sz w:val="24"/>
          <w:szCs w:val="24"/>
        </w:rPr>
        <w:t>。</w:t>
      </w:r>
      <w:r w:rsidRPr="00EB07E5">
        <w:rPr>
          <w:rFonts w:hint="eastAsia"/>
          <w:kern w:val="22"/>
          <w:sz w:val="24"/>
          <w:szCs w:val="24"/>
        </w:rPr>
        <w:t>大会还决定在其第十四届和第十五届会议上审查同时举行会议的经验。</w:t>
      </w:r>
      <w:r w:rsidRPr="00EB07E5">
        <w:rPr>
          <w:rStyle w:val="FootnoteReference"/>
          <w:iCs/>
          <w:kern w:val="22"/>
          <w:sz w:val="24"/>
          <w:szCs w:val="24"/>
          <w:vertAlign w:val="superscript"/>
        </w:rPr>
        <w:footnoteReference w:id="5"/>
      </w:r>
      <w:r w:rsidRPr="00EB07E5">
        <w:rPr>
          <w:rFonts w:hint="eastAsia"/>
          <w:kern w:val="22"/>
          <w:sz w:val="24"/>
          <w:szCs w:val="24"/>
        </w:rPr>
        <w:t>卡塔赫纳议定书和名古屋议定书缔约方同样决定进行一次审查。审查标准已经在</w:t>
      </w:r>
      <w:hyperlink r:id="rId47" w:history="1">
        <w:r w:rsidRPr="00EB07E5">
          <w:rPr>
            <w:rStyle w:val="Hyperlink"/>
            <w:rFonts w:hint="eastAsia"/>
            <w:kern w:val="22"/>
            <w:sz w:val="24"/>
            <w:szCs w:val="24"/>
          </w:rPr>
          <w:t>第</w:t>
        </w:r>
        <w:r w:rsidRPr="00EB07E5">
          <w:rPr>
            <w:rStyle w:val="Hyperlink"/>
            <w:kern w:val="22"/>
            <w:sz w:val="24"/>
            <w:szCs w:val="24"/>
          </w:rPr>
          <w:t>XIII/26</w:t>
        </w:r>
        <w:r w:rsidRPr="00EB07E5">
          <w:rPr>
            <w:rStyle w:val="Hyperlink"/>
            <w:rFonts w:hint="eastAsia"/>
            <w:kern w:val="22"/>
            <w:sz w:val="24"/>
            <w:szCs w:val="24"/>
          </w:rPr>
          <w:t>号决定</w:t>
        </w:r>
      </w:hyperlink>
      <w:r w:rsidRPr="00EB07E5">
        <w:rPr>
          <w:rFonts w:hint="eastAsia"/>
          <w:kern w:val="22"/>
          <w:sz w:val="24"/>
          <w:szCs w:val="24"/>
        </w:rPr>
        <w:t>以及各议定书缔约方会议的互补决定中商定。</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执行问题附属机构审查了缔约方和观察员、缔约方大会第十三届会议和同时举行的议定书会议的与会者以及执行秘书提供的信息。</w:t>
      </w:r>
    </w:p>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rPr>
        <w:t>将请缔约方大会根据载于</w:t>
      </w:r>
      <w:r w:rsidRPr="00EB07E5">
        <w:rPr>
          <w:rFonts w:hint="eastAsia"/>
          <w:iCs/>
          <w:kern w:val="22"/>
          <w:sz w:val="24"/>
          <w:szCs w:val="24"/>
        </w:rPr>
        <w:t>决议草案汇编（</w:t>
      </w:r>
      <w:r w:rsidRPr="00EB07E5">
        <w:rPr>
          <w:iCs/>
          <w:kern w:val="22"/>
          <w:sz w:val="24"/>
          <w:szCs w:val="24"/>
        </w:rPr>
        <w:t>CBD/COP/14/2</w:t>
      </w:r>
      <w:r w:rsidRPr="00EB07E5">
        <w:rPr>
          <w:rFonts w:hint="eastAsia"/>
          <w:iCs/>
          <w:kern w:val="22"/>
          <w:sz w:val="24"/>
          <w:szCs w:val="24"/>
        </w:rPr>
        <w:t>）依照执行问题附属机构第</w:t>
      </w:r>
      <w:r w:rsidRPr="00EB07E5">
        <w:rPr>
          <w:iCs/>
          <w:kern w:val="22"/>
          <w:sz w:val="24"/>
          <w:szCs w:val="24"/>
        </w:rPr>
        <w:t>2/15</w:t>
      </w:r>
      <w:r w:rsidRPr="00EB07E5">
        <w:rPr>
          <w:rFonts w:hint="eastAsia"/>
          <w:iCs/>
          <w:kern w:val="22"/>
          <w:sz w:val="24"/>
          <w:szCs w:val="24"/>
        </w:rPr>
        <w:t>号建议编制的决定草案审议这些事项</w:t>
      </w:r>
      <w:r w:rsidRPr="00EB07E5">
        <w:rPr>
          <w:rFonts w:hint="eastAsia"/>
          <w:kern w:val="22"/>
          <w:sz w:val="24"/>
          <w:szCs w:val="24"/>
        </w:rPr>
        <w:t>。</w:t>
      </w:r>
    </w:p>
    <w:p w:rsidR="00047BD6" w:rsidRPr="00EB07E5" w:rsidRDefault="00047BD6" w:rsidP="00851002">
      <w:pPr>
        <w:pStyle w:val="Para10"/>
        <w:numPr>
          <w:ilvl w:val="0"/>
          <w:numId w:val="0"/>
        </w:numPr>
        <w:tabs>
          <w:tab w:val="left" w:pos="720"/>
        </w:tabs>
        <w:snapToGrid w:val="0"/>
        <w:spacing w:after="160"/>
        <w:rPr>
          <w:rFonts w:eastAsia="楷体"/>
          <w:kern w:val="22"/>
          <w:sz w:val="24"/>
          <w:szCs w:val="24"/>
        </w:rPr>
      </w:pPr>
      <w:r w:rsidRPr="00EB07E5">
        <w:rPr>
          <w:rFonts w:eastAsia="楷体" w:hint="eastAsia"/>
          <w:kern w:val="22"/>
          <w:sz w:val="24"/>
          <w:szCs w:val="24"/>
          <w:lang w:val="zh-CN"/>
        </w:rPr>
        <w:t>避免和管理专家组利益冲突的程序</w:t>
      </w:r>
    </w:p>
    <w:p w:rsidR="00047BD6" w:rsidRPr="00EB07E5" w:rsidRDefault="00047BD6" w:rsidP="00851002">
      <w:pPr>
        <w:pStyle w:val="Para10"/>
        <w:numPr>
          <w:ilvl w:val="0"/>
          <w:numId w:val="21"/>
        </w:numPr>
        <w:tabs>
          <w:tab w:val="clear" w:pos="360"/>
        </w:tabs>
        <w:rPr>
          <w:sz w:val="24"/>
          <w:szCs w:val="24"/>
        </w:rPr>
      </w:pPr>
      <w:r w:rsidRPr="00EB07E5">
        <w:rPr>
          <w:rFonts w:hint="eastAsia"/>
          <w:kern w:val="22"/>
          <w:sz w:val="24"/>
          <w:szCs w:val="24"/>
          <w:lang w:val="zh-CN"/>
        </w:rPr>
        <w:t>执行问题附属机构第二次会议审议了执行秘书就避免和管理专家组利益冲突的程序提出的提案并为缔约方大会编制了一份决定草案</w:t>
      </w:r>
      <w:r w:rsidRPr="00EB07E5">
        <w:rPr>
          <w:rFonts w:hint="eastAsia"/>
          <w:kern w:val="22"/>
          <w:sz w:val="24"/>
          <w:szCs w:val="24"/>
        </w:rPr>
        <w:t>（</w:t>
      </w:r>
      <w:r w:rsidRPr="00EB07E5">
        <w:rPr>
          <w:rFonts w:hint="eastAsia"/>
          <w:kern w:val="22"/>
          <w:sz w:val="24"/>
          <w:szCs w:val="24"/>
          <w:lang w:val="zh-CN"/>
        </w:rPr>
        <w:t>执行问题附属机构第</w:t>
      </w:r>
      <w:r w:rsidRPr="00EB07E5">
        <w:rPr>
          <w:kern w:val="22"/>
          <w:sz w:val="24"/>
          <w:szCs w:val="24"/>
        </w:rPr>
        <w:t>2/15</w:t>
      </w:r>
      <w:r w:rsidRPr="00EB07E5">
        <w:rPr>
          <w:rFonts w:hint="eastAsia"/>
          <w:kern w:val="22"/>
          <w:sz w:val="24"/>
          <w:szCs w:val="24"/>
          <w:lang w:val="zh-CN"/>
        </w:rPr>
        <w:t>号建议</w:t>
      </w:r>
      <w:r w:rsidRPr="00EB07E5">
        <w:rPr>
          <w:rFonts w:hint="eastAsia"/>
          <w:kern w:val="22"/>
          <w:sz w:val="24"/>
          <w:szCs w:val="24"/>
        </w:rPr>
        <w:t>，</w:t>
      </w:r>
      <w:r w:rsidRPr="00EB07E5">
        <w:rPr>
          <w:kern w:val="22"/>
          <w:sz w:val="24"/>
          <w:szCs w:val="24"/>
        </w:rPr>
        <w:t>B</w:t>
      </w:r>
      <w:r w:rsidRPr="00EB07E5">
        <w:rPr>
          <w:rFonts w:hint="eastAsia"/>
          <w:kern w:val="22"/>
          <w:sz w:val="24"/>
          <w:szCs w:val="24"/>
          <w:lang w:val="zh-CN"/>
        </w:rPr>
        <w:t>部分</w:t>
      </w:r>
      <w:r w:rsidRPr="00EB07E5">
        <w:rPr>
          <w:rFonts w:hint="eastAsia"/>
          <w:kern w:val="22"/>
          <w:sz w:val="24"/>
          <w:szCs w:val="24"/>
        </w:rPr>
        <w:t>）</w:t>
      </w:r>
      <w:r w:rsidRPr="00EB07E5">
        <w:rPr>
          <w:rFonts w:hint="eastAsia"/>
          <w:kern w:val="22"/>
          <w:sz w:val="24"/>
          <w:szCs w:val="24"/>
          <w:lang w:val="zh-CN"/>
        </w:rPr>
        <w:t>。附属机构还要求执行秘书邀请缔约方、其他国家政府和相关国际组织在</w:t>
      </w:r>
      <w:r w:rsidRPr="00EB07E5">
        <w:rPr>
          <w:kern w:val="22"/>
          <w:sz w:val="24"/>
          <w:szCs w:val="24"/>
          <w:lang w:val="zh-CN"/>
        </w:rPr>
        <w:t>2018</w:t>
      </w:r>
      <w:r w:rsidRPr="00EB07E5">
        <w:rPr>
          <w:rFonts w:hint="eastAsia"/>
          <w:kern w:val="22"/>
          <w:sz w:val="24"/>
          <w:szCs w:val="24"/>
          <w:lang w:val="zh-CN"/>
        </w:rPr>
        <w:t>年</w:t>
      </w:r>
      <w:r w:rsidRPr="00EB07E5">
        <w:rPr>
          <w:kern w:val="22"/>
          <w:sz w:val="24"/>
          <w:szCs w:val="24"/>
          <w:lang w:val="zh-CN"/>
        </w:rPr>
        <w:t>8</w:t>
      </w:r>
      <w:r w:rsidRPr="00EB07E5">
        <w:rPr>
          <w:rFonts w:hint="eastAsia"/>
          <w:kern w:val="22"/>
          <w:sz w:val="24"/>
          <w:szCs w:val="24"/>
          <w:lang w:val="zh-CN"/>
        </w:rPr>
        <w:t>月</w:t>
      </w:r>
      <w:r w:rsidRPr="00EB07E5">
        <w:rPr>
          <w:kern w:val="22"/>
          <w:sz w:val="24"/>
          <w:szCs w:val="24"/>
          <w:lang w:val="zh-CN"/>
        </w:rPr>
        <w:t>15</w:t>
      </w:r>
      <w:r w:rsidRPr="00EB07E5">
        <w:rPr>
          <w:rFonts w:hint="eastAsia"/>
          <w:kern w:val="22"/>
          <w:sz w:val="24"/>
          <w:szCs w:val="24"/>
          <w:lang w:val="zh-CN"/>
        </w:rPr>
        <w:t>日以前提交对拟议程序的意见并在必要时对拟议程序作出修订。</w:t>
      </w:r>
    </w:p>
    <w:p w:rsidR="00047BD6" w:rsidRPr="00EB07E5" w:rsidRDefault="00047BD6" w:rsidP="00E934D0">
      <w:pPr>
        <w:pStyle w:val="Para10"/>
        <w:numPr>
          <w:ilvl w:val="0"/>
          <w:numId w:val="21"/>
        </w:numPr>
        <w:tabs>
          <w:tab w:val="clear" w:pos="360"/>
        </w:tabs>
        <w:rPr>
          <w:kern w:val="22"/>
          <w:sz w:val="24"/>
          <w:szCs w:val="24"/>
        </w:rPr>
      </w:pPr>
      <w:r w:rsidRPr="00EB07E5">
        <w:rPr>
          <w:rFonts w:hint="eastAsia"/>
          <w:kern w:val="22"/>
          <w:sz w:val="24"/>
          <w:szCs w:val="24"/>
          <w:lang w:val="zh-CN"/>
        </w:rPr>
        <w:t>将请缔约方大会根据载于决定草案汇编</w:t>
      </w:r>
      <w:r w:rsidRPr="00EB07E5">
        <w:rPr>
          <w:rFonts w:hint="eastAsia"/>
          <w:kern w:val="22"/>
          <w:sz w:val="24"/>
          <w:szCs w:val="24"/>
        </w:rPr>
        <w:t>（</w:t>
      </w:r>
      <w:r w:rsidRPr="00EB07E5">
        <w:rPr>
          <w:kern w:val="22"/>
          <w:sz w:val="24"/>
          <w:szCs w:val="24"/>
        </w:rPr>
        <w:t>CBD/COP/14/2</w:t>
      </w:r>
      <w:r w:rsidRPr="00EB07E5">
        <w:rPr>
          <w:rFonts w:hint="eastAsia"/>
          <w:kern w:val="22"/>
          <w:sz w:val="24"/>
          <w:szCs w:val="24"/>
        </w:rPr>
        <w:t>）</w:t>
      </w:r>
      <w:r w:rsidRPr="00EB07E5">
        <w:rPr>
          <w:rFonts w:hint="eastAsia"/>
          <w:kern w:val="22"/>
          <w:sz w:val="24"/>
          <w:szCs w:val="24"/>
          <w:lang w:val="zh-CN"/>
        </w:rPr>
        <w:t>依照执行问题附属机构第</w:t>
      </w:r>
      <w:r w:rsidRPr="00EB07E5">
        <w:rPr>
          <w:kern w:val="22"/>
          <w:sz w:val="24"/>
          <w:szCs w:val="24"/>
        </w:rPr>
        <w:t>2/15</w:t>
      </w:r>
      <w:r w:rsidRPr="00EB07E5">
        <w:rPr>
          <w:rFonts w:hint="eastAsia"/>
          <w:kern w:val="22"/>
          <w:sz w:val="24"/>
          <w:szCs w:val="24"/>
          <w:lang w:val="zh-CN"/>
        </w:rPr>
        <w:t>号建议，包括根据提交的意见修订的拟议程序的附件，编制的决定草案审议这个事项。提交的意见摘要载于</w:t>
      </w:r>
      <w:r w:rsidRPr="00EB07E5">
        <w:rPr>
          <w:kern w:val="22"/>
          <w:sz w:val="24"/>
          <w:szCs w:val="24"/>
        </w:rPr>
        <w:t>CBD/COP/14/INF/3</w:t>
      </w:r>
      <w:r w:rsidRPr="00EB07E5">
        <w:rPr>
          <w:rFonts w:hint="eastAsia"/>
          <w:kern w:val="22"/>
          <w:sz w:val="24"/>
          <w:szCs w:val="24"/>
        </w:rPr>
        <w:t>号文件</w:t>
      </w:r>
      <w:r w:rsidRPr="00EB07E5">
        <w:rPr>
          <w:rFonts w:hint="eastAsia"/>
          <w:kern w:val="22"/>
          <w:sz w:val="24"/>
          <w:szCs w:val="24"/>
          <w:lang w:val="zh-CN"/>
        </w:rPr>
        <w:t>。</w:t>
      </w:r>
    </w:p>
    <w:p w:rsidR="00047BD6" w:rsidRPr="00EB07E5" w:rsidRDefault="00047BD6" w:rsidP="00851002">
      <w:pPr>
        <w:pStyle w:val="Para10"/>
        <w:keepNext/>
        <w:numPr>
          <w:ilvl w:val="0"/>
          <w:numId w:val="0"/>
        </w:numPr>
        <w:tabs>
          <w:tab w:val="left" w:pos="720"/>
        </w:tabs>
        <w:snapToGrid w:val="0"/>
        <w:ind w:left="1800" w:right="461" w:hanging="994"/>
        <w:rPr>
          <w:b/>
          <w:kern w:val="22"/>
          <w:sz w:val="24"/>
          <w:szCs w:val="24"/>
        </w:rPr>
      </w:pPr>
      <w:r w:rsidRPr="00EB07E5">
        <w:rPr>
          <w:rFonts w:hint="eastAsia"/>
          <w:b/>
          <w:kern w:val="22"/>
          <w:sz w:val="24"/>
          <w:szCs w:val="24"/>
        </w:rPr>
        <w:t>项目</w:t>
      </w:r>
      <w:r w:rsidRPr="00EB07E5">
        <w:rPr>
          <w:b/>
          <w:kern w:val="22"/>
          <w:sz w:val="24"/>
          <w:szCs w:val="24"/>
        </w:rPr>
        <w:t xml:space="preserve"> 16. </w:t>
      </w:r>
      <w:r w:rsidRPr="00EB07E5">
        <w:rPr>
          <w:rFonts w:hint="eastAsia"/>
          <w:b/>
          <w:sz w:val="24"/>
          <w:szCs w:val="24"/>
          <w:lang w:val="en-US"/>
        </w:rPr>
        <w:t>生物多样性和生态系统服务政府间科学政策平台的第二个工作方案</w:t>
      </w:r>
    </w:p>
    <w:p w:rsidR="00047BD6" w:rsidRPr="00EB07E5" w:rsidRDefault="00047BD6" w:rsidP="00980AD5">
      <w:pPr>
        <w:pStyle w:val="Para10"/>
        <w:numPr>
          <w:ilvl w:val="0"/>
          <w:numId w:val="21"/>
        </w:numPr>
        <w:tabs>
          <w:tab w:val="clear" w:pos="360"/>
        </w:tabs>
        <w:rPr>
          <w:kern w:val="22"/>
          <w:sz w:val="24"/>
          <w:szCs w:val="24"/>
        </w:rPr>
      </w:pPr>
      <w:r w:rsidRPr="00EB07E5">
        <w:rPr>
          <w:rFonts w:hint="eastAsia"/>
          <w:kern w:val="22"/>
          <w:sz w:val="24"/>
          <w:szCs w:val="24"/>
        </w:rPr>
        <w:t>在</w:t>
      </w:r>
      <w:hyperlink r:id="rId48" w:history="1">
        <w:r w:rsidRPr="00EB07E5">
          <w:rPr>
            <w:rStyle w:val="Hyperlink"/>
            <w:rFonts w:hint="eastAsia"/>
            <w:kern w:val="22"/>
            <w:sz w:val="24"/>
            <w:szCs w:val="24"/>
          </w:rPr>
          <w:t>第</w:t>
        </w:r>
        <w:r w:rsidRPr="00EB07E5">
          <w:rPr>
            <w:rStyle w:val="Hyperlink"/>
            <w:kern w:val="22"/>
            <w:sz w:val="24"/>
            <w:szCs w:val="24"/>
          </w:rPr>
          <w:t>XII/25</w:t>
        </w:r>
        <w:r w:rsidRPr="00EB07E5">
          <w:rPr>
            <w:rStyle w:val="Hyperlink"/>
            <w:rFonts w:hint="eastAsia"/>
            <w:kern w:val="22"/>
            <w:sz w:val="24"/>
            <w:szCs w:val="24"/>
          </w:rPr>
          <w:t>号决定</w:t>
        </w:r>
      </w:hyperlink>
      <w:r w:rsidRPr="00EB07E5">
        <w:rPr>
          <w:rFonts w:hint="eastAsia"/>
          <w:kern w:val="22"/>
          <w:sz w:val="24"/>
          <w:szCs w:val="24"/>
        </w:rPr>
        <w:t>中，缔约方大会建立了生物多样性和生态系统服务政府间科学政策平台与《公约》之间的关系的程序，包括科咨机构在这方面的作用。</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u w:val="single"/>
        </w:rPr>
        <w:t>继</w:t>
      </w:r>
      <w:hyperlink r:id="rId49" w:history="1">
        <w:r w:rsidRPr="00EB07E5">
          <w:rPr>
            <w:rStyle w:val="Hyperlink"/>
            <w:rFonts w:hint="eastAsia"/>
            <w:kern w:val="22"/>
            <w:sz w:val="24"/>
            <w:szCs w:val="24"/>
          </w:rPr>
          <w:t>第</w:t>
        </w:r>
        <w:r w:rsidRPr="00EB07E5">
          <w:rPr>
            <w:rStyle w:val="Hyperlink"/>
            <w:kern w:val="22"/>
            <w:sz w:val="24"/>
            <w:szCs w:val="24"/>
          </w:rPr>
          <w:t>XIII/29</w:t>
        </w:r>
        <w:r w:rsidRPr="00EB07E5">
          <w:rPr>
            <w:rStyle w:val="Hyperlink"/>
            <w:rFonts w:hint="eastAsia"/>
            <w:kern w:val="22"/>
            <w:sz w:val="24"/>
            <w:szCs w:val="24"/>
          </w:rPr>
          <w:t>号决定</w:t>
        </w:r>
      </w:hyperlink>
      <w:r w:rsidRPr="00EB07E5">
        <w:rPr>
          <w:rFonts w:hint="eastAsia"/>
          <w:kern w:val="22"/>
          <w:sz w:val="24"/>
          <w:szCs w:val="24"/>
        </w:rPr>
        <w:t>之后，科咨机构第二十二次会议根据执行秘书提供的信息，借鉴缔约方和伙伴提供的意见，并顾及政府间科学政策平台编写的关于要求的指导意见和工作方案的初步要点草案，编制了一份对政府间科学政策平台第二个工作方案的要求的清单。</w:t>
      </w:r>
    </w:p>
    <w:p w:rsidR="00047BD6" w:rsidRPr="00EB07E5" w:rsidRDefault="00047BD6" w:rsidP="00851002">
      <w:pPr>
        <w:pStyle w:val="Para10"/>
        <w:numPr>
          <w:ilvl w:val="0"/>
          <w:numId w:val="20"/>
        </w:numPr>
        <w:tabs>
          <w:tab w:val="clear" w:pos="360"/>
          <w:tab w:val="left" w:pos="720"/>
        </w:tabs>
        <w:snapToGrid w:val="0"/>
        <w:spacing w:after="160"/>
        <w:rPr>
          <w:iCs/>
          <w:kern w:val="22"/>
          <w:sz w:val="24"/>
          <w:szCs w:val="24"/>
        </w:rPr>
      </w:pPr>
      <w:r w:rsidRPr="00EB07E5">
        <w:rPr>
          <w:rFonts w:hint="eastAsia"/>
          <w:kern w:val="22"/>
          <w:sz w:val="24"/>
          <w:szCs w:val="24"/>
          <w:lang w:val="zh-CN"/>
        </w:rPr>
        <w:t>将请缔约方大会根据载于决定草案汇编</w:t>
      </w:r>
      <w:r w:rsidRPr="00EB07E5">
        <w:rPr>
          <w:rFonts w:hint="eastAsia"/>
          <w:kern w:val="22"/>
          <w:sz w:val="24"/>
          <w:szCs w:val="24"/>
        </w:rPr>
        <w:t>（</w:t>
      </w:r>
      <w:r w:rsidRPr="00EB07E5">
        <w:rPr>
          <w:kern w:val="22"/>
          <w:sz w:val="24"/>
          <w:szCs w:val="24"/>
        </w:rPr>
        <w:t>CBD/COP/14/2</w:t>
      </w:r>
      <w:r w:rsidRPr="00EB07E5">
        <w:rPr>
          <w:rFonts w:hint="eastAsia"/>
          <w:kern w:val="22"/>
          <w:sz w:val="24"/>
          <w:szCs w:val="24"/>
        </w:rPr>
        <w:t>）</w:t>
      </w:r>
      <w:r w:rsidRPr="00EB07E5">
        <w:rPr>
          <w:rFonts w:hint="eastAsia"/>
          <w:kern w:val="22"/>
          <w:sz w:val="24"/>
          <w:szCs w:val="24"/>
          <w:lang w:val="zh-CN"/>
        </w:rPr>
        <w:t>依照科咨机构第</w:t>
      </w:r>
      <w:r w:rsidRPr="00EB07E5">
        <w:rPr>
          <w:kern w:val="22"/>
          <w:sz w:val="24"/>
          <w:szCs w:val="24"/>
          <w:lang w:val="zh-CN"/>
        </w:rPr>
        <w:t>22</w:t>
      </w:r>
      <w:r w:rsidRPr="00EB07E5">
        <w:rPr>
          <w:iCs/>
          <w:kern w:val="22"/>
          <w:sz w:val="24"/>
          <w:szCs w:val="24"/>
        </w:rPr>
        <w:t>/10</w:t>
      </w:r>
      <w:r w:rsidRPr="00EB07E5">
        <w:rPr>
          <w:rFonts w:hint="eastAsia"/>
          <w:kern w:val="22"/>
          <w:sz w:val="24"/>
          <w:szCs w:val="24"/>
          <w:lang w:val="zh-CN"/>
        </w:rPr>
        <w:t>号建议编制的决定草案审议这个事项</w:t>
      </w:r>
      <w:r w:rsidRPr="00EB07E5">
        <w:rPr>
          <w:rFonts w:hint="eastAsia"/>
          <w:iCs/>
          <w:kern w:val="22"/>
          <w:sz w:val="24"/>
          <w:szCs w:val="24"/>
        </w:rPr>
        <w:t>。</w:t>
      </w:r>
    </w:p>
    <w:p w:rsidR="00047BD6" w:rsidRPr="00EB07E5" w:rsidRDefault="00047BD6" w:rsidP="00851002">
      <w:pPr>
        <w:pStyle w:val="Para10"/>
        <w:numPr>
          <w:ilvl w:val="0"/>
          <w:numId w:val="20"/>
        </w:numPr>
        <w:tabs>
          <w:tab w:val="clear" w:pos="360"/>
          <w:tab w:val="left" w:pos="720"/>
        </w:tabs>
        <w:snapToGrid w:val="0"/>
        <w:spacing w:after="160"/>
        <w:rPr>
          <w:iCs/>
          <w:color w:val="000000"/>
          <w:kern w:val="22"/>
          <w:sz w:val="24"/>
          <w:szCs w:val="24"/>
        </w:rPr>
      </w:pPr>
      <w:r w:rsidRPr="00EB07E5">
        <w:rPr>
          <w:rFonts w:hint="eastAsia"/>
          <w:color w:val="000000"/>
          <w:kern w:val="22"/>
          <w:sz w:val="24"/>
          <w:szCs w:val="24"/>
          <w:lang w:val="zh-CN"/>
        </w:rPr>
        <w:t>缔约方大会还将收到一份文件，其中载有对政府间科学政策平台提出拟议要求的清单，它是对依照政府间科学政策平台第</w:t>
      </w:r>
      <w:r w:rsidRPr="00EB07E5">
        <w:rPr>
          <w:color w:val="000000"/>
          <w:kern w:val="22"/>
          <w:sz w:val="24"/>
          <w:szCs w:val="24"/>
          <w:lang w:val="zh-CN"/>
        </w:rPr>
        <w:t>1/3</w:t>
      </w:r>
      <w:r w:rsidRPr="00EB07E5">
        <w:rPr>
          <w:rFonts w:hint="eastAsia"/>
          <w:color w:val="000000"/>
          <w:kern w:val="22"/>
          <w:sz w:val="24"/>
          <w:szCs w:val="24"/>
          <w:lang w:val="zh-CN"/>
        </w:rPr>
        <w:t>号决定设立的平台接受要求和设定优先次序的程序（</w:t>
      </w:r>
      <w:r w:rsidRPr="00EB07E5">
        <w:rPr>
          <w:color w:val="000000"/>
          <w:kern w:val="22"/>
          <w:sz w:val="24"/>
          <w:szCs w:val="24"/>
          <w:lang w:val="zh-CN"/>
        </w:rPr>
        <w:t>CBD/COP/14/INF/6</w:t>
      </w:r>
      <w:r w:rsidRPr="00EB07E5">
        <w:rPr>
          <w:rFonts w:hint="eastAsia"/>
          <w:color w:val="000000"/>
          <w:kern w:val="22"/>
          <w:sz w:val="24"/>
          <w:szCs w:val="24"/>
          <w:lang w:val="zh-CN"/>
        </w:rPr>
        <w:t>）。</w:t>
      </w:r>
    </w:p>
    <w:p w:rsidR="00047BD6" w:rsidRPr="00EB07E5" w:rsidRDefault="00047BD6" w:rsidP="00851002">
      <w:pPr>
        <w:pStyle w:val="Para10"/>
        <w:numPr>
          <w:ilvl w:val="0"/>
          <w:numId w:val="0"/>
        </w:numPr>
        <w:snapToGrid w:val="0"/>
        <w:spacing w:after="0"/>
        <w:ind w:left="1800" w:hanging="994"/>
        <w:rPr>
          <w:b/>
          <w:sz w:val="24"/>
          <w:szCs w:val="24"/>
          <w:lang w:val="en-US"/>
        </w:rPr>
      </w:pPr>
      <w:r w:rsidRPr="00EB07E5">
        <w:rPr>
          <w:rFonts w:hint="eastAsia"/>
          <w:b/>
          <w:kern w:val="22"/>
          <w:sz w:val="24"/>
          <w:szCs w:val="24"/>
        </w:rPr>
        <w:t>项目</w:t>
      </w:r>
      <w:r w:rsidRPr="00EB07E5">
        <w:rPr>
          <w:b/>
          <w:kern w:val="22"/>
          <w:sz w:val="24"/>
          <w:szCs w:val="24"/>
        </w:rPr>
        <w:t xml:space="preserve"> 17.</w:t>
      </w:r>
      <w:r w:rsidRPr="00EB07E5">
        <w:rPr>
          <w:b/>
          <w:kern w:val="22"/>
          <w:sz w:val="24"/>
          <w:szCs w:val="24"/>
        </w:rPr>
        <w:tab/>
        <w:t>2050</w:t>
      </w:r>
      <w:r w:rsidRPr="00EB07E5">
        <w:rPr>
          <w:rFonts w:hint="eastAsia"/>
          <w:b/>
          <w:sz w:val="24"/>
          <w:szCs w:val="24"/>
          <w:lang w:val="en-US"/>
        </w:rPr>
        <w:t>年生物多样性愿景的长期战略方向，与自然和谐共处的办法，</w:t>
      </w:r>
    </w:p>
    <w:p w:rsidR="00047BD6" w:rsidRPr="00EB07E5" w:rsidRDefault="00047BD6" w:rsidP="00851002">
      <w:pPr>
        <w:pStyle w:val="Para10"/>
        <w:numPr>
          <w:ilvl w:val="0"/>
          <w:numId w:val="0"/>
        </w:numPr>
        <w:snapToGrid w:val="0"/>
        <w:spacing w:after="0"/>
        <w:ind w:left="1800" w:hanging="994"/>
        <w:rPr>
          <w:b/>
          <w:kern w:val="22"/>
          <w:sz w:val="24"/>
          <w:szCs w:val="24"/>
        </w:rPr>
      </w:pPr>
      <w:r w:rsidRPr="00EB07E5">
        <w:rPr>
          <w:b/>
          <w:kern w:val="22"/>
          <w:sz w:val="24"/>
          <w:szCs w:val="24"/>
          <w:lang w:val="en-US"/>
        </w:rPr>
        <w:tab/>
      </w:r>
      <w:r w:rsidRPr="00EB07E5">
        <w:rPr>
          <w:rFonts w:hint="eastAsia"/>
          <w:b/>
          <w:sz w:val="24"/>
          <w:szCs w:val="24"/>
          <w:lang w:val="en-US"/>
        </w:rPr>
        <w:t>制定</w:t>
      </w:r>
      <w:r w:rsidRPr="00EB07E5">
        <w:rPr>
          <w:b/>
          <w:sz w:val="24"/>
          <w:szCs w:val="24"/>
          <w:lang w:val="en-US"/>
        </w:rPr>
        <w:t>2020</w:t>
      </w:r>
      <w:r w:rsidRPr="00EB07E5">
        <w:rPr>
          <w:rFonts w:hint="eastAsia"/>
          <w:b/>
          <w:sz w:val="24"/>
          <w:szCs w:val="24"/>
          <w:lang w:val="en-US"/>
        </w:rPr>
        <w:t>年后全球生物多样性框架</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缔约方大会于</w:t>
      </w:r>
      <w:r w:rsidRPr="00EB07E5">
        <w:rPr>
          <w:kern w:val="22"/>
          <w:sz w:val="24"/>
          <w:szCs w:val="24"/>
        </w:rPr>
        <w:t>2010</w:t>
      </w:r>
      <w:r w:rsidRPr="00EB07E5">
        <w:rPr>
          <w:rFonts w:hint="eastAsia"/>
          <w:kern w:val="22"/>
          <w:sz w:val="24"/>
          <w:szCs w:val="24"/>
        </w:rPr>
        <w:t>年通过了《</w:t>
      </w:r>
      <w:r w:rsidRPr="00EB07E5">
        <w:rPr>
          <w:kern w:val="22"/>
          <w:sz w:val="24"/>
          <w:szCs w:val="24"/>
        </w:rPr>
        <w:t>2011-2020</w:t>
      </w:r>
      <w:r w:rsidRPr="00EB07E5">
        <w:rPr>
          <w:rFonts w:hint="eastAsia"/>
          <w:kern w:val="22"/>
          <w:sz w:val="24"/>
          <w:szCs w:val="24"/>
        </w:rPr>
        <w:t>年生物多样性战略计划》及其《爱知生物多样性目标》</w:t>
      </w:r>
      <w:r w:rsidRPr="00EB07E5">
        <w:rPr>
          <w:rStyle w:val="FootnoteReference"/>
          <w:kern w:val="22"/>
          <w:sz w:val="24"/>
          <w:szCs w:val="24"/>
          <w:u w:val="none"/>
          <w:vertAlign w:val="superscript"/>
        </w:rPr>
        <w:footnoteReference w:id="6"/>
      </w:r>
      <w:r w:rsidRPr="00EB07E5">
        <w:rPr>
          <w:rFonts w:hint="eastAsia"/>
          <w:kern w:val="22"/>
          <w:sz w:val="24"/>
          <w:szCs w:val="24"/>
        </w:rPr>
        <w:t>，而作为卡塔赫纳生物安全议定书缔约方会议的缔约方大会通过了《卡塔赫纳生物安全议定书</w:t>
      </w:r>
      <w:r w:rsidRPr="00EB07E5">
        <w:rPr>
          <w:kern w:val="22"/>
          <w:sz w:val="24"/>
          <w:szCs w:val="24"/>
        </w:rPr>
        <w:t>2011-2020</w:t>
      </w:r>
      <w:r w:rsidRPr="00EB07E5">
        <w:rPr>
          <w:rFonts w:hint="eastAsia"/>
          <w:kern w:val="22"/>
          <w:sz w:val="24"/>
          <w:szCs w:val="24"/>
        </w:rPr>
        <w:t>年战略计划》及其多年期工作方案</w:t>
      </w:r>
      <w:r w:rsidRPr="00EB07E5">
        <w:rPr>
          <w:rStyle w:val="FootnoteReference"/>
          <w:kern w:val="22"/>
          <w:sz w:val="24"/>
          <w:szCs w:val="24"/>
          <w:u w:val="none"/>
          <w:vertAlign w:val="superscript"/>
        </w:rPr>
        <w:footnoteReference w:id="7"/>
      </w:r>
      <w:r w:rsidRPr="00EB07E5">
        <w:rPr>
          <w:rFonts w:hint="eastAsia"/>
          <w:kern w:val="22"/>
          <w:sz w:val="24"/>
          <w:szCs w:val="24"/>
        </w:rPr>
        <w:t>。根据</w:t>
      </w:r>
      <w:hyperlink r:id="rId50" w:history="1">
        <w:r w:rsidRPr="00EB07E5">
          <w:rPr>
            <w:rStyle w:val="Hyperlink"/>
            <w:rFonts w:hint="eastAsia"/>
            <w:kern w:val="22"/>
            <w:sz w:val="24"/>
            <w:szCs w:val="24"/>
          </w:rPr>
          <w:t>第</w:t>
        </w:r>
        <w:r w:rsidRPr="00EB07E5">
          <w:rPr>
            <w:rStyle w:val="Hyperlink"/>
            <w:kern w:val="22"/>
            <w:sz w:val="24"/>
            <w:szCs w:val="24"/>
          </w:rPr>
          <w:t>XII/31</w:t>
        </w:r>
        <w:r w:rsidRPr="00EB07E5">
          <w:rPr>
            <w:rStyle w:val="Hyperlink"/>
            <w:rFonts w:hint="eastAsia"/>
            <w:kern w:val="22"/>
            <w:sz w:val="24"/>
            <w:szCs w:val="24"/>
          </w:rPr>
          <w:t>号决定</w:t>
        </w:r>
      </w:hyperlink>
      <w:r w:rsidRPr="00EB07E5">
        <w:rPr>
          <w:rFonts w:hint="eastAsia"/>
          <w:kern w:val="22"/>
          <w:sz w:val="24"/>
          <w:szCs w:val="24"/>
        </w:rPr>
        <w:t>通过的缔约方大会多年工作方案，缔约方大会将在其第十五届会议上除其他事项外，审议《</w:t>
      </w:r>
      <w:r w:rsidRPr="00EB07E5">
        <w:rPr>
          <w:kern w:val="22"/>
          <w:sz w:val="24"/>
          <w:szCs w:val="24"/>
        </w:rPr>
        <w:t>2011-2020</w:t>
      </w:r>
      <w:r w:rsidRPr="00EB07E5">
        <w:rPr>
          <w:rFonts w:hint="eastAsia"/>
          <w:kern w:val="22"/>
          <w:sz w:val="24"/>
          <w:szCs w:val="24"/>
        </w:rPr>
        <w:t>年生物多样性战略计划》的后续行动和包括资源调动在内的相关执行方法（即</w:t>
      </w:r>
      <w:r w:rsidRPr="00EB07E5">
        <w:rPr>
          <w:kern w:val="22"/>
          <w:sz w:val="24"/>
          <w:szCs w:val="24"/>
        </w:rPr>
        <w:t>2020</w:t>
      </w:r>
      <w:r w:rsidRPr="00EB07E5">
        <w:rPr>
          <w:rFonts w:hint="eastAsia"/>
          <w:kern w:val="22"/>
          <w:sz w:val="24"/>
          <w:szCs w:val="24"/>
        </w:rPr>
        <w:t>年后的全球生物多样性框架）。</w:t>
      </w:r>
    </w:p>
    <w:p w:rsidR="00047BD6" w:rsidRPr="00EB07E5" w:rsidRDefault="00047BD6" w:rsidP="00851002">
      <w:pPr>
        <w:pStyle w:val="Para10"/>
        <w:numPr>
          <w:ilvl w:val="0"/>
          <w:numId w:val="0"/>
        </w:numPr>
        <w:tabs>
          <w:tab w:val="left" w:pos="720"/>
        </w:tabs>
        <w:snapToGrid w:val="0"/>
        <w:spacing w:after="160"/>
        <w:rPr>
          <w:kern w:val="22"/>
          <w:sz w:val="24"/>
          <w:szCs w:val="24"/>
        </w:rPr>
      </w:pPr>
    </w:p>
    <w:p w:rsidR="00047BD6" w:rsidRPr="00EB07E5" w:rsidRDefault="00047BD6" w:rsidP="00851002">
      <w:pPr>
        <w:pStyle w:val="Para10"/>
        <w:numPr>
          <w:ilvl w:val="0"/>
          <w:numId w:val="0"/>
        </w:numPr>
        <w:tabs>
          <w:tab w:val="left" w:pos="720"/>
        </w:tabs>
        <w:snapToGrid w:val="0"/>
        <w:spacing w:after="160"/>
        <w:rPr>
          <w:rFonts w:eastAsia="楷体"/>
          <w:kern w:val="22"/>
          <w:sz w:val="24"/>
          <w:szCs w:val="24"/>
        </w:rPr>
      </w:pPr>
      <w:r w:rsidRPr="00EB07E5">
        <w:rPr>
          <w:rFonts w:eastAsia="楷体" w:hint="eastAsia"/>
          <w:kern w:val="22"/>
          <w:sz w:val="24"/>
          <w:szCs w:val="24"/>
        </w:rPr>
        <w:t>《</w:t>
      </w:r>
      <w:r w:rsidRPr="00EB07E5">
        <w:rPr>
          <w:rFonts w:eastAsia="楷体"/>
          <w:kern w:val="22"/>
          <w:sz w:val="24"/>
          <w:szCs w:val="24"/>
        </w:rPr>
        <w:t>2050</w:t>
      </w:r>
      <w:r w:rsidRPr="00EB07E5">
        <w:rPr>
          <w:rFonts w:eastAsia="楷体" w:hint="eastAsia"/>
          <w:kern w:val="22"/>
          <w:sz w:val="24"/>
          <w:szCs w:val="24"/>
        </w:rPr>
        <w:t>年生物多样性愿景》设想</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为制定</w:t>
      </w:r>
      <w:r w:rsidRPr="00EB07E5">
        <w:rPr>
          <w:kern w:val="22"/>
          <w:sz w:val="24"/>
          <w:szCs w:val="24"/>
        </w:rPr>
        <w:t>2020</w:t>
      </w:r>
      <w:r w:rsidRPr="00EB07E5">
        <w:rPr>
          <w:rFonts w:hint="eastAsia"/>
          <w:kern w:val="22"/>
          <w:sz w:val="24"/>
          <w:szCs w:val="24"/>
        </w:rPr>
        <w:t>年后全球生物多样性框架提供内涵，缔约方大会第十四届会议还将审议《</w:t>
      </w:r>
      <w:r w:rsidRPr="00EB07E5">
        <w:rPr>
          <w:kern w:val="22"/>
          <w:sz w:val="24"/>
          <w:szCs w:val="24"/>
        </w:rPr>
        <w:t>2050</w:t>
      </w:r>
      <w:r w:rsidRPr="00EB07E5">
        <w:rPr>
          <w:rFonts w:hint="eastAsia"/>
          <w:kern w:val="22"/>
          <w:sz w:val="24"/>
          <w:szCs w:val="24"/>
        </w:rPr>
        <w:t>年生物多样性愿景的长期战略方向》以及</w:t>
      </w:r>
      <w:r w:rsidRPr="00EB07E5">
        <w:rPr>
          <w:kern w:val="22"/>
          <w:sz w:val="24"/>
          <w:szCs w:val="24"/>
        </w:rPr>
        <w:t>“</w:t>
      </w:r>
      <w:r w:rsidRPr="00EB07E5">
        <w:rPr>
          <w:rFonts w:hint="eastAsia"/>
          <w:sz w:val="24"/>
          <w:szCs w:val="24"/>
        </w:rPr>
        <w:t>与自然和谐共处的办法</w:t>
      </w:r>
      <w:r w:rsidRPr="00EB07E5">
        <w:rPr>
          <w:sz w:val="24"/>
          <w:szCs w:val="24"/>
        </w:rPr>
        <w:t>”</w:t>
      </w:r>
      <w:r w:rsidRPr="00EB07E5">
        <w:rPr>
          <w:rFonts w:hint="eastAsia"/>
          <w:kern w:val="22"/>
          <w:sz w:val="24"/>
          <w:szCs w:val="24"/>
        </w:rPr>
        <w:t>。</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为筹备缔约方大会审议这些事项时，科咨机构第二十一次会议通过了关于</w:t>
      </w:r>
      <w:r w:rsidRPr="00EB07E5">
        <w:rPr>
          <w:kern w:val="22"/>
          <w:sz w:val="24"/>
          <w:szCs w:val="24"/>
        </w:rPr>
        <w:t>2050</w:t>
      </w:r>
      <w:r w:rsidRPr="00EB07E5">
        <w:rPr>
          <w:rFonts w:hint="eastAsia"/>
          <w:kern w:val="22"/>
          <w:sz w:val="24"/>
          <w:szCs w:val="24"/>
        </w:rPr>
        <w:t>年生物多样性愿景设想的</w:t>
      </w:r>
      <w:hyperlink r:id="rId51" w:history="1">
        <w:r w:rsidRPr="00EB07E5">
          <w:rPr>
            <w:rStyle w:val="Hyperlink"/>
            <w:rFonts w:hint="eastAsia"/>
            <w:kern w:val="22"/>
            <w:sz w:val="24"/>
            <w:szCs w:val="24"/>
          </w:rPr>
          <w:t>第</w:t>
        </w:r>
        <w:r w:rsidRPr="00EB07E5">
          <w:rPr>
            <w:rStyle w:val="Hyperlink"/>
            <w:kern w:val="22"/>
            <w:sz w:val="24"/>
            <w:szCs w:val="24"/>
          </w:rPr>
          <w:t>XXI/1</w:t>
        </w:r>
        <w:r w:rsidRPr="00EB07E5">
          <w:rPr>
            <w:rStyle w:val="Hyperlink"/>
            <w:rFonts w:hint="eastAsia"/>
            <w:kern w:val="22"/>
            <w:sz w:val="24"/>
            <w:szCs w:val="24"/>
          </w:rPr>
          <w:t>号建议</w:t>
        </w:r>
      </w:hyperlink>
      <w:r w:rsidRPr="00EB07E5">
        <w:rPr>
          <w:rFonts w:hint="eastAsia"/>
          <w:kern w:val="22"/>
          <w:sz w:val="24"/>
          <w:szCs w:val="24"/>
        </w:rPr>
        <w:t>，其中包括科咨机构就此作出的结论。科咨机构欢迎执行秘书在这方面提供的信息</w:t>
      </w:r>
      <w:r w:rsidRPr="00EB07E5">
        <w:rPr>
          <w:kern w:val="22"/>
          <w:sz w:val="24"/>
          <w:szCs w:val="24"/>
          <w:vertAlign w:val="superscript"/>
        </w:rPr>
        <w:footnoteReference w:id="8"/>
      </w:r>
      <w:r w:rsidRPr="00EB07E5">
        <w:rPr>
          <w:rFonts w:hint="eastAsia"/>
          <w:kern w:val="22"/>
          <w:sz w:val="24"/>
          <w:szCs w:val="24"/>
        </w:rPr>
        <w:t>，并要求对相关信息文件进行同行审查。它请执行秘书在以过去的工作为基础并顾及科咨机构的上述结论和其他相关工作，编制关于制定</w:t>
      </w:r>
      <w:r w:rsidRPr="00EB07E5">
        <w:rPr>
          <w:kern w:val="22"/>
          <w:sz w:val="24"/>
          <w:szCs w:val="24"/>
        </w:rPr>
        <w:t>2020</w:t>
      </w:r>
      <w:r w:rsidRPr="00EB07E5">
        <w:rPr>
          <w:rFonts w:hint="eastAsia"/>
          <w:kern w:val="22"/>
          <w:sz w:val="24"/>
          <w:szCs w:val="24"/>
        </w:rPr>
        <w:t>年后全球生物多样性框架进程的建议时，为完善的分析工作作出规定，确保该框架将基于最佳可得证据之上。</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将举行会期对话讨论</w:t>
      </w:r>
      <w:r w:rsidRPr="00EB07E5">
        <w:rPr>
          <w:kern w:val="22"/>
          <w:sz w:val="24"/>
          <w:szCs w:val="24"/>
        </w:rPr>
        <w:t>“</w:t>
      </w:r>
      <w:r w:rsidRPr="00EB07E5">
        <w:rPr>
          <w:rFonts w:hint="eastAsia"/>
          <w:kern w:val="22"/>
          <w:sz w:val="24"/>
          <w:szCs w:val="24"/>
        </w:rPr>
        <w:t>与自然和谐共处的办法</w:t>
      </w:r>
      <w:r w:rsidRPr="00EB07E5">
        <w:rPr>
          <w:kern w:val="22"/>
          <w:sz w:val="24"/>
          <w:szCs w:val="24"/>
        </w:rPr>
        <w:t>”</w:t>
      </w:r>
      <w:r w:rsidRPr="00EB07E5">
        <w:rPr>
          <w:rFonts w:hint="eastAsia"/>
          <w:kern w:val="22"/>
          <w:sz w:val="24"/>
          <w:szCs w:val="24"/>
        </w:rPr>
        <w:t>。</w:t>
      </w:r>
    </w:p>
    <w:p w:rsidR="00047BD6" w:rsidRPr="00EB07E5" w:rsidRDefault="00047BD6" w:rsidP="00851002">
      <w:pPr>
        <w:pStyle w:val="Para10"/>
        <w:numPr>
          <w:ilvl w:val="0"/>
          <w:numId w:val="0"/>
        </w:numPr>
        <w:tabs>
          <w:tab w:val="left" w:pos="720"/>
        </w:tabs>
        <w:snapToGrid w:val="0"/>
        <w:spacing w:after="160"/>
        <w:rPr>
          <w:rFonts w:eastAsia="楷体"/>
          <w:kern w:val="22"/>
          <w:sz w:val="24"/>
          <w:szCs w:val="24"/>
        </w:rPr>
      </w:pPr>
      <w:r w:rsidRPr="00EB07E5">
        <w:rPr>
          <w:rFonts w:eastAsia="楷体" w:hint="eastAsia"/>
          <w:kern w:val="22"/>
          <w:sz w:val="24"/>
          <w:szCs w:val="24"/>
        </w:rPr>
        <w:t>关于</w:t>
      </w:r>
      <w:r w:rsidRPr="00EB07E5">
        <w:rPr>
          <w:rFonts w:eastAsia="楷体"/>
          <w:kern w:val="22"/>
          <w:sz w:val="24"/>
          <w:szCs w:val="24"/>
        </w:rPr>
        <w:t>2020</w:t>
      </w:r>
      <w:r w:rsidRPr="00EB07E5">
        <w:rPr>
          <w:rFonts w:eastAsia="楷体" w:hint="eastAsia"/>
          <w:kern w:val="22"/>
          <w:sz w:val="24"/>
          <w:szCs w:val="24"/>
        </w:rPr>
        <w:t>年后生物多样性框架综合和参与性筹备进程的提案</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缔约方大会在</w:t>
      </w:r>
      <w:hyperlink r:id="rId52" w:history="1">
        <w:r w:rsidRPr="00EB07E5">
          <w:rPr>
            <w:rStyle w:val="Hyperlink"/>
            <w:rFonts w:hint="eastAsia"/>
            <w:kern w:val="22"/>
            <w:sz w:val="24"/>
            <w:szCs w:val="24"/>
          </w:rPr>
          <w:t>第</w:t>
        </w:r>
        <w:r w:rsidRPr="00EB07E5">
          <w:rPr>
            <w:rStyle w:val="Hyperlink"/>
            <w:kern w:val="22"/>
            <w:sz w:val="24"/>
            <w:szCs w:val="24"/>
          </w:rPr>
          <w:t>XIII/1</w:t>
        </w:r>
        <w:r w:rsidRPr="00EB07E5">
          <w:rPr>
            <w:rStyle w:val="Hyperlink"/>
            <w:rFonts w:hint="eastAsia"/>
            <w:kern w:val="22"/>
            <w:sz w:val="24"/>
            <w:szCs w:val="24"/>
          </w:rPr>
          <w:t>号决定</w:t>
        </w:r>
      </w:hyperlink>
      <w:r w:rsidRPr="00EB07E5">
        <w:rPr>
          <w:rFonts w:hint="eastAsia"/>
          <w:kern w:val="22"/>
          <w:sz w:val="24"/>
          <w:szCs w:val="24"/>
        </w:rPr>
        <w:t>第</w:t>
      </w:r>
      <w:r w:rsidRPr="00EB07E5">
        <w:rPr>
          <w:kern w:val="22"/>
          <w:sz w:val="24"/>
          <w:szCs w:val="24"/>
        </w:rPr>
        <w:t>34</w:t>
      </w:r>
      <w:r w:rsidRPr="00EB07E5">
        <w:rPr>
          <w:rFonts w:hint="eastAsia"/>
          <w:kern w:val="22"/>
          <w:sz w:val="24"/>
          <w:szCs w:val="24"/>
        </w:rPr>
        <w:t>段中认识到，需要一个综合和参与性进程，以便为</w:t>
      </w:r>
      <w:r w:rsidRPr="00EB07E5">
        <w:rPr>
          <w:rFonts w:hint="eastAsia"/>
          <w:sz w:val="24"/>
          <w:szCs w:val="24"/>
        </w:rPr>
        <w:t>《</w:t>
      </w:r>
      <w:r w:rsidRPr="00EB07E5">
        <w:rPr>
          <w:sz w:val="24"/>
          <w:szCs w:val="24"/>
        </w:rPr>
        <w:t xml:space="preserve">2011-2020 </w:t>
      </w:r>
      <w:r w:rsidRPr="00EB07E5">
        <w:rPr>
          <w:rFonts w:hint="eastAsia"/>
          <w:sz w:val="24"/>
          <w:szCs w:val="24"/>
        </w:rPr>
        <w:t>年生物多样性战略计划》的后续工作拟定提案，</w:t>
      </w:r>
      <w:r w:rsidRPr="00EB07E5">
        <w:rPr>
          <w:rFonts w:hint="eastAsia"/>
          <w:kern w:val="22"/>
          <w:sz w:val="24"/>
          <w:szCs w:val="24"/>
        </w:rPr>
        <w:t>并请执行秘书</w:t>
      </w:r>
      <w:r w:rsidRPr="00EB07E5">
        <w:rPr>
          <w:rFonts w:hint="eastAsia"/>
          <w:sz w:val="24"/>
          <w:szCs w:val="24"/>
        </w:rPr>
        <w:t>为《</w:t>
      </w:r>
      <w:r w:rsidRPr="00EB07E5">
        <w:rPr>
          <w:sz w:val="24"/>
          <w:szCs w:val="24"/>
        </w:rPr>
        <w:t xml:space="preserve">2011-2020 </w:t>
      </w:r>
      <w:r w:rsidRPr="00EB07E5">
        <w:rPr>
          <w:rFonts w:hint="eastAsia"/>
          <w:sz w:val="24"/>
          <w:szCs w:val="24"/>
        </w:rPr>
        <w:t>年生物多样性战略计划》后续工作综合和参与筹备进程及时间表编写提案</w:t>
      </w:r>
      <w:r w:rsidRPr="00EB07E5">
        <w:rPr>
          <w:rFonts w:hint="eastAsia"/>
          <w:kern w:val="22"/>
          <w:sz w:val="24"/>
          <w:szCs w:val="24"/>
        </w:rPr>
        <w:t>，</w:t>
      </w:r>
      <w:r w:rsidRPr="00EB07E5">
        <w:rPr>
          <w:rFonts w:hint="eastAsia"/>
          <w:sz w:val="24"/>
          <w:szCs w:val="24"/>
        </w:rPr>
        <w:t>同时亦顾及这项工作必须涵盖《生物多样性公约》和同时考虑其《议定书》</w:t>
      </w:r>
      <w:r w:rsidRPr="00EB07E5">
        <w:rPr>
          <w:rFonts w:hint="eastAsia"/>
          <w:kern w:val="22"/>
          <w:sz w:val="24"/>
          <w:szCs w:val="24"/>
        </w:rPr>
        <w:t>。</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据此，以缔约方和其他各方提交的意见为基础，同时顾及科咨机构第</w:t>
      </w:r>
      <w:r w:rsidRPr="00EB07E5">
        <w:rPr>
          <w:kern w:val="22"/>
          <w:sz w:val="24"/>
          <w:szCs w:val="24"/>
        </w:rPr>
        <w:t>XXI/1</w:t>
      </w:r>
      <w:r w:rsidRPr="00EB07E5">
        <w:rPr>
          <w:rFonts w:hint="eastAsia"/>
          <w:kern w:val="22"/>
          <w:sz w:val="24"/>
          <w:szCs w:val="24"/>
        </w:rPr>
        <w:t>号建议，编写了一份提案，供执行问题附属机构审议。</w:t>
      </w:r>
      <w:r w:rsidRPr="00EB07E5">
        <w:rPr>
          <w:rFonts w:hint="eastAsia"/>
          <w:kern w:val="22"/>
          <w:sz w:val="24"/>
          <w:szCs w:val="24"/>
          <w:lang w:val="en-US"/>
        </w:rPr>
        <w:t>除其他外，执行问题附属机构欢迎科咨机构第</w:t>
      </w:r>
      <w:r w:rsidRPr="00EB07E5">
        <w:rPr>
          <w:kern w:val="22"/>
          <w:sz w:val="24"/>
          <w:szCs w:val="24"/>
          <w:lang w:val="en-US"/>
        </w:rPr>
        <w:t>XXI/1</w:t>
      </w:r>
      <w:r w:rsidRPr="00EB07E5">
        <w:rPr>
          <w:rFonts w:hint="eastAsia"/>
          <w:kern w:val="22"/>
          <w:sz w:val="24"/>
          <w:szCs w:val="24"/>
          <w:lang w:val="en-US"/>
        </w:rPr>
        <w:t>号建议和第</w:t>
      </w:r>
      <w:r w:rsidRPr="00EB07E5">
        <w:rPr>
          <w:kern w:val="22"/>
          <w:sz w:val="24"/>
          <w:szCs w:val="24"/>
          <w:lang w:val="en-US"/>
        </w:rPr>
        <w:t>XXI/5</w:t>
      </w:r>
      <w:r w:rsidRPr="00EB07E5">
        <w:rPr>
          <w:rFonts w:hint="eastAsia"/>
          <w:kern w:val="22"/>
          <w:sz w:val="24"/>
          <w:szCs w:val="24"/>
          <w:lang w:val="en-US"/>
        </w:rPr>
        <w:t>号建议。它还注意到执行秘书编制的</w:t>
      </w:r>
      <w:r w:rsidRPr="00EB07E5">
        <w:rPr>
          <w:kern w:val="22"/>
          <w:sz w:val="24"/>
          <w:szCs w:val="24"/>
          <w:lang w:val="en-US"/>
        </w:rPr>
        <w:t>2020</w:t>
      </w:r>
      <w:r w:rsidRPr="00EB07E5">
        <w:rPr>
          <w:rFonts w:hint="eastAsia"/>
          <w:kern w:val="22"/>
          <w:sz w:val="24"/>
          <w:szCs w:val="24"/>
          <w:lang w:val="en-US"/>
        </w:rPr>
        <w:t>年后全球生物多样性框架的拟议筹备进程，并请执行秘书邀请缔约方和其他各方就制订</w:t>
      </w:r>
      <w:r w:rsidRPr="00EB07E5">
        <w:rPr>
          <w:kern w:val="22"/>
          <w:sz w:val="24"/>
          <w:szCs w:val="24"/>
          <w:lang w:val="en-US"/>
        </w:rPr>
        <w:t>2020</w:t>
      </w:r>
      <w:r w:rsidRPr="00EB07E5">
        <w:rPr>
          <w:rFonts w:hint="eastAsia"/>
          <w:kern w:val="22"/>
          <w:sz w:val="24"/>
          <w:szCs w:val="24"/>
          <w:lang w:val="en-US"/>
        </w:rPr>
        <w:t>年后全球生物多样性框架的筹备进程提出进一步意见，包括关于加强执行、信守承诺和建立政治动力的备选方案，以及汇编这些意见和考虑到这些意见和在执行问题附属机构第二次会议上的发言更新拟议筹备进程。还要求执行秘书与主席团合作，探讨提供咨询意见和高级别政治指导的精简方案，并提出为制定</w:t>
      </w:r>
      <w:r w:rsidRPr="00EB07E5">
        <w:rPr>
          <w:kern w:val="22"/>
          <w:sz w:val="24"/>
          <w:szCs w:val="24"/>
          <w:lang w:val="en-US"/>
        </w:rPr>
        <w:t>2020</w:t>
      </w:r>
      <w:r w:rsidRPr="00EB07E5">
        <w:rPr>
          <w:rFonts w:hint="eastAsia"/>
          <w:kern w:val="22"/>
          <w:sz w:val="24"/>
          <w:szCs w:val="24"/>
          <w:lang w:val="en-US"/>
        </w:rPr>
        <w:t>年后全球生物多样性框架拟定促进两性平等的进程的建议。</w:t>
      </w:r>
    </w:p>
    <w:p w:rsidR="00047BD6" w:rsidRPr="00EB07E5" w:rsidRDefault="00047BD6" w:rsidP="00851002">
      <w:pPr>
        <w:pStyle w:val="Para10"/>
        <w:numPr>
          <w:ilvl w:val="0"/>
          <w:numId w:val="0"/>
        </w:numPr>
        <w:tabs>
          <w:tab w:val="left" w:pos="720"/>
        </w:tabs>
        <w:snapToGrid w:val="0"/>
        <w:spacing w:after="160"/>
        <w:rPr>
          <w:rFonts w:eastAsia="楷体"/>
          <w:kern w:val="22"/>
          <w:sz w:val="24"/>
          <w:szCs w:val="24"/>
        </w:rPr>
      </w:pPr>
      <w:r w:rsidRPr="00EB07E5">
        <w:rPr>
          <w:rFonts w:eastAsia="楷体" w:hint="eastAsia"/>
          <w:kern w:val="22"/>
          <w:sz w:val="24"/>
          <w:szCs w:val="24"/>
        </w:rPr>
        <w:t>《全球生物多样性展望》</w:t>
      </w:r>
    </w:p>
    <w:p w:rsidR="00047BD6" w:rsidRPr="00EB07E5" w:rsidRDefault="00047BD6" w:rsidP="009E2E39">
      <w:pPr>
        <w:pStyle w:val="Para10"/>
        <w:numPr>
          <w:ilvl w:val="0"/>
          <w:numId w:val="0"/>
        </w:numPr>
        <w:tabs>
          <w:tab w:val="left" w:pos="720"/>
        </w:tabs>
        <w:snapToGrid w:val="0"/>
        <w:spacing w:after="160"/>
        <w:rPr>
          <w:kern w:val="22"/>
          <w:sz w:val="24"/>
          <w:szCs w:val="24"/>
        </w:rPr>
      </w:pPr>
      <w:r w:rsidRPr="00EB07E5">
        <w:rPr>
          <w:rFonts w:hint="eastAsia"/>
          <w:kern w:val="22"/>
          <w:sz w:val="24"/>
          <w:szCs w:val="24"/>
          <w:lang w:val="zh-CN"/>
        </w:rPr>
        <w:t>也是在其第二十一次会议上</w:t>
      </w:r>
      <w:r w:rsidRPr="00EB07E5">
        <w:rPr>
          <w:rStyle w:val="FootnoteReference"/>
          <w:kern w:val="22"/>
          <w:sz w:val="24"/>
          <w:szCs w:val="24"/>
          <w:u w:val="none"/>
          <w:vertAlign w:val="superscript"/>
          <w:lang w:val="zh-CN"/>
        </w:rPr>
        <w:footnoteReference w:id="9"/>
      </w:r>
      <w:r w:rsidRPr="00EB07E5">
        <w:rPr>
          <w:rFonts w:hint="eastAsia"/>
          <w:kern w:val="22"/>
          <w:sz w:val="24"/>
          <w:szCs w:val="24"/>
          <w:lang w:val="zh-CN"/>
        </w:rPr>
        <w:t>，科咨机构通过了一项关于编制第五版《</w:t>
      </w:r>
      <w:r w:rsidRPr="00EB07E5">
        <w:rPr>
          <w:rFonts w:hint="eastAsia"/>
          <w:sz w:val="24"/>
          <w:szCs w:val="24"/>
          <w:lang w:val="zh-CN"/>
        </w:rPr>
        <w:t>全球生物多样性展望</w:t>
      </w:r>
      <w:r w:rsidRPr="00EB07E5">
        <w:rPr>
          <w:rFonts w:hint="eastAsia"/>
          <w:kern w:val="22"/>
          <w:sz w:val="24"/>
          <w:szCs w:val="24"/>
          <w:lang w:val="zh-CN"/>
        </w:rPr>
        <w:t>》的考虑因素的建议，根据</w:t>
      </w:r>
      <w:hyperlink r:id="rId53" w:history="1">
        <w:r w:rsidRPr="00EB07E5">
          <w:rPr>
            <w:rStyle w:val="Hyperlink"/>
            <w:rFonts w:hint="eastAsia"/>
            <w:kern w:val="22"/>
            <w:sz w:val="24"/>
            <w:szCs w:val="24"/>
            <w:lang w:val="zh-CN"/>
          </w:rPr>
          <w:t>第</w:t>
        </w:r>
        <w:r w:rsidRPr="00EB07E5">
          <w:rPr>
            <w:rStyle w:val="Hyperlink"/>
            <w:kern w:val="22"/>
            <w:sz w:val="24"/>
            <w:szCs w:val="24"/>
            <w:lang w:val="zh-CN"/>
          </w:rPr>
          <w:t>XIII/29</w:t>
        </w:r>
        <w:r w:rsidRPr="00EB07E5">
          <w:rPr>
            <w:rStyle w:val="Hyperlink"/>
            <w:rFonts w:hint="eastAsia"/>
            <w:kern w:val="22"/>
            <w:sz w:val="24"/>
            <w:szCs w:val="24"/>
            <w:lang w:val="zh-CN"/>
          </w:rPr>
          <w:t>号决定</w:t>
        </w:r>
      </w:hyperlink>
      <w:r w:rsidRPr="00EB07E5">
        <w:rPr>
          <w:rFonts w:hint="eastAsia"/>
          <w:kern w:val="22"/>
          <w:sz w:val="24"/>
          <w:szCs w:val="24"/>
          <w:lang w:val="zh-CN"/>
        </w:rPr>
        <w:t>，该建议将作为</w:t>
      </w:r>
      <w:r w:rsidRPr="00EB07E5">
        <w:rPr>
          <w:kern w:val="22"/>
          <w:sz w:val="24"/>
          <w:szCs w:val="24"/>
          <w:lang w:val="zh-CN"/>
        </w:rPr>
        <w:t>2020</w:t>
      </w:r>
      <w:r w:rsidRPr="00EB07E5">
        <w:rPr>
          <w:rFonts w:hint="eastAsia"/>
          <w:kern w:val="22"/>
          <w:sz w:val="24"/>
          <w:szCs w:val="24"/>
          <w:lang w:val="zh-CN"/>
        </w:rPr>
        <w:t>年后全球生物多样性框架的基础。</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将请缔约方大会</w:t>
      </w:r>
      <w:r w:rsidRPr="00EB07E5">
        <w:rPr>
          <w:rFonts w:hint="eastAsia"/>
          <w:kern w:val="22"/>
          <w:sz w:val="24"/>
          <w:szCs w:val="24"/>
          <w:lang w:val="zh-CN"/>
        </w:rPr>
        <w:t>根据载于决定草案汇编</w:t>
      </w:r>
      <w:r w:rsidRPr="00EB07E5">
        <w:rPr>
          <w:rFonts w:hint="eastAsia"/>
          <w:kern w:val="22"/>
          <w:sz w:val="24"/>
          <w:szCs w:val="24"/>
        </w:rPr>
        <w:t>（</w:t>
      </w:r>
      <w:r w:rsidRPr="00EB07E5">
        <w:rPr>
          <w:kern w:val="22"/>
          <w:sz w:val="24"/>
          <w:szCs w:val="24"/>
        </w:rPr>
        <w:t>CBD/COP/14/2</w:t>
      </w:r>
      <w:r w:rsidRPr="00EB07E5">
        <w:rPr>
          <w:rFonts w:hint="eastAsia"/>
          <w:kern w:val="22"/>
          <w:sz w:val="24"/>
          <w:szCs w:val="24"/>
        </w:rPr>
        <w:t>）</w:t>
      </w:r>
      <w:r w:rsidRPr="00EB07E5">
        <w:rPr>
          <w:rFonts w:hint="eastAsia"/>
          <w:kern w:val="22"/>
          <w:sz w:val="24"/>
          <w:szCs w:val="24"/>
          <w:lang w:val="zh-CN"/>
        </w:rPr>
        <w:t>依照</w:t>
      </w:r>
      <w:r w:rsidRPr="00EB07E5">
        <w:rPr>
          <w:rFonts w:hint="eastAsia"/>
          <w:kern w:val="22"/>
          <w:sz w:val="24"/>
          <w:szCs w:val="24"/>
        </w:rPr>
        <w:t>科咨机构第</w:t>
      </w:r>
      <w:r w:rsidRPr="00EB07E5">
        <w:rPr>
          <w:kern w:val="22"/>
          <w:sz w:val="24"/>
          <w:szCs w:val="24"/>
        </w:rPr>
        <w:t>XXI/1</w:t>
      </w:r>
      <w:r w:rsidRPr="00EB07E5">
        <w:rPr>
          <w:rFonts w:hint="eastAsia"/>
          <w:kern w:val="22"/>
          <w:sz w:val="24"/>
          <w:szCs w:val="24"/>
        </w:rPr>
        <w:t>号建议和第</w:t>
      </w:r>
      <w:r w:rsidRPr="00EB07E5">
        <w:rPr>
          <w:kern w:val="22"/>
          <w:sz w:val="24"/>
          <w:szCs w:val="24"/>
        </w:rPr>
        <w:t>XXI/5</w:t>
      </w:r>
      <w:r w:rsidRPr="00EB07E5">
        <w:rPr>
          <w:rFonts w:hint="eastAsia"/>
          <w:kern w:val="22"/>
          <w:sz w:val="24"/>
          <w:szCs w:val="24"/>
        </w:rPr>
        <w:t>号建议以及执行问题附属机构第</w:t>
      </w:r>
      <w:r w:rsidRPr="00EB07E5">
        <w:rPr>
          <w:kern w:val="22"/>
          <w:sz w:val="24"/>
          <w:szCs w:val="24"/>
          <w:lang w:val="en-US"/>
        </w:rPr>
        <w:t>2/19</w:t>
      </w:r>
      <w:r w:rsidRPr="00EB07E5">
        <w:rPr>
          <w:rFonts w:hint="eastAsia"/>
          <w:kern w:val="22"/>
          <w:sz w:val="24"/>
          <w:szCs w:val="24"/>
        </w:rPr>
        <w:t>号建议编制的决定草案审议这个议程项目，同时考虑到秘书处依照科咨机构第</w:t>
      </w:r>
      <w:r w:rsidRPr="00EB07E5">
        <w:rPr>
          <w:kern w:val="22"/>
          <w:sz w:val="24"/>
          <w:szCs w:val="24"/>
        </w:rPr>
        <w:t>XXI/1</w:t>
      </w:r>
      <w:r w:rsidRPr="00EB07E5">
        <w:rPr>
          <w:rFonts w:hint="eastAsia"/>
          <w:kern w:val="22"/>
          <w:sz w:val="24"/>
          <w:szCs w:val="24"/>
        </w:rPr>
        <w:t>号建议和执行问题附属机构第</w:t>
      </w:r>
      <w:r w:rsidRPr="00EB07E5">
        <w:rPr>
          <w:kern w:val="22"/>
          <w:sz w:val="24"/>
          <w:szCs w:val="24"/>
        </w:rPr>
        <w:t>2/19</w:t>
      </w:r>
      <w:r w:rsidRPr="00EB07E5">
        <w:rPr>
          <w:rFonts w:hint="eastAsia"/>
          <w:kern w:val="22"/>
          <w:sz w:val="24"/>
          <w:szCs w:val="24"/>
        </w:rPr>
        <w:t>号建议提供的筹备进程最新提案和其他信息（</w:t>
      </w:r>
      <w:r w:rsidRPr="00EB07E5">
        <w:rPr>
          <w:kern w:val="22"/>
          <w:sz w:val="24"/>
          <w:szCs w:val="24"/>
        </w:rPr>
        <w:t>CBD/COP/14/9</w:t>
      </w:r>
      <w:r w:rsidRPr="00EB07E5">
        <w:rPr>
          <w:rFonts w:hint="eastAsia"/>
          <w:kern w:val="22"/>
          <w:sz w:val="24"/>
          <w:szCs w:val="24"/>
        </w:rPr>
        <w:t>）以及关于</w:t>
      </w:r>
      <w:r w:rsidRPr="00EB07E5">
        <w:rPr>
          <w:kern w:val="22"/>
          <w:sz w:val="24"/>
          <w:szCs w:val="24"/>
        </w:rPr>
        <w:t>“</w:t>
      </w:r>
      <w:r w:rsidRPr="00EB07E5">
        <w:rPr>
          <w:rFonts w:hint="eastAsia"/>
          <w:sz w:val="24"/>
          <w:szCs w:val="24"/>
        </w:rPr>
        <w:t>与自然和谐共处的办法</w:t>
      </w:r>
      <w:r w:rsidRPr="00EB07E5">
        <w:rPr>
          <w:kern w:val="22"/>
          <w:sz w:val="24"/>
          <w:szCs w:val="24"/>
        </w:rPr>
        <w:t>”</w:t>
      </w:r>
      <w:r w:rsidRPr="00EB07E5">
        <w:rPr>
          <w:rFonts w:hint="eastAsia"/>
          <w:kern w:val="22"/>
          <w:sz w:val="24"/>
          <w:szCs w:val="24"/>
        </w:rPr>
        <w:t>进行会期对话的成果。</w:t>
      </w:r>
    </w:p>
    <w:p w:rsidR="00047BD6" w:rsidRPr="00EB07E5" w:rsidRDefault="00047BD6" w:rsidP="00851002">
      <w:pPr>
        <w:pStyle w:val="Para10"/>
        <w:numPr>
          <w:ilvl w:val="0"/>
          <w:numId w:val="0"/>
        </w:numPr>
        <w:tabs>
          <w:tab w:val="left" w:pos="720"/>
        </w:tabs>
        <w:snapToGrid w:val="0"/>
        <w:spacing w:after="160"/>
        <w:jc w:val="center"/>
        <w:rPr>
          <w:b/>
          <w:kern w:val="22"/>
          <w:sz w:val="24"/>
          <w:szCs w:val="24"/>
        </w:rPr>
      </w:pPr>
      <w:r w:rsidRPr="00EB07E5">
        <w:rPr>
          <w:rFonts w:hint="eastAsia"/>
          <w:b/>
          <w:kern w:val="22"/>
          <w:sz w:val="24"/>
          <w:szCs w:val="24"/>
        </w:rPr>
        <w:t>项目</w:t>
      </w:r>
      <w:r w:rsidRPr="00EB07E5">
        <w:rPr>
          <w:b/>
          <w:kern w:val="22"/>
          <w:sz w:val="24"/>
          <w:szCs w:val="24"/>
        </w:rPr>
        <w:t xml:space="preserve"> 18. </w:t>
      </w:r>
      <w:r w:rsidRPr="00EB07E5">
        <w:rPr>
          <w:rFonts w:hint="eastAsia"/>
          <w:b/>
          <w:kern w:val="22"/>
          <w:sz w:val="24"/>
          <w:szCs w:val="24"/>
        </w:rPr>
        <w:t>遗传资源数字序列信息</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遗传资源的数字序列信息在《公约》和《名古屋议定书》之下成为缔约方大会第十三届会议和《名古屋议定书》缔约方第二次会议的跨领域问题</w:t>
      </w:r>
      <w:r w:rsidRPr="00EB07E5">
        <w:rPr>
          <w:rStyle w:val="FootnoteReference"/>
          <w:kern w:val="22"/>
          <w:sz w:val="24"/>
          <w:szCs w:val="24"/>
          <w:vertAlign w:val="superscript"/>
        </w:rPr>
        <w:footnoteReference w:id="10"/>
      </w:r>
      <w:r w:rsidRPr="00EB07E5">
        <w:rPr>
          <w:rFonts w:hint="eastAsia"/>
          <w:kern w:val="22"/>
          <w:sz w:val="24"/>
          <w:szCs w:val="24"/>
        </w:rPr>
        <w:t>。缔约方决定在各自的下一次会议上分别审议使用遗传资源数字序列信息对《公约》三项目标和《名古屋议定书》目标可能产生的任何影响。</w:t>
      </w:r>
      <w:r w:rsidRPr="00EB07E5">
        <w:rPr>
          <w:rFonts w:hint="eastAsia"/>
          <w:kern w:val="22"/>
          <w:sz w:val="24"/>
          <w:szCs w:val="24"/>
          <w:lang w:val="en-US"/>
        </w:rPr>
        <w:t>遵照</w:t>
      </w:r>
      <w:r w:rsidRPr="00EB07E5">
        <w:rPr>
          <w:rFonts w:hint="eastAsia"/>
          <w:kern w:val="22"/>
          <w:sz w:val="24"/>
          <w:szCs w:val="24"/>
        </w:rPr>
        <w:t>这些决定，执行秘书编制了意见和资料的汇编和综合报告，以及一份委托进行的澄清有关术语和概念的研究报告。根据这个信息，考虑设立一个特设技术专家组来处理这个问题，专家组会议的结果将由科咨机构第二十二次会议审议。</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将请缔约方大会将根据载于决定草案汇编（</w:t>
      </w:r>
      <w:r w:rsidRPr="00EB07E5">
        <w:rPr>
          <w:kern w:val="22"/>
          <w:sz w:val="24"/>
          <w:szCs w:val="24"/>
        </w:rPr>
        <w:t>CBD/COP/14/2</w:t>
      </w:r>
      <w:r w:rsidRPr="00EB07E5">
        <w:rPr>
          <w:rFonts w:hint="eastAsia"/>
          <w:kern w:val="22"/>
          <w:sz w:val="24"/>
          <w:szCs w:val="24"/>
        </w:rPr>
        <w:t>）依照科咨机构第</w:t>
      </w:r>
      <w:r w:rsidRPr="00EB07E5">
        <w:rPr>
          <w:kern w:val="22"/>
          <w:sz w:val="24"/>
          <w:szCs w:val="24"/>
          <w:lang w:val="en-US"/>
        </w:rPr>
        <w:t>22</w:t>
      </w:r>
      <w:r w:rsidRPr="00EB07E5">
        <w:rPr>
          <w:iCs/>
          <w:kern w:val="22"/>
          <w:sz w:val="24"/>
          <w:szCs w:val="24"/>
        </w:rPr>
        <w:t>/1</w:t>
      </w:r>
      <w:r w:rsidRPr="00EB07E5">
        <w:rPr>
          <w:rFonts w:hint="eastAsia"/>
          <w:kern w:val="22"/>
          <w:sz w:val="24"/>
          <w:szCs w:val="24"/>
        </w:rPr>
        <w:t>号建议编制的决定草案审议使用遗传资源数字序列信息对《公约》三项目标可能产生的影响。</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本项目将与名古屋议定书缔约方第三次会议议程上的相应项目同时审议，第三次会议将审议遗传资源数字序列信息对《名古屋议定书》目标的任何潜在影响。</w:t>
      </w:r>
    </w:p>
    <w:p w:rsidR="00047BD6" w:rsidRPr="00EB07E5" w:rsidRDefault="00047BD6" w:rsidP="00851002">
      <w:pPr>
        <w:pStyle w:val="Para10"/>
        <w:numPr>
          <w:ilvl w:val="0"/>
          <w:numId w:val="0"/>
        </w:numPr>
        <w:tabs>
          <w:tab w:val="left" w:pos="720"/>
        </w:tabs>
        <w:snapToGrid w:val="0"/>
        <w:spacing w:after="160"/>
        <w:jc w:val="center"/>
        <w:rPr>
          <w:b/>
          <w:kern w:val="22"/>
          <w:sz w:val="24"/>
          <w:szCs w:val="24"/>
        </w:rPr>
      </w:pPr>
      <w:r w:rsidRPr="00EB07E5">
        <w:rPr>
          <w:rFonts w:hint="eastAsia"/>
          <w:b/>
          <w:kern w:val="22"/>
          <w:sz w:val="24"/>
          <w:szCs w:val="24"/>
        </w:rPr>
        <w:t>项目</w:t>
      </w:r>
      <w:r w:rsidRPr="00EB07E5">
        <w:rPr>
          <w:b/>
          <w:kern w:val="22"/>
          <w:sz w:val="24"/>
          <w:szCs w:val="24"/>
        </w:rPr>
        <w:t xml:space="preserve"> 19. </w:t>
      </w:r>
      <w:r w:rsidRPr="00EB07E5">
        <w:rPr>
          <w:rFonts w:hint="eastAsia"/>
          <w:b/>
          <w:kern w:val="22"/>
          <w:sz w:val="24"/>
          <w:szCs w:val="24"/>
        </w:rPr>
        <w:t>第</w:t>
      </w:r>
      <w:r w:rsidRPr="00EB07E5">
        <w:rPr>
          <w:b/>
          <w:kern w:val="22"/>
          <w:sz w:val="24"/>
          <w:szCs w:val="24"/>
        </w:rPr>
        <w:t>8</w:t>
      </w:r>
      <w:r w:rsidRPr="00EB07E5">
        <w:rPr>
          <w:rFonts w:hint="eastAsia"/>
          <w:b/>
          <w:kern w:val="22"/>
          <w:sz w:val="24"/>
          <w:szCs w:val="24"/>
        </w:rPr>
        <w:t>（</w:t>
      </w:r>
      <w:r w:rsidRPr="00EB07E5">
        <w:rPr>
          <w:b/>
          <w:kern w:val="22"/>
          <w:sz w:val="24"/>
          <w:szCs w:val="24"/>
        </w:rPr>
        <w:t>j</w:t>
      </w:r>
      <w:r w:rsidRPr="00EB07E5">
        <w:rPr>
          <w:rFonts w:hint="eastAsia"/>
          <w:b/>
          <w:kern w:val="22"/>
          <w:sz w:val="24"/>
          <w:szCs w:val="24"/>
        </w:rPr>
        <w:t>）条和相关条款</w:t>
      </w:r>
    </w:p>
    <w:p w:rsidR="00047BD6" w:rsidRPr="00EB07E5" w:rsidRDefault="00047BD6" w:rsidP="00851002">
      <w:pPr>
        <w:pStyle w:val="Para10"/>
        <w:numPr>
          <w:ilvl w:val="0"/>
          <w:numId w:val="0"/>
        </w:numPr>
        <w:tabs>
          <w:tab w:val="left" w:pos="720"/>
        </w:tabs>
        <w:snapToGrid w:val="0"/>
        <w:spacing w:after="160"/>
        <w:rPr>
          <w:rFonts w:eastAsia="楷体"/>
          <w:kern w:val="22"/>
          <w:sz w:val="24"/>
          <w:szCs w:val="24"/>
          <w:lang w:val="en-US"/>
        </w:rPr>
      </w:pPr>
      <w:r w:rsidRPr="00EB07E5">
        <w:rPr>
          <w:rFonts w:eastAsia="楷体" w:hint="eastAsia"/>
          <w:kern w:val="22"/>
          <w:sz w:val="24"/>
          <w:szCs w:val="24"/>
          <w:lang w:val="en-US"/>
        </w:rPr>
        <w:t>返还与保护和可持续利用生物多样性相关的传统知识的卢佐利希里沙希克自愿准则</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继</w:t>
      </w:r>
      <w:hyperlink r:id="rId54" w:history="1">
        <w:r w:rsidRPr="00EB07E5">
          <w:rPr>
            <w:rStyle w:val="Hyperlink"/>
            <w:rFonts w:hint="eastAsia"/>
            <w:kern w:val="22"/>
            <w:sz w:val="24"/>
            <w:szCs w:val="24"/>
          </w:rPr>
          <w:t>第</w:t>
        </w:r>
        <w:r w:rsidRPr="00EB07E5">
          <w:rPr>
            <w:rStyle w:val="Hyperlink"/>
            <w:kern w:val="22"/>
            <w:sz w:val="24"/>
            <w:szCs w:val="24"/>
          </w:rPr>
          <w:t>XIII/19</w:t>
        </w:r>
        <w:r w:rsidRPr="00EB07E5">
          <w:rPr>
            <w:rStyle w:val="Hyperlink"/>
            <w:rFonts w:hint="eastAsia"/>
            <w:kern w:val="22"/>
            <w:sz w:val="24"/>
            <w:szCs w:val="24"/>
          </w:rPr>
          <w:t>号决定</w:t>
        </w:r>
      </w:hyperlink>
      <w:r w:rsidRPr="00EB07E5">
        <w:rPr>
          <w:rFonts w:hint="eastAsia"/>
          <w:kern w:val="22"/>
          <w:sz w:val="24"/>
          <w:szCs w:val="24"/>
        </w:rPr>
        <w:t>之后，第</w:t>
      </w:r>
      <w:r w:rsidRPr="00EB07E5">
        <w:rPr>
          <w:kern w:val="22"/>
          <w:sz w:val="24"/>
          <w:szCs w:val="24"/>
        </w:rPr>
        <w:t>8</w:t>
      </w:r>
      <w:r w:rsidRPr="00EB07E5">
        <w:rPr>
          <w:rFonts w:hint="eastAsia"/>
          <w:kern w:val="22"/>
          <w:sz w:val="24"/>
          <w:szCs w:val="24"/>
        </w:rPr>
        <w:t>（</w:t>
      </w:r>
      <w:r w:rsidRPr="00EB07E5">
        <w:rPr>
          <w:kern w:val="22"/>
          <w:sz w:val="24"/>
          <w:szCs w:val="24"/>
        </w:rPr>
        <w:t>j</w:t>
      </w:r>
      <w:r w:rsidRPr="00EB07E5">
        <w:rPr>
          <w:rFonts w:hint="eastAsia"/>
          <w:kern w:val="22"/>
          <w:sz w:val="24"/>
          <w:szCs w:val="24"/>
        </w:rPr>
        <w:t>）条和相关条款问题不限成员名额特设工作组在其第十次会议上将《返还与保护和可持续利用生物多样性相关传统知识的卢佐利希里沙希克自愿准则》草案定稿</w:t>
      </w:r>
      <w:r w:rsidRPr="00EB07E5">
        <w:rPr>
          <w:rStyle w:val="FootnoteReference"/>
          <w:kern w:val="22"/>
          <w:sz w:val="24"/>
          <w:szCs w:val="24"/>
        </w:rPr>
        <w:footnoteReference w:id="11"/>
      </w:r>
      <w:r w:rsidRPr="00EB07E5">
        <w:rPr>
          <w:rFonts w:hint="eastAsia"/>
          <w:kern w:val="22"/>
          <w:sz w:val="24"/>
          <w:szCs w:val="24"/>
        </w:rPr>
        <w:t>，并建议缔约方大会予以通过。</w:t>
      </w:r>
    </w:p>
    <w:p w:rsidR="00047BD6" w:rsidRPr="00EB07E5" w:rsidRDefault="00047BD6" w:rsidP="00851002">
      <w:pPr>
        <w:pStyle w:val="Para10"/>
        <w:numPr>
          <w:ilvl w:val="0"/>
          <w:numId w:val="0"/>
        </w:numPr>
        <w:tabs>
          <w:tab w:val="left" w:pos="720"/>
        </w:tabs>
        <w:snapToGrid w:val="0"/>
        <w:spacing w:after="160"/>
        <w:rPr>
          <w:rFonts w:eastAsia="楷体"/>
          <w:kern w:val="22"/>
          <w:sz w:val="24"/>
          <w:szCs w:val="24"/>
        </w:rPr>
      </w:pPr>
      <w:r w:rsidRPr="00EB07E5">
        <w:rPr>
          <w:rFonts w:eastAsia="楷体" w:hint="eastAsia"/>
          <w:kern w:val="22"/>
          <w:sz w:val="24"/>
          <w:szCs w:val="24"/>
        </w:rPr>
        <w:t>第</w:t>
      </w:r>
      <w:r w:rsidRPr="00EB07E5">
        <w:rPr>
          <w:rFonts w:eastAsia="楷体"/>
          <w:kern w:val="22"/>
          <w:sz w:val="24"/>
          <w:szCs w:val="24"/>
        </w:rPr>
        <w:t>8(J)</w:t>
      </w:r>
      <w:r w:rsidRPr="00EB07E5">
        <w:rPr>
          <w:rFonts w:eastAsia="楷体" w:hint="eastAsia"/>
          <w:kern w:val="22"/>
          <w:sz w:val="24"/>
          <w:szCs w:val="24"/>
        </w:rPr>
        <w:t>条和相关条款范围内使用的有关关键术语和概念词汇表</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继</w:t>
      </w:r>
      <w:hyperlink r:id="rId55" w:history="1">
        <w:r w:rsidRPr="00EB07E5">
          <w:rPr>
            <w:rStyle w:val="Hyperlink"/>
            <w:rFonts w:hint="eastAsia"/>
            <w:kern w:val="22"/>
            <w:sz w:val="24"/>
            <w:szCs w:val="24"/>
          </w:rPr>
          <w:t>第</w:t>
        </w:r>
        <w:r w:rsidRPr="00EB07E5">
          <w:rPr>
            <w:rStyle w:val="Hyperlink"/>
            <w:kern w:val="22"/>
            <w:sz w:val="24"/>
            <w:szCs w:val="24"/>
          </w:rPr>
          <w:t>XIII/19</w:t>
        </w:r>
        <w:r w:rsidRPr="00EB07E5">
          <w:rPr>
            <w:rStyle w:val="Hyperlink"/>
            <w:rFonts w:hint="eastAsia"/>
            <w:kern w:val="22"/>
            <w:sz w:val="24"/>
            <w:szCs w:val="24"/>
          </w:rPr>
          <w:t>号决定</w:t>
        </w:r>
      </w:hyperlink>
      <w:r w:rsidRPr="00EB07E5">
        <w:rPr>
          <w:rFonts w:hint="eastAsia"/>
          <w:kern w:val="22"/>
          <w:sz w:val="24"/>
          <w:szCs w:val="24"/>
        </w:rPr>
        <w:t>之后，工作组通过了第</w:t>
      </w:r>
      <w:r w:rsidRPr="00EB07E5">
        <w:rPr>
          <w:kern w:val="22"/>
          <w:sz w:val="24"/>
          <w:szCs w:val="24"/>
        </w:rPr>
        <w:t>10/2</w:t>
      </w:r>
      <w:r w:rsidRPr="00EB07E5">
        <w:rPr>
          <w:rFonts w:hint="eastAsia"/>
          <w:kern w:val="22"/>
          <w:sz w:val="24"/>
          <w:szCs w:val="24"/>
        </w:rPr>
        <w:t>号建议，其附件载有第</w:t>
      </w:r>
      <w:r w:rsidRPr="00EB07E5">
        <w:rPr>
          <w:kern w:val="22"/>
          <w:sz w:val="24"/>
          <w:szCs w:val="24"/>
        </w:rPr>
        <w:t>8(J)</w:t>
      </w:r>
      <w:r w:rsidRPr="00EB07E5">
        <w:rPr>
          <w:rFonts w:hint="eastAsia"/>
          <w:kern w:val="22"/>
          <w:sz w:val="24"/>
          <w:szCs w:val="24"/>
        </w:rPr>
        <w:t>条和相关条款范围内使用的有关关键术语和概念自愿词汇表。</w:t>
      </w:r>
    </w:p>
    <w:p w:rsidR="00047BD6" w:rsidRPr="00EB07E5" w:rsidRDefault="00047BD6" w:rsidP="00851002">
      <w:pPr>
        <w:pStyle w:val="Para10"/>
        <w:numPr>
          <w:ilvl w:val="0"/>
          <w:numId w:val="0"/>
        </w:numPr>
        <w:tabs>
          <w:tab w:val="left" w:pos="720"/>
        </w:tabs>
        <w:snapToGrid w:val="0"/>
        <w:spacing w:after="160"/>
        <w:rPr>
          <w:rFonts w:eastAsia="楷体"/>
          <w:kern w:val="22"/>
          <w:sz w:val="24"/>
          <w:szCs w:val="24"/>
          <w:lang w:val="en-US"/>
        </w:rPr>
      </w:pPr>
      <w:r w:rsidRPr="00EB07E5">
        <w:rPr>
          <w:rFonts w:eastAsia="楷体" w:hint="eastAsia"/>
          <w:kern w:val="22"/>
          <w:sz w:val="24"/>
          <w:szCs w:val="24"/>
          <w:lang w:val="en-US"/>
        </w:rPr>
        <w:t>与</w:t>
      </w:r>
      <w:r w:rsidRPr="00EB07E5">
        <w:rPr>
          <w:rFonts w:eastAsia="楷体" w:hint="eastAsia"/>
          <w:kern w:val="22"/>
          <w:sz w:val="24"/>
          <w:szCs w:val="24"/>
        </w:rPr>
        <w:t>第</w:t>
      </w:r>
      <w:r w:rsidRPr="00EB07E5">
        <w:rPr>
          <w:rFonts w:eastAsia="楷体"/>
          <w:kern w:val="22"/>
          <w:sz w:val="24"/>
          <w:szCs w:val="24"/>
        </w:rPr>
        <w:t>8(J)</w:t>
      </w:r>
      <w:r w:rsidRPr="00EB07E5">
        <w:rPr>
          <w:rFonts w:eastAsia="楷体" w:hint="eastAsia"/>
          <w:kern w:val="22"/>
          <w:sz w:val="24"/>
          <w:szCs w:val="24"/>
        </w:rPr>
        <w:t>条有关的其他事项</w:t>
      </w:r>
    </w:p>
    <w:p w:rsidR="00047BD6" w:rsidRPr="00EB07E5" w:rsidRDefault="00047BD6" w:rsidP="00851002">
      <w:pPr>
        <w:pStyle w:val="Para10"/>
        <w:numPr>
          <w:ilvl w:val="0"/>
          <w:numId w:val="20"/>
        </w:numPr>
        <w:tabs>
          <w:tab w:val="clear" w:pos="360"/>
          <w:tab w:val="left" w:pos="720"/>
        </w:tabs>
        <w:snapToGrid w:val="0"/>
        <w:spacing w:after="160"/>
        <w:rPr>
          <w:iCs/>
          <w:kern w:val="22"/>
          <w:sz w:val="24"/>
          <w:szCs w:val="24"/>
        </w:rPr>
      </w:pPr>
      <w:r w:rsidRPr="00EB07E5">
        <w:rPr>
          <w:rFonts w:hint="eastAsia"/>
          <w:kern w:val="22"/>
          <w:sz w:val="24"/>
          <w:szCs w:val="24"/>
        </w:rPr>
        <w:t>工作组还通过了关于专题领域和其他跨领域问题的深入对话的</w:t>
      </w:r>
      <w:hyperlink r:id="rId56" w:history="1">
        <w:r w:rsidRPr="00EB07E5">
          <w:rPr>
            <w:rStyle w:val="Hyperlink"/>
            <w:rFonts w:hint="eastAsia"/>
            <w:kern w:val="22"/>
            <w:sz w:val="24"/>
            <w:szCs w:val="24"/>
          </w:rPr>
          <w:t>第</w:t>
        </w:r>
        <w:r w:rsidRPr="00EB07E5">
          <w:rPr>
            <w:rStyle w:val="Hyperlink"/>
            <w:kern w:val="22"/>
            <w:sz w:val="24"/>
            <w:szCs w:val="24"/>
          </w:rPr>
          <w:t>10/5</w:t>
        </w:r>
        <w:r w:rsidRPr="00EB07E5">
          <w:rPr>
            <w:rStyle w:val="Hyperlink"/>
            <w:rFonts w:hint="eastAsia"/>
            <w:kern w:val="22"/>
            <w:sz w:val="24"/>
            <w:szCs w:val="24"/>
          </w:rPr>
          <w:t>号建议</w:t>
        </w:r>
      </w:hyperlink>
      <w:r w:rsidRPr="00EB07E5">
        <w:rPr>
          <w:rFonts w:hint="eastAsia"/>
          <w:kern w:val="22"/>
          <w:sz w:val="24"/>
          <w:szCs w:val="24"/>
        </w:rPr>
        <w:t>和关于联合国土著问题常设论坛建议的</w:t>
      </w:r>
      <w:hyperlink r:id="rId57" w:history="1">
        <w:r w:rsidRPr="00EB07E5">
          <w:rPr>
            <w:rStyle w:val="Hyperlink"/>
            <w:rFonts w:hint="eastAsia"/>
            <w:kern w:val="22"/>
            <w:sz w:val="24"/>
            <w:szCs w:val="24"/>
          </w:rPr>
          <w:t>第</w:t>
        </w:r>
        <w:r w:rsidRPr="00EB07E5">
          <w:rPr>
            <w:rStyle w:val="Hyperlink"/>
            <w:kern w:val="22"/>
            <w:sz w:val="24"/>
            <w:szCs w:val="24"/>
          </w:rPr>
          <w:t>10/6</w:t>
        </w:r>
        <w:r w:rsidRPr="00EB07E5">
          <w:rPr>
            <w:rStyle w:val="Hyperlink"/>
            <w:rFonts w:hint="eastAsia"/>
            <w:kern w:val="22"/>
            <w:sz w:val="24"/>
            <w:szCs w:val="24"/>
          </w:rPr>
          <w:t>号建议</w:t>
        </w:r>
      </w:hyperlink>
      <w:r w:rsidRPr="00EB07E5">
        <w:rPr>
          <w:rFonts w:hint="eastAsia"/>
          <w:kern w:val="22"/>
          <w:sz w:val="24"/>
          <w:szCs w:val="24"/>
        </w:rPr>
        <w:t>。</w:t>
      </w:r>
    </w:p>
    <w:p w:rsidR="00047BD6" w:rsidRPr="00EB07E5" w:rsidRDefault="00047BD6" w:rsidP="00851002">
      <w:pPr>
        <w:pStyle w:val="Para10"/>
        <w:numPr>
          <w:ilvl w:val="0"/>
          <w:numId w:val="20"/>
        </w:numPr>
        <w:tabs>
          <w:tab w:val="clear" w:pos="360"/>
          <w:tab w:val="left" w:pos="720"/>
        </w:tabs>
        <w:snapToGrid w:val="0"/>
        <w:spacing w:after="160"/>
        <w:rPr>
          <w:iCs/>
          <w:kern w:val="22"/>
          <w:sz w:val="24"/>
          <w:szCs w:val="24"/>
        </w:rPr>
      </w:pPr>
      <w:r w:rsidRPr="00EB07E5">
        <w:rPr>
          <w:rFonts w:hint="eastAsia"/>
          <w:kern w:val="22"/>
          <w:sz w:val="24"/>
          <w:szCs w:val="24"/>
        </w:rPr>
        <w:t>将请</w:t>
      </w:r>
      <w:r w:rsidRPr="00EB07E5">
        <w:rPr>
          <w:rFonts w:hint="eastAsia"/>
          <w:iCs/>
          <w:kern w:val="22"/>
          <w:sz w:val="24"/>
          <w:szCs w:val="24"/>
        </w:rPr>
        <w:t>缔约方大会根据载于决定草案汇编（</w:t>
      </w:r>
      <w:r w:rsidRPr="00EB07E5">
        <w:rPr>
          <w:iCs/>
          <w:kern w:val="22"/>
          <w:sz w:val="24"/>
          <w:szCs w:val="24"/>
        </w:rPr>
        <w:t>CBD/COP/14/2</w:t>
      </w:r>
      <w:r w:rsidRPr="00EB07E5">
        <w:rPr>
          <w:rFonts w:hint="eastAsia"/>
          <w:iCs/>
          <w:kern w:val="22"/>
          <w:sz w:val="24"/>
          <w:szCs w:val="24"/>
        </w:rPr>
        <w:t>）内第</w:t>
      </w:r>
      <w:r w:rsidRPr="00EB07E5">
        <w:rPr>
          <w:iCs/>
          <w:kern w:val="22"/>
          <w:sz w:val="24"/>
          <w:szCs w:val="24"/>
        </w:rPr>
        <w:t>8</w:t>
      </w:r>
      <w:r w:rsidRPr="00EB07E5">
        <w:rPr>
          <w:rFonts w:hint="eastAsia"/>
          <w:iCs/>
          <w:kern w:val="22"/>
          <w:sz w:val="24"/>
          <w:szCs w:val="24"/>
        </w:rPr>
        <w:t>（</w:t>
      </w:r>
      <w:r w:rsidRPr="00EB07E5">
        <w:rPr>
          <w:iCs/>
          <w:kern w:val="22"/>
          <w:sz w:val="24"/>
          <w:szCs w:val="24"/>
        </w:rPr>
        <w:t>j</w:t>
      </w:r>
      <w:r w:rsidRPr="00EB07E5">
        <w:rPr>
          <w:rFonts w:hint="eastAsia"/>
          <w:iCs/>
          <w:kern w:val="22"/>
          <w:sz w:val="24"/>
          <w:szCs w:val="24"/>
        </w:rPr>
        <w:t>）条和相关条款问题不限成员名额特设工作组的上述建议审议这些事项。</w:t>
      </w:r>
    </w:p>
    <w:p w:rsidR="00047BD6" w:rsidRPr="00EB07E5" w:rsidRDefault="00047BD6" w:rsidP="00851002">
      <w:pPr>
        <w:pStyle w:val="Para10"/>
        <w:numPr>
          <w:ilvl w:val="0"/>
          <w:numId w:val="20"/>
        </w:numPr>
        <w:tabs>
          <w:tab w:val="clear" w:pos="360"/>
          <w:tab w:val="left" w:pos="720"/>
        </w:tabs>
        <w:snapToGrid w:val="0"/>
        <w:spacing w:after="160"/>
        <w:rPr>
          <w:iCs/>
          <w:kern w:val="22"/>
          <w:sz w:val="24"/>
          <w:szCs w:val="24"/>
        </w:rPr>
      </w:pPr>
      <w:r w:rsidRPr="00EB07E5">
        <w:rPr>
          <w:rFonts w:hint="eastAsia"/>
          <w:kern w:val="22"/>
          <w:sz w:val="24"/>
          <w:szCs w:val="24"/>
        </w:rPr>
        <w:t>工作组的进一步建议将在议程项目</w:t>
      </w:r>
      <w:r w:rsidRPr="00EB07E5">
        <w:rPr>
          <w:kern w:val="22"/>
          <w:sz w:val="24"/>
          <w:szCs w:val="24"/>
        </w:rPr>
        <w:t>9</w:t>
      </w:r>
      <w:r w:rsidRPr="00EB07E5">
        <w:rPr>
          <w:rFonts w:hint="eastAsia"/>
          <w:kern w:val="22"/>
          <w:sz w:val="24"/>
          <w:szCs w:val="24"/>
        </w:rPr>
        <w:t>和</w:t>
      </w:r>
      <w:r w:rsidRPr="00EB07E5">
        <w:rPr>
          <w:kern w:val="22"/>
          <w:sz w:val="24"/>
          <w:szCs w:val="24"/>
        </w:rPr>
        <w:t>13</w:t>
      </w:r>
      <w:r w:rsidRPr="00EB07E5">
        <w:rPr>
          <w:rFonts w:hint="eastAsia"/>
          <w:kern w:val="22"/>
          <w:sz w:val="24"/>
          <w:szCs w:val="24"/>
        </w:rPr>
        <w:t>下审议。</w:t>
      </w:r>
    </w:p>
    <w:p w:rsidR="00047BD6" w:rsidRPr="00EB07E5" w:rsidRDefault="00047BD6" w:rsidP="00851002">
      <w:pPr>
        <w:pStyle w:val="Para10"/>
        <w:keepNext/>
        <w:numPr>
          <w:ilvl w:val="0"/>
          <w:numId w:val="0"/>
        </w:numPr>
        <w:snapToGrid w:val="0"/>
        <w:jc w:val="center"/>
        <w:rPr>
          <w:b/>
          <w:kern w:val="22"/>
          <w:sz w:val="24"/>
          <w:szCs w:val="24"/>
        </w:rPr>
      </w:pPr>
      <w:r w:rsidRPr="00EB07E5">
        <w:rPr>
          <w:rFonts w:hint="eastAsia"/>
          <w:b/>
          <w:kern w:val="22"/>
          <w:sz w:val="24"/>
          <w:szCs w:val="24"/>
        </w:rPr>
        <w:t>项目</w:t>
      </w:r>
      <w:r w:rsidRPr="00EB07E5">
        <w:rPr>
          <w:b/>
          <w:kern w:val="22"/>
          <w:sz w:val="24"/>
          <w:szCs w:val="24"/>
        </w:rPr>
        <w:t xml:space="preserve"> 20. </w:t>
      </w:r>
      <w:r w:rsidRPr="00EB07E5">
        <w:rPr>
          <w:rFonts w:hint="eastAsia"/>
          <w:b/>
          <w:sz w:val="24"/>
          <w:szCs w:val="24"/>
          <w:lang w:val="en-US"/>
        </w:rPr>
        <w:t>可持续野生动物管理</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继</w:t>
      </w:r>
      <w:hyperlink r:id="rId58" w:history="1">
        <w:r w:rsidRPr="00EB07E5">
          <w:rPr>
            <w:rStyle w:val="Hyperlink"/>
            <w:rFonts w:hint="eastAsia"/>
            <w:kern w:val="22"/>
            <w:sz w:val="24"/>
            <w:szCs w:val="24"/>
          </w:rPr>
          <w:t>第</w:t>
        </w:r>
        <w:r w:rsidRPr="00EB07E5">
          <w:rPr>
            <w:rStyle w:val="Hyperlink"/>
            <w:kern w:val="22"/>
            <w:sz w:val="24"/>
            <w:szCs w:val="24"/>
          </w:rPr>
          <w:t>XIII/8</w:t>
        </w:r>
        <w:r w:rsidRPr="00EB07E5">
          <w:rPr>
            <w:rStyle w:val="Hyperlink"/>
            <w:rFonts w:hint="eastAsia"/>
            <w:kern w:val="22"/>
            <w:sz w:val="24"/>
            <w:szCs w:val="24"/>
          </w:rPr>
          <w:t>号决定</w:t>
        </w:r>
      </w:hyperlink>
      <w:r w:rsidRPr="00EB07E5">
        <w:rPr>
          <w:rFonts w:hint="eastAsia"/>
          <w:kern w:val="22"/>
          <w:sz w:val="24"/>
          <w:szCs w:val="24"/>
        </w:rPr>
        <w:t>之后，科咨机构第二十一次会议审议了执行秘书同</w:t>
      </w:r>
      <w:r w:rsidRPr="00EB07E5">
        <w:rPr>
          <w:rFonts w:hint="eastAsia"/>
          <w:sz w:val="24"/>
          <w:szCs w:val="24"/>
        </w:rPr>
        <w:t>野生生物可持续管理协作伙伴关系</w:t>
      </w:r>
      <w:r w:rsidRPr="00EB07E5">
        <w:rPr>
          <w:rFonts w:hint="eastAsia"/>
          <w:kern w:val="22"/>
          <w:sz w:val="24"/>
          <w:szCs w:val="24"/>
        </w:rPr>
        <w:t>其他成员协作编制的对</w:t>
      </w:r>
      <w:r w:rsidRPr="00EB07E5">
        <w:rPr>
          <w:rFonts w:hint="eastAsia"/>
          <w:sz w:val="24"/>
          <w:szCs w:val="24"/>
        </w:rPr>
        <w:t>可持续野生动物肉部门的自愿指导意见</w:t>
      </w:r>
      <w:r w:rsidRPr="00EB07E5">
        <w:rPr>
          <w:rFonts w:hint="eastAsia"/>
          <w:kern w:val="22"/>
          <w:sz w:val="24"/>
          <w:szCs w:val="24"/>
        </w:rPr>
        <w:t>（</w:t>
      </w:r>
      <w:hyperlink r:id="rId59" w:history="1">
        <w:r w:rsidRPr="00EB07E5">
          <w:rPr>
            <w:rStyle w:val="Hyperlink"/>
            <w:kern w:val="22"/>
            <w:sz w:val="24"/>
            <w:szCs w:val="24"/>
          </w:rPr>
          <w:t>CBD/SBSTTA/21/3</w:t>
        </w:r>
      </w:hyperlink>
      <w:r w:rsidRPr="00EB07E5">
        <w:rPr>
          <w:rFonts w:hint="eastAsia"/>
          <w:kern w:val="22"/>
          <w:sz w:val="24"/>
          <w:szCs w:val="24"/>
        </w:rPr>
        <w:t>），并通过了</w:t>
      </w:r>
      <w:hyperlink r:id="rId60" w:history="1">
        <w:r w:rsidRPr="00EB07E5">
          <w:rPr>
            <w:rStyle w:val="Hyperlink"/>
            <w:rFonts w:hint="eastAsia"/>
            <w:kern w:val="22"/>
            <w:sz w:val="24"/>
            <w:szCs w:val="24"/>
          </w:rPr>
          <w:t>第</w:t>
        </w:r>
        <w:r w:rsidRPr="00EB07E5">
          <w:rPr>
            <w:rStyle w:val="Hyperlink"/>
            <w:kern w:val="22"/>
            <w:sz w:val="24"/>
            <w:szCs w:val="24"/>
          </w:rPr>
          <w:t>XXI/2</w:t>
        </w:r>
        <w:r w:rsidRPr="00EB07E5">
          <w:rPr>
            <w:rStyle w:val="Hyperlink"/>
            <w:rFonts w:hint="eastAsia"/>
            <w:kern w:val="22"/>
            <w:sz w:val="24"/>
            <w:szCs w:val="24"/>
          </w:rPr>
          <w:t>号建议</w:t>
        </w:r>
      </w:hyperlink>
      <w:r w:rsidRPr="00EB07E5">
        <w:rPr>
          <w:rFonts w:hint="eastAsia"/>
          <w:kern w:val="22"/>
          <w:sz w:val="24"/>
          <w:szCs w:val="24"/>
        </w:rPr>
        <w:t>。</w:t>
      </w:r>
    </w:p>
    <w:p w:rsidR="00047BD6" w:rsidRPr="00EB07E5" w:rsidRDefault="00047BD6" w:rsidP="00851002">
      <w:pPr>
        <w:pStyle w:val="Para10"/>
        <w:numPr>
          <w:ilvl w:val="0"/>
          <w:numId w:val="20"/>
        </w:numPr>
        <w:tabs>
          <w:tab w:val="clear" w:pos="360"/>
          <w:tab w:val="left" w:pos="720"/>
        </w:tabs>
        <w:snapToGrid w:val="0"/>
        <w:spacing w:after="160"/>
        <w:rPr>
          <w:iCs/>
          <w:kern w:val="22"/>
          <w:sz w:val="24"/>
          <w:szCs w:val="24"/>
        </w:rPr>
      </w:pPr>
      <w:r w:rsidRPr="00EB07E5">
        <w:rPr>
          <w:rFonts w:hint="eastAsia"/>
          <w:iCs/>
          <w:kern w:val="22"/>
          <w:sz w:val="24"/>
          <w:szCs w:val="24"/>
        </w:rPr>
        <w:t>预期缔约方大会将根据</w:t>
      </w:r>
      <w:r w:rsidRPr="00EB07E5">
        <w:rPr>
          <w:rFonts w:hint="eastAsia"/>
          <w:kern w:val="22"/>
          <w:sz w:val="24"/>
          <w:szCs w:val="24"/>
        </w:rPr>
        <w:t>载于决定草案汇编（</w:t>
      </w:r>
      <w:r w:rsidRPr="00EB07E5">
        <w:rPr>
          <w:kern w:val="22"/>
          <w:sz w:val="24"/>
          <w:szCs w:val="24"/>
        </w:rPr>
        <w:t>CBD/COP/14/2</w:t>
      </w:r>
      <w:r w:rsidRPr="00EB07E5">
        <w:rPr>
          <w:rFonts w:hint="eastAsia"/>
          <w:kern w:val="22"/>
          <w:sz w:val="24"/>
          <w:szCs w:val="24"/>
        </w:rPr>
        <w:t>）依照科咨机构</w:t>
      </w:r>
      <w:r w:rsidRPr="00EB07E5">
        <w:rPr>
          <w:rFonts w:hint="eastAsia"/>
          <w:iCs/>
          <w:kern w:val="22"/>
          <w:sz w:val="24"/>
          <w:szCs w:val="24"/>
        </w:rPr>
        <w:t>第</w:t>
      </w:r>
      <w:r w:rsidRPr="00EB07E5">
        <w:rPr>
          <w:iCs/>
          <w:kern w:val="22"/>
          <w:sz w:val="24"/>
          <w:szCs w:val="24"/>
          <w:lang w:val="en-US"/>
        </w:rPr>
        <w:t>XXI</w:t>
      </w:r>
      <w:r w:rsidRPr="00EB07E5">
        <w:rPr>
          <w:iCs/>
          <w:kern w:val="22"/>
          <w:sz w:val="24"/>
          <w:szCs w:val="24"/>
        </w:rPr>
        <w:t>/2</w:t>
      </w:r>
      <w:r w:rsidRPr="00EB07E5">
        <w:rPr>
          <w:rFonts w:hint="eastAsia"/>
          <w:iCs/>
          <w:kern w:val="22"/>
          <w:sz w:val="24"/>
          <w:szCs w:val="24"/>
        </w:rPr>
        <w:t>号建议编制的决定草案审议这一事项，同时考虑到根据这项建议编写的关于此事的最新技术文件（</w:t>
      </w:r>
      <w:r w:rsidRPr="00EB07E5">
        <w:rPr>
          <w:iCs/>
          <w:kern w:val="22"/>
          <w:sz w:val="24"/>
          <w:szCs w:val="24"/>
        </w:rPr>
        <w:t>CBD/COP/14/INF/7</w:t>
      </w:r>
      <w:r w:rsidRPr="00EB07E5">
        <w:rPr>
          <w:rFonts w:hint="eastAsia"/>
          <w:iCs/>
          <w:kern w:val="22"/>
          <w:sz w:val="24"/>
          <w:szCs w:val="24"/>
        </w:rPr>
        <w:t>）。</w:t>
      </w:r>
    </w:p>
    <w:p w:rsidR="00047BD6" w:rsidRPr="00EB07E5" w:rsidRDefault="00047BD6" w:rsidP="00851002">
      <w:pPr>
        <w:keepNext/>
        <w:spacing w:before="120" w:after="120"/>
        <w:jc w:val="center"/>
        <w:rPr>
          <w:b/>
          <w:snapToGrid w:val="0"/>
          <w:kern w:val="22"/>
          <w:lang w:eastAsia="zh-CN"/>
        </w:rPr>
      </w:pPr>
      <w:r w:rsidRPr="00EB07E5">
        <w:rPr>
          <w:rFonts w:hint="eastAsia"/>
          <w:b/>
          <w:kern w:val="22"/>
          <w:lang w:eastAsia="zh-CN"/>
        </w:rPr>
        <w:t>项目</w:t>
      </w:r>
      <w:r w:rsidRPr="00EB07E5">
        <w:rPr>
          <w:b/>
          <w:snapToGrid w:val="0"/>
          <w:kern w:val="22"/>
          <w:lang w:eastAsia="zh-CN"/>
        </w:rPr>
        <w:t xml:space="preserve">21.  </w:t>
      </w:r>
      <w:r w:rsidRPr="00EB07E5">
        <w:rPr>
          <w:rFonts w:hint="eastAsia"/>
          <w:b/>
          <w:lang w:val="en-US" w:eastAsia="zh-CN"/>
        </w:rPr>
        <w:t>生物多样性和气候变化</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继</w:t>
      </w:r>
      <w:hyperlink r:id="rId61" w:history="1">
        <w:r w:rsidRPr="00EB07E5">
          <w:rPr>
            <w:rStyle w:val="Hyperlink"/>
            <w:rFonts w:hint="eastAsia"/>
            <w:kern w:val="22"/>
            <w:sz w:val="24"/>
            <w:szCs w:val="24"/>
          </w:rPr>
          <w:t>第</w:t>
        </w:r>
        <w:r w:rsidRPr="00EB07E5">
          <w:rPr>
            <w:rStyle w:val="Hyperlink"/>
            <w:kern w:val="22"/>
            <w:sz w:val="24"/>
            <w:szCs w:val="24"/>
          </w:rPr>
          <w:t>XIII/4</w:t>
        </w:r>
        <w:r w:rsidRPr="00EB07E5">
          <w:rPr>
            <w:rStyle w:val="Hyperlink"/>
            <w:rFonts w:hint="eastAsia"/>
            <w:kern w:val="22"/>
            <w:sz w:val="24"/>
            <w:szCs w:val="24"/>
          </w:rPr>
          <w:t>号决定</w:t>
        </w:r>
      </w:hyperlink>
      <w:r w:rsidRPr="00EB07E5">
        <w:rPr>
          <w:rFonts w:hint="eastAsia"/>
          <w:kern w:val="22"/>
          <w:sz w:val="24"/>
          <w:szCs w:val="24"/>
        </w:rPr>
        <w:t>之后，科咨机构第二十二次会议审议了与有关组织特别是《联合国气候变化框架公约》和联合国减少灾害风险办事处合作编写的关于设计和有效实施基于生态系统的气候变化适应和减少灾害风险办法的自愿准则资料。</w:t>
      </w:r>
    </w:p>
    <w:p w:rsidR="00047BD6" w:rsidRPr="00EB07E5" w:rsidRDefault="00047BD6" w:rsidP="00851002">
      <w:pPr>
        <w:pStyle w:val="Para10"/>
        <w:numPr>
          <w:ilvl w:val="0"/>
          <w:numId w:val="20"/>
        </w:numPr>
        <w:tabs>
          <w:tab w:val="clear" w:pos="360"/>
          <w:tab w:val="left" w:pos="720"/>
        </w:tabs>
        <w:snapToGrid w:val="0"/>
        <w:spacing w:after="160"/>
        <w:rPr>
          <w:iCs/>
          <w:kern w:val="22"/>
          <w:sz w:val="24"/>
          <w:szCs w:val="24"/>
        </w:rPr>
      </w:pPr>
      <w:r w:rsidRPr="00EB07E5">
        <w:rPr>
          <w:rFonts w:hint="eastAsia"/>
          <w:iCs/>
          <w:kern w:val="22"/>
          <w:sz w:val="24"/>
          <w:szCs w:val="24"/>
        </w:rPr>
        <w:t>预期缔约方大会将根据</w:t>
      </w:r>
      <w:r w:rsidRPr="00EB07E5">
        <w:rPr>
          <w:rFonts w:hint="eastAsia"/>
          <w:kern w:val="22"/>
          <w:sz w:val="24"/>
          <w:szCs w:val="24"/>
        </w:rPr>
        <w:t>载于决定草案汇编（</w:t>
      </w:r>
      <w:r w:rsidRPr="00EB07E5">
        <w:rPr>
          <w:kern w:val="22"/>
          <w:sz w:val="24"/>
          <w:szCs w:val="24"/>
        </w:rPr>
        <w:t>CBD/COP/14/2</w:t>
      </w:r>
      <w:r w:rsidRPr="00EB07E5">
        <w:rPr>
          <w:rFonts w:hint="eastAsia"/>
          <w:kern w:val="22"/>
          <w:sz w:val="24"/>
          <w:szCs w:val="24"/>
        </w:rPr>
        <w:t>）依照科咨机构</w:t>
      </w:r>
      <w:r w:rsidRPr="00EB07E5">
        <w:rPr>
          <w:rFonts w:hint="eastAsia"/>
          <w:iCs/>
          <w:kern w:val="22"/>
          <w:sz w:val="24"/>
          <w:szCs w:val="24"/>
        </w:rPr>
        <w:t>第</w:t>
      </w:r>
      <w:r w:rsidRPr="00EB07E5">
        <w:rPr>
          <w:iCs/>
          <w:kern w:val="22"/>
          <w:sz w:val="24"/>
          <w:szCs w:val="24"/>
          <w:lang w:val="en-US"/>
        </w:rPr>
        <w:t>22</w:t>
      </w:r>
      <w:r w:rsidRPr="00EB07E5">
        <w:rPr>
          <w:iCs/>
          <w:kern w:val="22"/>
          <w:sz w:val="24"/>
          <w:szCs w:val="24"/>
        </w:rPr>
        <w:t>/7</w:t>
      </w:r>
      <w:r w:rsidRPr="00EB07E5">
        <w:rPr>
          <w:rFonts w:hint="eastAsia"/>
          <w:iCs/>
          <w:kern w:val="22"/>
          <w:sz w:val="24"/>
          <w:szCs w:val="24"/>
        </w:rPr>
        <w:t>号建议编制的决定草案审议这一事项。</w:t>
      </w:r>
    </w:p>
    <w:p w:rsidR="00047BD6" w:rsidRPr="00EB07E5" w:rsidRDefault="00047BD6" w:rsidP="00851002">
      <w:pPr>
        <w:pStyle w:val="Para10"/>
        <w:numPr>
          <w:ilvl w:val="0"/>
          <w:numId w:val="0"/>
        </w:numPr>
        <w:snapToGrid w:val="0"/>
        <w:jc w:val="center"/>
        <w:rPr>
          <w:b/>
          <w:kern w:val="22"/>
          <w:sz w:val="24"/>
          <w:szCs w:val="24"/>
        </w:rPr>
      </w:pPr>
      <w:r w:rsidRPr="00EB07E5">
        <w:rPr>
          <w:rFonts w:hint="eastAsia"/>
          <w:b/>
          <w:kern w:val="22"/>
          <w:sz w:val="24"/>
          <w:szCs w:val="24"/>
        </w:rPr>
        <w:t>项目</w:t>
      </w:r>
      <w:r w:rsidRPr="00EB07E5">
        <w:rPr>
          <w:b/>
          <w:kern w:val="22"/>
          <w:sz w:val="24"/>
          <w:szCs w:val="24"/>
        </w:rPr>
        <w:t xml:space="preserve">22. </w:t>
      </w:r>
      <w:r w:rsidRPr="00EB07E5">
        <w:rPr>
          <w:rFonts w:hint="eastAsia"/>
          <w:b/>
          <w:sz w:val="24"/>
          <w:szCs w:val="24"/>
          <w:lang w:val="en-US"/>
        </w:rPr>
        <w:t>将生物多样性纳入部门和跨部门主流</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缔约方大会第十三届会议通过了关于将生物多样性纳入部门和跨部门主流和一体化的综合决定</w:t>
      </w:r>
      <w:r w:rsidRPr="00EB07E5">
        <w:rPr>
          <w:rStyle w:val="FootnoteReference"/>
          <w:kern w:val="22"/>
          <w:sz w:val="24"/>
          <w:szCs w:val="24"/>
          <w:u w:val="none"/>
          <w:vertAlign w:val="superscript"/>
        </w:rPr>
        <w:footnoteReference w:id="12"/>
      </w:r>
      <w:r w:rsidRPr="00EB07E5">
        <w:rPr>
          <w:rFonts w:hint="eastAsia"/>
          <w:kern w:val="22"/>
          <w:sz w:val="24"/>
          <w:szCs w:val="24"/>
        </w:rPr>
        <w:t>。此外，在第十三次会议前夕举行的高级别会议通过了</w:t>
      </w:r>
      <w:hyperlink r:id="rId62" w:history="1">
        <w:r w:rsidRPr="00EB07E5">
          <w:rPr>
            <w:rStyle w:val="Hyperlink"/>
            <w:rFonts w:hint="eastAsia"/>
            <w:kern w:val="22"/>
            <w:sz w:val="24"/>
            <w:szCs w:val="24"/>
          </w:rPr>
          <w:t>《关于将保护和可持续利用生物多样性纳入主流以促进福祉的坎昆宣言》</w:t>
        </w:r>
      </w:hyperlink>
      <w:r w:rsidRPr="00EB07E5">
        <w:rPr>
          <w:rFonts w:hint="eastAsia"/>
          <w:kern w:val="22"/>
          <w:sz w:val="24"/>
          <w:szCs w:val="24"/>
        </w:rPr>
        <w:t>。该决定就多个事项向缔约方提供了指导，并请执行秘书继续与一些伙伴协作。缔约方大会侧重于农业、林业、渔业和旅游业，并决定在其第十四次会议上将重点放在能源和采矿、基础设施、制造和加工以及卫生部门。对农业、林业、渔业和旅游业等部门取得的进展所进行的审查载于文件（</w:t>
      </w:r>
      <w:r w:rsidRPr="00EB07E5">
        <w:rPr>
          <w:kern w:val="22"/>
          <w:sz w:val="24"/>
          <w:szCs w:val="24"/>
        </w:rPr>
        <w:t>CBD/COP/14/INF/1</w:t>
      </w:r>
      <w:r w:rsidRPr="00EB07E5">
        <w:rPr>
          <w:rFonts w:hint="eastAsia"/>
          <w:kern w:val="22"/>
          <w:sz w:val="24"/>
          <w:szCs w:val="24"/>
        </w:rPr>
        <w:t>）。</w:t>
      </w:r>
    </w:p>
    <w:p w:rsidR="00047BD6" w:rsidRPr="00EB07E5" w:rsidRDefault="00047BD6" w:rsidP="007C11DC">
      <w:pPr>
        <w:pStyle w:val="Para10"/>
        <w:numPr>
          <w:ilvl w:val="0"/>
          <w:numId w:val="0"/>
        </w:numPr>
        <w:snapToGrid w:val="0"/>
        <w:rPr>
          <w:rFonts w:eastAsia="楷体"/>
          <w:kern w:val="22"/>
          <w:sz w:val="24"/>
          <w:szCs w:val="24"/>
        </w:rPr>
      </w:pPr>
      <w:r w:rsidRPr="00EB07E5">
        <w:rPr>
          <w:rFonts w:eastAsia="楷体" w:hint="eastAsia"/>
          <w:kern w:val="22"/>
          <w:sz w:val="24"/>
          <w:szCs w:val="24"/>
        </w:rPr>
        <w:t>健康和生物多样性</w:t>
      </w:r>
    </w:p>
    <w:p w:rsidR="00047BD6" w:rsidRPr="00EB07E5" w:rsidRDefault="00047BD6" w:rsidP="00851002">
      <w:pPr>
        <w:pStyle w:val="Para10"/>
        <w:numPr>
          <w:ilvl w:val="0"/>
          <w:numId w:val="20"/>
        </w:numPr>
        <w:tabs>
          <w:tab w:val="clear" w:pos="360"/>
          <w:tab w:val="left" w:pos="720"/>
        </w:tabs>
        <w:snapToGrid w:val="0"/>
        <w:spacing w:after="160"/>
        <w:rPr>
          <w:kern w:val="22"/>
          <w:sz w:val="24"/>
          <w:szCs w:val="24"/>
        </w:rPr>
      </w:pPr>
      <w:r w:rsidRPr="00EB07E5">
        <w:rPr>
          <w:rFonts w:hint="eastAsia"/>
          <w:sz w:val="24"/>
          <w:szCs w:val="24"/>
          <w:lang w:val="zh-CN"/>
        </w:rPr>
        <w:t>缔约方大会第十二届和第十三届会议审议了生物多样性与人类健康之间的相互联系</w:t>
      </w:r>
      <w:r w:rsidRPr="00EB07E5">
        <w:rPr>
          <w:rStyle w:val="FootnoteReference"/>
          <w:kern w:val="22"/>
          <w:sz w:val="24"/>
          <w:szCs w:val="24"/>
          <w:u w:val="none"/>
          <w:vertAlign w:val="superscript"/>
          <w:lang w:val="zh-CN"/>
        </w:rPr>
        <w:footnoteReference w:id="13"/>
      </w:r>
      <w:r w:rsidRPr="00EB07E5">
        <w:rPr>
          <w:rFonts w:hint="eastAsia"/>
          <w:sz w:val="24"/>
          <w:szCs w:val="24"/>
          <w:lang w:val="zh-CN"/>
        </w:rPr>
        <w:t>。</w:t>
      </w:r>
      <w:r w:rsidRPr="00EB07E5">
        <w:rPr>
          <w:sz w:val="24"/>
          <w:szCs w:val="24"/>
          <w:lang w:val="zh-CN"/>
        </w:rPr>
        <w:t xml:space="preserve"> </w:t>
      </w:r>
      <w:r w:rsidRPr="00EB07E5">
        <w:rPr>
          <w:rFonts w:hint="eastAsia"/>
          <w:sz w:val="24"/>
          <w:szCs w:val="24"/>
          <w:lang w:val="zh-CN"/>
        </w:rPr>
        <w:t>继这些决定之后，科咨机构第二十一次会议通过了</w:t>
      </w:r>
      <w:hyperlink r:id="rId63" w:history="1">
        <w:r w:rsidRPr="00EB07E5">
          <w:rPr>
            <w:rStyle w:val="Hyperlink"/>
            <w:rFonts w:hint="eastAsia"/>
            <w:kern w:val="22"/>
            <w:sz w:val="24"/>
            <w:szCs w:val="24"/>
            <w:lang w:val="zh-CN"/>
          </w:rPr>
          <w:t>第</w:t>
        </w:r>
        <w:r w:rsidRPr="00EB07E5">
          <w:rPr>
            <w:rStyle w:val="Hyperlink"/>
            <w:kern w:val="22"/>
            <w:sz w:val="24"/>
            <w:szCs w:val="24"/>
            <w:lang w:val="zh-CN"/>
          </w:rPr>
          <w:t>XXI/3</w:t>
        </w:r>
        <w:r w:rsidRPr="00EB07E5">
          <w:rPr>
            <w:rStyle w:val="Hyperlink"/>
            <w:rFonts w:hint="eastAsia"/>
            <w:kern w:val="22"/>
            <w:sz w:val="24"/>
            <w:szCs w:val="24"/>
            <w:lang w:val="zh-CN"/>
          </w:rPr>
          <w:t>号建议</w:t>
        </w:r>
      </w:hyperlink>
      <w:r w:rsidRPr="00EB07E5">
        <w:rPr>
          <w:rFonts w:hint="eastAsia"/>
          <w:sz w:val="24"/>
          <w:szCs w:val="24"/>
          <w:lang w:val="zh-CN"/>
        </w:rPr>
        <w:t>，其中建议缔约方大会欢迎关于将生物多样性因素纳入</w:t>
      </w:r>
      <w:r w:rsidRPr="00EB07E5">
        <w:rPr>
          <w:sz w:val="24"/>
          <w:szCs w:val="24"/>
          <w:lang w:val="zh-CN"/>
        </w:rPr>
        <w:t>“</w:t>
      </w:r>
      <w:r w:rsidRPr="00EB07E5">
        <w:rPr>
          <w:rFonts w:hint="eastAsia"/>
          <w:sz w:val="24"/>
          <w:szCs w:val="24"/>
          <w:lang w:val="zh-CN"/>
        </w:rPr>
        <w:t>一体健康</w:t>
      </w:r>
      <w:r w:rsidRPr="00EB07E5">
        <w:rPr>
          <w:sz w:val="24"/>
          <w:szCs w:val="24"/>
          <w:lang w:val="zh-CN"/>
        </w:rPr>
        <w:t>”</w:t>
      </w:r>
      <w:r w:rsidRPr="00EB07E5">
        <w:rPr>
          <w:rFonts w:hint="eastAsia"/>
          <w:sz w:val="24"/>
          <w:szCs w:val="24"/>
          <w:lang w:val="zh-CN"/>
        </w:rPr>
        <w:t>的办法的指导意见，并邀请通过生物多样性和人类健康问题机构间联络组进一步开展协作工作。</w:t>
      </w:r>
    </w:p>
    <w:p w:rsidR="00047BD6" w:rsidRPr="00EB07E5" w:rsidRDefault="00047BD6" w:rsidP="007C6D72">
      <w:pPr>
        <w:pStyle w:val="Para10"/>
        <w:numPr>
          <w:ilvl w:val="0"/>
          <w:numId w:val="0"/>
        </w:numPr>
        <w:tabs>
          <w:tab w:val="left" w:pos="720"/>
        </w:tabs>
        <w:snapToGrid w:val="0"/>
        <w:spacing w:after="160"/>
        <w:rPr>
          <w:rFonts w:eastAsia="楷体"/>
          <w:kern w:val="22"/>
          <w:sz w:val="24"/>
          <w:szCs w:val="24"/>
        </w:rPr>
      </w:pPr>
      <w:r w:rsidRPr="00EB07E5">
        <w:rPr>
          <w:rFonts w:eastAsia="楷体" w:hint="eastAsia"/>
          <w:kern w:val="22"/>
          <w:sz w:val="24"/>
          <w:szCs w:val="24"/>
        </w:rPr>
        <w:t>将</w:t>
      </w:r>
      <w:r w:rsidRPr="00EB07E5">
        <w:rPr>
          <w:rFonts w:ascii="MS Mincho" w:eastAsia="MS Mincho" w:hAnsi="MS Mincho" w:cs="MS Mincho" w:hint="eastAsia"/>
          <w:kern w:val="22"/>
          <w:sz w:val="24"/>
          <w:szCs w:val="24"/>
        </w:rPr>
        <w:t>​</w:t>
      </w:r>
      <w:r w:rsidRPr="00EB07E5">
        <w:rPr>
          <w:rFonts w:eastAsia="楷体" w:hint="eastAsia"/>
          <w:kern w:val="22"/>
          <w:sz w:val="24"/>
          <w:szCs w:val="24"/>
        </w:rPr>
        <w:t>生</w:t>
      </w:r>
      <w:r w:rsidRPr="00EB07E5">
        <w:rPr>
          <w:rFonts w:ascii="MS Mincho" w:eastAsia="MS Mincho" w:hAnsi="MS Mincho" w:cs="MS Mincho" w:hint="eastAsia"/>
          <w:kern w:val="22"/>
          <w:sz w:val="24"/>
          <w:szCs w:val="24"/>
        </w:rPr>
        <w:t>​</w:t>
      </w:r>
      <w:r w:rsidRPr="00EB07E5">
        <w:rPr>
          <w:rFonts w:eastAsia="楷体" w:hint="eastAsia"/>
          <w:kern w:val="22"/>
          <w:sz w:val="24"/>
          <w:szCs w:val="24"/>
        </w:rPr>
        <w:t>物</w:t>
      </w:r>
      <w:r w:rsidRPr="00EB07E5">
        <w:rPr>
          <w:rFonts w:ascii="MS Mincho" w:eastAsia="MS Mincho" w:hAnsi="MS Mincho" w:cs="MS Mincho" w:hint="eastAsia"/>
          <w:kern w:val="22"/>
          <w:sz w:val="24"/>
          <w:szCs w:val="24"/>
        </w:rPr>
        <w:t>​</w:t>
      </w:r>
      <w:r w:rsidRPr="00EB07E5">
        <w:rPr>
          <w:rFonts w:eastAsia="楷体" w:hint="eastAsia"/>
          <w:kern w:val="22"/>
          <w:sz w:val="24"/>
          <w:szCs w:val="24"/>
        </w:rPr>
        <w:t>多</w:t>
      </w:r>
      <w:r w:rsidRPr="00EB07E5">
        <w:rPr>
          <w:rFonts w:ascii="MS Mincho" w:eastAsia="MS Mincho" w:hAnsi="MS Mincho" w:cs="MS Mincho" w:hint="eastAsia"/>
          <w:kern w:val="22"/>
          <w:sz w:val="24"/>
          <w:szCs w:val="24"/>
        </w:rPr>
        <w:t>​</w:t>
      </w:r>
      <w:r w:rsidRPr="00EB07E5">
        <w:rPr>
          <w:rFonts w:eastAsia="楷体" w:hint="eastAsia"/>
          <w:kern w:val="22"/>
          <w:sz w:val="24"/>
          <w:szCs w:val="24"/>
        </w:rPr>
        <w:t>样</w:t>
      </w:r>
      <w:r w:rsidRPr="00EB07E5">
        <w:rPr>
          <w:rFonts w:ascii="MS Mincho" w:eastAsia="MS Mincho" w:hAnsi="MS Mincho" w:cs="MS Mincho" w:hint="eastAsia"/>
          <w:kern w:val="22"/>
          <w:sz w:val="24"/>
          <w:szCs w:val="24"/>
        </w:rPr>
        <w:t>​</w:t>
      </w:r>
      <w:r w:rsidRPr="00EB07E5">
        <w:rPr>
          <w:rFonts w:eastAsia="楷体" w:hint="eastAsia"/>
          <w:kern w:val="22"/>
          <w:sz w:val="24"/>
          <w:szCs w:val="24"/>
        </w:rPr>
        <w:t>性</w:t>
      </w:r>
      <w:r w:rsidRPr="00EB07E5">
        <w:rPr>
          <w:rFonts w:ascii="MS Mincho" w:eastAsia="MS Mincho" w:hAnsi="MS Mincho" w:cs="MS Mincho" w:hint="eastAsia"/>
          <w:kern w:val="22"/>
          <w:sz w:val="24"/>
          <w:szCs w:val="24"/>
        </w:rPr>
        <w:t>​</w:t>
      </w:r>
      <w:r w:rsidRPr="00EB07E5">
        <w:rPr>
          <w:rFonts w:eastAsia="楷体" w:hint="eastAsia"/>
          <w:kern w:val="22"/>
          <w:sz w:val="24"/>
          <w:szCs w:val="24"/>
        </w:rPr>
        <w:t>纳</w:t>
      </w:r>
      <w:r w:rsidRPr="00EB07E5">
        <w:rPr>
          <w:rFonts w:ascii="MS Mincho" w:eastAsia="MS Mincho" w:hAnsi="MS Mincho" w:cs="MS Mincho" w:hint="eastAsia"/>
          <w:kern w:val="22"/>
          <w:sz w:val="24"/>
          <w:szCs w:val="24"/>
        </w:rPr>
        <w:t>​</w:t>
      </w:r>
      <w:r w:rsidRPr="00EB07E5">
        <w:rPr>
          <w:rFonts w:eastAsia="楷体" w:hint="eastAsia"/>
          <w:kern w:val="22"/>
          <w:sz w:val="24"/>
          <w:szCs w:val="24"/>
        </w:rPr>
        <w:t>入</w:t>
      </w:r>
      <w:r w:rsidRPr="00EB07E5">
        <w:rPr>
          <w:rFonts w:ascii="MS Mincho" w:eastAsia="MS Mincho" w:hAnsi="MS Mincho" w:cs="MS Mincho" w:hint="eastAsia"/>
          <w:kern w:val="22"/>
          <w:sz w:val="24"/>
          <w:szCs w:val="24"/>
        </w:rPr>
        <w:t>​</w:t>
      </w:r>
      <w:r w:rsidRPr="00EB07E5">
        <w:rPr>
          <w:rFonts w:eastAsia="楷体" w:hint="eastAsia"/>
          <w:kern w:val="22"/>
          <w:sz w:val="24"/>
          <w:szCs w:val="24"/>
        </w:rPr>
        <w:t>能</w:t>
      </w:r>
      <w:r w:rsidRPr="00EB07E5">
        <w:rPr>
          <w:rFonts w:ascii="MS Mincho" w:eastAsia="MS Mincho" w:hAnsi="MS Mincho" w:cs="MS Mincho" w:hint="eastAsia"/>
          <w:kern w:val="22"/>
          <w:sz w:val="24"/>
          <w:szCs w:val="24"/>
        </w:rPr>
        <w:t>​</w:t>
      </w:r>
      <w:r w:rsidRPr="00EB07E5">
        <w:rPr>
          <w:rFonts w:eastAsia="楷体" w:hint="eastAsia"/>
          <w:kern w:val="22"/>
          <w:sz w:val="24"/>
          <w:szCs w:val="24"/>
        </w:rPr>
        <w:t>源</w:t>
      </w:r>
      <w:r w:rsidRPr="00EB07E5">
        <w:rPr>
          <w:rFonts w:ascii="MS Mincho" w:eastAsia="MS Mincho" w:hAnsi="MS Mincho" w:cs="MS Mincho" w:hint="eastAsia"/>
          <w:kern w:val="22"/>
          <w:sz w:val="24"/>
          <w:szCs w:val="24"/>
        </w:rPr>
        <w:t>​</w:t>
      </w:r>
      <w:r w:rsidRPr="00EB07E5">
        <w:rPr>
          <w:rFonts w:eastAsia="楷体" w:hint="eastAsia"/>
          <w:kern w:val="22"/>
          <w:sz w:val="24"/>
          <w:szCs w:val="24"/>
        </w:rPr>
        <w:t>和</w:t>
      </w:r>
      <w:r w:rsidRPr="00EB07E5">
        <w:rPr>
          <w:rFonts w:ascii="MS Mincho" w:eastAsia="MS Mincho" w:hAnsi="MS Mincho" w:cs="MS Mincho" w:hint="eastAsia"/>
          <w:kern w:val="22"/>
          <w:sz w:val="24"/>
          <w:szCs w:val="24"/>
        </w:rPr>
        <w:t>​</w:t>
      </w:r>
      <w:r w:rsidRPr="00EB07E5">
        <w:rPr>
          <w:rFonts w:eastAsia="楷体" w:hint="eastAsia"/>
          <w:kern w:val="22"/>
          <w:sz w:val="24"/>
          <w:szCs w:val="24"/>
        </w:rPr>
        <w:t>采</w:t>
      </w:r>
      <w:r w:rsidRPr="00EB07E5">
        <w:rPr>
          <w:rFonts w:ascii="MS Mincho" w:eastAsia="MS Mincho" w:hAnsi="MS Mincho" w:cs="MS Mincho" w:hint="eastAsia"/>
          <w:kern w:val="22"/>
          <w:sz w:val="24"/>
          <w:szCs w:val="24"/>
        </w:rPr>
        <w:t>​</w:t>
      </w:r>
      <w:r w:rsidRPr="00EB07E5">
        <w:rPr>
          <w:rFonts w:eastAsia="楷体" w:hint="eastAsia"/>
          <w:kern w:val="22"/>
          <w:sz w:val="24"/>
          <w:szCs w:val="24"/>
        </w:rPr>
        <w:t>矿</w:t>
      </w:r>
      <w:r w:rsidRPr="00EB07E5">
        <w:rPr>
          <w:rFonts w:ascii="MS Mincho" w:eastAsia="MS Mincho" w:hAnsi="MS Mincho" w:cs="MS Mincho" w:hint="eastAsia"/>
          <w:kern w:val="22"/>
          <w:sz w:val="24"/>
          <w:szCs w:val="24"/>
        </w:rPr>
        <w:t>​</w:t>
      </w:r>
      <w:r w:rsidRPr="00EB07E5">
        <w:rPr>
          <w:rFonts w:eastAsia="楷体" w:hint="eastAsia"/>
          <w:kern w:val="22"/>
          <w:sz w:val="24"/>
          <w:szCs w:val="24"/>
        </w:rPr>
        <w:t>、</w:t>
      </w:r>
      <w:r w:rsidRPr="00EB07E5">
        <w:rPr>
          <w:rFonts w:ascii="MS Mincho" w:eastAsia="MS Mincho" w:hAnsi="MS Mincho" w:cs="MS Mincho" w:hint="eastAsia"/>
          <w:kern w:val="22"/>
          <w:sz w:val="24"/>
          <w:szCs w:val="24"/>
        </w:rPr>
        <w:t>​</w:t>
      </w:r>
      <w:r w:rsidRPr="00EB07E5">
        <w:rPr>
          <w:rFonts w:eastAsia="楷体" w:hint="eastAsia"/>
          <w:kern w:val="22"/>
          <w:sz w:val="24"/>
          <w:szCs w:val="24"/>
        </w:rPr>
        <w:t>基</w:t>
      </w:r>
      <w:r w:rsidRPr="00EB07E5">
        <w:rPr>
          <w:rFonts w:ascii="MS Mincho" w:eastAsia="MS Mincho" w:hAnsi="MS Mincho" w:cs="MS Mincho" w:hint="eastAsia"/>
          <w:kern w:val="22"/>
          <w:sz w:val="24"/>
          <w:szCs w:val="24"/>
        </w:rPr>
        <w:t>​</w:t>
      </w:r>
      <w:r w:rsidRPr="00EB07E5">
        <w:rPr>
          <w:rFonts w:eastAsia="楷体" w:hint="eastAsia"/>
          <w:kern w:val="22"/>
          <w:sz w:val="24"/>
          <w:szCs w:val="24"/>
        </w:rPr>
        <w:t>础</w:t>
      </w:r>
      <w:r w:rsidRPr="00EB07E5">
        <w:rPr>
          <w:rFonts w:ascii="MS Mincho" w:eastAsia="MS Mincho" w:hAnsi="MS Mincho" w:cs="MS Mincho" w:hint="eastAsia"/>
          <w:kern w:val="22"/>
          <w:sz w:val="24"/>
          <w:szCs w:val="24"/>
        </w:rPr>
        <w:t>​</w:t>
      </w:r>
      <w:r w:rsidRPr="00EB07E5">
        <w:rPr>
          <w:rFonts w:eastAsia="楷体" w:hint="eastAsia"/>
          <w:kern w:val="22"/>
          <w:sz w:val="24"/>
          <w:szCs w:val="24"/>
        </w:rPr>
        <w:t>设</w:t>
      </w:r>
      <w:r w:rsidRPr="00EB07E5">
        <w:rPr>
          <w:rFonts w:ascii="MS Mincho" w:eastAsia="MS Mincho" w:hAnsi="MS Mincho" w:cs="MS Mincho" w:hint="eastAsia"/>
          <w:kern w:val="22"/>
          <w:sz w:val="24"/>
          <w:szCs w:val="24"/>
        </w:rPr>
        <w:t>​</w:t>
      </w:r>
      <w:r w:rsidRPr="00EB07E5">
        <w:rPr>
          <w:rFonts w:eastAsia="楷体" w:hint="eastAsia"/>
          <w:kern w:val="22"/>
          <w:sz w:val="24"/>
          <w:szCs w:val="24"/>
        </w:rPr>
        <w:t>施</w:t>
      </w:r>
      <w:r w:rsidRPr="00EB07E5">
        <w:rPr>
          <w:rFonts w:ascii="MS Mincho" w:eastAsia="MS Mincho" w:hAnsi="MS Mincho" w:cs="MS Mincho" w:hint="eastAsia"/>
          <w:kern w:val="22"/>
          <w:sz w:val="24"/>
          <w:szCs w:val="24"/>
        </w:rPr>
        <w:t>​</w:t>
      </w:r>
      <w:r w:rsidRPr="00EB07E5">
        <w:rPr>
          <w:rFonts w:eastAsia="楷体" w:hint="eastAsia"/>
          <w:kern w:val="22"/>
          <w:sz w:val="24"/>
          <w:szCs w:val="24"/>
        </w:rPr>
        <w:t>以</w:t>
      </w:r>
      <w:r w:rsidRPr="00EB07E5">
        <w:rPr>
          <w:rFonts w:ascii="MS Mincho" w:eastAsia="MS Mincho" w:hAnsi="MS Mincho" w:cs="MS Mincho" w:hint="eastAsia"/>
          <w:kern w:val="22"/>
          <w:sz w:val="24"/>
          <w:szCs w:val="24"/>
        </w:rPr>
        <w:t>​</w:t>
      </w:r>
      <w:r w:rsidRPr="00EB07E5">
        <w:rPr>
          <w:rFonts w:eastAsia="楷体" w:hint="eastAsia"/>
          <w:kern w:val="22"/>
          <w:sz w:val="24"/>
          <w:szCs w:val="24"/>
        </w:rPr>
        <w:t>及</w:t>
      </w:r>
      <w:r w:rsidRPr="00EB07E5">
        <w:rPr>
          <w:rFonts w:ascii="MS Mincho" w:eastAsia="MS Mincho" w:hAnsi="MS Mincho" w:cs="MS Mincho" w:hint="eastAsia"/>
          <w:kern w:val="22"/>
          <w:sz w:val="24"/>
          <w:szCs w:val="24"/>
        </w:rPr>
        <w:t>​</w:t>
      </w:r>
      <w:r w:rsidRPr="00EB07E5">
        <w:rPr>
          <w:rFonts w:eastAsia="楷体" w:hint="eastAsia"/>
          <w:kern w:val="22"/>
          <w:sz w:val="24"/>
          <w:szCs w:val="24"/>
        </w:rPr>
        <w:t>制</w:t>
      </w:r>
      <w:r w:rsidRPr="00EB07E5">
        <w:rPr>
          <w:rFonts w:ascii="MS Mincho" w:eastAsia="MS Mincho" w:hAnsi="MS Mincho" w:cs="MS Mincho" w:hint="eastAsia"/>
          <w:kern w:val="22"/>
          <w:sz w:val="24"/>
          <w:szCs w:val="24"/>
        </w:rPr>
        <w:t>​</w:t>
      </w:r>
      <w:r w:rsidRPr="00EB07E5">
        <w:rPr>
          <w:rFonts w:eastAsia="楷体" w:hint="eastAsia"/>
          <w:kern w:val="22"/>
          <w:sz w:val="24"/>
          <w:szCs w:val="24"/>
        </w:rPr>
        <w:t>造</w:t>
      </w:r>
      <w:r w:rsidRPr="00EB07E5">
        <w:rPr>
          <w:rFonts w:ascii="MS Mincho" w:eastAsia="MS Mincho" w:hAnsi="MS Mincho" w:cs="MS Mincho" w:hint="eastAsia"/>
          <w:kern w:val="22"/>
          <w:sz w:val="24"/>
          <w:szCs w:val="24"/>
        </w:rPr>
        <w:t>​</w:t>
      </w:r>
      <w:r w:rsidRPr="00EB07E5">
        <w:rPr>
          <w:rFonts w:eastAsia="楷体" w:hint="eastAsia"/>
          <w:kern w:val="22"/>
          <w:sz w:val="24"/>
          <w:szCs w:val="24"/>
        </w:rPr>
        <w:t>和</w:t>
      </w:r>
      <w:r w:rsidRPr="00EB07E5">
        <w:rPr>
          <w:rFonts w:ascii="MS Mincho" w:eastAsia="MS Mincho" w:hAnsi="MS Mincho" w:cs="MS Mincho" w:hint="eastAsia"/>
          <w:kern w:val="22"/>
          <w:sz w:val="24"/>
          <w:szCs w:val="24"/>
        </w:rPr>
        <w:t>​</w:t>
      </w:r>
      <w:r w:rsidRPr="00EB07E5">
        <w:rPr>
          <w:rFonts w:eastAsia="楷体" w:hint="eastAsia"/>
          <w:kern w:val="22"/>
          <w:sz w:val="24"/>
          <w:szCs w:val="24"/>
        </w:rPr>
        <w:t>加</w:t>
      </w:r>
      <w:r w:rsidRPr="00EB07E5">
        <w:rPr>
          <w:rFonts w:ascii="MS Mincho" w:eastAsia="MS Mincho" w:hAnsi="MS Mincho" w:cs="MS Mincho" w:hint="eastAsia"/>
          <w:kern w:val="22"/>
          <w:sz w:val="24"/>
          <w:szCs w:val="24"/>
        </w:rPr>
        <w:t>​</w:t>
      </w:r>
      <w:r w:rsidRPr="00EB07E5">
        <w:rPr>
          <w:rFonts w:eastAsia="楷体" w:hint="eastAsia"/>
          <w:kern w:val="22"/>
          <w:sz w:val="24"/>
          <w:szCs w:val="24"/>
        </w:rPr>
        <w:t>工</w:t>
      </w:r>
      <w:r w:rsidRPr="00EB07E5">
        <w:rPr>
          <w:rFonts w:ascii="MS Mincho" w:eastAsia="MS Mincho" w:hAnsi="MS Mincho" w:cs="MS Mincho" w:hint="eastAsia"/>
          <w:kern w:val="22"/>
          <w:sz w:val="24"/>
          <w:szCs w:val="24"/>
        </w:rPr>
        <w:t>​</w:t>
      </w:r>
      <w:r w:rsidRPr="00EB07E5">
        <w:rPr>
          <w:rFonts w:eastAsia="楷体" w:hint="eastAsia"/>
          <w:kern w:val="22"/>
          <w:sz w:val="24"/>
          <w:szCs w:val="24"/>
        </w:rPr>
        <w:t>业</w:t>
      </w:r>
      <w:r w:rsidRPr="00EB07E5">
        <w:rPr>
          <w:rFonts w:ascii="MS Mincho" w:eastAsia="MS Mincho" w:hAnsi="MS Mincho" w:cs="MS Mincho" w:hint="eastAsia"/>
          <w:kern w:val="22"/>
          <w:sz w:val="24"/>
          <w:szCs w:val="24"/>
        </w:rPr>
        <w:t>​</w:t>
      </w:r>
      <w:r w:rsidRPr="00EB07E5">
        <w:rPr>
          <w:rFonts w:eastAsia="楷体" w:hint="eastAsia"/>
          <w:kern w:val="22"/>
          <w:sz w:val="24"/>
          <w:szCs w:val="24"/>
        </w:rPr>
        <w:t>部</w:t>
      </w:r>
      <w:r w:rsidRPr="00EB07E5">
        <w:rPr>
          <w:rFonts w:ascii="MS Mincho" w:eastAsia="MS Mincho" w:hAnsi="MS Mincho" w:cs="MS Mincho" w:hint="eastAsia"/>
          <w:kern w:val="22"/>
          <w:sz w:val="24"/>
          <w:szCs w:val="24"/>
        </w:rPr>
        <w:t>​</w:t>
      </w:r>
      <w:r w:rsidRPr="00EB07E5">
        <w:rPr>
          <w:rFonts w:eastAsia="楷体" w:hint="eastAsia"/>
          <w:kern w:val="22"/>
          <w:sz w:val="24"/>
          <w:szCs w:val="24"/>
        </w:rPr>
        <w:t>门</w:t>
      </w:r>
      <w:r w:rsidRPr="00EB07E5">
        <w:rPr>
          <w:rFonts w:ascii="MS Mincho" w:eastAsia="MS Mincho" w:hAnsi="MS Mincho" w:cs="MS Mincho" w:hint="eastAsia"/>
          <w:kern w:val="22"/>
          <w:sz w:val="24"/>
          <w:szCs w:val="24"/>
        </w:rPr>
        <w:t>​</w:t>
      </w:r>
      <w:r w:rsidRPr="00EB07E5">
        <w:rPr>
          <w:rFonts w:eastAsia="楷体" w:hint="eastAsia"/>
          <w:kern w:val="22"/>
          <w:sz w:val="24"/>
          <w:szCs w:val="24"/>
        </w:rPr>
        <w:t>的</w:t>
      </w:r>
      <w:r w:rsidRPr="00EB07E5">
        <w:rPr>
          <w:rFonts w:ascii="MS Mincho" w:eastAsia="MS Mincho" w:hAnsi="MS Mincho" w:cs="MS Mincho" w:hint="eastAsia"/>
          <w:kern w:val="22"/>
          <w:sz w:val="24"/>
          <w:szCs w:val="24"/>
        </w:rPr>
        <w:t>​</w:t>
      </w:r>
      <w:r w:rsidRPr="00EB07E5">
        <w:rPr>
          <w:rFonts w:eastAsia="楷体" w:hint="eastAsia"/>
          <w:kern w:val="22"/>
          <w:sz w:val="24"/>
          <w:szCs w:val="24"/>
        </w:rPr>
        <w:t>主</w:t>
      </w:r>
      <w:r w:rsidRPr="00EB07E5">
        <w:rPr>
          <w:rFonts w:ascii="MS Mincho" w:eastAsia="MS Mincho" w:hAnsi="MS Mincho" w:cs="MS Mincho" w:hint="eastAsia"/>
          <w:kern w:val="22"/>
          <w:sz w:val="24"/>
          <w:szCs w:val="24"/>
        </w:rPr>
        <w:t>​</w:t>
      </w:r>
      <w:r w:rsidRPr="00EB07E5">
        <w:rPr>
          <w:rFonts w:eastAsia="楷体" w:hint="eastAsia"/>
          <w:kern w:val="22"/>
          <w:sz w:val="24"/>
          <w:szCs w:val="24"/>
        </w:rPr>
        <w:t>流</w:t>
      </w:r>
    </w:p>
    <w:p w:rsidR="00047BD6" w:rsidRPr="00EB07E5" w:rsidRDefault="00047BD6" w:rsidP="00B27235">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在第二十一次会议上，科咨机构根据执行秘书公布的报告，还审议了与将生物多样性纳入能源和采矿、基础设施、制造和加工业部门的有关科技信息，并在</w:t>
      </w:r>
      <w:hyperlink r:id="rId64" w:history="1">
        <w:r w:rsidRPr="00EB07E5">
          <w:rPr>
            <w:rStyle w:val="Hyperlink"/>
            <w:rFonts w:hint="eastAsia"/>
            <w:kern w:val="22"/>
            <w:sz w:val="24"/>
            <w:szCs w:val="24"/>
          </w:rPr>
          <w:t>第</w:t>
        </w:r>
        <w:r w:rsidRPr="00EB07E5">
          <w:rPr>
            <w:rStyle w:val="Hyperlink"/>
            <w:kern w:val="22"/>
            <w:sz w:val="24"/>
            <w:szCs w:val="24"/>
          </w:rPr>
          <w:t>XXI/4</w:t>
        </w:r>
        <w:r w:rsidRPr="00EB07E5">
          <w:rPr>
            <w:rStyle w:val="Hyperlink"/>
            <w:rFonts w:hint="eastAsia"/>
            <w:kern w:val="22"/>
            <w:sz w:val="24"/>
            <w:szCs w:val="24"/>
          </w:rPr>
          <w:t>号建议</w:t>
        </w:r>
      </w:hyperlink>
      <w:r w:rsidRPr="00EB07E5">
        <w:rPr>
          <w:rFonts w:hint="eastAsia"/>
          <w:kern w:val="22"/>
          <w:sz w:val="24"/>
          <w:szCs w:val="24"/>
        </w:rPr>
        <w:t>中要求在这些报告和缔约方、观察员及一个非正式咨询小组提出的意见的基础上进一步开展工作，包括编制对主流化采取长期战略办法的提案。</w:t>
      </w:r>
    </w:p>
    <w:p w:rsidR="00047BD6" w:rsidRPr="00EB07E5" w:rsidRDefault="00047BD6" w:rsidP="00BB7EAE">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执行问题附属机构第二次会议进一步审议了这些事项，同时考虑到科咨机构第</w:t>
      </w:r>
      <w:r w:rsidRPr="00EB07E5">
        <w:rPr>
          <w:kern w:val="22"/>
          <w:sz w:val="24"/>
          <w:szCs w:val="24"/>
        </w:rPr>
        <w:t>XXI/4</w:t>
      </w:r>
      <w:r w:rsidRPr="00EB07E5">
        <w:rPr>
          <w:rFonts w:hint="eastAsia"/>
          <w:kern w:val="22"/>
          <w:sz w:val="24"/>
          <w:szCs w:val="24"/>
        </w:rPr>
        <w:t>号建议所载决定草案的一些要素并编制了第</w:t>
      </w:r>
      <w:r w:rsidRPr="00EB07E5">
        <w:rPr>
          <w:kern w:val="22"/>
          <w:sz w:val="24"/>
          <w:szCs w:val="24"/>
        </w:rPr>
        <w:t>2/3</w:t>
      </w:r>
      <w:r w:rsidRPr="00EB07E5">
        <w:rPr>
          <w:rFonts w:hint="eastAsia"/>
          <w:kern w:val="22"/>
          <w:sz w:val="24"/>
          <w:szCs w:val="24"/>
        </w:rPr>
        <w:t>号建议。</w:t>
      </w:r>
    </w:p>
    <w:p w:rsidR="00047BD6" w:rsidRPr="00EB07E5" w:rsidRDefault="00047BD6" w:rsidP="00BB7EAE">
      <w:pPr>
        <w:pStyle w:val="Para10"/>
        <w:numPr>
          <w:ilvl w:val="0"/>
          <w:numId w:val="20"/>
        </w:numPr>
        <w:tabs>
          <w:tab w:val="clear" w:pos="360"/>
          <w:tab w:val="left" w:pos="720"/>
        </w:tabs>
        <w:snapToGrid w:val="0"/>
        <w:spacing w:after="160"/>
        <w:rPr>
          <w:iCs/>
          <w:kern w:val="22"/>
          <w:sz w:val="24"/>
          <w:szCs w:val="24"/>
        </w:rPr>
      </w:pPr>
      <w:r w:rsidRPr="00EB07E5">
        <w:rPr>
          <w:rFonts w:hint="eastAsia"/>
          <w:kern w:val="22"/>
          <w:sz w:val="24"/>
          <w:szCs w:val="24"/>
        </w:rPr>
        <w:t>将请缔约方大会依照科咨机构第</w:t>
      </w:r>
      <w:r w:rsidRPr="00EB07E5">
        <w:rPr>
          <w:kern w:val="22"/>
          <w:sz w:val="24"/>
          <w:szCs w:val="24"/>
        </w:rPr>
        <w:t>XXI/3</w:t>
      </w:r>
      <w:r w:rsidRPr="00EB07E5">
        <w:rPr>
          <w:rFonts w:hint="eastAsia"/>
          <w:kern w:val="22"/>
          <w:sz w:val="24"/>
          <w:szCs w:val="24"/>
        </w:rPr>
        <w:t>号建议和执行问题附属机构第</w:t>
      </w:r>
      <w:r w:rsidRPr="00EB07E5">
        <w:rPr>
          <w:kern w:val="22"/>
          <w:sz w:val="24"/>
          <w:szCs w:val="24"/>
        </w:rPr>
        <w:t>2/3</w:t>
      </w:r>
      <w:r w:rsidRPr="00EB07E5">
        <w:rPr>
          <w:rFonts w:hint="eastAsia"/>
          <w:kern w:val="22"/>
          <w:sz w:val="24"/>
          <w:szCs w:val="24"/>
        </w:rPr>
        <w:t>号建议审议这个议程项目和根据执行问题附属机构第</w:t>
      </w:r>
      <w:r w:rsidRPr="00EB07E5">
        <w:rPr>
          <w:kern w:val="22"/>
          <w:sz w:val="24"/>
          <w:szCs w:val="24"/>
        </w:rPr>
        <w:t>2/3</w:t>
      </w:r>
      <w:r w:rsidRPr="00EB07E5">
        <w:rPr>
          <w:rFonts w:hint="eastAsia"/>
          <w:kern w:val="22"/>
          <w:sz w:val="24"/>
          <w:szCs w:val="24"/>
        </w:rPr>
        <w:t>号建议编制的关于将生物多样性纳入能源和采矿、基础设施以及制造和加工业部门的主流的决定草案。这两项决定草案均载于决定草案汇编（</w:t>
      </w:r>
      <w:r w:rsidRPr="00EB07E5">
        <w:rPr>
          <w:kern w:val="22"/>
          <w:sz w:val="24"/>
          <w:szCs w:val="24"/>
        </w:rPr>
        <w:t>CBD/COP/14/2</w:t>
      </w:r>
      <w:r w:rsidRPr="00EB07E5">
        <w:rPr>
          <w:rFonts w:hint="eastAsia"/>
          <w:kern w:val="22"/>
          <w:sz w:val="24"/>
          <w:szCs w:val="24"/>
        </w:rPr>
        <w:t>）。缔约方大会也不妨审查农业、林业、渔业和旅游业等部门的进展情况。</w:t>
      </w:r>
    </w:p>
    <w:p w:rsidR="00047BD6" w:rsidRPr="00EB07E5" w:rsidRDefault="00047BD6" w:rsidP="00851002">
      <w:pPr>
        <w:pStyle w:val="Para10"/>
        <w:keepNext/>
        <w:numPr>
          <w:ilvl w:val="0"/>
          <w:numId w:val="0"/>
        </w:numPr>
        <w:snapToGrid w:val="0"/>
        <w:jc w:val="center"/>
        <w:rPr>
          <w:b/>
          <w:kern w:val="22"/>
          <w:sz w:val="24"/>
          <w:szCs w:val="24"/>
        </w:rPr>
      </w:pPr>
      <w:r w:rsidRPr="00EB07E5">
        <w:rPr>
          <w:rFonts w:hint="eastAsia"/>
          <w:b/>
          <w:iCs/>
          <w:kern w:val="22"/>
          <w:sz w:val="24"/>
          <w:szCs w:val="24"/>
        </w:rPr>
        <w:t>项目</w:t>
      </w:r>
      <w:r w:rsidRPr="00EB07E5">
        <w:rPr>
          <w:b/>
          <w:iCs/>
          <w:kern w:val="22"/>
          <w:sz w:val="24"/>
          <w:szCs w:val="24"/>
        </w:rPr>
        <w:t xml:space="preserve"> 23. </w:t>
      </w:r>
      <w:r w:rsidRPr="00EB07E5">
        <w:rPr>
          <w:rFonts w:hint="eastAsia"/>
          <w:b/>
          <w:sz w:val="24"/>
          <w:szCs w:val="24"/>
          <w:lang w:val="en-US"/>
        </w:rPr>
        <w:t>保护和可持续利用授粉媒介</w:t>
      </w:r>
    </w:p>
    <w:p w:rsidR="00047BD6" w:rsidRPr="00EB07E5" w:rsidRDefault="00047BD6" w:rsidP="00566DC4">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缔约方大会第十三届会议根据生物多样性和生态系统服务政府间科学政策平台进行的专题评估报告和《公约》的</w:t>
      </w:r>
      <w:r w:rsidRPr="00EB07E5">
        <w:rPr>
          <w:rFonts w:hint="eastAsia"/>
          <w:sz w:val="24"/>
          <w:szCs w:val="24"/>
          <w:lang w:val="zh-CN"/>
        </w:rPr>
        <w:t>《保护与可持续利用授粉媒介国际倡议》开展</w:t>
      </w:r>
      <w:r w:rsidRPr="00EB07E5">
        <w:rPr>
          <w:rFonts w:hint="eastAsia"/>
          <w:kern w:val="22"/>
          <w:sz w:val="24"/>
          <w:szCs w:val="24"/>
        </w:rPr>
        <w:t>的工作，通过了</w:t>
      </w:r>
      <w:hyperlink r:id="rId65" w:history="1">
        <w:r w:rsidRPr="00EB07E5">
          <w:rPr>
            <w:rStyle w:val="Hyperlink"/>
            <w:rFonts w:hint="eastAsia"/>
            <w:kern w:val="22"/>
            <w:sz w:val="24"/>
            <w:szCs w:val="24"/>
          </w:rPr>
          <w:t>第</w:t>
        </w:r>
        <w:r w:rsidRPr="00EB07E5">
          <w:rPr>
            <w:rStyle w:val="Hyperlink"/>
            <w:kern w:val="22"/>
            <w:sz w:val="24"/>
            <w:szCs w:val="24"/>
          </w:rPr>
          <w:t>XIII/15</w:t>
        </w:r>
        <w:r w:rsidRPr="00EB07E5">
          <w:rPr>
            <w:rStyle w:val="Hyperlink"/>
            <w:rFonts w:hint="eastAsia"/>
            <w:kern w:val="22"/>
            <w:sz w:val="24"/>
            <w:szCs w:val="24"/>
          </w:rPr>
          <w:t>号决定</w:t>
        </w:r>
      </w:hyperlink>
      <w:r w:rsidRPr="00EB07E5">
        <w:rPr>
          <w:rFonts w:hint="eastAsia"/>
          <w:kern w:val="22"/>
          <w:sz w:val="24"/>
          <w:szCs w:val="24"/>
        </w:rPr>
        <w:t>，为关于授粉媒介、授粉和粮食生产提供了政策指导。</w:t>
      </w:r>
    </w:p>
    <w:p w:rsidR="00047BD6" w:rsidRPr="00EB07E5" w:rsidRDefault="00047BD6" w:rsidP="00566DC4">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科咨机构第二十二次会议审议了各国有关促进授粉媒介保护和可持续利用的倡议和活动的信息，以及和联合国粮食及农业组织和其他伙伴一同编制的最新和精简的《国际倡议行动计划》草案。科咨机构还审议了授粉媒介和授粉除在农业和粮食生产中的作用之外，与所有生态系统中保护和可持续利用生物多样性有关的信息。</w:t>
      </w:r>
    </w:p>
    <w:p w:rsidR="00047BD6" w:rsidRPr="00EB07E5" w:rsidRDefault="00047BD6" w:rsidP="00566DC4">
      <w:pPr>
        <w:pStyle w:val="Para10"/>
        <w:numPr>
          <w:ilvl w:val="0"/>
          <w:numId w:val="20"/>
        </w:numPr>
        <w:tabs>
          <w:tab w:val="clear" w:pos="360"/>
          <w:tab w:val="left" w:pos="720"/>
        </w:tabs>
        <w:snapToGrid w:val="0"/>
        <w:spacing w:after="160"/>
        <w:rPr>
          <w:kern w:val="22"/>
          <w:sz w:val="24"/>
          <w:szCs w:val="24"/>
        </w:rPr>
      </w:pPr>
      <w:r w:rsidRPr="00EB07E5">
        <w:rPr>
          <w:rFonts w:hint="eastAsia"/>
          <w:iCs/>
          <w:kern w:val="22"/>
          <w:sz w:val="24"/>
          <w:szCs w:val="24"/>
        </w:rPr>
        <w:t>将请缔约方大会根据载于决定草案汇编（</w:t>
      </w:r>
      <w:r w:rsidRPr="00EB07E5">
        <w:rPr>
          <w:iCs/>
          <w:kern w:val="22"/>
          <w:sz w:val="24"/>
          <w:szCs w:val="24"/>
        </w:rPr>
        <w:t>CBD/COP/14/2</w:t>
      </w:r>
      <w:r w:rsidRPr="00EB07E5">
        <w:rPr>
          <w:rFonts w:hint="eastAsia"/>
          <w:iCs/>
          <w:kern w:val="22"/>
          <w:sz w:val="24"/>
          <w:szCs w:val="24"/>
        </w:rPr>
        <w:t>）依照科咨机构第</w:t>
      </w:r>
      <w:r w:rsidRPr="00EB07E5">
        <w:rPr>
          <w:iCs/>
          <w:kern w:val="22"/>
          <w:sz w:val="24"/>
          <w:szCs w:val="24"/>
          <w:lang w:val="en-US"/>
        </w:rPr>
        <w:t>22</w:t>
      </w:r>
      <w:r w:rsidRPr="00EB07E5">
        <w:rPr>
          <w:iCs/>
          <w:kern w:val="22"/>
          <w:sz w:val="24"/>
          <w:szCs w:val="24"/>
        </w:rPr>
        <w:t>/9</w:t>
      </w:r>
      <w:r w:rsidRPr="00EB07E5">
        <w:rPr>
          <w:rFonts w:hint="eastAsia"/>
          <w:iCs/>
          <w:kern w:val="22"/>
          <w:sz w:val="24"/>
          <w:szCs w:val="24"/>
        </w:rPr>
        <w:t>号建议编制的决定草案审议这个事项。还将提供关于授粉媒介和授粉在农业和粮食生产中的作用之外，它们对保护和可持续利用所有生态系统的生物多样性的重要性的最后报告以及同行审查的意见（</w:t>
      </w:r>
      <w:r w:rsidRPr="00EB07E5">
        <w:rPr>
          <w:iCs/>
          <w:kern w:val="22"/>
          <w:sz w:val="24"/>
          <w:szCs w:val="24"/>
        </w:rPr>
        <w:t>CBD/COP/14/INF/8</w:t>
      </w:r>
      <w:r w:rsidRPr="00EB07E5">
        <w:rPr>
          <w:rFonts w:hint="eastAsia"/>
          <w:iCs/>
          <w:kern w:val="22"/>
          <w:sz w:val="24"/>
          <w:szCs w:val="24"/>
        </w:rPr>
        <w:t>）。</w:t>
      </w:r>
    </w:p>
    <w:p w:rsidR="00047BD6" w:rsidRPr="00EB07E5" w:rsidRDefault="00047BD6" w:rsidP="00851002">
      <w:pPr>
        <w:pStyle w:val="Para10"/>
        <w:keepNext/>
        <w:numPr>
          <w:ilvl w:val="0"/>
          <w:numId w:val="0"/>
        </w:numPr>
        <w:snapToGrid w:val="0"/>
        <w:jc w:val="center"/>
        <w:rPr>
          <w:b/>
          <w:kern w:val="22"/>
          <w:sz w:val="24"/>
          <w:szCs w:val="24"/>
        </w:rPr>
      </w:pPr>
      <w:r w:rsidRPr="00EB07E5">
        <w:rPr>
          <w:rFonts w:hint="eastAsia"/>
          <w:b/>
          <w:kern w:val="22"/>
          <w:sz w:val="24"/>
          <w:szCs w:val="24"/>
        </w:rPr>
        <w:t>项目</w:t>
      </w:r>
      <w:r w:rsidRPr="00EB07E5">
        <w:rPr>
          <w:b/>
          <w:kern w:val="22"/>
          <w:sz w:val="24"/>
          <w:szCs w:val="24"/>
        </w:rPr>
        <w:t xml:space="preserve"> 24. </w:t>
      </w:r>
      <w:r w:rsidRPr="00EB07E5">
        <w:rPr>
          <w:rFonts w:hint="eastAsia"/>
          <w:b/>
          <w:sz w:val="24"/>
          <w:szCs w:val="24"/>
          <w:lang w:val="en-US"/>
        </w:rPr>
        <w:t>空间规划、保护区和其他有效区域保护措施</w:t>
      </w:r>
    </w:p>
    <w:p w:rsidR="00047BD6" w:rsidRPr="00EB07E5" w:rsidRDefault="00047BD6" w:rsidP="009308A8">
      <w:pPr>
        <w:pStyle w:val="Para10"/>
        <w:numPr>
          <w:ilvl w:val="0"/>
          <w:numId w:val="20"/>
        </w:numPr>
        <w:tabs>
          <w:tab w:val="clear" w:pos="360"/>
          <w:tab w:val="left" w:pos="720"/>
        </w:tabs>
        <w:snapToGrid w:val="0"/>
        <w:spacing w:after="160"/>
        <w:rPr>
          <w:kern w:val="22"/>
          <w:sz w:val="24"/>
          <w:szCs w:val="24"/>
        </w:rPr>
      </w:pPr>
      <w:r w:rsidRPr="00EB07E5">
        <w:rPr>
          <w:rFonts w:hint="eastAsia"/>
          <w:iCs/>
          <w:kern w:val="22"/>
          <w:sz w:val="24"/>
          <w:szCs w:val="24"/>
        </w:rPr>
        <w:t>缔约</w:t>
      </w:r>
      <w:r w:rsidRPr="00EB07E5">
        <w:rPr>
          <w:rFonts w:hint="eastAsia"/>
          <w:kern w:val="22"/>
          <w:sz w:val="24"/>
          <w:szCs w:val="24"/>
        </w:rPr>
        <w:t>方大会在</w:t>
      </w:r>
      <w:hyperlink r:id="rId66" w:history="1">
        <w:r w:rsidRPr="00EB07E5">
          <w:rPr>
            <w:rStyle w:val="Hyperlink"/>
            <w:rFonts w:hint="eastAsia"/>
            <w:kern w:val="22"/>
            <w:sz w:val="24"/>
            <w:szCs w:val="24"/>
          </w:rPr>
          <w:t>第</w:t>
        </w:r>
        <w:r w:rsidRPr="00EB07E5">
          <w:rPr>
            <w:rStyle w:val="Hyperlink"/>
            <w:kern w:val="22"/>
            <w:sz w:val="24"/>
            <w:szCs w:val="24"/>
          </w:rPr>
          <w:t>XIII/2</w:t>
        </w:r>
        <w:r w:rsidRPr="00EB07E5">
          <w:rPr>
            <w:rStyle w:val="Hyperlink"/>
            <w:rFonts w:hint="eastAsia"/>
            <w:kern w:val="22"/>
            <w:sz w:val="24"/>
            <w:szCs w:val="24"/>
          </w:rPr>
          <w:t>号决定</w:t>
        </w:r>
      </w:hyperlink>
      <w:r w:rsidRPr="00EB07E5">
        <w:rPr>
          <w:rFonts w:hint="eastAsia"/>
          <w:kern w:val="22"/>
          <w:sz w:val="24"/>
          <w:szCs w:val="24"/>
        </w:rPr>
        <w:t>中请缔约方和有关机构及伙伴对</w:t>
      </w:r>
      <w:r w:rsidRPr="00EB07E5">
        <w:rPr>
          <w:rFonts w:hint="eastAsia"/>
          <w:sz w:val="24"/>
          <w:szCs w:val="24"/>
        </w:rPr>
        <w:t>保护区和其他有效区域保护措施</w:t>
      </w:r>
      <w:r w:rsidRPr="00EB07E5">
        <w:rPr>
          <w:rFonts w:hint="eastAsia"/>
          <w:snapToGrid w:val="0"/>
          <w:kern w:val="22"/>
          <w:sz w:val="24"/>
          <w:szCs w:val="24"/>
        </w:rPr>
        <w:t>的经验、加强</w:t>
      </w:r>
      <w:r w:rsidRPr="00EB07E5">
        <w:rPr>
          <w:rFonts w:hint="eastAsia"/>
          <w:sz w:val="24"/>
          <w:szCs w:val="24"/>
        </w:rPr>
        <w:t>将其融入更广阔的陆地景观和海洋景观和纳入跨部门主流的其他措施、以及</w:t>
      </w:r>
      <w:r w:rsidRPr="00EB07E5">
        <w:rPr>
          <w:rFonts w:hint="eastAsia"/>
          <w:snapToGrid w:val="0"/>
          <w:kern w:val="22"/>
          <w:sz w:val="24"/>
          <w:szCs w:val="24"/>
        </w:rPr>
        <w:t>有效治理模式进行审查</w:t>
      </w:r>
      <w:r w:rsidRPr="00EB07E5">
        <w:rPr>
          <w:rFonts w:hint="eastAsia"/>
          <w:kern w:val="22"/>
          <w:sz w:val="24"/>
          <w:szCs w:val="24"/>
        </w:rPr>
        <w:t>。请执行秘书制定</w:t>
      </w:r>
      <w:r w:rsidRPr="00EB07E5">
        <w:rPr>
          <w:rFonts w:hint="eastAsia"/>
          <w:snapToGrid w:val="0"/>
          <w:kern w:val="22"/>
          <w:sz w:val="24"/>
          <w:szCs w:val="24"/>
        </w:rPr>
        <w:t>这些要素的自愿性</w:t>
      </w:r>
      <w:r w:rsidRPr="00EB07E5">
        <w:rPr>
          <w:rFonts w:hint="eastAsia"/>
          <w:kern w:val="22"/>
          <w:sz w:val="24"/>
          <w:szCs w:val="24"/>
        </w:rPr>
        <w:t>指南。</w:t>
      </w:r>
    </w:p>
    <w:p w:rsidR="00047BD6" w:rsidRPr="00EB07E5" w:rsidRDefault="00047BD6" w:rsidP="009308A8">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缔约方大会在</w:t>
      </w:r>
      <w:hyperlink r:id="rId67" w:history="1">
        <w:r w:rsidRPr="00EB07E5">
          <w:rPr>
            <w:rStyle w:val="Hyperlink"/>
            <w:rFonts w:hint="eastAsia"/>
            <w:kern w:val="22"/>
            <w:sz w:val="24"/>
            <w:szCs w:val="24"/>
          </w:rPr>
          <w:t>第</w:t>
        </w:r>
        <w:r w:rsidRPr="00EB07E5">
          <w:rPr>
            <w:rStyle w:val="Hyperlink"/>
            <w:kern w:val="22"/>
            <w:sz w:val="24"/>
            <w:szCs w:val="24"/>
          </w:rPr>
          <w:t>XIII/9</w:t>
        </w:r>
        <w:r w:rsidRPr="00EB07E5">
          <w:rPr>
            <w:rStyle w:val="Hyperlink"/>
            <w:rFonts w:hint="eastAsia"/>
            <w:kern w:val="22"/>
            <w:sz w:val="24"/>
            <w:szCs w:val="24"/>
          </w:rPr>
          <w:t>号决定</w:t>
        </w:r>
      </w:hyperlink>
      <w:r w:rsidRPr="00EB07E5">
        <w:rPr>
          <w:rFonts w:hint="eastAsia"/>
          <w:kern w:val="22"/>
          <w:sz w:val="24"/>
          <w:szCs w:val="24"/>
        </w:rPr>
        <w:t>中请执行秘书汇编关于在实施海洋空间规划以及发展和管理海洋保护区系统方面的国家、区域和分区域经验教训以及其他有效的区域保护措施的信息。</w:t>
      </w:r>
    </w:p>
    <w:p w:rsidR="00047BD6" w:rsidRPr="00EB07E5" w:rsidRDefault="00047BD6" w:rsidP="009308A8">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根据</w:t>
      </w:r>
      <w:hyperlink r:id="rId68" w:history="1">
        <w:r w:rsidRPr="00EB07E5">
          <w:rPr>
            <w:rStyle w:val="Hyperlink"/>
            <w:rFonts w:hint="eastAsia"/>
            <w:kern w:val="22"/>
            <w:sz w:val="24"/>
            <w:szCs w:val="24"/>
          </w:rPr>
          <w:t>第</w:t>
        </w:r>
        <w:r w:rsidRPr="00EB07E5">
          <w:rPr>
            <w:rStyle w:val="Hyperlink"/>
            <w:kern w:val="22"/>
            <w:sz w:val="24"/>
            <w:szCs w:val="24"/>
          </w:rPr>
          <w:t>XIII/2</w:t>
        </w:r>
        <w:r w:rsidRPr="00EB07E5">
          <w:rPr>
            <w:rStyle w:val="Hyperlink"/>
            <w:rFonts w:hint="eastAsia"/>
            <w:kern w:val="22"/>
            <w:sz w:val="24"/>
            <w:szCs w:val="24"/>
          </w:rPr>
          <w:t>号</w:t>
        </w:r>
      </w:hyperlink>
      <w:r w:rsidRPr="00EB07E5">
        <w:rPr>
          <w:rFonts w:hint="eastAsia"/>
          <w:kern w:val="22"/>
          <w:sz w:val="24"/>
          <w:szCs w:val="24"/>
        </w:rPr>
        <w:t>和</w:t>
      </w:r>
      <w:hyperlink r:id="rId69" w:history="1">
        <w:r w:rsidRPr="00EB07E5">
          <w:rPr>
            <w:rStyle w:val="Hyperlink"/>
            <w:rFonts w:hint="eastAsia"/>
            <w:kern w:val="22"/>
            <w:sz w:val="24"/>
            <w:szCs w:val="24"/>
          </w:rPr>
          <w:t>第</w:t>
        </w:r>
        <w:r w:rsidRPr="00EB07E5">
          <w:rPr>
            <w:rStyle w:val="Hyperlink"/>
            <w:kern w:val="22"/>
            <w:sz w:val="24"/>
            <w:szCs w:val="24"/>
          </w:rPr>
          <w:t>XIII/9</w:t>
        </w:r>
        <w:r w:rsidRPr="00EB07E5">
          <w:rPr>
            <w:rStyle w:val="Hyperlink"/>
            <w:rFonts w:hint="eastAsia"/>
            <w:kern w:val="22"/>
            <w:sz w:val="24"/>
            <w:szCs w:val="24"/>
          </w:rPr>
          <w:t>号决定</w:t>
        </w:r>
      </w:hyperlink>
      <w:r w:rsidRPr="00EB07E5">
        <w:rPr>
          <w:rFonts w:hint="eastAsia"/>
          <w:kern w:val="22"/>
          <w:sz w:val="24"/>
          <w:szCs w:val="24"/>
        </w:rPr>
        <w:t>，执行秘书同时举办了两个讲习班。其中一个是制定其他有效区域保护措施自愿指南讲习班，另一个是关于开发海洋保护区和有效区域保护措施综合信息讲习班。</w:t>
      </w:r>
    </w:p>
    <w:p w:rsidR="00047BD6" w:rsidRPr="00EB07E5" w:rsidRDefault="00047BD6" w:rsidP="009308A8">
      <w:pPr>
        <w:pStyle w:val="Para10"/>
        <w:numPr>
          <w:ilvl w:val="0"/>
          <w:numId w:val="20"/>
        </w:numPr>
        <w:tabs>
          <w:tab w:val="clear" w:pos="360"/>
          <w:tab w:val="left" w:pos="720"/>
        </w:tabs>
        <w:snapToGrid w:val="0"/>
        <w:spacing w:after="160"/>
        <w:rPr>
          <w:iCs/>
          <w:kern w:val="22"/>
          <w:sz w:val="24"/>
          <w:szCs w:val="24"/>
        </w:rPr>
      </w:pPr>
      <w:r w:rsidRPr="00EB07E5">
        <w:rPr>
          <w:rFonts w:hint="eastAsia"/>
          <w:kern w:val="22"/>
          <w:sz w:val="24"/>
          <w:szCs w:val="24"/>
        </w:rPr>
        <w:t>科咨机构第二十二次会议审议了这些讲习班的成果和其他有关信息。</w:t>
      </w:r>
    </w:p>
    <w:p w:rsidR="00047BD6" w:rsidRPr="00EB07E5" w:rsidRDefault="00047BD6" w:rsidP="009308A8">
      <w:pPr>
        <w:pStyle w:val="Para10"/>
        <w:numPr>
          <w:ilvl w:val="0"/>
          <w:numId w:val="20"/>
        </w:numPr>
        <w:tabs>
          <w:tab w:val="clear" w:pos="360"/>
          <w:tab w:val="left" w:pos="720"/>
        </w:tabs>
        <w:snapToGrid w:val="0"/>
        <w:spacing w:after="160"/>
        <w:rPr>
          <w:iCs/>
          <w:kern w:val="22"/>
          <w:sz w:val="24"/>
          <w:szCs w:val="24"/>
        </w:rPr>
      </w:pPr>
      <w:r w:rsidRPr="00EB07E5">
        <w:rPr>
          <w:rFonts w:hint="eastAsia"/>
          <w:iCs/>
          <w:kern w:val="22"/>
          <w:sz w:val="24"/>
          <w:szCs w:val="24"/>
        </w:rPr>
        <w:t>将请缔约方大会根据载于决定草案汇编（</w:t>
      </w:r>
      <w:r w:rsidRPr="00EB07E5">
        <w:rPr>
          <w:iCs/>
          <w:kern w:val="22"/>
          <w:sz w:val="24"/>
          <w:szCs w:val="24"/>
        </w:rPr>
        <w:t>CBD/COP/14/2</w:t>
      </w:r>
      <w:r w:rsidRPr="00EB07E5">
        <w:rPr>
          <w:rFonts w:hint="eastAsia"/>
          <w:iCs/>
          <w:kern w:val="22"/>
          <w:sz w:val="24"/>
          <w:szCs w:val="24"/>
        </w:rPr>
        <w:t>）依照科咨机构第</w:t>
      </w:r>
      <w:r w:rsidRPr="00EB07E5">
        <w:rPr>
          <w:iCs/>
          <w:kern w:val="22"/>
          <w:sz w:val="24"/>
          <w:szCs w:val="24"/>
          <w:lang w:val="en-US"/>
        </w:rPr>
        <w:t>22</w:t>
      </w:r>
      <w:r w:rsidRPr="00EB07E5">
        <w:rPr>
          <w:iCs/>
          <w:kern w:val="22"/>
          <w:sz w:val="24"/>
          <w:szCs w:val="24"/>
        </w:rPr>
        <w:t>/5</w:t>
      </w:r>
      <w:r w:rsidRPr="00EB07E5">
        <w:rPr>
          <w:rFonts w:hint="eastAsia"/>
          <w:iCs/>
          <w:kern w:val="22"/>
          <w:sz w:val="24"/>
          <w:szCs w:val="24"/>
        </w:rPr>
        <w:t>号建议编制的决定草案审议这个事项。</w:t>
      </w:r>
    </w:p>
    <w:p w:rsidR="00047BD6" w:rsidRPr="00EB07E5" w:rsidRDefault="00047BD6" w:rsidP="00851002">
      <w:pPr>
        <w:pStyle w:val="Heading2multiline"/>
        <w:tabs>
          <w:tab w:val="clear" w:pos="770"/>
        </w:tabs>
        <w:ind w:left="2132" w:right="994" w:hanging="1282"/>
        <w:jc w:val="center"/>
        <w:rPr>
          <w:i w:val="0"/>
          <w:snapToGrid w:val="0"/>
          <w:kern w:val="22"/>
          <w:szCs w:val="24"/>
          <w:lang w:eastAsia="zh-CN"/>
        </w:rPr>
      </w:pPr>
      <w:bookmarkStart w:id="1" w:name="Item14"/>
      <w:r w:rsidRPr="00EB07E5">
        <w:rPr>
          <w:rFonts w:hint="eastAsia"/>
          <w:i w:val="0"/>
          <w:snapToGrid w:val="0"/>
          <w:kern w:val="22"/>
          <w:szCs w:val="24"/>
          <w:lang w:eastAsia="zh-CN"/>
        </w:rPr>
        <w:t>项目</w:t>
      </w:r>
      <w:r w:rsidRPr="00EB07E5">
        <w:rPr>
          <w:i w:val="0"/>
          <w:snapToGrid w:val="0"/>
          <w:kern w:val="22"/>
          <w:szCs w:val="24"/>
          <w:lang w:eastAsia="zh-CN"/>
        </w:rPr>
        <w:t xml:space="preserve"> 25. </w:t>
      </w:r>
      <w:r w:rsidRPr="00EB07E5">
        <w:rPr>
          <w:rFonts w:hint="eastAsia"/>
          <w:i w:val="0"/>
          <w:szCs w:val="24"/>
          <w:lang w:val="en-US" w:eastAsia="zh-CN"/>
        </w:rPr>
        <w:t>海洋和沿海生物多样性</w:t>
      </w:r>
    </w:p>
    <w:bookmarkEnd w:id="1"/>
    <w:p w:rsidR="00047BD6" w:rsidRPr="00EB07E5" w:rsidRDefault="00047BD6" w:rsidP="00406714">
      <w:pPr>
        <w:pStyle w:val="Para10"/>
        <w:numPr>
          <w:ilvl w:val="0"/>
          <w:numId w:val="0"/>
        </w:numPr>
        <w:rPr>
          <w:rFonts w:eastAsia="楷体"/>
          <w:snapToGrid w:val="0"/>
          <w:sz w:val="24"/>
          <w:szCs w:val="24"/>
        </w:rPr>
      </w:pPr>
      <w:r w:rsidRPr="00EB07E5">
        <w:rPr>
          <w:rFonts w:eastAsia="楷体" w:hint="eastAsia"/>
          <w:snapToGrid w:val="0"/>
          <w:sz w:val="24"/>
          <w:szCs w:val="24"/>
        </w:rPr>
        <w:t>具有重要生态或生物意义的海洋区域</w:t>
      </w:r>
    </w:p>
    <w:p w:rsidR="00047BD6" w:rsidRPr="00EB07E5" w:rsidRDefault="00047BD6" w:rsidP="00144385">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缔约方大会在第</w:t>
      </w:r>
      <w:hyperlink r:id="rId70" w:history="1">
        <w:r w:rsidRPr="00EB07E5">
          <w:rPr>
            <w:rStyle w:val="Hyperlink"/>
            <w:kern w:val="22"/>
            <w:sz w:val="24"/>
            <w:szCs w:val="24"/>
          </w:rPr>
          <w:t>XIII/12</w:t>
        </w:r>
        <w:r w:rsidRPr="00EB07E5">
          <w:rPr>
            <w:rStyle w:val="Hyperlink"/>
            <w:rFonts w:hint="eastAsia"/>
            <w:kern w:val="22"/>
            <w:sz w:val="24"/>
            <w:szCs w:val="24"/>
          </w:rPr>
          <w:t>号决定</w:t>
        </w:r>
      </w:hyperlink>
      <w:r w:rsidRPr="00EB07E5">
        <w:rPr>
          <w:rFonts w:hint="eastAsia"/>
          <w:kern w:val="22"/>
          <w:sz w:val="24"/>
          <w:szCs w:val="24"/>
        </w:rPr>
        <w:t>中请执行秘书</w:t>
      </w:r>
      <w:r w:rsidRPr="00EB07E5">
        <w:rPr>
          <w:rFonts w:hint="eastAsia"/>
          <w:snapToGrid w:val="0"/>
          <w:sz w:val="24"/>
          <w:szCs w:val="24"/>
        </w:rPr>
        <w:t>继续通过为希望举办讲习班的缔约方组织讲习班，以促进描述符合具有重要生态或生物多样性意义的海洋区域的工作。</w:t>
      </w:r>
      <w:r w:rsidRPr="00EB07E5">
        <w:rPr>
          <w:rFonts w:hint="eastAsia"/>
          <w:kern w:val="22"/>
          <w:sz w:val="24"/>
          <w:szCs w:val="24"/>
        </w:rPr>
        <w:t>据此，执行秘书于</w:t>
      </w:r>
      <w:r w:rsidRPr="00EB07E5">
        <w:rPr>
          <w:kern w:val="22"/>
          <w:sz w:val="24"/>
          <w:szCs w:val="24"/>
        </w:rPr>
        <w:t>2017</w:t>
      </w:r>
      <w:r w:rsidRPr="00EB07E5">
        <w:rPr>
          <w:rFonts w:hint="eastAsia"/>
          <w:kern w:val="22"/>
          <w:sz w:val="24"/>
          <w:szCs w:val="24"/>
        </w:rPr>
        <w:t>年</w:t>
      </w:r>
      <w:r w:rsidRPr="00EB07E5">
        <w:rPr>
          <w:kern w:val="22"/>
          <w:sz w:val="24"/>
          <w:szCs w:val="24"/>
        </w:rPr>
        <w:t>4</w:t>
      </w:r>
      <w:r w:rsidRPr="00EB07E5">
        <w:rPr>
          <w:rFonts w:hint="eastAsia"/>
          <w:kern w:val="22"/>
          <w:sz w:val="24"/>
          <w:szCs w:val="24"/>
        </w:rPr>
        <w:t>月组织了黑海和里海讲习班，于</w:t>
      </w:r>
      <w:r w:rsidRPr="00EB07E5">
        <w:rPr>
          <w:kern w:val="22"/>
          <w:sz w:val="24"/>
          <w:szCs w:val="24"/>
        </w:rPr>
        <w:t>2018</w:t>
      </w:r>
      <w:r w:rsidRPr="00EB07E5">
        <w:rPr>
          <w:rFonts w:hint="eastAsia"/>
          <w:kern w:val="22"/>
          <w:sz w:val="24"/>
          <w:szCs w:val="24"/>
        </w:rPr>
        <w:t>年</w:t>
      </w:r>
      <w:r w:rsidRPr="00EB07E5">
        <w:rPr>
          <w:kern w:val="22"/>
          <w:sz w:val="24"/>
          <w:szCs w:val="24"/>
        </w:rPr>
        <w:t>3</w:t>
      </w:r>
      <w:r w:rsidRPr="00EB07E5">
        <w:rPr>
          <w:rFonts w:hint="eastAsia"/>
          <w:kern w:val="22"/>
          <w:sz w:val="24"/>
          <w:szCs w:val="24"/>
        </w:rPr>
        <w:t>月举办了波罗的海讲习班。讲习班的成果由科咨机构第二十二次会议按照由缔约方大会以往的决定建立的程序进行了审议。</w:t>
      </w:r>
    </w:p>
    <w:p w:rsidR="00047BD6" w:rsidRPr="00EB07E5" w:rsidRDefault="00047BD6" w:rsidP="00144385">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在同一决定中，缔约方大会审议了描述</w:t>
      </w:r>
      <w:r w:rsidRPr="00EB07E5">
        <w:rPr>
          <w:rFonts w:hint="eastAsia"/>
          <w:snapToGrid w:val="0"/>
          <w:sz w:val="24"/>
          <w:szCs w:val="24"/>
        </w:rPr>
        <w:t>符合具有重要生态或生物多样性意义的海洋区域标准的区域的进程</w:t>
      </w:r>
      <w:r w:rsidRPr="00EB07E5">
        <w:rPr>
          <w:rFonts w:hint="eastAsia"/>
          <w:kern w:val="22"/>
          <w:sz w:val="24"/>
          <w:szCs w:val="24"/>
        </w:rPr>
        <w:t>，并请执行秘书继续开展这方面的工作。继该决定之后，执行秘书于</w:t>
      </w:r>
      <w:r w:rsidRPr="00EB07E5">
        <w:rPr>
          <w:kern w:val="22"/>
          <w:sz w:val="24"/>
          <w:szCs w:val="24"/>
        </w:rPr>
        <w:t>2017</w:t>
      </w:r>
      <w:r w:rsidRPr="00EB07E5">
        <w:rPr>
          <w:rFonts w:hint="eastAsia"/>
          <w:kern w:val="22"/>
          <w:sz w:val="24"/>
          <w:szCs w:val="24"/>
        </w:rPr>
        <w:t>年</w:t>
      </w:r>
      <w:r w:rsidRPr="00EB07E5">
        <w:rPr>
          <w:kern w:val="22"/>
          <w:sz w:val="24"/>
          <w:szCs w:val="24"/>
        </w:rPr>
        <w:t>12</w:t>
      </w:r>
      <w:r w:rsidRPr="00EB07E5">
        <w:rPr>
          <w:rFonts w:hint="eastAsia"/>
          <w:kern w:val="22"/>
          <w:sz w:val="24"/>
          <w:szCs w:val="24"/>
        </w:rPr>
        <w:t>月在柏林召开了一次专家研讨会，以便制定关于修改描述具有重要生态或生物多样性意义</w:t>
      </w:r>
      <w:r w:rsidRPr="00EB07E5">
        <w:rPr>
          <w:rFonts w:hint="eastAsia"/>
          <w:snapToGrid w:val="0"/>
          <w:sz w:val="24"/>
          <w:szCs w:val="24"/>
        </w:rPr>
        <w:t>的海洋</w:t>
      </w:r>
      <w:r w:rsidRPr="00EB07E5">
        <w:rPr>
          <w:rFonts w:hint="eastAsia"/>
          <w:kern w:val="22"/>
          <w:sz w:val="24"/>
          <w:szCs w:val="24"/>
        </w:rPr>
        <w:t>区域和新区域以及加强科学进程程序的备选方案。科咨机构第二十二次会议还审议了这次研讨会的成果。</w:t>
      </w:r>
    </w:p>
    <w:p w:rsidR="00047BD6" w:rsidRPr="00EB07E5" w:rsidRDefault="00047BD6" w:rsidP="002B1251">
      <w:pPr>
        <w:pStyle w:val="Para10"/>
        <w:numPr>
          <w:ilvl w:val="0"/>
          <w:numId w:val="21"/>
        </w:numPr>
        <w:tabs>
          <w:tab w:val="clear" w:pos="360"/>
        </w:tabs>
        <w:kinsoku w:val="0"/>
        <w:overflowPunct w:val="0"/>
        <w:autoSpaceDE w:val="0"/>
        <w:autoSpaceDN w:val="0"/>
        <w:spacing w:after="160"/>
        <w:rPr>
          <w:kern w:val="22"/>
          <w:sz w:val="24"/>
          <w:szCs w:val="24"/>
        </w:rPr>
      </w:pPr>
      <w:r w:rsidRPr="00EB07E5">
        <w:rPr>
          <w:rFonts w:hint="eastAsia"/>
          <w:sz w:val="24"/>
          <w:szCs w:val="24"/>
        </w:rPr>
        <w:t>科咨机构第二十二次会议审议了这一信息，并在其第</w:t>
      </w:r>
      <w:r w:rsidRPr="00EB07E5">
        <w:rPr>
          <w:sz w:val="24"/>
          <w:szCs w:val="24"/>
          <w:lang w:val="en-US"/>
        </w:rPr>
        <w:t>22</w:t>
      </w:r>
      <w:r w:rsidRPr="00EB07E5">
        <w:rPr>
          <w:sz w:val="24"/>
          <w:szCs w:val="24"/>
        </w:rPr>
        <w:t>/6</w:t>
      </w:r>
      <w:r w:rsidRPr="00EB07E5">
        <w:rPr>
          <w:rFonts w:hint="eastAsia"/>
          <w:sz w:val="24"/>
          <w:szCs w:val="24"/>
        </w:rPr>
        <w:t>号建议中编写了一份供缔约方大会审议的决定草案。在这项建议中，科咨机构请执行秘书根据需要编制一份关于具有重要生态或生物意义的海洋区域问题非正式咨询小组职权范围的修订草案，该职权范围见第</w:t>
      </w:r>
      <w:r w:rsidRPr="00EB07E5">
        <w:rPr>
          <w:sz w:val="24"/>
          <w:szCs w:val="24"/>
        </w:rPr>
        <w:t>XIII/12</w:t>
      </w:r>
      <w:r w:rsidRPr="00EB07E5">
        <w:rPr>
          <w:rFonts w:hint="eastAsia"/>
          <w:sz w:val="24"/>
          <w:szCs w:val="24"/>
        </w:rPr>
        <w:t>号决定（附件三），同时考虑到第</w:t>
      </w:r>
      <w:r w:rsidRPr="00EB07E5">
        <w:rPr>
          <w:sz w:val="24"/>
          <w:szCs w:val="24"/>
          <w:lang w:val="en-US"/>
        </w:rPr>
        <w:t>22</w:t>
      </w:r>
      <w:r w:rsidRPr="00EB07E5">
        <w:rPr>
          <w:sz w:val="24"/>
          <w:szCs w:val="24"/>
        </w:rPr>
        <w:t>/6</w:t>
      </w:r>
      <w:r w:rsidRPr="00EB07E5">
        <w:rPr>
          <w:rFonts w:hint="eastAsia"/>
          <w:sz w:val="24"/>
          <w:szCs w:val="24"/>
        </w:rPr>
        <w:t>号建议的附件（</w:t>
      </w:r>
      <w:r w:rsidRPr="00EB07E5">
        <w:rPr>
          <w:rFonts w:ascii="MS Mincho" w:eastAsia="MS Mincho" w:hAnsi="MS Mincho" w:cs="MS Mincho" w:hint="eastAsia"/>
          <w:sz w:val="24"/>
          <w:szCs w:val="24"/>
        </w:rPr>
        <w:t>​</w:t>
      </w:r>
      <w:r w:rsidRPr="00EB07E5">
        <w:rPr>
          <w:rFonts w:hint="eastAsia"/>
          <w:sz w:val="24"/>
          <w:szCs w:val="24"/>
        </w:rPr>
        <w:t>修</w:t>
      </w:r>
      <w:r w:rsidRPr="00EB07E5">
        <w:rPr>
          <w:rFonts w:ascii="MS Mincho" w:eastAsia="MS Mincho" w:hAnsi="MS Mincho" w:cs="MS Mincho" w:hint="eastAsia"/>
          <w:sz w:val="24"/>
          <w:szCs w:val="24"/>
        </w:rPr>
        <w:t>​</w:t>
      </w:r>
      <w:r w:rsidRPr="00EB07E5">
        <w:rPr>
          <w:rFonts w:hint="eastAsia"/>
          <w:sz w:val="24"/>
          <w:szCs w:val="24"/>
        </w:rPr>
        <w:t>改</w:t>
      </w:r>
      <w:r w:rsidRPr="00EB07E5">
        <w:rPr>
          <w:rFonts w:ascii="MS Mincho" w:eastAsia="MS Mincho" w:hAnsi="MS Mincho" w:cs="MS Mincho" w:hint="eastAsia"/>
          <w:sz w:val="24"/>
          <w:szCs w:val="24"/>
        </w:rPr>
        <w:t>​</w:t>
      </w:r>
      <w:r w:rsidRPr="00EB07E5">
        <w:rPr>
          <w:rFonts w:hint="eastAsia"/>
          <w:sz w:val="24"/>
          <w:szCs w:val="24"/>
        </w:rPr>
        <w:t>对</w:t>
      </w:r>
      <w:r w:rsidRPr="00EB07E5">
        <w:rPr>
          <w:rFonts w:ascii="MS Mincho" w:eastAsia="MS Mincho" w:hAnsi="MS Mincho" w:cs="MS Mincho" w:hint="eastAsia"/>
          <w:sz w:val="24"/>
          <w:szCs w:val="24"/>
        </w:rPr>
        <w:t>​</w:t>
      </w:r>
      <w:r w:rsidRPr="00EB07E5">
        <w:rPr>
          <w:rFonts w:hint="eastAsia"/>
          <w:sz w:val="24"/>
          <w:szCs w:val="24"/>
        </w:rPr>
        <w:t>具</w:t>
      </w:r>
      <w:r w:rsidRPr="00EB07E5">
        <w:rPr>
          <w:rFonts w:ascii="MS Mincho" w:eastAsia="MS Mincho" w:hAnsi="MS Mincho" w:cs="MS Mincho" w:hint="eastAsia"/>
          <w:sz w:val="24"/>
          <w:szCs w:val="24"/>
        </w:rPr>
        <w:t>​</w:t>
      </w:r>
      <w:r w:rsidRPr="00EB07E5">
        <w:rPr>
          <w:rFonts w:hint="eastAsia"/>
          <w:sz w:val="24"/>
          <w:szCs w:val="24"/>
        </w:rPr>
        <w:t>有</w:t>
      </w:r>
      <w:r w:rsidRPr="00EB07E5">
        <w:rPr>
          <w:rFonts w:ascii="MS Mincho" w:eastAsia="MS Mincho" w:hAnsi="MS Mincho" w:cs="MS Mincho" w:hint="eastAsia"/>
          <w:sz w:val="24"/>
          <w:szCs w:val="24"/>
        </w:rPr>
        <w:t>​</w:t>
      </w:r>
      <w:r w:rsidRPr="00EB07E5">
        <w:rPr>
          <w:rFonts w:hint="eastAsia"/>
          <w:sz w:val="24"/>
          <w:szCs w:val="24"/>
        </w:rPr>
        <w:t>重</w:t>
      </w:r>
      <w:r w:rsidRPr="00EB07E5">
        <w:rPr>
          <w:rFonts w:ascii="MS Mincho" w:eastAsia="MS Mincho" w:hAnsi="MS Mincho" w:cs="MS Mincho" w:hint="eastAsia"/>
          <w:sz w:val="24"/>
          <w:szCs w:val="24"/>
        </w:rPr>
        <w:t>​</w:t>
      </w:r>
      <w:r w:rsidRPr="00EB07E5">
        <w:rPr>
          <w:rFonts w:hint="eastAsia"/>
          <w:sz w:val="24"/>
          <w:szCs w:val="24"/>
        </w:rPr>
        <w:t>要</w:t>
      </w:r>
      <w:r w:rsidRPr="00EB07E5">
        <w:rPr>
          <w:rFonts w:ascii="MS Mincho" w:eastAsia="MS Mincho" w:hAnsi="MS Mincho" w:cs="MS Mincho" w:hint="eastAsia"/>
          <w:sz w:val="24"/>
          <w:szCs w:val="24"/>
        </w:rPr>
        <w:t>​</w:t>
      </w:r>
      <w:r w:rsidRPr="00EB07E5">
        <w:rPr>
          <w:rFonts w:hint="eastAsia"/>
          <w:sz w:val="24"/>
          <w:szCs w:val="24"/>
        </w:rPr>
        <w:t>生</w:t>
      </w:r>
      <w:r w:rsidRPr="00EB07E5">
        <w:rPr>
          <w:rFonts w:ascii="MS Mincho" w:eastAsia="MS Mincho" w:hAnsi="MS Mincho" w:cs="MS Mincho" w:hint="eastAsia"/>
          <w:sz w:val="24"/>
          <w:szCs w:val="24"/>
        </w:rPr>
        <w:t>​</w:t>
      </w:r>
      <w:r w:rsidRPr="00EB07E5">
        <w:rPr>
          <w:rFonts w:hint="eastAsia"/>
          <w:sz w:val="24"/>
          <w:szCs w:val="24"/>
        </w:rPr>
        <w:t>态</w:t>
      </w:r>
      <w:r w:rsidRPr="00EB07E5">
        <w:rPr>
          <w:rFonts w:ascii="MS Mincho" w:eastAsia="MS Mincho" w:hAnsi="MS Mincho" w:cs="MS Mincho" w:hint="eastAsia"/>
          <w:sz w:val="24"/>
          <w:szCs w:val="24"/>
        </w:rPr>
        <w:t>​</w:t>
      </w:r>
      <w:r w:rsidRPr="00EB07E5">
        <w:rPr>
          <w:rFonts w:hint="eastAsia"/>
          <w:sz w:val="24"/>
          <w:szCs w:val="24"/>
        </w:rPr>
        <w:t>或</w:t>
      </w:r>
      <w:r w:rsidRPr="00EB07E5">
        <w:rPr>
          <w:rFonts w:ascii="MS Mincho" w:eastAsia="MS Mincho" w:hAnsi="MS Mincho" w:cs="MS Mincho" w:hint="eastAsia"/>
          <w:sz w:val="24"/>
          <w:szCs w:val="24"/>
        </w:rPr>
        <w:t>​</w:t>
      </w:r>
      <w:r w:rsidRPr="00EB07E5">
        <w:rPr>
          <w:rFonts w:hint="eastAsia"/>
          <w:sz w:val="24"/>
          <w:szCs w:val="24"/>
        </w:rPr>
        <w:t>生</w:t>
      </w:r>
      <w:r w:rsidRPr="00EB07E5">
        <w:rPr>
          <w:rFonts w:ascii="MS Mincho" w:eastAsia="MS Mincho" w:hAnsi="MS Mincho" w:cs="MS Mincho" w:hint="eastAsia"/>
          <w:sz w:val="24"/>
          <w:szCs w:val="24"/>
        </w:rPr>
        <w:t>​</w:t>
      </w:r>
      <w:r w:rsidRPr="00EB07E5">
        <w:rPr>
          <w:rFonts w:hint="eastAsia"/>
          <w:sz w:val="24"/>
          <w:szCs w:val="24"/>
        </w:rPr>
        <w:t>物</w:t>
      </w:r>
      <w:r w:rsidRPr="00EB07E5">
        <w:rPr>
          <w:rFonts w:ascii="MS Mincho" w:eastAsia="MS Mincho" w:hAnsi="MS Mincho" w:cs="MS Mincho" w:hint="eastAsia"/>
          <w:sz w:val="24"/>
          <w:szCs w:val="24"/>
        </w:rPr>
        <w:t>​</w:t>
      </w:r>
      <w:r w:rsidRPr="00EB07E5">
        <w:rPr>
          <w:rFonts w:hint="eastAsia"/>
          <w:sz w:val="24"/>
          <w:szCs w:val="24"/>
        </w:rPr>
        <w:t>意</w:t>
      </w:r>
      <w:r w:rsidRPr="00EB07E5">
        <w:rPr>
          <w:rFonts w:ascii="MS Mincho" w:eastAsia="MS Mincho" w:hAnsi="MS Mincho" w:cs="MS Mincho" w:hint="eastAsia"/>
          <w:sz w:val="24"/>
          <w:szCs w:val="24"/>
        </w:rPr>
        <w:t>​</w:t>
      </w:r>
      <w:r w:rsidRPr="00EB07E5">
        <w:rPr>
          <w:rFonts w:hint="eastAsia"/>
          <w:sz w:val="24"/>
          <w:szCs w:val="24"/>
        </w:rPr>
        <w:t>义</w:t>
      </w:r>
      <w:r w:rsidRPr="00EB07E5">
        <w:rPr>
          <w:rFonts w:ascii="MS Mincho" w:eastAsia="MS Mincho" w:hAnsi="MS Mincho" w:cs="MS Mincho" w:hint="eastAsia"/>
          <w:sz w:val="24"/>
          <w:szCs w:val="24"/>
        </w:rPr>
        <w:t>​</w:t>
      </w:r>
      <w:r w:rsidRPr="00EB07E5">
        <w:rPr>
          <w:rFonts w:hint="eastAsia"/>
          <w:sz w:val="24"/>
          <w:szCs w:val="24"/>
        </w:rPr>
        <w:t>的</w:t>
      </w:r>
      <w:r w:rsidRPr="00EB07E5">
        <w:rPr>
          <w:rFonts w:ascii="MS Mincho" w:eastAsia="MS Mincho" w:hAnsi="MS Mincho" w:cs="MS Mincho" w:hint="eastAsia"/>
          <w:sz w:val="24"/>
          <w:szCs w:val="24"/>
        </w:rPr>
        <w:t>​</w:t>
      </w:r>
      <w:r w:rsidRPr="00EB07E5">
        <w:rPr>
          <w:rFonts w:hint="eastAsia"/>
          <w:sz w:val="24"/>
          <w:szCs w:val="24"/>
        </w:rPr>
        <w:t>海</w:t>
      </w:r>
      <w:r w:rsidRPr="00EB07E5">
        <w:rPr>
          <w:rFonts w:ascii="MS Mincho" w:eastAsia="MS Mincho" w:hAnsi="MS Mincho" w:cs="MS Mincho" w:hint="eastAsia"/>
          <w:sz w:val="24"/>
          <w:szCs w:val="24"/>
        </w:rPr>
        <w:t>​</w:t>
      </w:r>
      <w:r w:rsidRPr="00EB07E5">
        <w:rPr>
          <w:rFonts w:hint="eastAsia"/>
          <w:sz w:val="24"/>
          <w:szCs w:val="24"/>
        </w:rPr>
        <w:t>洋</w:t>
      </w:r>
      <w:r w:rsidRPr="00EB07E5">
        <w:rPr>
          <w:rFonts w:ascii="MS Mincho" w:eastAsia="MS Mincho" w:hAnsi="MS Mincho" w:cs="MS Mincho" w:hint="eastAsia"/>
          <w:sz w:val="24"/>
          <w:szCs w:val="24"/>
        </w:rPr>
        <w:t>​</w:t>
      </w:r>
      <w:r w:rsidRPr="00EB07E5">
        <w:rPr>
          <w:rFonts w:hint="eastAsia"/>
          <w:sz w:val="24"/>
          <w:szCs w:val="24"/>
        </w:rPr>
        <w:t>区</w:t>
      </w:r>
      <w:r w:rsidRPr="00EB07E5">
        <w:rPr>
          <w:rFonts w:ascii="MS Mincho" w:eastAsia="MS Mincho" w:hAnsi="MS Mincho" w:cs="MS Mincho" w:hint="eastAsia"/>
          <w:sz w:val="24"/>
          <w:szCs w:val="24"/>
        </w:rPr>
        <w:t>​</w:t>
      </w:r>
      <w:r w:rsidRPr="00EB07E5">
        <w:rPr>
          <w:rFonts w:hint="eastAsia"/>
          <w:sz w:val="24"/>
          <w:szCs w:val="24"/>
        </w:rPr>
        <w:t>域</w:t>
      </w:r>
      <w:r w:rsidRPr="00EB07E5">
        <w:rPr>
          <w:rFonts w:ascii="MS Mincho" w:eastAsia="MS Mincho" w:hAnsi="MS Mincho" w:cs="MS Mincho" w:hint="eastAsia"/>
          <w:sz w:val="24"/>
          <w:szCs w:val="24"/>
        </w:rPr>
        <w:t>​</w:t>
      </w:r>
      <w:r w:rsidRPr="00EB07E5">
        <w:rPr>
          <w:rFonts w:hint="eastAsia"/>
          <w:sz w:val="24"/>
          <w:szCs w:val="24"/>
        </w:rPr>
        <w:t>的</w:t>
      </w:r>
      <w:r w:rsidRPr="00EB07E5">
        <w:rPr>
          <w:rFonts w:ascii="MS Mincho" w:eastAsia="MS Mincho" w:hAnsi="MS Mincho" w:cs="MS Mincho" w:hint="eastAsia"/>
          <w:sz w:val="24"/>
          <w:szCs w:val="24"/>
        </w:rPr>
        <w:t>​</w:t>
      </w:r>
      <w:r w:rsidRPr="00EB07E5">
        <w:rPr>
          <w:rFonts w:hint="eastAsia"/>
          <w:sz w:val="24"/>
          <w:szCs w:val="24"/>
        </w:rPr>
        <w:t>描</w:t>
      </w:r>
      <w:r w:rsidRPr="00EB07E5">
        <w:rPr>
          <w:rFonts w:ascii="MS Mincho" w:eastAsia="MS Mincho" w:hAnsi="MS Mincho" w:cs="MS Mincho" w:hint="eastAsia"/>
          <w:sz w:val="24"/>
          <w:szCs w:val="24"/>
        </w:rPr>
        <w:t>​</w:t>
      </w:r>
      <w:r w:rsidRPr="00EB07E5">
        <w:rPr>
          <w:rFonts w:hint="eastAsia"/>
          <w:sz w:val="24"/>
          <w:szCs w:val="24"/>
        </w:rPr>
        <w:t>述</w:t>
      </w:r>
      <w:r w:rsidRPr="00EB07E5">
        <w:rPr>
          <w:rFonts w:ascii="MS Mincho" w:eastAsia="MS Mincho" w:hAnsi="MS Mincho" w:cs="MS Mincho" w:hint="eastAsia"/>
          <w:sz w:val="24"/>
          <w:szCs w:val="24"/>
        </w:rPr>
        <w:t>​</w:t>
      </w:r>
      <w:r w:rsidRPr="00EB07E5">
        <w:rPr>
          <w:rFonts w:hint="eastAsia"/>
          <w:sz w:val="24"/>
          <w:szCs w:val="24"/>
        </w:rPr>
        <w:t>以</w:t>
      </w:r>
      <w:r w:rsidRPr="00EB07E5">
        <w:rPr>
          <w:rFonts w:ascii="MS Mincho" w:eastAsia="MS Mincho" w:hAnsi="MS Mincho" w:cs="MS Mincho" w:hint="eastAsia"/>
          <w:sz w:val="24"/>
          <w:szCs w:val="24"/>
        </w:rPr>
        <w:t>​</w:t>
      </w:r>
      <w:r w:rsidRPr="00EB07E5">
        <w:rPr>
          <w:rFonts w:hint="eastAsia"/>
          <w:sz w:val="24"/>
          <w:szCs w:val="24"/>
        </w:rPr>
        <w:t>及</w:t>
      </w:r>
      <w:r w:rsidRPr="00EB07E5">
        <w:rPr>
          <w:rFonts w:ascii="MS Mincho" w:eastAsia="MS Mincho" w:hAnsi="MS Mincho" w:cs="MS Mincho" w:hint="eastAsia"/>
          <w:sz w:val="24"/>
          <w:szCs w:val="24"/>
        </w:rPr>
        <w:t>​</w:t>
      </w:r>
      <w:r w:rsidRPr="00EB07E5">
        <w:rPr>
          <w:rFonts w:hint="eastAsia"/>
          <w:sz w:val="24"/>
          <w:szCs w:val="24"/>
        </w:rPr>
        <w:t>描</w:t>
      </w:r>
      <w:r w:rsidRPr="00EB07E5">
        <w:rPr>
          <w:rFonts w:ascii="MS Mincho" w:eastAsia="MS Mincho" w:hAnsi="MS Mincho" w:cs="MS Mincho" w:hint="eastAsia"/>
          <w:sz w:val="24"/>
          <w:szCs w:val="24"/>
        </w:rPr>
        <w:t>​</w:t>
      </w:r>
      <w:r w:rsidRPr="00EB07E5">
        <w:rPr>
          <w:rFonts w:hint="eastAsia"/>
          <w:sz w:val="24"/>
          <w:szCs w:val="24"/>
        </w:rPr>
        <w:t>述</w:t>
      </w:r>
      <w:r w:rsidRPr="00EB07E5">
        <w:rPr>
          <w:rFonts w:ascii="MS Mincho" w:eastAsia="MS Mincho" w:hAnsi="MS Mincho" w:cs="MS Mincho" w:hint="eastAsia"/>
          <w:sz w:val="24"/>
          <w:szCs w:val="24"/>
        </w:rPr>
        <w:t>​</w:t>
      </w:r>
      <w:r w:rsidRPr="00EB07E5">
        <w:rPr>
          <w:rFonts w:hint="eastAsia"/>
          <w:sz w:val="24"/>
          <w:szCs w:val="24"/>
        </w:rPr>
        <w:t>新</w:t>
      </w:r>
      <w:r w:rsidRPr="00EB07E5">
        <w:rPr>
          <w:rFonts w:ascii="MS Mincho" w:eastAsia="MS Mincho" w:hAnsi="MS Mincho" w:cs="MS Mincho" w:hint="eastAsia"/>
          <w:sz w:val="24"/>
          <w:szCs w:val="24"/>
        </w:rPr>
        <w:t>​</w:t>
      </w:r>
      <w:r w:rsidRPr="00EB07E5">
        <w:rPr>
          <w:rFonts w:hint="eastAsia"/>
          <w:sz w:val="24"/>
          <w:szCs w:val="24"/>
        </w:rPr>
        <w:t>区</w:t>
      </w:r>
      <w:r w:rsidRPr="00EB07E5">
        <w:rPr>
          <w:rFonts w:ascii="MS Mincho" w:eastAsia="MS Mincho" w:hAnsi="MS Mincho" w:cs="MS Mincho" w:hint="eastAsia"/>
          <w:sz w:val="24"/>
          <w:szCs w:val="24"/>
        </w:rPr>
        <w:t>​</w:t>
      </w:r>
      <w:r w:rsidRPr="00EB07E5">
        <w:rPr>
          <w:rFonts w:hint="eastAsia"/>
          <w:sz w:val="24"/>
          <w:szCs w:val="24"/>
        </w:rPr>
        <w:t>域</w:t>
      </w:r>
      <w:r w:rsidRPr="00EB07E5">
        <w:rPr>
          <w:rFonts w:ascii="MS Mincho" w:eastAsia="MS Mincho" w:hAnsi="MS Mincho" w:cs="MS Mincho" w:hint="eastAsia"/>
          <w:sz w:val="24"/>
          <w:szCs w:val="24"/>
        </w:rPr>
        <w:t>​</w:t>
      </w:r>
      <w:r w:rsidRPr="00EB07E5">
        <w:rPr>
          <w:rFonts w:hint="eastAsia"/>
          <w:sz w:val="24"/>
          <w:szCs w:val="24"/>
        </w:rPr>
        <w:t>和</w:t>
      </w:r>
      <w:r w:rsidRPr="00EB07E5">
        <w:rPr>
          <w:rFonts w:ascii="MS Mincho" w:eastAsia="MS Mincho" w:hAnsi="MS Mincho" w:cs="MS Mincho" w:hint="eastAsia"/>
          <w:sz w:val="24"/>
          <w:szCs w:val="24"/>
        </w:rPr>
        <w:t>​</w:t>
      </w:r>
      <w:r w:rsidRPr="00EB07E5">
        <w:rPr>
          <w:rFonts w:hint="eastAsia"/>
          <w:sz w:val="24"/>
          <w:szCs w:val="24"/>
        </w:rPr>
        <w:t>加</w:t>
      </w:r>
      <w:r w:rsidRPr="00EB07E5">
        <w:rPr>
          <w:rFonts w:ascii="MS Mincho" w:eastAsia="MS Mincho" w:hAnsi="MS Mincho" w:cs="MS Mincho" w:hint="eastAsia"/>
          <w:sz w:val="24"/>
          <w:szCs w:val="24"/>
        </w:rPr>
        <w:t>​</w:t>
      </w:r>
      <w:r w:rsidRPr="00EB07E5">
        <w:rPr>
          <w:rFonts w:hint="eastAsia"/>
          <w:sz w:val="24"/>
          <w:szCs w:val="24"/>
        </w:rPr>
        <w:t>强</w:t>
      </w:r>
      <w:r w:rsidRPr="00EB07E5">
        <w:rPr>
          <w:rFonts w:ascii="MS Mincho" w:eastAsia="MS Mincho" w:hAnsi="MS Mincho" w:cs="MS Mincho" w:hint="eastAsia"/>
          <w:sz w:val="24"/>
          <w:szCs w:val="24"/>
        </w:rPr>
        <w:t>​</w:t>
      </w:r>
      <w:r w:rsidRPr="00EB07E5">
        <w:rPr>
          <w:rFonts w:hint="eastAsia"/>
          <w:sz w:val="24"/>
          <w:szCs w:val="24"/>
        </w:rPr>
        <w:t>这</w:t>
      </w:r>
      <w:r w:rsidRPr="00EB07E5">
        <w:rPr>
          <w:rFonts w:ascii="MS Mincho" w:eastAsia="MS Mincho" w:hAnsi="MS Mincho" w:cs="MS Mincho" w:hint="eastAsia"/>
          <w:sz w:val="24"/>
          <w:szCs w:val="24"/>
        </w:rPr>
        <w:t>​</w:t>
      </w:r>
      <w:r w:rsidRPr="00EB07E5">
        <w:rPr>
          <w:rFonts w:hint="eastAsia"/>
          <w:sz w:val="24"/>
          <w:szCs w:val="24"/>
        </w:rPr>
        <w:t>一</w:t>
      </w:r>
      <w:r w:rsidRPr="00EB07E5">
        <w:rPr>
          <w:rFonts w:ascii="MS Mincho" w:eastAsia="MS Mincho" w:hAnsi="MS Mincho" w:cs="MS Mincho" w:hint="eastAsia"/>
          <w:sz w:val="24"/>
          <w:szCs w:val="24"/>
        </w:rPr>
        <w:t>​</w:t>
      </w:r>
      <w:r w:rsidRPr="00EB07E5">
        <w:rPr>
          <w:rFonts w:hint="eastAsia"/>
          <w:sz w:val="24"/>
          <w:szCs w:val="24"/>
        </w:rPr>
        <w:t>进</w:t>
      </w:r>
      <w:r w:rsidRPr="00EB07E5">
        <w:rPr>
          <w:rFonts w:ascii="MS Mincho" w:eastAsia="MS Mincho" w:hAnsi="MS Mincho" w:cs="MS Mincho" w:hint="eastAsia"/>
          <w:sz w:val="24"/>
          <w:szCs w:val="24"/>
        </w:rPr>
        <w:t>​</w:t>
      </w:r>
      <w:r w:rsidRPr="00EB07E5">
        <w:rPr>
          <w:rFonts w:hint="eastAsia"/>
          <w:sz w:val="24"/>
          <w:szCs w:val="24"/>
        </w:rPr>
        <w:t>程</w:t>
      </w:r>
      <w:r w:rsidRPr="00EB07E5">
        <w:rPr>
          <w:rFonts w:ascii="MS Mincho" w:eastAsia="MS Mincho" w:hAnsi="MS Mincho" w:cs="MS Mincho" w:hint="eastAsia"/>
          <w:sz w:val="24"/>
          <w:szCs w:val="24"/>
        </w:rPr>
        <w:t>​</w:t>
      </w:r>
      <w:r w:rsidRPr="00EB07E5">
        <w:rPr>
          <w:rFonts w:hint="eastAsia"/>
          <w:sz w:val="24"/>
          <w:szCs w:val="24"/>
        </w:rPr>
        <w:t>的</w:t>
      </w:r>
      <w:r w:rsidRPr="00EB07E5">
        <w:rPr>
          <w:rFonts w:ascii="MS Mincho" w:eastAsia="MS Mincho" w:hAnsi="MS Mincho" w:cs="MS Mincho" w:hint="eastAsia"/>
          <w:sz w:val="24"/>
          <w:szCs w:val="24"/>
        </w:rPr>
        <w:t>​</w:t>
      </w:r>
      <w:r w:rsidRPr="00EB07E5">
        <w:rPr>
          <w:rFonts w:hint="eastAsia"/>
          <w:sz w:val="24"/>
          <w:szCs w:val="24"/>
        </w:rPr>
        <w:t>科</w:t>
      </w:r>
      <w:r w:rsidRPr="00EB07E5">
        <w:rPr>
          <w:rFonts w:ascii="MS Mincho" w:eastAsia="MS Mincho" w:hAnsi="MS Mincho" w:cs="MS Mincho" w:hint="eastAsia"/>
          <w:sz w:val="24"/>
          <w:szCs w:val="24"/>
        </w:rPr>
        <w:t>​</w:t>
      </w:r>
      <w:r w:rsidRPr="00EB07E5">
        <w:rPr>
          <w:rFonts w:hint="eastAsia"/>
          <w:sz w:val="24"/>
          <w:szCs w:val="24"/>
        </w:rPr>
        <w:t>学</w:t>
      </w:r>
      <w:r w:rsidRPr="00EB07E5">
        <w:rPr>
          <w:rFonts w:ascii="MS Mincho" w:eastAsia="MS Mincho" w:hAnsi="MS Mincho" w:cs="MS Mincho" w:hint="eastAsia"/>
          <w:sz w:val="24"/>
          <w:szCs w:val="24"/>
        </w:rPr>
        <w:t>​</w:t>
      </w:r>
      <w:r w:rsidRPr="00EB07E5">
        <w:rPr>
          <w:rFonts w:hint="eastAsia"/>
          <w:sz w:val="24"/>
          <w:szCs w:val="24"/>
        </w:rPr>
        <w:t>可</w:t>
      </w:r>
      <w:r w:rsidRPr="00EB07E5">
        <w:rPr>
          <w:rFonts w:ascii="MS Mincho" w:eastAsia="MS Mincho" w:hAnsi="MS Mincho" w:cs="MS Mincho" w:hint="eastAsia"/>
          <w:sz w:val="24"/>
          <w:szCs w:val="24"/>
        </w:rPr>
        <w:t>​</w:t>
      </w:r>
      <w:r w:rsidRPr="00EB07E5">
        <w:rPr>
          <w:rFonts w:hint="eastAsia"/>
          <w:sz w:val="24"/>
          <w:szCs w:val="24"/>
        </w:rPr>
        <w:t>信</w:t>
      </w:r>
      <w:r w:rsidRPr="00EB07E5">
        <w:rPr>
          <w:rFonts w:ascii="MS Mincho" w:eastAsia="MS Mincho" w:hAnsi="MS Mincho" w:cs="MS Mincho" w:hint="eastAsia"/>
          <w:sz w:val="24"/>
          <w:szCs w:val="24"/>
        </w:rPr>
        <w:t>​</w:t>
      </w:r>
      <w:r w:rsidRPr="00EB07E5">
        <w:rPr>
          <w:rFonts w:hint="eastAsia"/>
          <w:sz w:val="24"/>
          <w:szCs w:val="24"/>
        </w:rPr>
        <w:t>度</w:t>
      </w:r>
      <w:r w:rsidRPr="00EB07E5">
        <w:rPr>
          <w:rFonts w:ascii="MS Mincho" w:eastAsia="MS Mincho" w:hAnsi="MS Mincho" w:cs="MS Mincho" w:hint="eastAsia"/>
          <w:sz w:val="24"/>
          <w:szCs w:val="24"/>
        </w:rPr>
        <w:t>​</w:t>
      </w:r>
      <w:r w:rsidRPr="00EB07E5">
        <w:rPr>
          <w:rFonts w:hint="eastAsia"/>
          <w:sz w:val="24"/>
          <w:szCs w:val="24"/>
        </w:rPr>
        <w:t>和</w:t>
      </w:r>
      <w:r w:rsidRPr="00EB07E5">
        <w:rPr>
          <w:rFonts w:ascii="MS Mincho" w:eastAsia="MS Mincho" w:hAnsi="MS Mincho" w:cs="MS Mincho" w:hint="eastAsia"/>
          <w:sz w:val="24"/>
          <w:szCs w:val="24"/>
        </w:rPr>
        <w:t>​</w:t>
      </w:r>
      <w:r w:rsidRPr="00EB07E5">
        <w:rPr>
          <w:rFonts w:hint="eastAsia"/>
          <w:sz w:val="24"/>
          <w:szCs w:val="24"/>
        </w:rPr>
        <w:t>透</w:t>
      </w:r>
      <w:r w:rsidRPr="00EB07E5">
        <w:rPr>
          <w:rFonts w:ascii="MS Mincho" w:eastAsia="MS Mincho" w:hAnsi="MS Mincho" w:cs="MS Mincho" w:hint="eastAsia"/>
          <w:sz w:val="24"/>
          <w:szCs w:val="24"/>
        </w:rPr>
        <w:t>​</w:t>
      </w:r>
      <w:r w:rsidRPr="00EB07E5">
        <w:rPr>
          <w:rFonts w:hint="eastAsia"/>
          <w:sz w:val="24"/>
          <w:szCs w:val="24"/>
        </w:rPr>
        <w:t>明</w:t>
      </w:r>
      <w:r w:rsidRPr="00EB07E5">
        <w:rPr>
          <w:rFonts w:ascii="MS Mincho" w:eastAsia="MS Mincho" w:hAnsi="MS Mincho" w:cs="MS Mincho" w:hint="eastAsia"/>
          <w:sz w:val="24"/>
          <w:szCs w:val="24"/>
        </w:rPr>
        <w:t>​</w:t>
      </w:r>
      <w:r w:rsidRPr="00EB07E5">
        <w:rPr>
          <w:rFonts w:hint="eastAsia"/>
          <w:sz w:val="24"/>
          <w:szCs w:val="24"/>
        </w:rPr>
        <w:t>度</w:t>
      </w:r>
      <w:r w:rsidRPr="00EB07E5">
        <w:rPr>
          <w:rFonts w:ascii="MS Mincho" w:eastAsia="MS Mincho" w:hAnsi="MS Mincho" w:cs="MS Mincho" w:hint="eastAsia"/>
          <w:sz w:val="24"/>
          <w:szCs w:val="24"/>
        </w:rPr>
        <w:t>​</w:t>
      </w:r>
      <w:r w:rsidRPr="00EB07E5">
        <w:rPr>
          <w:rFonts w:hint="eastAsia"/>
          <w:sz w:val="24"/>
          <w:szCs w:val="24"/>
        </w:rPr>
        <w:t>的</w:t>
      </w:r>
      <w:r w:rsidRPr="00EB07E5">
        <w:rPr>
          <w:rFonts w:ascii="MS Mincho" w:eastAsia="MS Mincho" w:hAnsi="MS Mincho" w:cs="MS Mincho" w:hint="eastAsia"/>
          <w:sz w:val="24"/>
          <w:szCs w:val="24"/>
        </w:rPr>
        <w:t>​</w:t>
      </w:r>
      <w:r w:rsidRPr="00EB07E5">
        <w:rPr>
          <w:rFonts w:hint="eastAsia"/>
          <w:sz w:val="24"/>
          <w:szCs w:val="24"/>
        </w:rPr>
        <w:t>备</w:t>
      </w:r>
      <w:r w:rsidRPr="00EB07E5">
        <w:rPr>
          <w:rFonts w:ascii="MS Mincho" w:eastAsia="MS Mincho" w:hAnsi="MS Mincho" w:cs="MS Mincho" w:hint="eastAsia"/>
          <w:sz w:val="24"/>
          <w:szCs w:val="24"/>
        </w:rPr>
        <w:t>​</w:t>
      </w:r>
      <w:r w:rsidRPr="00EB07E5">
        <w:rPr>
          <w:rFonts w:hint="eastAsia"/>
          <w:sz w:val="24"/>
          <w:szCs w:val="24"/>
        </w:rPr>
        <w:t>选</w:t>
      </w:r>
      <w:r w:rsidRPr="00EB07E5">
        <w:rPr>
          <w:rFonts w:ascii="MS Mincho" w:eastAsia="MS Mincho" w:hAnsi="MS Mincho" w:cs="MS Mincho" w:hint="eastAsia"/>
          <w:sz w:val="24"/>
          <w:szCs w:val="24"/>
        </w:rPr>
        <w:t>​</w:t>
      </w:r>
      <w:r w:rsidRPr="00EB07E5">
        <w:rPr>
          <w:rFonts w:hint="eastAsia"/>
          <w:sz w:val="24"/>
          <w:szCs w:val="24"/>
        </w:rPr>
        <w:t>办</w:t>
      </w:r>
      <w:r w:rsidRPr="00EB07E5">
        <w:rPr>
          <w:rFonts w:ascii="MS Mincho" w:eastAsia="MS Mincho" w:hAnsi="MS Mincho" w:cs="MS Mincho" w:hint="eastAsia"/>
          <w:sz w:val="24"/>
          <w:szCs w:val="24"/>
        </w:rPr>
        <w:t>​</w:t>
      </w:r>
      <w:r w:rsidRPr="00EB07E5">
        <w:rPr>
          <w:rFonts w:hint="eastAsia"/>
          <w:sz w:val="24"/>
          <w:szCs w:val="24"/>
        </w:rPr>
        <w:t>法）。</w:t>
      </w:r>
    </w:p>
    <w:p w:rsidR="00047BD6" w:rsidRPr="00EB07E5" w:rsidRDefault="00047BD6" w:rsidP="002B1251">
      <w:pPr>
        <w:pStyle w:val="Para10"/>
        <w:numPr>
          <w:ilvl w:val="0"/>
          <w:numId w:val="21"/>
        </w:numPr>
        <w:tabs>
          <w:tab w:val="clear" w:pos="360"/>
        </w:tabs>
        <w:kinsoku w:val="0"/>
        <w:overflowPunct w:val="0"/>
        <w:autoSpaceDE w:val="0"/>
        <w:autoSpaceDN w:val="0"/>
        <w:spacing w:after="160"/>
        <w:rPr>
          <w:kern w:val="22"/>
          <w:sz w:val="24"/>
          <w:szCs w:val="24"/>
        </w:rPr>
      </w:pPr>
      <w:r w:rsidRPr="00EB07E5">
        <w:rPr>
          <w:rFonts w:hint="eastAsia"/>
          <w:sz w:val="24"/>
          <w:szCs w:val="24"/>
        </w:rPr>
        <w:t>预计缔约方大会将根据载于决定草案汇编（</w:t>
      </w:r>
      <w:r w:rsidRPr="00EB07E5">
        <w:rPr>
          <w:sz w:val="24"/>
          <w:szCs w:val="24"/>
        </w:rPr>
        <w:t>CBD/COP/14/2</w:t>
      </w:r>
      <w:r w:rsidRPr="00EB07E5">
        <w:rPr>
          <w:rFonts w:hint="eastAsia"/>
          <w:sz w:val="24"/>
          <w:szCs w:val="24"/>
        </w:rPr>
        <w:t>）依照科咨机构第</w:t>
      </w:r>
      <w:r w:rsidRPr="00EB07E5">
        <w:rPr>
          <w:sz w:val="24"/>
          <w:szCs w:val="24"/>
          <w:lang w:val="en-US"/>
        </w:rPr>
        <w:t>22</w:t>
      </w:r>
      <w:r w:rsidRPr="00EB07E5">
        <w:rPr>
          <w:sz w:val="24"/>
          <w:szCs w:val="24"/>
        </w:rPr>
        <w:t>/6</w:t>
      </w:r>
      <w:r w:rsidRPr="00EB07E5">
        <w:rPr>
          <w:rFonts w:hint="eastAsia"/>
          <w:sz w:val="24"/>
          <w:szCs w:val="24"/>
        </w:rPr>
        <w:t>号建议和执行秘书编制的前述具有重要生态或生物意义的海洋区域问题非正式咨询小组职权范围的修订草案所编制的决定草案审议这一事项。</w:t>
      </w:r>
    </w:p>
    <w:p w:rsidR="00047BD6" w:rsidRPr="00EB07E5" w:rsidRDefault="00047BD6" w:rsidP="00144385">
      <w:pPr>
        <w:pStyle w:val="Para10"/>
        <w:numPr>
          <w:ilvl w:val="0"/>
          <w:numId w:val="0"/>
        </w:numPr>
        <w:tabs>
          <w:tab w:val="left" w:pos="720"/>
        </w:tabs>
        <w:snapToGrid w:val="0"/>
        <w:spacing w:after="160"/>
        <w:rPr>
          <w:rFonts w:eastAsia="楷体"/>
          <w:kern w:val="22"/>
          <w:sz w:val="24"/>
          <w:szCs w:val="24"/>
        </w:rPr>
      </w:pPr>
      <w:r w:rsidRPr="00EB07E5">
        <w:rPr>
          <w:rFonts w:eastAsia="楷体" w:hint="eastAsia"/>
          <w:kern w:val="22"/>
          <w:sz w:val="24"/>
          <w:szCs w:val="24"/>
        </w:rPr>
        <w:t>与海洋和沿海生物多样性有关的其他</w:t>
      </w:r>
      <w:r w:rsidRPr="00EB07E5">
        <w:rPr>
          <w:rFonts w:eastAsia="楷体" w:hint="eastAsia"/>
          <w:kern w:val="22"/>
          <w:sz w:val="24"/>
          <w:szCs w:val="24"/>
          <w:lang w:val="en-US"/>
        </w:rPr>
        <w:t>事项</w:t>
      </w:r>
    </w:p>
    <w:p w:rsidR="00047BD6" w:rsidRPr="00EB07E5" w:rsidRDefault="00047BD6" w:rsidP="0034054F">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在</w:t>
      </w:r>
      <w:hyperlink r:id="rId71" w:history="1">
        <w:r w:rsidRPr="00EB07E5">
          <w:rPr>
            <w:rStyle w:val="Hyperlink"/>
            <w:rFonts w:hint="eastAsia"/>
            <w:kern w:val="22"/>
            <w:sz w:val="24"/>
            <w:szCs w:val="24"/>
          </w:rPr>
          <w:t>第</w:t>
        </w:r>
        <w:r w:rsidRPr="00EB07E5">
          <w:rPr>
            <w:rStyle w:val="Hyperlink"/>
            <w:kern w:val="22"/>
            <w:sz w:val="24"/>
            <w:szCs w:val="24"/>
          </w:rPr>
          <w:t>XIII/9</w:t>
        </w:r>
        <w:r w:rsidRPr="00EB07E5">
          <w:rPr>
            <w:rStyle w:val="Hyperlink"/>
            <w:rFonts w:hint="eastAsia"/>
            <w:kern w:val="22"/>
            <w:sz w:val="24"/>
            <w:szCs w:val="24"/>
          </w:rPr>
          <w:t>号决定</w:t>
        </w:r>
      </w:hyperlink>
      <w:r w:rsidRPr="00EB07E5">
        <w:rPr>
          <w:rFonts w:hint="eastAsia"/>
          <w:kern w:val="22"/>
          <w:sz w:val="24"/>
          <w:szCs w:val="24"/>
        </w:rPr>
        <w:t>中，缔约方大会欢迎执行秘书</w:t>
      </w:r>
      <w:r w:rsidRPr="00EB07E5">
        <w:rPr>
          <w:rFonts w:hint="eastAsia"/>
          <w:snapToGrid w:val="0"/>
          <w:color w:val="000000"/>
          <w:kern w:val="22"/>
          <w:sz w:val="24"/>
          <w:szCs w:val="24"/>
        </w:rPr>
        <w:t>与各缔约方及相关组织合作，通过区域、国家和全球各级可持续海洋倡议所推动的能力建设和伙伴关系活动</w:t>
      </w:r>
      <w:r w:rsidRPr="00EB07E5">
        <w:rPr>
          <w:rFonts w:hint="eastAsia"/>
          <w:kern w:val="22"/>
          <w:sz w:val="24"/>
          <w:szCs w:val="24"/>
        </w:rPr>
        <w:t>，并邀请各缔约方、</w:t>
      </w:r>
      <w:r w:rsidRPr="00EB07E5">
        <w:rPr>
          <w:rFonts w:hint="eastAsia"/>
          <w:snapToGrid w:val="0"/>
          <w:color w:val="000000"/>
          <w:kern w:val="22"/>
          <w:sz w:val="24"/>
          <w:szCs w:val="24"/>
        </w:rPr>
        <w:t>其他国家政府和相关组织合作，通过可持续海洋倡议及时有效地实施能力建设活动。</w:t>
      </w:r>
      <w:r w:rsidRPr="00EB07E5">
        <w:rPr>
          <w:rFonts w:hint="eastAsia"/>
          <w:kern w:val="22"/>
          <w:sz w:val="24"/>
          <w:szCs w:val="24"/>
        </w:rPr>
        <w:t>此外，缔约方大会在</w:t>
      </w:r>
      <w:hyperlink r:id="rId72" w:history="1">
        <w:r w:rsidRPr="00EB07E5">
          <w:rPr>
            <w:rStyle w:val="Hyperlink"/>
            <w:rFonts w:hint="eastAsia"/>
            <w:kern w:val="22"/>
            <w:sz w:val="24"/>
            <w:szCs w:val="24"/>
          </w:rPr>
          <w:t>第</w:t>
        </w:r>
        <w:r w:rsidRPr="00EB07E5">
          <w:rPr>
            <w:rStyle w:val="Hyperlink"/>
            <w:kern w:val="22"/>
            <w:sz w:val="24"/>
            <w:szCs w:val="24"/>
          </w:rPr>
          <w:t>XIII/3</w:t>
        </w:r>
        <w:r w:rsidRPr="00EB07E5">
          <w:rPr>
            <w:rStyle w:val="Hyperlink"/>
            <w:rFonts w:hint="eastAsia"/>
            <w:kern w:val="22"/>
            <w:sz w:val="24"/>
            <w:szCs w:val="24"/>
          </w:rPr>
          <w:t>号决定</w:t>
        </w:r>
      </w:hyperlink>
      <w:r w:rsidRPr="00EB07E5">
        <w:rPr>
          <w:rFonts w:hint="eastAsia"/>
          <w:kern w:val="22"/>
          <w:sz w:val="24"/>
          <w:szCs w:val="24"/>
        </w:rPr>
        <w:t>中强调</w:t>
      </w:r>
      <w:r w:rsidRPr="00EB07E5">
        <w:rPr>
          <w:rFonts w:hint="eastAsia"/>
          <w:snapToGrid w:val="0"/>
          <w:kern w:val="22"/>
          <w:sz w:val="24"/>
          <w:szCs w:val="24"/>
          <w:lang w:val="zh-CN"/>
        </w:rPr>
        <w:t>为解决可持续渔业和水产养殖业中的生物多样性问题，必须同粮农组织、区域渔业管理组织和各区域海洋公约和行动计划进行协作。</w:t>
      </w:r>
    </w:p>
    <w:p w:rsidR="00047BD6" w:rsidRPr="00EB07E5" w:rsidRDefault="00047BD6" w:rsidP="0034054F">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在</w:t>
      </w:r>
      <w:hyperlink r:id="rId73" w:history="1">
        <w:r w:rsidRPr="00EB07E5">
          <w:rPr>
            <w:rStyle w:val="Hyperlink"/>
            <w:rFonts w:hint="eastAsia"/>
            <w:kern w:val="22"/>
            <w:sz w:val="24"/>
            <w:szCs w:val="24"/>
          </w:rPr>
          <w:t>第</w:t>
        </w:r>
        <w:r w:rsidRPr="00EB07E5">
          <w:rPr>
            <w:rStyle w:val="Hyperlink"/>
            <w:kern w:val="22"/>
            <w:sz w:val="24"/>
            <w:szCs w:val="24"/>
          </w:rPr>
          <w:t>XIII/3</w:t>
        </w:r>
        <w:r w:rsidRPr="00EB07E5">
          <w:rPr>
            <w:rStyle w:val="Hyperlink"/>
            <w:rFonts w:hint="eastAsia"/>
            <w:kern w:val="22"/>
            <w:sz w:val="24"/>
            <w:szCs w:val="24"/>
          </w:rPr>
          <w:t>号</w:t>
        </w:r>
      </w:hyperlink>
      <w:r w:rsidRPr="00EB07E5">
        <w:rPr>
          <w:rFonts w:hint="eastAsia"/>
          <w:kern w:val="22"/>
          <w:sz w:val="24"/>
          <w:szCs w:val="24"/>
        </w:rPr>
        <w:t>、</w:t>
      </w:r>
      <w:hyperlink r:id="rId74" w:history="1">
        <w:r w:rsidRPr="00EB07E5">
          <w:rPr>
            <w:rStyle w:val="Hyperlink"/>
            <w:rFonts w:hint="eastAsia"/>
            <w:kern w:val="22"/>
            <w:sz w:val="24"/>
            <w:szCs w:val="24"/>
          </w:rPr>
          <w:t>第</w:t>
        </w:r>
        <w:r w:rsidRPr="00EB07E5">
          <w:rPr>
            <w:rStyle w:val="Hyperlink"/>
            <w:kern w:val="22"/>
            <w:sz w:val="24"/>
            <w:szCs w:val="24"/>
          </w:rPr>
          <w:t>XIII/9</w:t>
        </w:r>
        <w:r w:rsidRPr="00EB07E5">
          <w:rPr>
            <w:rStyle w:val="Hyperlink"/>
            <w:rFonts w:hint="eastAsia"/>
            <w:kern w:val="22"/>
            <w:sz w:val="24"/>
            <w:szCs w:val="24"/>
          </w:rPr>
          <w:t>号</w:t>
        </w:r>
      </w:hyperlink>
      <w:r w:rsidRPr="00EB07E5">
        <w:rPr>
          <w:rFonts w:hint="eastAsia"/>
          <w:kern w:val="22"/>
          <w:sz w:val="24"/>
          <w:szCs w:val="24"/>
        </w:rPr>
        <w:t>和</w:t>
      </w:r>
      <w:hyperlink r:id="rId75" w:history="1">
        <w:r w:rsidRPr="00EB07E5">
          <w:rPr>
            <w:rStyle w:val="Hyperlink"/>
            <w:rFonts w:hint="eastAsia"/>
            <w:kern w:val="22"/>
            <w:sz w:val="24"/>
            <w:szCs w:val="24"/>
          </w:rPr>
          <w:t>第</w:t>
        </w:r>
        <w:r w:rsidRPr="00EB07E5">
          <w:rPr>
            <w:rStyle w:val="Hyperlink"/>
            <w:kern w:val="22"/>
            <w:sz w:val="24"/>
            <w:szCs w:val="24"/>
          </w:rPr>
          <w:t>XIII/28</w:t>
        </w:r>
        <w:r w:rsidRPr="00EB07E5">
          <w:rPr>
            <w:rStyle w:val="Hyperlink"/>
            <w:rFonts w:hint="eastAsia"/>
            <w:kern w:val="22"/>
            <w:sz w:val="24"/>
            <w:szCs w:val="24"/>
          </w:rPr>
          <w:t>号决定</w:t>
        </w:r>
      </w:hyperlink>
      <w:r w:rsidRPr="00EB07E5">
        <w:rPr>
          <w:rFonts w:hint="eastAsia"/>
          <w:kern w:val="22"/>
          <w:sz w:val="24"/>
          <w:szCs w:val="24"/>
        </w:rPr>
        <w:t>中，缔约方大会讨论了</w:t>
      </w:r>
      <w:r w:rsidRPr="00EB07E5">
        <w:rPr>
          <w:rFonts w:hint="eastAsia"/>
          <w:snapToGrid w:val="0"/>
          <w:kern w:val="22"/>
          <w:sz w:val="24"/>
          <w:szCs w:val="24"/>
          <w:lang w:val="zh-CN"/>
        </w:rPr>
        <w:t>粮农组织、国际自然保护联盟和执行秘书之间持续合作以改进报告工作和支持执行爱知生物多样性指标</w:t>
      </w:r>
      <w:r w:rsidRPr="00EB07E5">
        <w:rPr>
          <w:snapToGrid w:val="0"/>
          <w:kern w:val="22"/>
          <w:sz w:val="24"/>
          <w:szCs w:val="24"/>
          <w:lang w:val="zh-CN"/>
        </w:rPr>
        <w:t>6</w:t>
      </w:r>
      <w:r w:rsidRPr="00EB07E5">
        <w:rPr>
          <w:rFonts w:hint="eastAsia"/>
          <w:snapToGrid w:val="0"/>
          <w:kern w:val="22"/>
          <w:sz w:val="24"/>
          <w:szCs w:val="24"/>
          <w:lang w:val="zh-CN"/>
        </w:rPr>
        <w:t>，</w:t>
      </w:r>
      <w:r w:rsidRPr="00EB07E5">
        <w:rPr>
          <w:rFonts w:hint="eastAsia"/>
          <w:kern w:val="22"/>
          <w:sz w:val="24"/>
          <w:szCs w:val="24"/>
        </w:rPr>
        <w:t>并邀请进一步协作</w:t>
      </w:r>
      <w:r w:rsidRPr="00EB07E5">
        <w:rPr>
          <w:rFonts w:hint="eastAsia"/>
          <w:snapToGrid w:val="0"/>
          <w:kern w:val="22"/>
          <w:sz w:val="24"/>
          <w:szCs w:val="24"/>
          <w:lang w:val="zh-CN"/>
        </w:rPr>
        <w:t>编制将生物多样性纳入渔业主流的经验，包括对渔业采取生态系统方法</w:t>
      </w:r>
      <w:r w:rsidRPr="00EB07E5">
        <w:rPr>
          <w:rFonts w:hint="eastAsia"/>
          <w:kern w:val="22"/>
          <w:sz w:val="24"/>
          <w:szCs w:val="24"/>
        </w:rPr>
        <w:t>，</w:t>
      </w:r>
      <w:r w:rsidRPr="00EB07E5">
        <w:rPr>
          <w:rFonts w:hint="eastAsia"/>
          <w:snapToGrid w:val="0"/>
          <w:kern w:val="22"/>
          <w:sz w:val="24"/>
          <w:szCs w:val="24"/>
          <w:lang w:val="zh-CN"/>
        </w:rPr>
        <w:t>并在缔约方大会第十四届会议之前提交这一汇编</w:t>
      </w:r>
      <w:r w:rsidRPr="00EB07E5">
        <w:rPr>
          <w:rFonts w:hint="eastAsia"/>
          <w:kern w:val="22"/>
          <w:sz w:val="24"/>
          <w:szCs w:val="24"/>
        </w:rPr>
        <w:t>。</w:t>
      </w:r>
    </w:p>
    <w:p w:rsidR="00047BD6" w:rsidRPr="00EB07E5" w:rsidRDefault="00047BD6" w:rsidP="0034054F">
      <w:pPr>
        <w:pStyle w:val="Para10"/>
        <w:numPr>
          <w:ilvl w:val="0"/>
          <w:numId w:val="20"/>
        </w:numPr>
        <w:tabs>
          <w:tab w:val="clear" w:pos="360"/>
          <w:tab w:val="left" w:pos="720"/>
        </w:tabs>
        <w:snapToGrid w:val="0"/>
        <w:spacing w:after="160"/>
        <w:rPr>
          <w:iCs/>
          <w:kern w:val="22"/>
          <w:sz w:val="24"/>
          <w:szCs w:val="24"/>
        </w:rPr>
      </w:pPr>
      <w:r w:rsidRPr="00EB07E5">
        <w:rPr>
          <w:rFonts w:hint="eastAsia"/>
          <w:kern w:val="22"/>
          <w:sz w:val="24"/>
          <w:szCs w:val="24"/>
        </w:rPr>
        <w:t>科咨机构第二十二次会议审议了这一信息，并编制了一份供缔约方大会审议的决定草案。</w:t>
      </w:r>
    </w:p>
    <w:p w:rsidR="00047BD6" w:rsidRPr="00EB07E5" w:rsidRDefault="00047BD6" w:rsidP="001E5868">
      <w:pPr>
        <w:pStyle w:val="Para10"/>
        <w:numPr>
          <w:ilvl w:val="0"/>
          <w:numId w:val="20"/>
        </w:numPr>
        <w:tabs>
          <w:tab w:val="clear" w:pos="360"/>
          <w:tab w:val="left" w:pos="720"/>
        </w:tabs>
        <w:snapToGrid w:val="0"/>
        <w:spacing w:after="160"/>
        <w:rPr>
          <w:iCs/>
          <w:kern w:val="22"/>
          <w:sz w:val="24"/>
          <w:szCs w:val="24"/>
        </w:rPr>
      </w:pPr>
      <w:r w:rsidRPr="00EB07E5">
        <w:rPr>
          <w:rFonts w:hint="eastAsia"/>
          <w:iCs/>
          <w:kern w:val="22"/>
          <w:sz w:val="24"/>
          <w:szCs w:val="24"/>
        </w:rPr>
        <w:t>将请缔约方大会根据载于决定草案汇编（</w:t>
      </w:r>
      <w:r w:rsidRPr="00EB07E5">
        <w:rPr>
          <w:iCs/>
          <w:kern w:val="22"/>
          <w:sz w:val="24"/>
          <w:szCs w:val="24"/>
        </w:rPr>
        <w:t>CBD/COP/14/2</w:t>
      </w:r>
      <w:r w:rsidRPr="00EB07E5">
        <w:rPr>
          <w:rFonts w:hint="eastAsia"/>
          <w:iCs/>
          <w:kern w:val="22"/>
          <w:sz w:val="24"/>
          <w:szCs w:val="24"/>
        </w:rPr>
        <w:t>）依照科咨机构第</w:t>
      </w:r>
      <w:r w:rsidRPr="00EB07E5">
        <w:rPr>
          <w:iCs/>
          <w:kern w:val="22"/>
          <w:sz w:val="24"/>
          <w:szCs w:val="24"/>
          <w:lang w:val="en-US"/>
        </w:rPr>
        <w:t>22</w:t>
      </w:r>
      <w:r w:rsidRPr="00EB07E5">
        <w:rPr>
          <w:iCs/>
          <w:kern w:val="22"/>
          <w:sz w:val="24"/>
          <w:szCs w:val="24"/>
        </w:rPr>
        <w:t>/6</w:t>
      </w:r>
      <w:r w:rsidRPr="00EB07E5">
        <w:rPr>
          <w:rFonts w:hint="eastAsia"/>
          <w:iCs/>
          <w:kern w:val="22"/>
          <w:sz w:val="24"/>
          <w:szCs w:val="24"/>
        </w:rPr>
        <w:t>号建议编制的决定草案审议这个事项。</w:t>
      </w:r>
    </w:p>
    <w:p w:rsidR="00047BD6" w:rsidRPr="00EB07E5" w:rsidRDefault="00047BD6" w:rsidP="00243352">
      <w:pPr>
        <w:pStyle w:val="Para10"/>
        <w:numPr>
          <w:ilvl w:val="0"/>
          <w:numId w:val="20"/>
        </w:numPr>
        <w:tabs>
          <w:tab w:val="clear" w:pos="360"/>
          <w:tab w:val="left" w:pos="720"/>
        </w:tabs>
        <w:snapToGrid w:val="0"/>
        <w:spacing w:after="160"/>
        <w:rPr>
          <w:iCs/>
          <w:kern w:val="22"/>
          <w:sz w:val="24"/>
          <w:szCs w:val="24"/>
        </w:rPr>
      </w:pPr>
      <w:r w:rsidRPr="00EB07E5">
        <w:rPr>
          <w:rFonts w:hint="eastAsia"/>
          <w:kern w:val="22"/>
          <w:sz w:val="24"/>
          <w:szCs w:val="24"/>
        </w:rPr>
        <w:t>有关海洋空间规划和保护区以及其他有效区域保护措施的事项将在项目</w:t>
      </w:r>
      <w:r w:rsidRPr="00EB07E5">
        <w:rPr>
          <w:kern w:val="22"/>
          <w:sz w:val="24"/>
          <w:szCs w:val="24"/>
        </w:rPr>
        <w:t>24</w:t>
      </w:r>
      <w:r w:rsidRPr="00EB07E5">
        <w:rPr>
          <w:rFonts w:hint="eastAsia"/>
          <w:kern w:val="22"/>
          <w:sz w:val="24"/>
          <w:szCs w:val="24"/>
        </w:rPr>
        <w:t>下处理。</w:t>
      </w:r>
    </w:p>
    <w:p w:rsidR="00047BD6" w:rsidRPr="00EB07E5" w:rsidRDefault="00047BD6" w:rsidP="00851002">
      <w:pPr>
        <w:pStyle w:val="Para10"/>
        <w:keepNext/>
        <w:numPr>
          <w:ilvl w:val="0"/>
          <w:numId w:val="0"/>
        </w:numPr>
        <w:snapToGrid w:val="0"/>
        <w:jc w:val="center"/>
        <w:rPr>
          <w:b/>
          <w:kern w:val="22"/>
          <w:sz w:val="24"/>
          <w:szCs w:val="24"/>
        </w:rPr>
      </w:pPr>
      <w:r w:rsidRPr="00EB07E5">
        <w:rPr>
          <w:rFonts w:hint="eastAsia"/>
          <w:b/>
          <w:kern w:val="22"/>
          <w:sz w:val="24"/>
          <w:szCs w:val="24"/>
        </w:rPr>
        <w:t>项目</w:t>
      </w:r>
      <w:r w:rsidRPr="00EB07E5">
        <w:rPr>
          <w:b/>
          <w:kern w:val="22"/>
          <w:sz w:val="24"/>
          <w:szCs w:val="24"/>
        </w:rPr>
        <w:t xml:space="preserve"> 26. </w:t>
      </w:r>
      <w:r w:rsidRPr="00EB07E5">
        <w:rPr>
          <w:rFonts w:hint="eastAsia"/>
          <w:b/>
          <w:sz w:val="24"/>
          <w:szCs w:val="24"/>
          <w:lang w:val="en-US"/>
        </w:rPr>
        <w:t>外来入侵物种</w:t>
      </w:r>
      <w:r w:rsidRPr="00EB07E5">
        <w:rPr>
          <w:b/>
          <w:sz w:val="24"/>
          <w:szCs w:val="24"/>
          <w:lang w:val="en-US"/>
        </w:rPr>
        <w:t xml:space="preserve"> </w:t>
      </w:r>
    </w:p>
    <w:p w:rsidR="00047BD6" w:rsidRPr="00EB07E5" w:rsidRDefault="00047BD6" w:rsidP="00E60ED0">
      <w:pPr>
        <w:pStyle w:val="Para10"/>
        <w:numPr>
          <w:ilvl w:val="0"/>
          <w:numId w:val="20"/>
        </w:numPr>
        <w:tabs>
          <w:tab w:val="clear" w:pos="360"/>
          <w:tab w:val="left" w:pos="720"/>
        </w:tabs>
        <w:snapToGrid w:val="0"/>
        <w:spacing w:after="160"/>
        <w:rPr>
          <w:sz w:val="24"/>
          <w:szCs w:val="24"/>
        </w:rPr>
      </w:pPr>
      <w:r w:rsidRPr="00EB07E5">
        <w:rPr>
          <w:rFonts w:hint="eastAsia"/>
          <w:kern w:val="22"/>
          <w:sz w:val="24"/>
          <w:szCs w:val="24"/>
        </w:rPr>
        <w:t>缔约方大会第十二届会议通过了</w:t>
      </w:r>
      <w:r w:rsidRPr="00EB07E5">
        <w:rPr>
          <w:kern w:val="22"/>
          <w:sz w:val="24"/>
          <w:szCs w:val="24"/>
        </w:rPr>
        <w:t>“</w:t>
      </w:r>
      <w:r w:rsidRPr="00EB07E5">
        <w:rPr>
          <w:rFonts w:hint="eastAsia"/>
          <w:sz w:val="24"/>
          <w:szCs w:val="24"/>
        </w:rPr>
        <w:t>制定和实施措施解决引进外来物种作为宠物、水族箱和温箱物种、活饵和活食所产生的相关风险的自愿指南</w:t>
      </w:r>
      <w:r w:rsidRPr="00EB07E5">
        <w:rPr>
          <w:sz w:val="24"/>
          <w:szCs w:val="24"/>
        </w:rPr>
        <w:t>”</w:t>
      </w:r>
      <w:r w:rsidRPr="00EB07E5">
        <w:rPr>
          <w:rStyle w:val="FootnoteReference"/>
          <w:kern w:val="22"/>
          <w:sz w:val="24"/>
          <w:szCs w:val="24"/>
          <w:u w:val="none"/>
          <w:vertAlign w:val="superscript"/>
        </w:rPr>
        <w:footnoteReference w:id="14"/>
      </w:r>
      <w:r w:rsidRPr="00EB07E5">
        <w:rPr>
          <w:rFonts w:hint="eastAsia"/>
          <w:sz w:val="24"/>
          <w:szCs w:val="24"/>
        </w:rPr>
        <w:t>。</w:t>
      </w:r>
      <w:r w:rsidRPr="00EB07E5">
        <w:rPr>
          <w:rFonts w:hint="eastAsia"/>
          <w:kern w:val="22"/>
          <w:sz w:val="24"/>
          <w:szCs w:val="24"/>
        </w:rPr>
        <w:t>继这项决定之后，科咨机构第二十二次会议审议了在活生物体的贸易中避免在无意中引进外来入侵物种的补充指南。</w:t>
      </w:r>
    </w:p>
    <w:p w:rsidR="00047BD6" w:rsidRPr="00EB07E5" w:rsidRDefault="00047BD6" w:rsidP="00E60ED0">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科咨机构还审议了：</w:t>
      </w:r>
    </w:p>
    <w:p w:rsidR="00047BD6" w:rsidRPr="00EB07E5" w:rsidRDefault="00047BD6" w:rsidP="00851002">
      <w:pPr>
        <w:pStyle w:val="Para10"/>
        <w:numPr>
          <w:ilvl w:val="1"/>
          <w:numId w:val="24"/>
        </w:numPr>
        <w:snapToGrid w:val="0"/>
        <w:rPr>
          <w:kern w:val="22"/>
          <w:sz w:val="24"/>
          <w:szCs w:val="24"/>
        </w:rPr>
      </w:pPr>
      <w:r w:rsidRPr="00EB07E5">
        <w:rPr>
          <w:rFonts w:hint="eastAsia"/>
          <w:kern w:val="22"/>
          <w:sz w:val="24"/>
          <w:szCs w:val="24"/>
        </w:rPr>
        <w:t>为缔约方提供可协助国家海关当局通过电子商务促进对活体外来物种进行必要控制的可能工具或指南；</w:t>
      </w:r>
      <w:r w:rsidRPr="00EB07E5">
        <w:rPr>
          <w:kern w:val="22"/>
          <w:sz w:val="24"/>
          <w:szCs w:val="24"/>
        </w:rPr>
        <w:t xml:space="preserve"> </w:t>
      </w:r>
    </w:p>
    <w:p w:rsidR="00047BD6" w:rsidRPr="00EB07E5" w:rsidRDefault="00047BD6" w:rsidP="00851002">
      <w:pPr>
        <w:pStyle w:val="Para10"/>
        <w:numPr>
          <w:ilvl w:val="1"/>
          <w:numId w:val="24"/>
        </w:numPr>
        <w:snapToGrid w:val="0"/>
        <w:rPr>
          <w:kern w:val="22"/>
          <w:sz w:val="24"/>
          <w:szCs w:val="24"/>
        </w:rPr>
      </w:pPr>
      <w:r w:rsidRPr="00EB07E5">
        <w:rPr>
          <w:rFonts w:hint="eastAsia"/>
          <w:sz w:val="24"/>
          <w:szCs w:val="24"/>
        </w:rPr>
        <w:t>使用生物控制媒介对付外来入侵物种、</w:t>
      </w:r>
      <w:r w:rsidRPr="00EB07E5">
        <w:rPr>
          <w:rFonts w:hint="eastAsia"/>
          <w:kern w:val="22"/>
          <w:sz w:val="24"/>
          <w:szCs w:val="24"/>
        </w:rPr>
        <w:t>包括水生环境中</w:t>
      </w:r>
      <w:r w:rsidRPr="00EB07E5">
        <w:rPr>
          <w:rFonts w:hint="eastAsia"/>
          <w:sz w:val="24"/>
          <w:szCs w:val="24"/>
        </w:rPr>
        <w:t>外来入侵物种</w:t>
      </w:r>
      <w:r w:rsidRPr="00EB07E5">
        <w:rPr>
          <w:rFonts w:hint="eastAsia"/>
          <w:kern w:val="22"/>
          <w:sz w:val="24"/>
          <w:szCs w:val="24"/>
        </w:rPr>
        <w:t>的补充风险评估和风险管理标准的备选办法；</w:t>
      </w:r>
    </w:p>
    <w:p w:rsidR="00047BD6" w:rsidRPr="00EB07E5" w:rsidRDefault="00047BD6" w:rsidP="00851002">
      <w:pPr>
        <w:pStyle w:val="Para10"/>
        <w:numPr>
          <w:ilvl w:val="1"/>
          <w:numId w:val="24"/>
        </w:numPr>
        <w:snapToGrid w:val="0"/>
        <w:rPr>
          <w:kern w:val="22"/>
          <w:sz w:val="24"/>
          <w:szCs w:val="24"/>
        </w:rPr>
      </w:pPr>
      <w:r w:rsidRPr="00EB07E5">
        <w:rPr>
          <w:rFonts w:hint="eastAsia"/>
          <w:kern w:val="22"/>
          <w:sz w:val="24"/>
          <w:szCs w:val="24"/>
        </w:rPr>
        <w:t>考虑到气候变化、自然灾害和土地用途改变对生物入侵管理的影响，以及外来入侵物种对社会、经济和文化价值，包括土著人民和地方社区的价值观和优先事项的潜在影响的外来侵入物种管理信息；</w:t>
      </w:r>
    </w:p>
    <w:p w:rsidR="00047BD6" w:rsidRPr="00EB07E5" w:rsidRDefault="00047BD6" w:rsidP="00851002">
      <w:pPr>
        <w:pStyle w:val="Para10"/>
        <w:numPr>
          <w:ilvl w:val="1"/>
          <w:numId w:val="24"/>
        </w:numPr>
        <w:snapToGrid w:val="0"/>
        <w:rPr>
          <w:kern w:val="22"/>
          <w:sz w:val="24"/>
          <w:szCs w:val="24"/>
        </w:rPr>
      </w:pPr>
      <w:r w:rsidRPr="00EB07E5">
        <w:rPr>
          <w:rFonts w:hint="eastAsia"/>
          <w:kern w:val="22"/>
          <w:sz w:val="24"/>
          <w:szCs w:val="24"/>
        </w:rPr>
        <w:t>为外来入侵物种管理进行成本惠益和成本效益分析的工具。</w:t>
      </w:r>
    </w:p>
    <w:p w:rsidR="00047BD6" w:rsidRPr="00EB07E5" w:rsidRDefault="00047BD6" w:rsidP="00E60ED0">
      <w:pPr>
        <w:pStyle w:val="Para10"/>
        <w:numPr>
          <w:ilvl w:val="0"/>
          <w:numId w:val="20"/>
        </w:numPr>
        <w:tabs>
          <w:tab w:val="clear" w:pos="360"/>
          <w:tab w:val="left" w:pos="720"/>
        </w:tabs>
        <w:snapToGrid w:val="0"/>
        <w:spacing w:after="160"/>
        <w:rPr>
          <w:iCs/>
          <w:kern w:val="22"/>
          <w:sz w:val="24"/>
          <w:szCs w:val="24"/>
        </w:rPr>
      </w:pPr>
      <w:r w:rsidRPr="00EB07E5">
        <w:rPr>
          <w:rFonts w:hint="eastAsia"/>
          <w:iCs/>
          <w:kern w:val="22"/>
          <w:sz w:val="24"/>
          <w:szCs w:val="24"/>
        </w:rPr>
        <w:t>将请缔约方大会根据载于决定草案汇编（</w:t>
      </w:r>
      <w:r w:rsidRPr="00EB07E5">
        <w:rPr>
          <w:iCs/>
          <w:kern w:val="22"/>
          <w:sz w:val="24"/>
          <w:szCs w:val="24"/>
        </w:rPr>
        <w:t>CBD/COP/14/2</w:t>
      </w:r>
      <w:r w:rsidRPr="00EB07E5">
        <w:rPr>
          <w:rFonts w:hint="eastAsia"/>
          <w:iCs/>
          <w:kern w:val="22"/>
          <w:sz w:val="24"/>
          <w:szCs w:val="24"/>
        </w:rPr>
        <w:t>）依照科咨机构第</w:t>
      </w:r>
      <w:r w:rsidRPr="00EB07E5">
        <w:rPr>
          <w:iCs/>
          <w:kern w:val="22"/>
          <w:sz w:val="24"/>
          <w:szCs w:val="24"/>
          <w:lang w:val="en-US"/>
        </w:rPr>
        <w:t>22</w:t>
      </w:r>
      <w:r w:rsidRPr="00EB07E5">
        <w:rPr>
          <w:iCs/>
          <w:kern w:val="22"/>
          <w:sz w:val="24"/>
          <w:szCs w:val="24"/>
        </w:rPr>
        <w:t>/8</w:t>
      </w:r>
      <w:r w:rsidRPr="00EB07E5">
        <w:rPr>
          <w:rFonts w:hint="eastAsia"/>
          <w:iCs/>
          <w:kern w:val="22"/>
          <w:sz w:val="24"/>
          <w:szCs w:val="24"/>
        </w:rPr>
        <w:t>号建议编制的决定草案审议这些事项。预期缔约方大会将根据科咨机构第二十二次会议的建议审议这些事项。还将提供关于利用生物控制物对付外来入侵物种的办法与国际自然保护联盟、其入侵物种专家组和相关国际组织合作的进度报告（</w:t>
      </w:r>
      <w:r w:rsidRPr="00EB07E5">
        <w:rPr>
          <w:iCs/>
          <w:kern w:val="22"/>
          <w:sz w:val="24"/>
          <w:szCs w:val="24"/>
        </w:rPr>
        <w:t>CBD/COP/14/INF/9</w:t>
      </w:r>
      <w:r w:rsidRPr="00EB07E5">
        <w:rPr>
          <w:rFonts w:hint="eastAsia"/>
          <w:iCs/>
          <w:kern w:val="22"/>
          <w:sz w:val="24"/>
          <w:szCs w:val="24"/>
        </w:rPr>
        <w:t>）。</w:t>
      </w:r>
    </w:p>
    <w:p w:rsidR="00047BD6" w:rsidRPr="00EB07E5" w:rsidRDefault="00047BD6" w:rsidP="00851002">
      <w:pPr>
        <w:pStyle w:val="Para10"/>
        <w:keepNext/>
        <w:numPr>
          <w:ilvl w:val="0"/>
          <w:numId w:val="0"/>
        </w:numPr>
        <w:snapToGrid w:val="0"/>
        <w:jc w:val="center"/>
        <w:rPr>
          <w:b/>
          <w:iCs/>
          <w:kern w:val="22"/>
          <w:sz w:val="24"/>
          <w:szCs w:val="24"/>
        </w:rPr>
      </w:pPr>
      <w:r w:rsidRPr="00EB07E5">
        <w:rPr>
          <w:rFonts w:hint="eastAsia"/>
          <w:b/>
          <w:iCs/>
          <w:kern w:val="22"/>
          <w:sz w:val="24"/>
          <w:szCs w:val="24"/>
        </w:rPr>
        <w:t>项目</w:t>
      </w:r>
      <w:r w:rsidRPr="00EB07E5">
        <w:rPr>
          <w:b/>
          <w:iCs/>
          <w:kern w:val="22"/>
          <w:sz w:val="24"/>
          <w:szCs w:val="24"/>
        </w:rPr>
        <w:t xml:space="preserve"> 27. </w:t>
      </w:r>
      <w:r w:rsidRPr="00EB07E5">
        <w:rPr>
          <w:rFonts w:hint="eastAsia"/>
          <w:b/>
          <w:sz w:val="24"/>
          <w:szCs w:val="24"/>
          <w:lang w:val="en-US"/>
        </w:rPr>
        <w:t>合成生物学</w:t>
      </w:r>
    </w:p>
    <w:p w:rsidR="00047BD6" w:rsidRPr="00EB07E5" w:rsidRDefault="00047BD6" w:rsidP="00E60ED0">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缔约方大会在其第十三届会议上确认合成生物学特设技术专家组的结论，鼓励缔约方和其他行为方采取某些措施，并决定延长专家组的任务期限，赋予新的职权范围，并延长开放式在线论坛以支持专家组工作。专家组于</w:t>
      </w:r>
      <w:r w:rsidRPr="00EB07E5">
        <w:rPr>
          <w:kern w:val="22"/>
          <w:sz w:val="24"/>
          <w:szCs w:val="24"/>
        </w:rPr>
        <w:t>2017</w:t>
      </w:r>
      <w:r w:rsidRPr="00EB07E5">
        <w:rPr>
          <w:rFonts w:hint="eastAsia"/>
          <w:kern w:val="22"/>
          <w:sz w:val="24"/>
          <w:szCs w:val="24"/>
        </w:rPr>
        <w:t>年</w:t>
      </w:r>
      <w:r w:rsidRPr="00EB07E5">
        <w:rPr>
          <w:kern w:val="22"/>
          <w:sz w:val="24"/>
          <w:szCs w:val="24"/>
        </w:rPr>
        <w:t>12</w:t>
      </w:r>
      <w:r w:rsidRPr="00EB07E5">
        <w:rPr>
          <w:rFonts w:hint="eastAsia"/>
          <w:kern w:val="22"/>
          <w:sz w:val="24"/>
          <w:szCs w:val="24"/>
        </w:rPr>
        <w:t>月举行了第一次会议。</w:t>
      </w:r>
    </w:p>
    <w:p w:rsidR="00047BD6" w:rsidRPr="00EB07E5" w:rsidRDefault="00047BD6" w:rsidP="0062399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rPr>
        <w:t>科咨机构第二十二次会议根据特设技术专家组的报告审议了这一事项。</w:t>
      </w:r>
    </w:p>
    <w:p w:rsidR="00047BD6" w:rsidRPr="00EB07E5" w:rsidRDefault="00047BD6" w:rsidP="00623992">
      <w:pPr>
        <w:pStyle w:val="Para10"/>
        <w:numPr>
          <w:ilvl w:val="0"/>
          <w:numId w:val="20"/>
        </w:numPr>
        <w:tabs>
          <w:tab w:val="clear" w:pos="360"/>
          <w:tab w:val="left" w:pos="720"/>
        </w:tabs>
        <w:snapToGrid w:val="0"/>
        <w:spacing w:after="160"/>
        <w:rPr>
          <w:iCs/>
          <w:kern w:val="22"/>
          <w:sz w:val="24"/>
          <w:szCs w:val="24"/>
        </w:rPr>
      </w:pPr>
      <w:r w:rsidRPr="00EB07E5">
        <w:rPr>
          <w:rFonts w:hint="eastAsia"/>
          <w:iCs/>
          <w:kern w:val="22"/>
          <w:sz w:val="24"/>
          <w:szCs w:val="24"/>
        </w:rPr>
        <w:t>将请缔约方大会根据载于决定草案汇编（</w:t>
      </w:r>
      <w:r w:rsidRPr="00EB07E5">
        <w:rPr>
          <w:iCs/>
          <w:kern w:val="22"/>
          <w:sz w:val="24"/>
          <w:szCs w:val="24"/>
        </w:rPr>
        <w:t>CBD/COP/14/2</w:t>
      </w:r>
      <w:r w:rsidRPr="00EB07E5">
        <w:rPr>
          <w:rFonts w:hint="eastAsia"/>
          <w:iCs/>
          <w:kern w:val="22"/>
          <w:sz w:val="24"/>
          <w:szCs w:val="24"/>
        </w:rPr>
        <w:t>）依照科咨机构第</w:t>
      </w:r>
      <w:r w:rsidRPr="00EB07E5">
        <w:rPr>
          <w:iCs/>
          <w:kern w:val="22"/>
          <w:sz w:val="24"/>
          <w:szCs w:val="24"/>
          <w:lang w:val="en-US"/>
        </w:rPr>
        <w:t>22</w:t>
      </w:r>
      <w:r w:rsidRPr="00EB07E5">
        <w:rPr>
          <w:iCs/>
          <w:kern w:val="22"/>
          <w:sz w:val="24"/>
          <w:szCs w:val="24"/>
        </w:rPr>
        <w:t>/2</w:t>
      </w:r>
      <w:r w:rsidRPr="00EB07E5">
        <w:rPr>
          <w:rFonts w:hint="eastAsia"/>
          <w:iCs/>
          <w:kern w:val="22"/>
          <w:sz w:val="24"/>
          <w:szCs w:val="24"/>
        </w:rPr>
        <w:t>号建议和第</w:t>
      </w:r>
      <w:r w:rsidRPr="00EB07E5">
        <w:rPr>
          <w:iCs/>
          <w:kern w:val="22"/>
          <w:sz w:val="24"/>
          <w:szCs w:val="24"/>
          <w:lang w:val="en-US"/>
        </w:rPr>
        <w:t>22</w:t>
      </w:r>
      <w:r w:rsidRPr="00EB07E5">
        <w:rPr>
          <w:iCs/>
          <w:kern w:val="22"/>
          <w:sz w:val="24"/>
          <w:szCs w:val="24"/>
        </w:rPr>
        <w:t>/3</w:t>
      </w:r>
      <w:r w:rsidRPr="00EB07E5">
        <w:rPr>
          <w:rFonts w:hint="eastAsia"/>
          <w:iCs/>
          <w:kern w:val="22"/>
          <w:sz w:val="24"/>
          <w:szCs w:val="24"/>
        </w:rPr>
        <w:t>号建议编制的决定草案审议这个事项。</w:t>
      </w:r>
    </w:p>
    <w:p w:rsidR="00047BD6" w:rsidRPr="00EB07E5" w:rsidRDefault="00047BD6" w:rsidP="00851002">
      <w:pPr>
        <w:pStyle w:val="Para10"/>
        <w:keepNext/>
        <w:numPr>
          <w:ilvl w:val="0"/>
          <w:numId w:val="0"/>
        </w:numPr>
        <w:snapToGrid w:val="0"/>
        <w:jc w:val="center"/>
        <w:rPr>
          <w:b/>
          <w:iCs/>
          <w:kern w:val="22"/>
          <w:sz w:val="24"/>
          <w:szCs w:val="24"/>
        </w:rPr>
      </w:pPr>
      <w:r w:rsidRPr="00EB07E5">
        <w:rPr>
          <w:rFonts w:hint="eastAsia"/>
          <w:b/>
          <w:iCs/>
          <w:kern w:val="22"/>
          <w:sz w:val="24"/>
          <w:szCs w:val="24"/>
        </w:rPr>
        <w:t>项目</w:t>
      </w:r>
      <w:r w:rsidRPr="00EB07E5">
        <w:rPr>
          <w:b/>
          <w:iCs/>
          <w:kern w:val="22"/>
          <w:sz w:val="24"/>
          <w:szCs w:val="24"/>
        </w:rPr>
        <w:t xml:space="preserve"> 28. </w:t>
      </w:r>
      <w:r w:rsidRPr="00EB07E5">
        <w:rPr>
          <w:rFonts w:hint="eastAsia"/>
          <w:b/>
          <w:sz w:val="24"/>
          <w:szCs w:val="24"/>
          <w:lang w:val="en-US"/>
        </w:rPr>
        <w:t>赔偿责任和补救（第</w:t>
      </w:r>
      <w:r w:rsidRPr="00EB07E5">
        <w:rPr>
          <w:b/>
          <w:sz w:val="24"/>
          <w:szCs w:val="24"/>
          <w:lang w:val="en-US"/>
        </w:rPr>
        <w:t>14</w:t>
      </w:r>
      <w:r w:rsidRPr="00EB07E5">
        <w:rPr>
          <w:rFonts w:hint="eastAsia"/>
          <w:b/>
          <w:sz w:val="24"/>
          <w:szCs w:val="24"/>
          <w:lang w:val="en-US"/>
        </w:rPr>
        <w:t>条第</w:t>
      </w:r>
      <w:r w:rsidRPr="00EB07E5">
        <w:rPr>
          <w:b/>
          <w:sz w:val="24"/>
          <w:szCs w:val="24"/>
          <w:lang w:val="en-US"/>
        </w:rPr>
        <w:t>2</w:t>
      </w:r>
      <w:r w:rsidRPr="00EB07E5">
        <w:rPr>
          <w:rFonts w:hint="eastAsia"/>
          <w:b/>
          <w:sz w:val="24"/>
          <w:szCs w:val="24"/>
          <w:lang w:val="en-US"/>
        </w:rPr>
        <w:t>款）</w:t>
      </w:r>
    </w:p>
    <w:p w:rsidR="00047BD6" w:rsidRPr="00EB07E5" w:rsidRDefault="00047BD6" w:rsidP="00623992">
      <w:pPr>
        <w:pStyle w:val="Para10"/>
        <w:numPr>
          <w:ilvl w:val="0"/>
          <w:numId w:val="20"/>
        </w:numPr>
        <w:tabs>
          <w:tab w:val="clear" w:pos="360"/>
          <w:tab w:val="left" w:pos="720"/>
        </w:tabs>
        <w:snapToGrid w:val="0"/>
        <w:spacing w:after="160"/>
        <w:rPr>
          <w:iCs/>
          <w:kern w:val="22"/>
          <w:sz w:val="24"/>
          <w:szCs w:val="24"/>
        </w:rPr>
      </w:pPr>
      <w:r w:rsidRPr="00EB07E5">
        <w:rPr>
          <w:rFonts w:hint="eastAsia"/>
          <w:iCs/>
          <w:kern w:val="22"/>
          <w:sz w:val="24"/>
          <w:szCs w:val="24"/>
        </w:rPr>
        <w:t>缔约方大会第十二届会议在</w:t>
      </w:r>
      <w:hyperlink r:id="rId76" w:history="1">
        <w:r w:rsidRPr="00EB07E5">
          <w:rPr>
            <w:rStyle w:val="Hyperlink"/>
            <w:rFonts w:hint="eastAsia"/>
            <w:iCs/>
            <w:kern w:val="22"/>
            <w:sz w:val="24"/>
            <w:szCs w:val="24"/>
          </w:rPr>
          <w:t>第</w:t>
        </w:r>
        <w:r w:rsidRPr="00EB07E5">
          <w:rPr>
            <w:rStyle w:val="Hyperlink"/>
            <w:iCs/>
            <w:kern w:val="22"/>
            <w:sz w:val="24"/>
            <w:szCs w:val="24"/>
          </w:rPr>
          <w:t>XII/14</w:t>
        </w:r>
        <w:r w:rsidRPr="00EB07E5">
          <w:rPr>
            <w:rStyle w:val="Hyperlink"/>
            <w:rFonts w:hint="eastAsia"/>
            <w:iCs/>
            <w:kern w:val="22"/>
            <w:sz w:val="24"/>
            <w:szCs w:val="24"/>
          </w:rPr>
          <w:t>号决定</w:t>
        </w:r>
      </w:hyperlink>
      <w:r w:rsidRPr="00EB07E5">
        <w:rPr>
          <w:rFonts w:hint="eastAsia"/>
          <w:iCs/>
          <w:kern w:val="22"/>
          <w:sz w:val="24"/>
          <w:szCs w:val="24"/>
        </w:rPr>
        <w:t>中注意到，自第八届会议以来在某些与赔偿责任和补救有关的领域取得的进展，特别是在制定关于生态系统恢复指南和评估生物多样性工具方面。大会邀请</w:t>
      </w:r>
      <w:r w:rsidRPr="00EB07E5">
        <w:rPr>
          <w:rFonts w:hint="eastAsia"/>
          <w:sz w:val="24"/>
          <w:szCs w:val="24"/>
        </w:rPr>
        <w:t>各缔约方在努力制订或调整关于生物多样性损害的赔偿责任和补救的国家政策、立法、</w:t>
      </w:r>
      <w:r w:rsidRPr="00EB07E5">
        <w:rPr>
          <w:rFonts w:hint="eastAsia"/>
          <w:iCs/>
          <w:kern w:val="22"/>
          <w:sz w:val="24"/>
          <w:szCs w:val="24"/>
        </w:rPr>
        <w:t>准则或行政措施时，考虑到一些相关文书和报告。缔约方大会决定在第十四届会议上进一步审议这一项目。</w:t>
      </w:r>
    </w:p>
    <w:p w:rsidR="00047BD6" w:rsidRPr="00EB07E5" w:rsidRDefault="00047BD6" w:rsidP="00623992">
      <w:pPr>
        <w:pStyle w:val="Para10"/>
        <w:numPr>
          <w:ilvl w:val="0"/>
          <w:numId w:val="20"/>
        </w:numPr>
        <w:tabs>
          <w:tab w:val="clear" w:pos="360"/>
          <w:tab w:val="left" w:pos="720"/>
        </w:tabs>
        <w:snapToGrid w:val="0"/>
        <w:spacing w:after="160"/>
        <w:rPr>
          <w:iCs/>
          <w:kern w:val="22"/>
          <w:sz w:val="24"/>
          <w:szCs w:val="24"/>
        </w:rPr>
      </w:pPr>
      <w:r w:rsidRPr="00EB07E5">
        <w:rPr>
          <w:rFonts w:hint="eastAsia"/>
          <w:iCs/>
          <w:kern w:val="22"/>
          <w:sz w:val="24"/>
          <w:szCs w:val="24"/>
        </w:rPr>
        <w:t>据此，预期缔约方大会将根据执行秘书将提供的资料（</w:t>
      </w:r>
      <w:r w:rsidRPr="00EB07E5">
        <w:rPr>
          <w:iCs/>
          <w:kern w:val="22"/>
          <w:sz w:val="24"/>
          <w:szCs w:val="24"/>
        </w:rPr>
        <w:t>CBD/COP/14/10</w:t>
      </w:r>
      <w:r w:rsidRPr="00EB07E5">
        <w:rPr>
          <w:rFonts w:hint="eastAsia"/>
          <w:iCs/>
          <w:kern w:val="22"/>
          <w:sz w:val="24"/>
          <w:szCs w:val="24"/>
        </w:rPr>
        <w:t>）审查这一项目。</w:t>
      </w:r>
    </w:p>
    <w:p w:rsidR="00047BD6" w:rsidRPr="00EB07E5" w:rsidRDefault="00047BD6" w:rsidP="00851002">
      <w:pPr>
        <w:pStyle w:val="Heading2"/>
        <w:ind w:right="360"/>
        <w:rPr>
          <w:i w:val="0"/>
          <w:snapToGrid w:val="0"/>
          <w:kern w:val="22"/>
        </w:rPr>
      </w:pPr>
      <w:bookmarkStart w:id="2" w:name="Item33"/>
      <w:r w:rsidRPr="00EB07E5">
        <w:rPr>
          <w:rFonts w:hint="eastAsia"/>
          <w:i w:val="0"/>
          <w:snapToGrid w:val="0"/>
          <w:kern w:val="22"/>
        </w:rPr>
        <w:t>项目</w:t>
      </w:r>
      <w:r w:rsidRPr="00EB07E5">
        <w:rPr>
          <w:i w:val="0"/>
          <w:snapToGrid w:val="0"/>
          <w:kern w:val="22"/>
        </w:rPr>
        <w:t xml:space="preserve">29. </w:t>
      </w:r>
      <w:r w:rsidRPr="00EB07E5">
        <w:rPr>
          <w:rFonts w:hint="eastAsia"/>
          <w:i w:val="0"/>
          <w:snapToGrid w:val="0"/>
          <w:kern w:val="22"/>
        </w:rPr>
        <w:t>其他事项</w:t>
      </w:r>
    </w:p>
    <w:bookmarkEnd w:id="2"/>
    <w:p w:rsidR="00047BD6" w:rsidRPr="00EB07E5" w:rsidRDefault="00047BD6" w:rsidP="00623992">
      <w:pPr>
        <w:pStyle w:val="Para10"/>
        <w:numPr>
          <w:ilvl w:val="0"/>
          <w:numId w:val="20"/>
        </w:numPr>
        <w:tabs>
          <w:tab w:val="clear" w:pos="360"/>
          <w:tab w:val="left" w:pos="720"/>
        </w:tabs>
        <w:snapToGrid w:val="0"/>
        <w:spacing w:after="160"/>
        <w:rPr>
          <w:kern w:val="22"/>
          <w:sz w:val="24"/>
          <w:szCs w:val="24"/>
        </w:rPr>
      </w:pPr>
      <w:r w:rsidRPr="00EB07E5">
        <w:rPr>
          <w:rFonts w:hint="eastAsia"/>
          <w:kern w:val="22"/>
          <w:sz w:val="24"/>
          <w:szCs w:val="24"/>
          <w:lang w:val="zh-CN"/>
        </w:rPr>
        <w:t>缔约方大会不妨根据议事规则第</w:t>
      </w:r>
      <w:r w:rsidRPr="00EB07E5">
        <w:rPr>
          <w:kern w:val="22"/>
          <w:sz w:val="24"/>
          <w:szCs w:val="24"/>
        </w:rPr>
        <w:t>12</w:t>
      </w:r>
      <w:r w:rsidRPr="00EB07E5">
        <w:rPr>
          <w:rFonts w:hint="eastAsia"/>
          <w:kern w:val="22"/>
          <w:sz w:val="24"/>
          <w:szCs w:val="24"/>
          <w:lang w:val="zh-CN"/>
        </w:rPr>
        <w:t>条和</w:t>
      </w:r>
      <w:hyperlink r:id="rId77" w:history="1">
        <w:r w:rsidRPr="00EB07E5">
          <w:rPr>
            <w:rStyle w:val="Hyperlink"/>
            <w:rFonts w:hint="eastAsia"/>
            <w:kern w:val="22"/>
            <w:sz w:val="24"/>
            <w:szCs w:val="24"/>
            <w:lang w:val="zh-CN"/>
          </w:rPr>
          <w:t>第</w:t>
        </w:r>
        <w:r w:rsidRPr="00EB07E5">
          <w:rPr>
            <w:rStyle w:val="Hyperlink"/>
            <w:kern w:val="22"/>
            <w:sz w:val="24"/>
            <w:szCs w:val="24"/>
          </w:rPr>
          <w:t>IV/16</w:t>
        </w:r>
        <w:r w:rsidRPr="00EB07E5">
          <w:rPr>
            <w:rStyle w:val="Hyperlink"/>
            <w:rFonts w:hint="eastAsia"/>
            <w:kern w:val="22"/>
            <w:sz w:val="24"/>
            <w:szCs w:val="24"/>
            <w:lang w:val="zh-CN"/>
          </w:rPr>
          <w:t>号决定</w:t>
        </w:r>
      </w:hyperlink>
      <w:r w:rsidRPr="00EB07E5">
        <w:rPr>
          <w:rFonts w:hint="eastAsia"/>
          <w:kern w:val="22"/>
          <w:sz w:val="24"/>
          <w:szCs w:val="24"/>
          <w:lang w:val="zh-CN"/>
        </w:rPr>
        <w:t>第</w:t>
      </w:r>
      <w:r w:rsidRPr="00EB07E5">
        <w:rPr>
          <w:kern w:val="22"/>
          <w:sz w:val="24"/>
          <w:szCs w:val="24"/>
        </w:rPr>
        <w:t>7</w:t>
      </w:r>
      <w:r w:rsidRPr="00EB07E5">
        <w:rPr>
          <w:rFonts w:hint="eastAsia"/>
          <w:kern w:val="22"/>
          <w:sz w:val="24"/>
          <w:szCs w:val="24"/>
          <w:lang w:val="zh-CN"/>
        </w:rPr>
        <w:t>段</w:t>
      </w:r>
      <w:r w:rsidRPr="00EB07E5">
        <w:rPr>
          <w:rFonts w:hint="eastAsia"/>
          <w:kern w:val="22"/>
          <w:sz w:val="24"/>
          <w:szCs w:val="24"/>
        </w:rPr>
        <w:t>，</w:t>
      </w:r>
      <w:r w:rsidRPr="00EB07E5">
        <w:rPr>
          <w:rFonts w:hint="eastAsia"/>
          <w:kern w:val="22"/>
          <w:sz w:val="24"/>
          <w:szCs w:val="24"/>
          <w:lang w:val="zh-CN"/>
        </w:rPr>
        <w:t>审议已提出并经认可予以讨论的其他事项。</w:t>
      </w:r>
    </w:p>
    <w:p w:rsidR="00047BD6" w:rsidRPr="00EB07E5" w:rsidRDefault="00047BD6" w:rsidP="00851002">
      <w:pPr>
        <w:pStyle w:val="Heading2"/>
        <w:ind w:right="360"/>
        <w:rPr>
          <w:i w:val="0"/>
          <w:snapToGrid w:val="0"/>
          <w:kern w:val="22"/>
        </w:rPr>
      </w:pPr>
      <w:bookmarkStart w:id="3" w:name="Item34"/>
      <w:r w:rsidRPr="00EB07E5">
        <w:rPr>
          <w:rFonts w:hint="eastAsia"/>
          <w:i w:val="0"/>
          <w:snapToGrid w:val="0"/>
          <w:kern w:val="22"/>
        </w:rPr>
        <w:t>项目</w:t>
      </w:r>
      <w:r w:rsidRPr="00EB07E5">
        <w:rPr>
          <w:i w:val="0"/>
          <w:snapToGrid w:val="0"/>
          <w:kern w:val="22"/>
        </w:rPr>
        <w:t xml:space="preserve"> 30. </w:t>
      </w:r>
      <w:r w:rsidRPr="00EB07E5">
        <w:rPr>
          <w:rFonts w:hint="eastAsia"/>
          <w:i w:val="0"/>
          <w:snapToGrid w:val="0"/>
          <w:kern w:val="22"/>
        </w:rPr>
        <w:t>通过报告</w:t>
      </w:r>
    </w:p>
    <w:bookmarkEnd w:id="3"/>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lang w:val="en-US"/>
        </w:rPr>
        <w:t>将邀请缔约方大会根据报告员编制的报告草案以及两个工作组的报告</w:t>
      </w:r>
      <w:r w:rsidRPr="00EB07E5">
        <w:rPr>
          <w:rFonts w:hint="eastAsia"/>
          <w:kern w:val="22"/>
          <w:sz w:val="24"/>
          <w:szCs w:val="24"/>
        </w:rPr>
        <w:t>，</w:t>
      </w:r>
      <w:r w:rsidRPr="00EB07E5">
        <w:rPr>
          <w:rFonts w:hint="eastAsia"/>
          <w:kern w:val="22"/>
          <w:sz w:val="24"/>
          <w:szCs w:val="24"/>
          <w:lang w:val="zh-CN"/>
        </w:rPr>
        <w:t>审议并通过关于其第十四届会议工作的报告。缔约方大会还不妨将会议高级别会议以及与此届会议同时组织的其他活动的成果编入其报告的附件。根据惯例，缔约方大会不妨授权报告员在会后根据主席的指示和在秘书处的协助下，完成最后报告</w:t>
      </w:r>
      <w:r w:rsidRPr="00EB07E5">
        <w:rPr>
          <w:rFonts w:hint="eastAsia"/>
          <w:kern w:val="22"/>
          <w:sz w:val="24"/>
          <w:szCs w:val="24"/>
        </w:rPr>
        <w:t>。</w:t>
      </w:r>
    </w:p>
    <w:p w:rsidR="00047BD6" w:rsidRPr="00EB07E5" w:rsidRDefault="00047BD6" w:rsidP="00851002">
      <w:pPr>
        <w:pStyle w:val="Heading2"/>
        <w:ind w:right="360"/>
        <w:rPr>
          <w:i w:val="0"/>
          <w:snapToGrid w:val="0"/>
          <w:kern w:val="22"/>
        </w:rPr>
      </w:pPr>
      <w:bookmarkStart w:id="4" w:name="Item35"/>
      <w:r w:rsidRPr="00EB07E5">
        <w:rPr>
          <w:rFonts w:hint="eastAsia"/>
          <w:i w:val="0"/>
          <w:snapToGrid w:val="0"/>
          <w:kern w:val="22"/>
        </w:rPr>
        <w:t>项目</w:t>
      </w:r>
      <w:r w:rsidRPr="00EB07E5">
        <w:rPr>
          <w:i w:val="0"/>
          <w:snapToGrid w:val="0"/>
          <w:kern w:val="22"/>
        </w:rPr>
        <w:t xml:space="preserve"> 31. </w:t>
      </w:r>
      <w:r w:rsidRPr="00EB07E5">
        <w:rPr>
          <w:rFonts w:hint="eastAsia"/>
          <w:i w:val="0"/>
          <w:snapToGrid w:val="0"/>
          <w:kern w:val="22"/>
        </w:rPr>
        <w:t>会议闭幕</w:t>
      </w:r>
    </w:p>
    <w:bookmarkEnd w:id="4"/>
    <w:p w:rsidR="00047BD6" w:rsidRPr="00EB07E5" w:rsidRDefault="00047BD6" w:rsidP="00851002">
      <w:pPr>
        <w:pStyle w:val="Para10"/>
        <w:numPr>
          <w:ilvl w:val="0"/>
          <w:numId w:val="21"/>
        </w:numPr>
        <w:tabs>
          <w:tab w:val="clear" w:pos="360"/>
        </w:tabs>
        <w:rPr>
          <w:kern w:val="22"/>
          <w:sz w:val="24"/>
          <w:szCs w:val="24"/>
        </w:rPr>
      </w:pPr>
      <w:r w:rsidRPr="00EB07E5">
        <w:rPr>
          <w:rFonts w:hint="eastAsia"/>
          <w:kern w:val="22"/>
          <w:sz w:val="24"/>
          <w:szCs w:val="24"/>
          <w:lang w:val="en-US"/>
        </w:rPr>
        <w:t>预期缔约方大会第十四届会议将于</w:t>
      </w:r>
      <w:r w:rsidRPr="00EB07E5">
        <w:rPr>
          <w:kern w:val="22"/>
          <w:sz w:val="24"/>
          <w:szCs w:val="24"/>
        </w:rPr>
        <w:t>2018</w:t>
      </w:r>
      <w:r w:rsidRPr="00EB07E5">
        <w:rPr>
          <w:rFonts w:hint="eastAsia"/>
          <w:kern w:val="22"/>
          <w:sz w:val="24"/>
          <w:szCs w:val="24"/>
          <w:lang w:val="zh-CN"/>
        </w:rPr>
        <w:t>年</w:t>
      </w:r>
      <w:r w:rsidRPr="00EB07E5">
        <w:rPr>
          <w:kern w:val="22"/>
          <w:sz w:val="24"/>
          <w:szCs w:val="24"/>
        </w:rPr>
        <w:t>11</w:t>
      </w:r>
      <w:r w:rsidRPr="00EB07E5">
        <w:rPr>
          <w:rFonts w:hint="eastAsia"/>
          <w:kern w:val="22"/>
          <w:sz w:val="24"/>
          <w:szCs w:val="24"/>
          <w:lang w:val="zh-CN"/>
        </w:rPr>
        <w:t>月</w:t>
      </w:r>
      <w:r w:rsidRPr="00EB07E5">
        <w:rPr>
          <w:kern w:val="22"/>
          <w:sz w:val="24"/>
          <w:szCs w:val="24"/>
        </w:rPr>
        <w:t>29</w:t>
      </w:r>
      <w:r w:rsidRPr="00EB07E5">
        <w:rPr>
          <w:rFonts w:hint="eastAsia"/>
          <w:kern w:val="22"/>
          <w:sz w:val="24"/>
          <w:szCs w:val="24"/>
          <w:lang w:val="zh-CN"/>
        </w:rPr>
        <w:t>日星期四下午</w:t>
      </w:r>
      <w:r w:rsidRPr="00EB07E5">
        <w:rPr>
          <w:kern w:val="22"/>
          <w:sz w:val="24"/>
          <w:szCs w:val="24"/>
        </w:rPr>
        <w:t>6</w:t>
      </w:r>
      <w:r w:rsidRPr="00EB07E5">
        <w:rPr>
          <w:rFonts w:hint="eastAsia"/>
          <w:kern w:val="22"/>
          <w:sz w:val="24"/>
          <w:szCs w:val="24"/>
          <w:lang w:val="zh-CN"/>
        </w:rPr>
        <w:t>时左右闭幕。</w:t>
      </w:r>
    </w:p>
    <w:p w:rsidR="00047BD6" w:rsidRPr="00FA13CE" w:rsidRDefault="00047BD6" w:rsidP="00851002">
      <w:pPr>
        <w:pStyle w:val="Heading3"/>
        <w:spacing w:before="0"/>
        <w:rPr>
          <w:rFonts w:eastAsia="楷体"/>
          <w:i w:val="0"/>
          <w:snapToGrid w:val="0"/>
          <w:kern w:val="22"/>
          <w:lang w:val="en-US" w:eastAsia="zh-CN"/>
        </w:rPr>
      </w:pPr>
      <w:r w:rsidRPr="00EB07E5">
        <w:rPr>
          <w:i w:val="0"/>
          <w:snapToGrid w:val="0"/>
          <w:kern w:val="22"/>
          <w:lang w:eastAsia="zh-CN"/>
        </w:rPr>
        <w:br w:type="page"/>
      </w:r>
      <w:r w:rsidRPr="00EB07E5">
        <w:rPr>
          <w:rFonts w:eastAsia="楷体" w:hint="eastAsia"/>
          <w:i w:val="0"/>
          <w:noProof/>
          <w:lang w:eastAsia="zh-CN"/>
        </w:rPr>
        <w:t>附件一</w:t>
      </w:r>
      <w:r>
        <w:rPr>
          <w:rFonts w:eastAsia="楷体"/>
          <w:i w:val="0"/>
          <w:noProof/>
          <w:lang w:val="en-US" w:eastAsia="zh-CN"/>
        </w:rPr>
        <w:t xml:space="preserve"> </w:t>
      </w:r>
    </w:p>
    <w:p w:rsidR="00047BD6" w:rsidRPr="00EB07E5" w:rsidRDefault="00047BD6" w:rsidP="00851002">
      <w:pPr>
        <w:pStyle w:val="HEADINGNOTFORTOC"/>
        <w:spacing w:before="120"/>
        <w:rPr>
          <w:bCs/>
          <w:snapToGrid w:val="0"/>
          <w:kern w:val="22"/>
          <w:szCs w:val="24"/>
          <w:lang w:eastAsia="zh-CN"/>
        </w:rPr>
      </w:pPr>
      <w:r w:rsidRPr="00EB07E5">
        <w:rPr>
          <w:rFonts w:hint="eastAsia"/>
          <w:szCs w:val="24"/>
          <w:lang w:eastAsia="zh-CN"/>
        </w:rPr>
        <w:t>缔约方大会第十四届会议临时文件清单</w:t>
      </w:r>
    </w:p>
    <w:tbl>
      <w:tblPr>
        <w:tblW w:w="5353" w:type="pct"/>
        <w:jc w:val="center"/>
        <w:tblLook w:val="0000"/>
      </w:tblPr>
      <w:tblGrid>
        <w:gridCol w:w="3336"/>
        <w:gridCol w:w="6484"/>
        <w:gridCol w:w="1077"/>
      </w:tblGrid>
      <w:tr w:rsidR="00047BD6" w:rsidRPr="00EB07E5" w:rsidTr="000402A3">
        <w:trPr>
          <w:cantSplit/>
          <w:tblHeader/>
          <w:jc w:val="center"/>
        </w:trPr>
        <w:tc>
          <w:tcPr>
            <w:tcW w:w="1531" w:type="pct"/>
          </w:tcPr>
          <w:p w:rsidR="00047BD6" w:rsidRPr="00EB07E5" w:rsidRDefault="00047BD6" w:rsidP="00851002">
            <w:pPr>
              <w:spacing w:before="60" w:after="60"/>
              <w:rPr>
                <w:bCs/>
                <w:iCs/>
                <w:snapToGrid w:val="0"/>
                <w:color w:val="000000"/>
                <w:kern w:val="22"/>
              </w:rPr>
            </w:pPr>
            <w:r w:rsidRPr="00EB07E5">
              <w:rPr>
                <w:rFonts w:hint="eastAsia"/>
                <w:noProof/>
                <w:lang w:eastAsia="zh-CN"/>
              </w:rPr>
              <w:t>文号</w:t>
            </w:r>
          </w:p>
        </w:tc>
        <w:tc>
          <w:tcPr>
            <w:tcW w:w="2975" w:type="pct"/>
          </w:tcPr>
          <w:p w:rsidR="00047BD6" w:rsidRPr="00EB07E5" w:rsidRDefault="00047BD6" w:rsidP="00851002">
            <w:pPr>
              <w:spacing w:before="60" w:after="60"/>
              <w:rPr>
                <w:bCs/>
                <w:iCs/>
                <w:snapToGrid w:val="0"/>
                <w:color w:val="000000"/>
                <w:kern w:val="22"/>
              </w:rPr>
            </w:pPr>
            <w:r w:rsidRPr="00EB07E5">
              <w:rPr>
                <w:rFonts w:hint="eastAsia"/>
                <w:noProof/>
                <w:lang w:eastAsia="zh-CN"/>
              </w:rPr>
              <w:t>工作文件标题</w:t>
            </w:r>
          </w:p>
        </w:tc>
        <w:tc>
          <w:tcPr>
            <w:tcW w:w="494" w:type="pct"/>
          </w:tcPr>
          <w:p w:rsidR="00047BD6" w:rsidRPr="00EB07E5" w:rsidRDefault="00047BD6" w:rsidP="00851002">
            <w:pPr>
              <w:spacing w:before="60" w:after="60"/>
              <w:jc w:val="center"/>
              <w:rPr>
                <w:noProof/>
                <w:lang w:eastAsia="zh-CN"/>
              </w:rPr>
            </w:pPr>
            <w:r w:rsidRPr="00EB07E5">
              <w:rPr>
                <w:rFonts w:hint="eastAsia"/>
                <w:noProof/>
                <w:lang w:eastAsia="zh-CN"/>
              </w:rPr>
              <w:t>议程</w:t>
            </w:r>
          </w:p>
          <w:p w:rsidR="00047BD6" w:rsidRPr="00EB07E5" w:rsidRDefault="00047BD6" w:rsidP="00851002">
            <w:pPr>
              <w:spacing w:before="60" w:after="60"/>
              <w:jc w:val="center"/>
              <w:rPr>
                <w:bCs/>
                <w:iCs/>
                <w:snapToGrid w:val="0"/>
                <w:color w:val="000000"/>
                <w:kern w:val="22"/>
              </w:rPr>
            </w:pPr>
            <w:r w:rsidRPr="00EB07E5">
              <w:rPr>
                <w:rFonts w:hint="eastAsia"/>
                <w:noProof/>
                <w:lang w:eastAsia="zh-CN"/>
              </w:rPr>
              <w:t>项目</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CBD/COP/14/1</w:t>
            </w:r>
          </w:p>
        </w:tc>
        <w:tc>
          <w:tcPr>
            <w:tcW w:w="2975" w:type="pct"/>
          </w:tcPr>
          <w:p w:rsidR="00047BD6" w:rsidRPr="00EB07E5" w:rsidRDefault="00047BD6" w:rsidP="00851002">
            <w:pPr>
              <w:spacing w:before="60" w:after="60"/>
              <w:rPr>
                <w:snapToGrid w:val="0"/>
                <w:color w:val="000000"/>
                <w:kern w:val="22"/>
              </w:rPr>
            </w:pPr>
            <w:r w:rsidRPr="00EB07E5">
              <w:rPr>
                <w:rFonts w:hint="eastAsia"/>
                <w:snapToGrid w:val="0"/>
                <w:color w:val="000000"/>
                <w:kern w:val="22"/>
                <w:lang w:eastAsia="zh-CN"/>
              </w:rPr>
              <w:t>临时议程</w:t>
            </w:r>
          </w:p>
        </w:tc>
        <w:tc>
          <w:tcPr>
            <w:tcW w:w="494" w:type="pct"/>
          </w:tcPr>
          <w:p w:rsidR="00047BD6" w:rsidRPr="00EB07E5" w:rsidRDefault="00047BD6" w:rsidP="00851002">
            <w:pPr>
              <w:spacing w:before="60" w:after="60"/>
              <w:jc w:val="center"/>
              <w:rPr>
                <w:snapToGrid w:val="0"/>
                <w:color w:val="000000"/>
                <w:kern w:val="22"/>
              </w:rPr>
            </w:pPr>
            <w:r w:rsidRPr="00EB07E5">
              <w:rPr>
                <w:snapToGrid w:val="0"/>
                <w:color w:val="000000"/>
                <w:kern w:val="22"/>
              </w:rPr>
              <w:t>2</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lang w:val="en-US"/>
              </w:rPr>
            </w:pPr>
            <w:r w:rsidRPr="00EB07E5">
              <w:rPr>
                <w:snapToGrid w:val="0"/>
                <w:color w:val="000000"/>
                <w:kern w:val="22"/>
              </w:rPr>
              <w:t>CBD/COP/14/1/Add.1</w:t>
            </w:r>
            <w:r w:rsidRPr="00EB07E5">
              <w:rPr>
                <w:snapToGrid w:val="0"/>
                <w:color w:val="000000"/>
                <w:kern w:val="22"/>
                <w:lang w:val="en-US"/>
              </w:rPr>
              <w:t>/Rev.1</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snapToGrid w:val="0"/>
                <w:color w:val="000000"/>
                <w:kern w:val="22"/>
                <w:lang w:val="en-US" w:eastAsia="zh-CN"/>
              </w:rPr>
              <w:t>订正的</w:t>
            </w:r>
            <w:r w:rsidRPr="00EB07E5">
              <w:rPr>
                <w:rFonts w:hint="eastAsia"/>
                <w:snapToGrid w:val="0"/>
                <w:color w:val="000000"/>
                <w:kern w:val="22"/>
                <w:lang w:eastAsia="zh-CN"/>
              </w:rPr>
              <w:t>附加说明的临时议程</w:t>
            </w:r>
          </w:p>
        </w:tc>
        <w:tc>
          <w:tcPr>
            <w:tcW w:w="494" w:type="pct"/>
          </w:tcPr>
          <w:p w:rsidR="00047BD6" w:rsidRPr="00EB07E5" w:rsidRDefault="00047BD6" w:rsidP="00851002">
            <w:pPr>
              <w:spacing w:before="60" w:after="60"/>
              <w:jc w:val="center"/>
              <w:rPr>
                <w:snapToGrid w:val="0"/>
                <w:color w:val="000000"/>
                <w:kern w:val="22"/>
              </w:rPr>
            </w:pPr>
            <w:r w:rsidRPr="00EB07E5">
              <w:rPr>
                <w:snapToGrid w:val="0"/>
                <w:color w:val="000000"/>
                <w:kern w:val="22"/>
              </w:rPr>
              <w:t>2</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CBD/COP/14/1/Add.2</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snapToGrid w:val="0"/>
                <w:color w:val="000000"/>
                <w:kern w:val="22"/>
                <w:lang w:eastAsia="zh-CN"/>
              </w:rPr>
              <w:t>缔约方大会第十四届会议和同时举行的卡塔赫纳和名古屋议定书会议的拟议工作安排</w:t>
            </w:r>
          </w:p>
        </w:tc>
        <w:tc>
          <w:tcPr>
            <w:tcW w:w="494" w:type="pct"/>
          </w:tcPr>
          <w:p w:rsidR="00047BD6" w:rsidRPr="00EB07E5" w:rsidRDefault="00047BD6" w:rsidP="00851002">
            <w:pPr>
              <w:spacing w:before="60" w:after="60"/>
              <w:jc w:val="center"/>
              <w:rPr>
                <w:snapToGrid w:val="0"/>
                <w:color w:val="000000"/>
                <w:kern w:val="22"/>
                <w:lang w:eastAsia="zh-CN"/>
              </w:rPr>
            </w:pP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CBD/COP/14/2</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snapToGrid w:val="0"/>
                <w:color w:val="000000"/>
                <w:kern w:val="22"/>
                <w:lang w:eastAsia="zh-CN"/>
              </w:rPr>
              <w:t>缔约方大会第十四届会议决定草案</w:t>
            </w:r>
            <w:r w:rsidRPr="00EB07E5">
              <w:rPr>
                <w:snapToGrid w:val="0"/>
                <w:color w:val="000000"/>
                <w:kern w:val="22"/>
                <w:lang w:eastAsia="zh-CN"/>
              </w:rPr>
              <w:t xml:space="preserve"> </w:t>
            </w:r>
          </w:p>
        </w:tc>
        <w:tc>
          <w:tcPr>
            <w:tcW w:w="494" w:type="pct"/>
          </w:tcPr>
          <w:p w:rsidR="00047BD6" w:rsidRPr="00EB07E5" w:rsidRDefault="00047BD6" w:rsidP="00851002">
            <w:pPr>
              <w:spacing w:before="60" w:after="60"/>
              <w:jc w:val="center"/>
              <w:rPr>
                <w:snapToGrid w:val="0"/>
                <w:color w:val="000000"/>
                <w:kern w:val="22"/>
                <w:lang w:eastAsia="zh-CN"/>
              </w:rPr>
            </w:pPr>
          </w:p>
        </w:tc>
      </w:tr>
      <w:tr w:rsidR="00047BD6" w:rsidRPr="00EB07E5" w:rsidTr="000402A3">
        <w:trPr>
          <w:cantSplit/>
          <w:jc w:val="center"/>
        </w:trPr>
        <w:tc>
          <w:tcPr>
            <w:tcW w:w="1531" w:type="pct"/>
          </w:tcPr>
          <w:p w:rsidR="00047BD6" w:rsidRPr="00EB07E5" w:rsidRDefault="00047BD6" w:rsidP="00851002">
            <w:pPr>
              <w:spacing w:before="60" w:after="60"/>
              <w:rPr>
                <w:snapToGrid w:val="0"/>
                <w:kern w:val="22"/>
              </w:rPr>
            </w:pPr>
            <w:r w:rsidRPr="00EB07E5">
              <w:rPr>
                <w:snapToGrid w:val="0"/>
                <w:kern w:val="22"/>
              </w:rPr>
              <w:t>CBD/WG8J/10/11</w:t>
            </w:r>
          </w:p>
        </w:tc>
        <w:tc>
          <w:tcPr>
            <w:tcW w:w="2975" w:type="pct"/>
          </w:tcPr>
          <w:p w:rsidR="00047BD6" w:rsidRPr="00EB07E5" w:rsidRDefault="00047BD6" w:rsidP="00851002">
            <w:pPr>
              <w:widowControl w:val="0"/>
              <w:tabs>
                <w:tab w:val="center" w:pos="4320"/>
                <w:tab w:val="right" w:pos="8640"/>
              </w:tabs>
              <w:adjustRightInd w:val="0"/>
              <w:spacing w:before="60" w:after="60"/>
              <w:textAlignment w:val="baseline"/>
              <w:rPr>
                <w:snapToGrid w:val="0"/>
                <w:kern w:val="22"/>
                <w:lang w:eastAsia="zh-CN"/>
              </w:rPr>
            </w:pPr>
            <w:r w:rsidRPr="00EB07E5">
              <w:rPr>
                <w:rFonts w:hint="eastAsia"/>
                <w:kern w:val="22"/>
                <w:lang w:eastAsia="zh-CN"/>
              </w:rPr>
              <w:t>第</w:t>
            </w:r>
            <w:r w:rsidRPr="00EB07E5">
              <w:rPr>
                <w:kern w:val="22"/>
                <w:lang w:eastAsia="zh-CN"/>
              </w:rPr>
              <w:t>8(j)</w:t>
            </w:r>
            <w:r w:rsidRPr="00EB07E5">
              <w:rPr>
                <w:rFonts w:hint="eastAsia"/>
                <w:kern w:val="22"/>
                <w:lang w:eastAsia="zh-CN"/>
              </w:rPr>
              <w:t>条和相关条款问题不限成员名额闭会期间特设工作组关于其第十次会议的工作的报告</w:t>
            </w:r>
          </w:p>
        </w:tc>
        <w:tc>
          <w:tcPr>
            <w:tcW w:w="494" w:type="pct"/>
          </w:tcPr>
          <w:p w:rsidR="00047BD6" w:rsidRPr="00EB07E5" w:rsidRDefault="00047BD6" w:rsidP="00851002">
            <w:pPr>
              <w:widowControl w:val="0"/>
              <w:tabs>
                <w:tab w:val="center" w:pos="4320"/>
                <w:tab w:val="right" w:pos="8640"/>
              </w:tabs>
              <w:adjustRightInd w:val="0"/>
              <w:spacing w:before="60" w:after="60"/>
              <w:jc w:val="center"/>
              <w:textAlignment w:val="baseline"/>
              <w:rPr>
                <w:snapToGrid w:val="0"/>
                <w:color w:val="FF0000"/>
                <w:kern w:val="22"/>
              </w:rPr>
            </w:pPr>
            <w:r w:rsidRPr="00EB07E5">
              <w:rPr>
                <w:snapToGrid w:val="0"/>
                <w:kern w:val="22"/>
              </w:rPr>
              <w:t>6</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CBD/SBSTTA/21/10</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kern w:val="22"/>
                <w:lang w:eastAsia="zh-CN"/>
              </w:rPr>
              <w:t>科学、技术和工艺咨询附属机构关于其第二十一次会议的工作的报告</w:t>
            </w:r>
          </w:p>
        </w:tc>
        <w:tc>
          <w:tcPr>
            <w:tcW w:w="494" w:type="pct"/>
          </w:tcPr>
          <w:p w:rsidR="00047BD6" w:rsidRPr="00EB07E5" w:rsidRDefault="00047BD6" w:rsidP="00851002">
            <w:pPr>
              <w:spacing w:before="60" w:after="60"/>
              <w:jc w:val="center"/>
              <w:rPr>
                <w:snapToGrid w:val="0"/>
                <w:color w:val="000000"/>
                <w:kern w:val="22"/>
              </w:rPr>
            </w:pPr>
            <w:r w:rsidRPr="00EB07E5">
              <w:rPr>
                <w:snapToGrid w:val="0"/>
                <w:color w:val="000000"/>
                <w:kern w:val="22"/>
              </w:rPr>
              <w:t>6</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CBD/SBSTTA/22/12</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kern w:val="22"/>
                <w:lang w:eastAsia="zh-CN"/>
              </w:rPr>
              <w:t>科学、技术和工艺咨询附属机构关于其第二十二次会议的工作的报告</w:t>
            </w:r>
          </w:p>
        </w:tc>
        <w:tc>
          <w:tcPr>
            <w:tcW w:w="494" w:type="pct"/>
          </w:tcPr>
          <w:p w:rsidR="00047BD6" w:rsidRPr="00EB07E5" w:rsidRDefault="00047BD6" w:rsidP="00851002">
            <w:pPr>
              <w:spacing w:before="60" w:after="60"/>
              <w:jc w:val="center"/>
              <w:rPr>
                <w:snapToGrid w:val="0"/>
                <w:color w:val="000000"/>
                <w:kern w:val="22"/>
              </w:rPr>
            </w:pPr>
            <w:r w:rsidRPr="00EB07E5">
              <w:rPr>
                <w:snapToGrid w:val="0"/>
                <w:color w:val="000000"/>
                <w:kern w:val="22"/>
              </w:rPr>
              <w:t>6</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CBD/SBI/2/22</w:t>
            </w:r>
            <w:bookmarkStart w:id="5" w:name="_GoBack"/>
            <w:bookmarkEnd w:id="5"/>
          </w:p>
        </w:tc>
        <w:tc>
          <w:tcPr>
            <w:tcW w:w="2975" w:type="pct"/>
          </w:tcPr>
          <w:p w:rsidR="00047BD6" w:rsidRPr="00EB07E5" w:rsidRDefault="00047BD6" w:rsidP="00851002">
            <w:pPr>
              <w:widowControl w:val="0"/>
              <w:tabs>
                <w:tab w:val="center" w:pos="4320"/>
                <w:tab w:val="right" w:pos="8640"/>
              </w:tabs>
              <w:adjustRightInd w:val="0"/>
              <w:spacing w:before="60" w:after="60"/>
              <w:textAlignment w:val="baseline"/>
              <w:rPr>
                <w:snapToGrid w:val="0"/>
                <w:color w:val="000000"/>
                <w:kern w:val="22"/>
                <w:lang w:eastAsia="zh-CN"/>
              </w:rPr>
            </w:pPr>
            <w:r w:rsidRPr="00EB07E5">
              <w:rPr>
                <w:rFonts w:hint="eastAsia"/>
                <w:snapToGrid w:val="0"/>
                <w:color w:val="000000"/>
                <w:kern w:val="22"/>
                <w:lang w:eastAsia="zh-CN"/>
              </w:rPr>
              <w:t>执行问题附属机构关于其第二次会议的工作的报告</w:t>
            </w:r>
          </w:p>
        </w:tc>
        <w:tc>
          <w:tcPr>
            <w:tcW w:w="494" w:type="pct"/>
          </w:tcPr>
          <w:p w:rsidR="00047BD6" w:rsidRPr="00EB07E5" w:rsidRDefault="00047BD6" w:rsidP="00851002">
            <w:pPr>
              <w:widowControl w:val="0"/>
              <w:tabs>
                <w:tab w:val="center" w:pos="4320"/>
                <w:tab w:val="right" w:pos="8640"/>
              </w:tabs>
              <w:adjustRightInd w:val="0"/>
              <w:spacing w:before="60" w:after="60"/>
              <w:jc w:val="center"/>
              <w:textAlignment w:val="baseline"/>
              <w:rPr>
                <w:snapToGrid w:val="0"/>
                <w:color w:val="000000"/>
                <w:kern w:val="22"/>
              </w:rPr>
            </w:pPr>
            <w:r w:rsidRPr="00EB07E5">
              <w:rPr>
                <w:snapToGrid w:val="0"/>
                <w:color w:val="000000"/>
                <w:kern w:val="22"/>
              </w:rPr>
              <w:t>6</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CBD/COP/14/3</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kern w:val="22"/>
                <w:lang w:eastAsia="zh-CN"/>
              </w:rPr>
              <w:t>执行秘书关于《生物多样性公约》《卡塔赫纳生物安全议定书》《获取和惠益分享名古屋议定书》</w:t>
            </w:r>
            <w:r w:rsidRPr="00EB07E5">
              <w:rPr>
                <w:kern w:val="22"/>
                <w:lang w:eastAsia="zh-CN"/>
              </w:rPr>
              <w:t>2017-2018</w:t>
            </w:r>
            <w:r w:rsidRPr="00EB07E5">
              <w:rPr>
                <w:rFonts w:hint="eastAsia"/>
                <w:kern w:val="22"/>
                <w:lang w:eastAsia="zh-CN"/>
              </w:rPr>
              <w:t>两年期行政管理包括信托基金预算的报告</w:t>
            </w:r>
          </w:p>
        </w:tc>
        <w:tc>
          <w:tcPr>
            <w:tcW w:w="494" w:type="pct"/>
          </w:tcPr>
          <w:p w:rsidR="00047BD6" w:rsidRPr="00EB07E5" w:rsidRDefault="00047BD6" w:rsidP="00851002">
            <w:pPr>
              <w:spacing w:before="60" w:after="60"/>
              <w:jc w:val="center"/>
              <w:rPr>
                <w:snapToGrid w:val="0"/>
                <w:color w:val="000000"/>
                <w:kern w:val="22"/>
              </w:rPr>
            </w:pPr>
            <w:r w:rsidRPr="00EB07E5">
              <w:rPr>
                <w:snapToGrid w:val="0"/>
                <w:color w:val="000000"/>
                <w:kern w:val="22"/>
              </w:rPr>
              <w:t>7</w:t>
            </w:r>
          </w:p>
        </w:tc>
      </w:tr>
      <w:tr w:rsidR="00047BD6" w:rsidRPr="00EB07E5" w:rsidTr="000402A3">
        <w:trPr>
          <w:cantSplit/>
          <w:jc w:val="center"/>
        </w:trPr>
        <w:tc>
          <w:tcPr>
            <w:tcW w:w="1531" w:type="pct"/>
          </w:tcPr>
          <w:p w:rsidR="00047BD6" w:rsidRPr="00EB07E5" w:rsidRDefault="00047BD6" w:rsidP="00851002">
            <w:pPr>
              <w:spacing w:before="60" w:after="60"/>
              <w:rPr>
                <w:snapToGrid w:val="0"/>
                <w:kern w:val="22"/>
              </w:rPr>
            </w:pPr>
            <w:r w:rsidRPr="00EB07E5">
              <w:rPr>
                <w:snapToGrid w:val="0"/>
                <w:kern w:val="22"/>
              </w:rPr>
              <w:t>CBD/COP/14/4</w:t>
            </w:r>
          </w:p>
        </w:tc>
        <w:tc>
          <w:tcPr>
            <w:tcW w:w="2975" w:type="pct"/>
          </w:tcPr>
          <w:p w:rsidR="00047BD6" w:rsidRPr="00EB07E5" w:rsidRDefault="00047BD6" w:rsidP="00851002">
            <w:pPr>
              <w:spacing w:before="60" w:after="60"/>
              <w:rPr>
                <w:snapToGrid w:val="0"/>
                <w:kern w:val="22"/>
                <w:lang w:eastAsia="zh-CN"/>
              </w:rPr>
            </w:pPr>
            <w:r w:rsidRPr="00EB07E5">
              <w:rPr>
                <w:rFonts w:hint="eastAsia"/>
                <w:kern w:val="22"/>
                <w:lang w:eastAsia="zh-CN"/>
              </w:rPr>
              <w:t>《生物多样性公约》《卡塔赫纳生物安全议定书》《获取和惠益分享名古屋议定书》</w:t>
            </w:r>
            <w:r w:rsidRPr="00EB07E5">
              <w:rPr>
                <w:snapToGrid w:val="0"/>
                <w:kern w:val="22"/>
                <w:lang w:eastAsia="zh-CN"/>
              </w:rPr>
              <w:t>2019-2020</w:t>
            </w:r>
            <w:r w:rsidRPr="00EB07E5">
              <w:rPr>
                <w:rFonts w:hint="eastAsia"/>
                <w:snapToGrid w:val="0"/>
                <w:kern w:val="22"/>
                <w:lang w:eastAsia="zh-CN"/>
              </w:rPr>
              <w:t>两年期工作方案的拟议预算</w:t>
            </w:r>
          </w:p>
        </w:tc>
        <w:tc>
          <w:tcPr>
            <w:tcW w:w="494" w:type="pct"/>
          </w:tcPr>
          <w:p w:rsidR="00047BD6" w:rsidRPr="00EB07E5" w:rsidRDefault="00047BD6" w:rsidP="00851002">
            <w:pPr>
              <w:spacing w:before="60" w:after="60"/>
              <w:jc w:val="center"/>
              <w:rPr>
                <w:snapToGrid w:val="0"/>
                <w:color w:val="FF0000"/>
                <w:kern w:val="22"/>
              </w:rPr>
            </w:pPr>
            <w:r w:rsidRPr="00EB07E5">
              <w:rPr>
                <w:snapToGrid w:val="0"/>
                <w:kern w:val="22"/>
              </w:rPr>
              <w:t>7</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CBD/COP/14/5</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color w:val="000000"/>
                <w:kern w:val="22"/>
                <w:lang w:eastAsia="zh-CN"/>
              </w:rPr>
              <w:t>关于《公约》和《</w:t>
            </w:r>
            <w:r w:rsidRPr="00EB07E5">
              <w:rPr>
                <w:color w:val="000000"/>
                <w:kern w:val="22"/>
                <w:lang w:eastAsia="zh-CN"/>
              </w:rPr>
              <w:t>2011-2020</w:t>
            </w:r>
            <w:r w:rsidRPr="00EB07E5">
              <w:rPr>
                <w:rFonts w:hint="eastAsia"/>
                <w:color w:val="000000"/>
                <w:kern w:val="22"/>
                <w:lang w:eastAsia="zh-CN"/>
              </w:rPr>
              <w:t>年生物多样性战略计划》执行情况的最新报告</w:t>
            </w:r>
          </w:p>
        </w:tc>
        <w:tc>
          <w:tcPr>
            <w:tcW w:w="494" w:type="pct"/>
          </w:tcPr>
          <w:p w:rsidR="00047BD6" w:rsidRPr="00EB07E5" w:rsidRDefault="00047BD6" w:rsidP="00851002">
            <w:pPr>
              <w:spacing w:before="60" w:after="60"/>
              <w:jc w:val="center"/>
              <w:rPr>
                <w:snapToGrid w:val="0"/>
                <w:color w:val="000000"/>
                <w:kern w:val="22"/>
              </w:rPr>
            </w:pPr>
            <w:r w:rsidRPr="00EB07E5">
              <w:rPr>
                <w:snapToGrid w:val="0"/>
                <w:color w:val="000000"/>
                <w:kern w:val="22"/>
              </w:rPr>
              <w:t>8</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CBD/COP/14/6</w:t>
            </w:r>
          </w:p>
        </w:tc>
        <w:tc>
          <w:tcPr>
            <w:tcW w:w="2975" w:type="pct"/>
          </w:tcPr>
          <w:p w:rsidR="00047BD6" w:rsidRPr="00EB07E5" w:rsidRDefault="00047BD6" w:rsidP="00851002">
            <w:pPr>
              <w:spacing w:before="60" w:after="60"/>
              <w:rPr>
                <w:color w:val="000000"/>
                <w:kern w:val="22"/>
                <w:lang w:eastAsia="zh-CN"/>
              </w:rPr>
            </w:pPr>
            <w:r w:rsidRPr="00EB07E5">
              <w:rPr>
                <w:rFonts w:hint="eastAsia"/>
                <w:color w:val="000000"/>
                <w:kern w:val="22"/>
                <w:lang w:eastAsia="zh-CN"/>
              </w:rPr>
              <w:t>通过财务报告框架提供的信</w:t>
            </w:r>
            <w:r w:rsidRPr="00EB07E5">
              <w:rPr>
                <w:rFonts w:ascii="MS Mincho" w:eastAsia="MS Mincho" w:hAnsi="MS Mincho" w:cs="MS Mincho" w:hint="eastAsia"/>
                <w:color w:val="000000"/>
                <w:kern w:val="22"/>
                <w:lang w:eastAsia="zh-CN"/>
              </w:rPr>
              <w:t>​</w:t>
            </w:r>
            <w:r w:rsidRPr="00EB07E5">
              <w:rPr>
                <w:rFonts w:hint="eastAsia"/>
                <w:color w:val="000000"/>
                <w:kern w:val="22"/>
                <w:lang w:eastAsia="zh-CN"/>
              </w:rPr>
              <w:t>息</w:t>
            </w:r>
            <w:r w:rsidRPr="00EB07E5">
              <w:rPr>
                <w:rFonts w:ascii="MS Mincho" w:eastAsia="MS Mincho" w:hAnsi="MS Mincho" w:cs="MS Mincho" w:hint="eastAsia"/>
                <w:color w:val="000000"/>
                <w:kern w:val="22"/>
                <w:lang w:eastAsia="zh-CN"/>
              </w:rPr>
              <w:t>​</w:t>
            </w:r>
            <w:r w:rsidRPr="00EB07E5">
              <w:rPr>
                <w:rFonts w:hint="eastAsia"/>
                <w:color w:val="000000"/>
                <w:kern w:val="22"/>
                <w:lang w:eastAsia="zh-CN"/>
              </w:rPr>
              <w:t>的</w:t>
            </w:r>
            <w:r w:rsidRPr="00EB07E5">
              <w:rPr>
                <w:rFonts w:ascii="MS Mincho" w:eastAsia="MS Mincho" w:hAnsi="MS Mincho" w:cs="MS Mincho" w:hint="eastAsia"/>
                <w:color w:val="000000"/>
                <w:kern w:val="22"/>
                <w:lang w:eastAsia="zh-CN"/>
              </w:rPr>
              <w:t>​​</w:t>
            </w:r>
            <w:r w:rsidRPr="00EB07E5">
              <w:rPr>
                <w:rFonts w:hint="eastAsia"/>
                <w:color w:val="000000"/>
                <w:kern w:val="22"/>
                <w:lang w:eastAsia="zh-CN"/>
              </w:rPr>
              <w:t>最</w:t>
            </w:r>
            <w:r w:rsidRPr="00EB07E5">
              <w:rPr>
                <w:rFonts w:ascii="MS Mincho" w:eastAsia="MS Mincho" w:hAnsi="MS Mincho" w:cs="MS Mincho" w:hint="eastAsia"/>
                <w:color w:val="000000"/>
                <w:kern w:val="22"/>
                <w:lang w:eastAsia="zh-CN"/>
              </w:rPr>
              <w:t>​</w:t>
            </w:r>
            <w:r w:rsidRPr="00EB07E5">
              <w:rPr>
                <w:rFonts w:hint="eastAsia"/>
                <w:color w:val="000000"/>
                <w:kern w:val="22"/>
                <w:lang w:eastAsia="zh-CN"/>
              </w:rPr>
              <w:t>新</w:t>
            </w:r>
            <w:r w:rsidRPr="00EB07E5">
              <w:rPr>
                <w:rFonts w:ascii="MS Mincho" w:eastAsia="MS Mincho" w:hAnsi="MS Mincho" w:cs="MS Mincho" w:hint="eastAsia"/>
                <w:color w:val="000000"/>
                <w:kern w:val="22"/>
                <w:lang w:eastAsia="zh-CN"/>
              </w:rPr>
              <w:t>​</w:t>
            </w:r>
            <w:r w:rsidRPr="00EB07E5">
              <w:rPr>
                <w:rFonts w:hint="eastAsia"/>
                <w:color w:val="000000"/>
                <w:kern w:val="22"/>
                <w:lang w:eastAsia="zh-CN"/>
              </w:rPr>
              <w:t>分</w:t>
            </w:r>
            <w:r w:rsidRPr="00EB07E5">
              <w:rPr>
                <w:rFonts w:ascii="MS Mincho" w:eastAsia="MS Mincho" w:hAnsi="MS Mincho" w:cs="MS Mincho" w:hint="eastAsia"/>
                <w:color w:val="000000"/>
                <w:kern w:val="22"/>
                <w:lang w:eastAsia="zh-CN"/>
              </w:rPr>
              <w:t>​</w:t>
            </w:r>
            <w:r w:rsidRPr="00EB07E5">
              <w:rPr>
                <w:rFonts w:hint="eastAsia"/>
                <w:color w:val="000000"/>
                <w:kern w:val="22"/>
                <w:lang w:eastAsia="zh-CN"/>
              </w:rPr>
              <w:t>析</w:t>
            </w:r>
          </w:p>
        </w:tc>
        <w:tc>
          <w:tcPr>
            <w:tcW w:w="494" w:type="pct"/>
          </w:tcPr>
          <w:p w:rsidR="00047BD6" w:rsidRPr="00EB07E5" w:rsidRDefault="00047BD6" w:rsidP="00851002">
            <w:pPr>
              <w:spacing w:before="60" w:after="60"/>
              <w:jc w:val="center"/>
              <w:rPr>
                <w:snapToGrid w:val="0"/>
                <w:color w:val="000000"/>
                <w:kern w:val="22"/>
                <w:lang w:eastAsia="zh-CN"/>
              </w:rPr>
            </w:pPr>
            <w:r w:rsidRPr="00EB07E5">
              <w:rPr>
                <w:snapToGrid w:val="0"/>
                <w:color w:val="000000"/>
                <w:kern w:val="22"/>
                <w:lang w:eastAsia="zh-CN"/>
              </w:rPr>
              <w:t>9</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CBD/COP/14/</w:t>
            </w:r>
            <w:r w:rsidRPr="00EB07E5">
              <w:rPr>
                <w:snapToGrid w:val="0"/>
                <w:color w:val="000000"/>
                <w:kern w:val="22"/>
                <w:lang w:eastAsia="zh-CN"/>
              </w:rPr>
              <w:t>7</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snapToGrid w:val="0"/>
                <w:kern w:val="22"/>
                <w:lang w:eastAsia="zh-CN"/>
              </w:rPr>
              <w:t>全球环境基金理事会的报告</w:t>
            </w:r>
          </w:p>
        </w:tc>
        <w:tc>
          <w:tcPr>
            <w:tcW w:w="494" w:type="pct"/>
          </w:tcPr>
          <w:p w:rsidR="00047BD6" w:rsidRPr="00EB07E5" w:rsidRDefault="00047BD6" w:rsidP="00851002">
            <w:pPr>
              <w:spacing w:before="60" w:after="60"/>
              <w:jc w:val="center"/>
              <w:rPr>
                <w:snapToGrid w:val="0"/>
                <w:color w:val="000000"/>
                <w:kern w:val="22"/>
                <w:lang w:eastAsia="zh-CN"/>
              </w:rPr>
            </w:pPr>
            <w:r w:rsidRPr="00EB07E5">
              <w:rPr>
                <w:snapToGrid w:val="0"/>
                <w:color w:val="000000"/>
                <w:kern w:val="22"/>
                <w:lang w:eastAsia="zh-CN"/>
              </w:rPr>
              <w:t>9</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lang w:eastAsia="zh-CN"/>
              </w:rPr>
            </w:pPr>
            <w:r w:rsidRPr="00EB07E5">
              <w:rPr>
                <w:snapToGrid w:val="0"/>
                <w:color w:val="000000"/>
                <w:kern w:val="22"/>
              </w:rPr>
              <w:t>CBD/COP/14/</w:t>
            </w:r>
            <w:r w:rsidRPr="00EB07E5">
              <w:rPr>
                <w:snapToGrid w:val="0"/>
                <w:color w:val="000000"/>
                <w:kern w:val="22"/>
                <w:lang w:eastAsia="zh-CN"/>
              </w:rPr>
              <w:t>8</w:t>
            </w:r>
          </w:p>
        </w:tc>
        <w:tc>
          <w:tcPr>
            <w:tcW w:w="2975" w:type="pct"/>
          </w:tcPr>
          <w:p w:rsidR="00047BD6" w:rsidRPr="00EB07E5" w:rsidRDefault="00047BD6" w:rsidP="00851002">
            <w:pPr>
              <w:spacing w:before="60" w:after="60"/>
              <w:rPr>
                <w:snapToGrid w:val="0"/>
                <w:kern w:val="22"/>
                <w:lang w:eastAsia="zh-CN"/>
              </w:rPr>
            </w:pPr>
            <w:r w:rsidRPr="00EB07E5">
              <w:rPr>
                <w:rFonts w:hint="eastAsia"/>
                <w:snapToGrid w:val="0"/>
                <w:kern w:val="22"/>
                <w:lang w:eastAsia="zh-CN"/>
              </w:rPr>
              <w:t>对财务机制成效的第五次审查：全球环境基金第六次总体绩效研究报告和收到的意见汇编</w:t>
            </w:r>
          </w:p>
        </w:tc>
        <w:tc>
          <w:tcPr>
            <w:tcW w:w="494" w:type="pct"/>
          </w:tcPr>
          <w:p w:rsidR="00047BD6" w:rsidRPr="00EB07E5" w:rsidRDefault="00047BD6" w:rsidP="00851002">
            <w:pPr>
              <w:spacing w:before="60" w:after="60"/>
              <w:jc w:val="center"/>
              <w:rPr>
                <w:snapToGrid w:val="0"/>
                <w:color w:val="000000"/>
                <w:kern w:val="22"/>
                <w:lang w:eastAsia="zh-CN"/>
              </w:rPr>
            </w:pPr>
            <w:r w:rsidRPr="00EB07E5">
              <w:rPr>
                <w:snapToGrid w:val="0"/>
                <w:color w:val="000000"/>
                <w:kern w:val="22"/>
                <w:lang w:eastAsia="zh-CN"/>
              </w:rPr>
              <w:t>9</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rPr>
            </w:pPr>
            <w:r w:rsidRPr="00EB07E5">
              <w:rPr>
                <w:snapToGrid w:val="0"/>
                <w:color w:val="000000"/>
                <w:kern w:val="22"/>
              </w:rPr>
              <w:t>CBD/COP/14/</w:t>
            </w:r>
            <w:r w:rsidRPr="00EB07E5">
              <w:rPr>
                <w:snapToGrid w:val="0"/>
                <w:color w:val="000000"/>
                <w:kern w:val="22"/>
                <w:lang w:eastAsia="zh-CN"/>
              </w:rPr>
              <w:t>9</w:t>
            </w:r>
          </w:p>
        </w:tc>
        <w:tc>
          <w:tcPr>
            <w:tcW w:w="2975" w:type="pct"/>
          </w:tcPr>
          <w:p w:rsidR="00047BD6" w:rsidRPr="00EB07E5" w:rsidRDefault="00047BD6" w:rsidP="00851002">
            <w:pPr>
              <w:spacing w:before="60" w:after="60"/>
              <w:rPr>
                <w:snapToGrid w:val="0"/>
                <w:color w:val="000000"/>
                <w:kern w:val="22"/>
                <w:lang w:eastAsia="zh-CN"/>
              </w:rPr>
            </w:pPr>
            <w:r w:rsidRPr="00EB07E5">
              <w:rPr>
                <w:lang w:val="en-US" w:eastAsia="zh-CN"/>
              </w:rPr>
              <w:t>2050</w:t>
            </w:r>
            <w:r w:rsidRPr="00EB07E5">
              <w:rPr>
                <w:rFonts w:hint="eastAsia"/>
                <w:lang w:val="en-US" w:eastAsia="zh-CN"/>
              </w:rPr>
              <w:t>年生物多样性愿景的长期战略方向，与自然和谐共处的办法，制定</w:t>
            </w:r>
            <w:r w:rsidRPr="00EB07E5">
              <w:rPr>
                <w:lang w:val="en-US" w:eastAsia="zh-CN"/>
              </w:rPr>
              <w:t>2020</w:t>
            </w:r>
            <w:r w:rsidRPr="00EB07E5">
              <w:rPr>
                <w:rFonts w:hint="eastAsia"/>
                <w:lang w:val="en-US" w:eastAsia="zh-CN"/>
              </w:rPr>
              <w:t>年后全球生物多样性框架</w:t>
            </w:r>
          </w:p>
        </w:tc>
        <w:tc>
          <w:tcPr>
            <w:tcW w:w="494" w:type="pct"/>
          </w:tcPr>
          <w:p w:rsidR="00047BD6" w:rsidRPr="00EB07E5" w:rsidRDefault="00047BD6" w:rsidP="00851002">
            <w:pPr>
              <w:spacing w:before="60" w:after="60"/>
              <w:jc w:val="center"/>
              <w:rPr>
                <w:snapToGrid w:val="0"/>
                <w:color w:val="000000"/>
                <w:kern w:val="22"/>
              </w:rPr>
            </w:pPr>
            <w:r w:rsidRPr="00EB07E5">
              <w:rPr>
                <w:snapToGrid w:val="0"/>
                <w:color w:val="000000"/>
                <w:kern w:val="22"/>
              </w:rPr>
              <w:t>17</w:t>
            </w:r>
          </w:p>
        </w:tc>
      </w:tr>
      <w:tr w:rsidR="00047BD6" w:rsidRPr="00EB07E5" w:rsidTr="000402A3">
        <w:trPr>
          <w:cantSplit/>
          <w:jc w:val="center"/>
        </w:trPr>
        <w:tc>
          <w:tcPr>
            <w:tcW w:w="1531" w:type="pct"/>
          </w:tcPr>
          <w:p w:rsidR="00047BD6" w:rsidRPr="00EB07E5" w:rsidRDefault="00047BD6" w:rsidP="00851002">
            <w:pPr>
              <w:spacing w:before="60" w:after="60"/>
              <w:rPr>
                <w:snapToGrid w:val="0"/>
                <w:color w:val="000000"/>
                <w:kern w:val="22"/>
                <w:lang w:eastAsia="zh-CN"/>
              </w:rPr>
            </w:pPr>
            <w:r w:rsidRPr="00EB07E5">
              <w:rPr>
                <w:snapToGrid w:val="0"/>
                <w:color w:val="000000"/>
                <w:kern w:val="22"/>
              </w:rPr>
              <w:t>CBD/COP/14/</w:t>
            </w:r>
            <w:r w:rsidRPr="00EB07E5">
              <w:rPr>
                <w:snapToGrid w:val="0"/>
                <w:color w:val="000000"/>
                <w:kern w:val="22"/>
                <w:lang w:eastAsia="zh-CN"/>
              </w:rPr>
              <w:t>10</w:t>
            </w:r>
          </w:p>
        </w:tc>
        <w:tc>
          <w:tcPr>
            <w:tcW w:w="2975" w:type="pct"/>
          </w:tcPr>
          <w:p w:rsidR="00047BD6" w:rsidRPr="00EB07E5" w:rsidRDefault="00047BD6" w:rsidP="00851002">
            <w:pPr>
              <w:spacing w:before="60" w:after="60"/>
              <w:rPr>
                <w:snapToGrid w:val="0"/>
                <w:color w:val="000000"/>
                <w:kern w:val="22"/>
                <w:lang w:eastAsia="zh-CN"/>
              </w:rPr>
            </w:pPr>
            <w:r w:rsidRPr="00EB07E5">
              <w:rPr>
                <w:rFonts w:hint="eastAsia"/>
                <w:lang w:val="en-US" w:eastAsia="zh-CN"/>
              </w:rPr>
              <w:t>《公约》第</w:t>
            </w:r>
            <w:r w:rsidRPr="00EB07E5">
              <w:rPr>
                <w:lang w:val="en-US" w:eastAsia="zh-CN"/>
              </w:rPr>
              <w:t>14</w:t>
            </w:r>
            <w:r w:rsidRPr="00EB07E5">
              <w:rPr>
                <w:rFonts w:hint="eastAsia"/>
                <w:lang w:val="en-US" w:eastAsia="zh-CN"/>
              </w:rPr>
              <w:t>条第</w:t>
            </w:r>
            <w:r w:rsidRPr="00EB07E5">
              <w:rPr>
                <w:lang w:val="en-US" w:eastAsia="zh-CN"/>
              </w:rPr>
              <w:t>2</w:t>
            </w:r>
            <w:r w:rsidRPr="00EB07E5">
              <w:rPr>
                <w:rFonts w:hint="eastAsia"/>
                <w:lang w:val="en-US" w:eastAsia="zh-CN"/>
              </w:rPr>
              <w:t>款范围内的赔偿责任和补救</w:t>
            </w:r>
          </w:p>
        </w:tc>
        <w:tc>
          <w:tcPr>
            <w:tcW w:w="494" w:type="pct"/>
          </w:tcPr>
          <w:p w:rsidR="00047BD6" w:rsidRPr="00EB07E5" w:rsidRDefault="00047BD6" w:rsidP="00851002">
            <w:pPr>
              <w:spacing w:before="60" w:after="60"/>
              <w:jc w:val="center"/>
              <w:rPr>
                <w:snapToGrid w:val="0"/>
                <w:color w:val="000000"/>
                <w:kern w:val="22"/>
              </w:rPr>
            </w:pPr>
            <w:r w:rsidRPr="00EB07E5">
              <w:rPr>
                <w:snapToGrid w:val="0"/>
                <w:color w:val="000000"/>
                <w:kern w:val="22"/>
              </w:rPr>
              <w:t>28</w:t>
            </w:r>
          </w:p>
        </w:tc>
      </w:tr>
    </w:tbl>
    <w:p w:rsidR="00047BD6" w:rsidRPr="00EB07E5" w:rsidRDefault="00047BD6" w:rsidP="00851002">
      <w:pPr>
        <w:rPr>
          <w:snapToGrid w:val="0"/>
          <w:kern w:val="22"/>
        </w:rPr>
      </w:pPr>
    </w:p>
    <w:p w:rsidR="00047BD6" w:rsidRPr="00EB07E5" w:rsidRDefault="00047BD6" w:rsidP="00851002">
      <w:pPr>
        <w:rPr>
          <w:lang w:eastAsia="zh-CN"/>
        </w:rPr>
      </w:pPr>
    </w:p>
    <w:p w:rsidR="00047BD6" w:rsidRPr="00EB07E5" w:rsidRDefault="00047BD6" w:rsidP="00851002">
      <w:pPr>
        <w:pStyle w:val="ListParagraph"/>
        <w:ind w:left="0"/>
        <w:jc w:val="center"/>
        <w:rPr>
          <w:b/>
          <w:iCs/>
          <w:snapToGrid w:val="0"/>
          <w:kern w:val="22"/>
          <w:lang w:eastAsia="zh-CN"/>
        </w:rPr>
      </w:pPr>
    </w:p>
    <w:p w:rsidR="00047BD6" w:rsidRPr="00EB07E5" w:rsidRDefault="00047BD6" w:rsidP="00851002">
      <w:pPr>
        <w:pStyle w:val="ListParagraph"/>
        <w:ind w:left="0"/>
        <w:jc w:val="center"/>
        <w:rPr>
          <w:b/>
          <w:iCs/>
          <w:snapToGrid w:val="0"/>
          <w:kern w:val="22"/>
          <w:lang w:eastAsia="zh-CN"/>
        </w:rPr>
      </w:pPr>
    </w:p>
    <w:p w:rsidR="00047BD6" w:rsidRPr="00EB07E5" w:rsidRDefault="00047BD6" w:rsidP="00851002">
      <w:pPr>
        <w:pStyle w:val="ListParagraph"/>
        <w:ind w:left="0"/>
        <w:jc w:val="center"/>
        <w:rPr>
          <w:iCs/>
          <w:snapToGrid w:val="0"/>
          <w:kern w:val="22"/>
          <w:lang w:eastAsia="zh-CN"/>
        </w:rPr>
      </w:pPr>
      <w:r w:rsidRPr="00EB07E5">
        <w:rPr>
          <w:rFonts w:hint="eastAsia"/>
          <w:b/>
          <w:iCs/>
          <w:snapToGrid w:val="0"/>
          <w:kern w:val="22"/>
          <w:lang w:eastAsia="zh-CN"/>
        </w:rPr>
        <w:t>信息文件</w:t>
      </w:r>
    </w:p>
    <w:p w:rsidR="00047BD6" w:rsidRPr="00EB07E5" w:rsidRDefault="00047BD6" w:rsidP="00851002">
      <w:pPr>
        <w:pStyle w:val="ListParagraph"/>
        <w:ind w:left="0"/>
        <w:jc w:val="center"/>
        <w:rPr>
          <w:iCs/>
          <w:snapToGrid w:val="0"/>
          <w:kern w:val="22"/>
          <w:lang w:eastAsia="zh-CN"/>
        </w:rPr>
      </w:pPr>
    </w:p>
    <w:p w:rsidR="00047BD6" w:rsidRPr="00EB07E5" w:rsidRDefault="00047BD6" w:rsidP="00851002">
      <w:pPr>
        <w:pStyle w:val="ListParagraph"/>
        <w:ind w:left="0"/>
        <w:jc w:val="center"/>
        <w:rPr>
          <w:iCs/>
          <w:snapToGrid w:val="0"/>
          <w:kern w:val="22"/>
          <w:lang w:eastAsia="zh-CN"/>
        </w:rPr>
      </w:pPr>
    </w:p>
    <w:p w:rsidR="00047BD6" w:rsidRPr="00EB07E5" w:rsidRDefault="00047BD6" w:rsidP="00851002">
      <w:pPr>
        <w:pStyle w:val="ListParagraph"/>
        <w:ind w:left="0"/>
        <w:jc w:val="center"/>
        <w:rPr>
          <w:iCs/>
          <w:snapToGrid w:val="0"/>
          <w:kern w:val="22"/>
          <w:lang w:eastAsia="zh-CN"/>
        </w:rPr>
      </w:pPr>
    </w:p>
    <w:tbl>
      <w:tblPr>
        <w:tblW w:w="5019" w:type="pct"/>
        <w:tblLayout w:type="fixed"/>
        <w:tblLook w:val="0000"/>
      </w:tblPr>
      <w:tblGrid>
        <w:gridCol w:w="3049"/>
        <w:gridCol w:w="6134"/>
        <w:gridCol w:w="1034"/>
      </w:tblGrid>
      <w:tr w:rsidR="00047BD6" w:rsidRPr="00EB07E5" w:rsidTr="00377F11">
        <w:tc>
          <w:tcPr>
            <w:tcW w:w="1492" w:type="pct"/>
          </w:tcPr>
          <w:p w:rsidR="00047BD6" w:rsidRPr="00EB07E5" w:rsidRDefault="00047BD6" w:rsidP="00377F11">
            <w:pPr>
              <w:kinsoku w:val="0"/>
              <w:overflowPunct w:val="0"/>
              <w:autoSpaceDE w:val="0"/>
              <w:autoSpaceDN w:val="0"/>
              <w:spacing w:before="60" w:after="60"/>
              <w:rPr>
                <w:color w:val="000000"/>
                <w:kern w:val="22"/>
              </w:rPr>
            </w:pPr>
            <w:r w:rsidRPr="00EB07E5">
              <w:rPr>
                <w:noProof/>
                <w:color w:val="000000"/>
                <w:kern w:val="22"/>
              </w:rPr>
              <w:t>CBD/COP/14/INF/1</w:t>
            </w:r>
          </w:p>
        </w:tc>
        <w:tc>
          <w:tcPr>
            <w:tcW w:w="3002" w:type="pct"/>
          </w:tcPr>
          <w:p w:rsidR="00047BD6" w:rsidRPr="00EB07E5" w:rsidRDefault="00047BD6" w:rsidP="00377F11">
            <w:pPr>
              <w:kinsoku w:val="0"/>
              <w:overflowPunct w:val="0"/>
              <w:autoSpaceDE w:val="0"/>
              <w:autoSpaceDN w:val="0"/>
              <w:spacing w:before="60" w:after="60"/>
              <w:rPr>
                <w:lang w:eastAsia="zh-CN"/>
              </w:rPr>
            </w:pPr>
            <w:r w:rsidRPr="00EB07E5">
              <w:rPr>
                <w:rFonts w:hint="eastAsia"/>
                <w:kern w:val="22"/>
                <w:lang w:val="zh-CN" w:eastAsia="zh-CN"/>
              </w:rPr>
              <w:t>审查农业、林业、渔业和旅游业部门内主流化的进展情况</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22</w:t>
            </w:r>
          </w:p>
        </w:tc>
      </w:tr>
      <w:tr w:rsidR="00047BD6" w:rsidRPr="00EB07E5" w:rsidTr="00377F11">
        <w:tc>
          <w:tcPr>
            <w:tcW w:w="1492" w:type="pct"/>
          </w:tcPr>
          <w:p w:rsidR="00047BD6" w:rsidRPr="00EB07E5" w:rsidRDefault="00047BD6" w:rsidP="00377F11">
            <w:pPr>
              <w:kinsoku w:val="0"/>
              <w:overflowPunct w:val="0"/>
              <w:autoSpaceDE w:val="0"/>
              <w:autoSpaceDN w:val="0"/>
              <w:spacing w:before="60" w:after="60"/>
              <w:rPr>
                <w:color w:val="000000"/>
                <w:kern w:val="22"/>
              </w:rPr>
            </w:pPr>
            <w:r w:rsidRPr="00EB07E5">
              <w:rPr>
                <w:noProof/>
                <w:color w:val="000000"/>
                <w:kern w:val="22"/>
              </w:rPr>
              <w:t>CBD/COP/14/INF/2</w:t>
            </w:r>
          </w:p>
        </w:tc>
        <w:tc>
          <w:tcPr>
            <w:tcW w:w="3002" w:type="pct"/>
          </w:tcPr>
          <w:p w:rsidR="00047BD6" w:rsidRPr="00EB07E5" w:rsidRDefault="00047BD6" w:rsidP="00377F11">
            <w:pPr>
              <w:kinsoku w:val="0"/>
              <w:overflowPunct w:val="0"/>
              <w:autoSpaceDE w:val="0"/>
              <w:autoSpaceDN w:val="0"/>
              <w:spacing w:before="60" w:after="60"/>
              <w:rPr>
                <w:lang w:eastAsia="zh-CN"/>
              </w:rPr>
            </w:pPr>
            <w:r w:rsidRPr="00EB07E5">
              <w:rPr>
                <w:rFonts w:hint="eastAsia"/>
                <w:kern w:val="22"/>
                <w:lang w:val="zh-CN" w:eastAsia="zh-CN"/>
              </w:rPr>
              <w:t>生物多样性相关公约之间协同作用问题非正式咨询小组的报告</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14</w:t>
            </w:r>
          </w:p>
        </w:tc>
      </w:tr>
      <w:tr w:rsidR="00047BD6" w:rsidRPr="00EB07E5" w:rsidTr="00377F11">
        <w:tc>
          <w:tcPr>
            <w:tcW w:w="1492" w:type="pct"/>
          </w:tcPr>
          <w:p w:rsidR="00047BD6" w:rsidRPr="00EB07E5" w:rsidRDefault="00047BD6" w:rsidP="00377F11">
            <w:pPr>
              <w:kinsoku w:val="0"/>
              <w:overflowPunct w:val="0"/>
              <w:autoSpaceDE w:val="0"/>
              <w:autoSpaceDN w:val="0"/>
              <w:spacing w:before="60" w:after="60"/>
              <w:rPr>
                <w:color w:val="000000"/>
                <w:kern w:val="22"/>
              </w:rPr>
            </w:pPr>
            <w:r w:rsidRPr="00EB07E5">
              <w:rPr>
                <w:noProof/>
                <w:color w:val="000000"/>
                <w:kern w:val="22"/>
              </w:rPr>
              <w:t>CBD/COP/14/INF/3</w:t>
            </w:r>
          </w:p>
        </w:tc>
        <w:tc>
          <w:tcPr>
            <w:tcW w:w="3002" w:type="pct"/>
          </w:tcPr>
          <w:p w:rsidR="00047BD6" w:rsidRPr="00EB07E5" w:rsidRDefault="00047BD6" w:rsidP="00377F11">
            <w:pPr>
              <w:kinsoku w:val="0"/>
              <w:overflowPunct w:val="0"/>
              <w:autoSpaceDE w:val="0"/>
              <w:autoSpaceDN w:val="0"/>
              <w:spacing w:before="60" w:after="60"/>
              <w:rPr>
                <w:lang w:eastAsia="zh-CN"/>
              </w:rPr>
            </w:pPr>
            <w:r w:rsidRPr="00EB07E5">
              <w:rPr>
                <w:rFonts w:hint="eastAsia"/>
                <w:kern w:val="22"/>
                <w:lang w:val="zh-CN" w:eastAsia="zh-CN"/>
              </w:rPr>
              <w:t>专家组避免和管理利益冲突的程序</w:t>
            </w:r>
            <w:r w:rsidRPr="00EB07E5">
              <w:rPr>
                <w:rFonts w:hint="eastAsia"/>
                <w:kern w:val="22"/>
                <w:lang w:eastAsia="zh-CN"/>
              </w:rPr>
              <w:t>：</w:t>
            </w:r>
            <w:r w:rsidRPr="00EB07E5">
              <w:rPr>
                <w:rFonts w:hint="eastAsia"/>
                <w:kern w:val="22"/>
                <w:lang w:val="zh-CN" w:eastAsia="zh-CN"/>
              </w:rPr>
              <w:t>缔约方和观察员提出的看法</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15</w:t>
            </w:r>
          </w:p>
        </w:tc>
      </w:tr>
      <w:tr w:rsidR="00047BD6" w:rsidRPr="00EB07E5" w:rsidTr="00377F11">
        <w:tc>
          <w:tcPr>
            <w:tcW w:w="1492" w:type="pct"/>
          </w:tcPr>
          <w:p w:rsidR="00047BD6" w:rsidRPr="00EB07E5" w:rsidRDefault="00047BD6" w:rsidP="00377F11">
            <w:pPr>
              <w:kinsoku w:val="0"/>
              <w:overflowPunct w:val="0"/>
              <w:autoSpaceDE w:val="0"/>
              <w:autoSpaceDN w:val="0"/>
              <w:spacing w:before="60" w:after="60"/>
            </w:pPr>
            <w:r w:rsidRPr="00EB07E5">
              <w:rPr>
                <w:noProof/>
                <w:kern w:val="22"/>
              </w:rPr>
              <w:t>CBD/COP/14/INF/4</w:t>
            </w:r>
          </w:p>
        </w:tc>
        <w:tc>
          <w:tcPr>
            <w:tcW w:w="3002" w:type="pct"/>
          </w:tcPr>
          <w:p w:rsidR="00047BD6" w:rsidRPr="00EB07E5" w:rsidRDefault="00047BD6" w:rsidP="00377F11">
            <w:pPr>
              <w:kinsoku w:val="0"/>
              <w:overflowPunct w:val="0"/>
              <w:autoSpaceDE w:val="0"/>
              <w:autoSpaceDN w:val="0"/>
              <w:spacing w:before="60" w:after="60"/>
              <w:rPr>
                <w:lang w:eastAsia="zh-CN"/>
              </w:rPr>
            </w:pPr>
            <w:r w:rsidRPr="00EB07E5">
              <w:rPr>
                <w:rFonts w:hint="eastAsia"/>
                <w:kern w:val="22"/>
                <w:lang w:val="zh-CN" w:eastAsia="zh-CN"/>
              </w:rPr>
              <w:t>关于知识管理活动的进度报告</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11</w:t>
            </w:r>
          </w:p>
        </w:tc>
      </w:tr>
      <w:tr w:rsidR="00047BD6" w:rsidRPr="00EB07E5" w:rsidTr="00377F11">
        <w:tc>
          <w:tcPr>
            <w:tcW w:w="1492" w:type="pct"/>
          </w:tcPr>
          <w:p w:rsidR="00047BD6" w:rsidRPr="00EB07E5" w:rsidRDefault="00047BD6" w:rsidP="00377F11">
            <w:pPr>
              <w:kinsoku w:val="0"/>
              <w:overflowPunct w:val="0"/>
              <w:autoSpaceDE w:val="0"/>
              <w:autoSpaceDN w:val="0"/>
              <w:spacing w:before="60" w:after="60"/>
              <w:rPr>
                <w:color w:val="000000"/>
                <w:kern w:val="22"/>
              </w:rPr>
            </w:pPr>
            <w:r w:rsidRPr="00EB07E5">
              <w:rPr>
                <w:noProof/>
                <w:color w:val="000000"/>
                <w:kern w:val="22"/>
              </w:rPr>
              <w:t>CBD/COP/14/INF/5</w:t>
            </w:r>
          </w:p>
        </w:tc>
        <w:tc>
          <w:tcPr>
            <w:tcW w:w="3002" w:type="pct"/>
          </w:tcPr>
          <w:p w:rsidR="00047BD6" w:rsidRPr="00EB07E5" w:rsidRDefault="00047BD6" w:rsidP="00377F11">
            <w:pPr>
              <w:keepNext/>
              <w:keepLines/>
              <w:spacing w:before="120" w:after="120"/>
              <w:rPr>
                <w:lang w:eastAsia="zh-CN"/>
              </w:rPr>
            </w:pPr>
            <w:r w:rsidRPr="00EB07E5">
              <w:rPr>
                <w:rFonts w:hint="eastAsia"/>
                <w:kern w:val="22"/>
                <w:lang w:val="zh-CN" w:eastAsia="zh-CN"/>
              </w:rPr>
              <w:t>对作为</w:t>
            </w:r>
            <w:r w:rsidRPr="00EB07E5">
              <w:rPr>
                <w:kern w:val="22"/>
                <w:lang w:eastAsia="zh-CN"/>
              </w:rPr>
              <w:t>2020</w:t>
            </w:r>
            <w:r w:rsidRPr="00EB07E5">
              <w:rPr>
                <w:rFonts w:hint="eastAsia"/>
                <w:kern w:val="22"/>
                <w:lang w:val="zh-CN" w:eastAsia="zh-CN"/>
              </w:rPr>
              <w:t>年后生物多样性框架的一部分的第</w:t>
            </w:r>
            <w:r w:rsidRPr="00EB07E5">
              <w:rPr>
                <w:kern w:val="22"/>
                <w:lang w:eastAsia="zh-CN"/>
              </w:rPr>
              <w:t>8(j)</w:t>
            </w:r>
            <w:r w:rsidRPr="00EB07E5">
              <w:rPr>
                <w:rFonts w:hint="eastAsia"/>
                <w:kern w:val="22"/>
                <w:lang w:val="zh-CN" w:eastAsia="zh-CN"/>
              </w:rPr>
              <w:t>条和相关条款未来工作方案的可能要素以及可能的机构安排及其工作方式的看法的汇编</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13</w:t>
            </w:r>
          </w:p>
        </w:tc>
      </w:tr>
      <w:tr w:rsidR="00047BD6" w:rsidRPr="00EB07E5" w:rsidTr="00377F11">
        <w:tc>
          <w:tcPr>
            <w:tcW w:w="1492" w:type="pct"/>
          </w:tcPr>
          <w:p w:rsidR="00047BD6" w:rsidRPr="00EB07E5" w:rsidRDefault="00047BD6" w:rsidP="00377F11">
            <w:pPr>
              <w:kinsoku w:val="0"/>
              <w:overflowPunct w:val="0"/>
              <w:autoSpaceDE w:val="0"/>
              <w:autoSpaceDN w:val="0"/>
              <w:spacing w:before="60" w:after="60"/>
              <w:rPr>
                <w:color w:val="000000"/>
                <w:kern w:val="22"/>
              </w:rPr>
            </w:pPr>
            <w:r w:rsidRPr="00EB07E5">
              <w:rPr>
                <w:noProof/>
                <w:color w:val="000000"/>
                <w:kern w:val="22"/>
              </w:rPr>
              <w:t>CBD/COP/14/INF/6</w:t>
            </w:r>
          </w:p>
        </w:tc>
        <w:tc>
          <w:tcPr>
            <w:tcW w:w="3002" w:type="pct"/>
          </w:tcPr>
          <w:p w:rsidR="00047BD6" w:rsidRPr="00EB07E5" w:rsidRDefault="00047BD6" w:rsidP="00377F11">
            <w:pPr>
              <w:kinsoku w:val="0"/>
              <w:overflowPunct w:val="0"/>
              <w:autoSpaceDE w:val="0"/>
              <w:autoSpaceDN w:val="0"/>
              <w:spacing w:before="60" w:after="60"/>
              <w:rPr>
                <w:lang w:eastAsia="zh-CN"/>
              </w:rPr>
            </w:pPr>
            <w:r w:rsidRPr="00EB07E5">
              <w:rPr>
                <w:rFonts w:hint="eastAsia"/>
                <w:kern w:val="22"/>
                <w:lang w:val="zh-CN" w:eastAsia="zh-CN"/>
              </w:rPr>
              <w:t>要求生物多样性和生态系统服务政府间科学政策平台就其战略框架和到</w:t>
            </w:r>
            <w:r w:rsidRPr="00EB07E5">
              <w:rPr>
                <w:kern w:val="22"/>
                <w:lang w:eastAsia="zh-CN"/>
              </w:rPr>
              <w:t>2030</w:t>
            </w:r>
            <w:r w:rsidRPr="00EB07E5">
              <w:rPr>
                <w:rFonts w:hint="eastAsia"/>
                <w:kern w:val="22"/>
                <w:lang w:val="zh-CN" w:eastAsia="zh-CN"/>
              </w:rPr>
              <w:t>年的工作方案进行审议的进一步信息</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16</w:t>
            </w:r>
          </w:p>
        </w:tc>
      </w:tr>
      <w:tr w:rsidR="00047BD6" w:rsidRPr="00EB07E5" w:rsidTr="00377F11">
        <w:tc>
          <w:tcPr>
            <w:tcW w:w="1492" w:type="pct"/>
          </w:tcPr>
          <w:p w:rsidR="00047BD6" w:rsidRPr="00EB07E5" w:rsidRDefault="00047BD6" w:rsidP="00377F11">
            <w:pPr>
              <w:kinsoku w:val="0"/>
              <w:overflowPunct w:val="0"/>
              <w:autoSpaceDE w:val="0"/>
              <w:autoSpaceDN w:val="0"/>
              <w:spacing w:before="60" w:after="60"/>
              <w:rPr>
                <w:color w:val="000000"/>
                <w:kern w:val="22"/>
              </w:rPr>
            </w:pPr>
            <w:r w:rsidRPr="00EB07E5">
              <w:rPr>
                <w:noProof/>
                <w:color w:val="000000"/>
                <w:kern w:val="22"/>
              </w:rPr>
              <w:t>CBD/COP/14/INF/7</w:t>
            </w:r>
          </w:p>
        </w:tc>
        <w:tc>
          <w:tcPr>
            <w:tcW w:w="3002" w:type="pct"/>
          </w:tcPr>
          <w:p w:rsidR="00047BD6" w:rsidRPr="00EB07E5" w:rsidRDefault="00047BD6" w:rsidP="00377F11">
            <w:pPr>
              <w:kinsoku w:val="0"/>
              <w:overflowPunct w:val="0"/>
              <w:autoSpaceDE w:val="0"/>
              <w:autoSpaceDN w:val="0"/>
              <w:spacing w:before="60" w:after="60"/>
              <w:rPr>
                <w:lang w:eastAsia="zh-CN"/>
              </w:rPr>
            </w:pPr>
            <w:r w:rsidRPr="00EB07E5">
              <w:rPr>
                <w:rFonts w:hint="eastAsia"/>
                <w:kern w:val="22"/>
                <w:lang w:val="zh-CN" w:eastAsia="zh-CN"/>
              </w:rPr>
              <w:t>建立可持续的、参与性的和包容各方的野生动物肉部门</w:t>
            </w:r>
            <w:r w:rsidRPr="00EB07E5">
              <w:rPr>
                <w:rFonts w:hint="eastAsia"/>
                <w:kern w:val="22"/>
                <w:lang w:eastAsia="zh-CN"/>
              </w:rPr>
              <w:t>：</w:t>
            </w:r>
            <w:r w:rsidRPr="00EB07E5">
              <w:rPr>
                <w:rFonts w:hint="eastAsia"/>
                <w:kern w:val="22"/>
                <w:lang w:val="zh-CN" w:eastAsia="zh-CN"/>
              </w:rPr>
              <w:t>最新技术文件</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20</w:t>
            </w:r>
          </w:p>
        </w:tc>
      </w:tr>
      <w:tr w:rsidR="00047BD6" w:rsidRPr="00EB07E5" w:rsidTr="00377F11">
        <w:tc>
          <w:tcPr>
            <w:tcW w:w="1492" w:type="pct"/>
          </w:tcPr>
          <w:p w:rsidR="00047BD6" w:rsidRPr="00EB07E5" w:rsidRDefault="00047BD6" w:rsidP="00377F11">
            <w:pPr>
              <w:kinsoku w:val="0"/>
              <w:overflowPunct w:val="0"/>
              <w:autoSpaceDE w:val="0"/>
              <w:autoSpaceDN w:val="0"/>
              <w:spacing w:before="60" w:after="60"/>
              <w:rPr>
                <w:color w:val="000000"/>
                <w:kern w:val="22"/>
              </w:rPr>
            </w:pPr>
            <w:r w:rsidRPr="00EB07E5">
              <w:rPr>
                <w:noProof/>
                <w:color w:val="000000"/>
                <w:kern w:val="22"/>
              </w:rPr>
              <w:t>CBD/COP/14/INF/8</w:t>
            </w:r>
          </w:p>
        </w:tc>
        <w:tc>
          <w:tcPr>
            <w:tcW w:w="3002" w:type="pct"/>
          </w:tcPr>
          <w:p w:rsidR="00047BD6" w:rsidRPr="00EB07E5" w:rsidRDefault="00047BD6" w:rsidP="00377F11">
            <w:pPr>
              <w:kinsoku w:val="0"/>
              <w:overflowPunct w:val="0"/>
              <w:autoSpaceDE w:val="0"/>
              <w:autoSpaceDN w:val="0"/>
              <w:spacing w:before="60" w:after="60"/>
              <w:rPr>
                <w:lang w:eastAsia="zh-CN"/>
              </w:rPr>
            </w:pPr>
            <w:r w:rsidRPr="00EB07E5">
              <w:rPr>
                <w:rFonts w:hint="eastAsia"/>
                <w:kern w:val="22"/>
                <w:lang w:val="zh-CN" w:eastAsia="zh-CN"/>
              </w:rPr>
              <w:t>关于授粉媒介和授粉在农业和粮食生产中的作用之外</w:t>
            </w:r>
            <w:r w:rsidRPr="00EB07E5">
              <w:rPr>
                <w:rFonts w:hint="eastAsia"/>
                <w:kern w:val="22"/>
                <w:lang w:eastAsia="zh-CN"/>
              </w:rPr>
              <w:t>，</w:t>
            </w:r>
            <w:r w:rsidRPr="00EB07E5">
              <w:rPr>
                <w:rFonts w:hint="eastAsia"/>
                <w:kern w:val="22"/>
                <w:lang w:val="zh-CN" w:eastAsia="zh-CN"/>
              </w:rPr>
              <w:t>对保护和可持续利用所有生态系统中的生物多样性的重要性</w:t>
            </w:r>
            <w:r w:rsidRPr="00EB07E5">
              <w:rPr>
                <w:rFonts w:hint="eastAsia"/>
                <w:kern w:val="22"/>
                <w:lang w:eastAsia="zh-CN"/>
              </w:rPr>
              <w:t>：</w:t>
            </w:r>
            <w:r w:rsidRPr="00EB07E5">
              <w:rPr>
                <w:rFonts w:hint="eastAsia"/>
                <w:kern w:val="22"/>
                <w:lang w:val="zh-CN" w:eastAsia="zh-CN"/>
              </w:rPr>
              <w:t>最新报告</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23</w:t>
            </w:r>
          </w:p>
        </w:tc>
      </w:tr>
      <w:tr w:rsidR="00047BD6" w:rsidRPr="00EB07E5" w:rsidTr="00377F11">
        <w:tc>
          <w:tcPr>
            <w:tcW w:w="1492" w:type="pct"/>
          </w:tcPr>
          <w:p w:rsidR="00047BD6" w:rsidRPr="00EB07E5" w:rsidRDefault="00047BD6" w:rsidP="00377F11">
            <w:pPr>
              <w:kinsoku w:val="0"/>
              <w:overflowPunct w:val="0"/>
              <w:autoSpaceDE w:val="0"/>
              <w:autoSpaceDN w:val="0"/>
              <w:spacing w:before="60" w:after="60"/>
              <w:rPr>
                <w:color w:val="000000"/>
                <w:kern w:val="22"/>
              </w:rPr>
            </w:pPr>
            <w:r w:rsidRPr="00EB07E5">
              <w:rPr>
                <w:noProof/>
                <w:color w:val="000000"/>
                <w:kern w:val="22"/>
              </w:rPr>
              <w:t>CBD/COP/14/INF/9</w:t>
            </w:r>
          </w:p>
        </w:tc>
        <w:tc>
          <w:tcPr>
            <w:tcW w:w="3002" w:type="pct"/>
          </w:tcPr>
          <w:p w:rsidR="00047BD6" w:rsidRPr="00EB07E5" w:rsidRDefault="00047BD6" w:rsidP="00377F11">
            <w:pPr>
              <w:kinsoku w:val="0"/>
              <w:overflowPunct w:val="0"/>
              <w:autoSpaceDE w:val="0"/>
              <w:autoSpaceDN w:val="0"/>
              <w:spacing w:before="60" w:after="60"/>
              <w:rPr>
                <w:lang w:eastAsia="zh-CN"/>
              </w:rPr>
            </w:pPr>
            <w:r w:rsidRPr="00EB07E5">
              <w:rPr>
                <w:rFonts w:hint="eastAsia"/>
                <w:kern w:val="22"/>
                <w:lang w:val="zh-CN" w:eastAsia="zh-CN"/>
              </w:rPr>
              <w:t>关于利用生物控制物对付外来入侵物种与国际自然保护联盟、其入侵物种专家组和相关国际组织合作的进度报告</w:t>
            </w:r>
          </w:p>
        </w:tc>
        <w:tc>
          <w:tcPr>
            <w:tcW w:w="506" w:type="pct"/>
          </w:tcPr>
          <w:p w:rsidR="00047BD6" w:rsidRPr="00EB07E5" w:rsidRDefault="00047BD6" w:rsidP="00377F11">
            <w:pPr>
              <w:kinsoku w:val="0"/>
              <w:overflowPunct w:val="0"/>
              <w:autoSpaceDE w:val="0"/>
              <w:autoSpaceDN w:val="0"/>
              <w:spacing w:before="60" w:after="60"/>
              <w:jc w:val="center"/>
              <w:rPr>
                <w:color w:val="000000"/>
                <w:kern w:val="22"/>
              </w:rPr>
            </w:pPr>
            <w:r w:rsidRPr="00EB07E5">
              <w:rPr>
                <w:color w:val="000000"/>
                <w:kern w:val="22"/>
              </w:rPr>
              <w:t>26</w:t>
            </w:r>
          </w:p>
        </w:tc>
      </w:tr>
    </w:tbl>
    <w:p w:rsidR="00047BD6" w:rsidRPr="00EB07E5" w:rsidRDefault="00047BD6" w:rsidP="00851002">
      <w:pPr>
        <w:pStyle w:val="ListParagraph"/>
        <w:ind w:left="0"/>
        <w:jc w:val="center"/>
        <w:rPr>
          <w:iCs/>
          <w:snapToGrid w:val="0"/>
          <w:kern w:val="22"/>
        </w:rPr>
      </w:pPr>
    </w:p>
    <w:p w:rsidR="00047BD6" w:rsidRPr="00EB07E5" w:rsidRDefault="00047BD6" w:rsidP="00851002">
      <w:pPr>
        <w:pStyle w:val="ListParagraph"/>
        <w:ind w:left="0"/>
        <w:jc w:val="center"/>
        <w:rPr>
          <w:iCs/>
          <w:snapToGrid w:val="0"/>
          <w:kern w:val="22"/>
        </w:rPr>
      </w:pPr>
      <w:r w:rsidRPr="00EB07E5">
        <w:rPr>
          <w:iCs/>
          <w:snapToGrid w:val="0"/>
          <w:kern w:val="22"/>
        </w:rPr>
        <w:t>__________</w:t>
      </w:r>
    </w:p>
    <w:p w:rsidR="00047BD6" w:rsidRPr="00EB07E5" w:rsidRDefault="00047BD6" w:rsidP="00851002">
      <w:pPr>
        <w:jc w:val="center"/>
        <w:rPr>
          <w:kern w:val="22"/>
          <w:lang w:eastAsia="zh-CN"/>
        </w:rPr>
      </w:pPr>
    </w:p>
    <w:sectPr w:rsidR="00047BD6" w:rsidRPr="00EB07E5" w:rsidSect="000149B3">
      <w:headerReference w:type="even" r:id="rId78"/>
      <w:headerReference w:type="default" r:id="rId79"/>
      <w:footerReference w:type="even" r:id="rId80"/>
      <w:footerReference w:type="default" r:id="rId81"/>
      <w:headerReference w:type="first" r:id="rId82"/>
      <w:footerReference w:type="first" r:id="rId83"/>
      <w:type w:val="continuous"/>
      <w:pgSz w:w="12242" w:h="15842" w:code="1"/>
      <w:pgMar w:top="1140" w:right="1140" w:bottom="1021" w:left="1140" w:header="403"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BD6" w:rsidRDefault="00047BD6">
      <w:r>
        <w:separator/>
      </w:r>
    </w:p>
  </w:endnote>
  <w:endnote w:type="continuationSeparator" w:id="0">
    <w:p w:rsidR="00047BD6" w:rsidRDefault="00047BD6">
      <w:r>
        <w:continuationSeparator/>
      </w:r>
    </w:p>
  </w:endnote>
  <w:endnote w:type="continuationNotice" w:id="1">
    <w:p w:rsidR="00047BD6" w:rsidRDefault="00047BD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G Times">
    <w:panose1 w:val="00000000000000000000"/>
    <w:charset w:val="00"/>
    <w:family w:val="roman"/>
    <w:notTrueType/>
    <w:pitch w:val="variable"/>
    <w:sig w:usb0="00000003" w:usb1="00000000" w:usb2="00000000" w:usb3="00000000" w:csb0="00000001" w:csb1="00000000"/>
  </w:font>
  <w:font w:name="Malgun Gothic">
    <w:altName w:val="Dotum"/>
    <w:panose1 w:val="00000000000000000000"/>
    <w:charset w:val="81"/>
    <w:family w:val="swiss"/>
    <w:notTrueType/>
    <w:pitch w:val="variable"/>
    <w:sig w:usb0="00000001" w:usb1="09060000" w:usb2="00000010" w:usb3="00000000" w:csb0="00080000"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Lucida Grande">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l?r ??乫c"/>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ngsana New">
    <w:panose1 w:val="02020603050405020304"/>
    <w:charset w:val="DE"/>
    <w:family w:val="roman"/>
    <w:notTrueType/>
    <w:pitch w:val="variable"/>
    <w:sig w:usb0="01000003" w:usb1="00000000" w:usb2="00000000" w:usb3="00000000" w:csb0="00010001" w:csb1="00000000"/>
  </w:font>
  <w:font w:name="SimSun">
    <w:altName w:val="SimSun"/>
    <w:panose1 w:val="00000000000000000000"/>
    <w:charset w:val="00"/>
    <w:family w:val="roman"/>
    <w:notTrueType/>
    <w:pitch w:val="default"/>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D6" w:rsidRDefault="00047BD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D6" w:rsidRDefault="00047BD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D6" w:rsidRDefault="00047B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BD6" w:rsidRDefault="00047BD6">
      <w:r>
        <w:separator/>
      </w:r>
    </w:p>
  </w:footnote>
  <w:footnote w:type="continuationSeparator" w:id="0">
    <w:p w:rsidR="00047BD6" w:rsidRDefault="00047BD6">
      <w:r>
        <w:continuationSeparator/>
      </w:r>
    </w:p>
  </w:footnote>
  <w:footnote w:type="continuationNotice" w:id="1">
    <w:p w:rsidR="00047BD6" w:rsidRDefault="00047BD6"/>
  </w:footnote>
  <w:footnote w:id="2">
    <w:p w:rsidR="00047BD6" w:rsidRDefault="00047BD6" w:rsidP="004A2543">
      <w:pPr>
        <w:pStyle w:val="FootnoteText"/>
        <w:keepLines w:val="0"/>
        <w:kinsoku w:val="0"/>
        <w:overflowPunct w:val="0"/>
        <w:autoSpaceDE w:val="0"/>
        <w:autoSpaceDN w:val="0"/>
        <w:ind w:firstLine="0"/>
      </w:pPr>
      <w:r w:rsidRPr="00671D4C">
        <w:rPr>
          <w:rStyle w:val="FootnoteReference"/>
          <w:kern w:val="18"/>
          <w:sz w:val="24"/>
          <w:u w:val="none"/>
          <w:vertAlign w:val="superscript"/>
        </w:rPr>
        <w:footnoteRef/>
      </w:r>
      <w:r>
        <w:rPr>
          <w:rFonts w:ascii="SimSun" w:hAnsi="SimSun" w:cs="SimSun"/>
          <w:kern w:val="18"/>
          <w:szCs w:val="18"/>
        </w:rPr>
        <w:t xml:space="preserve"> </w:t>
      </w:r>
      <w:r w:rsidRPr="00F91F92">
        <w:rPr>
          <w:rFonts w:ascii="宋体" w:eastAsia="宋体" w:hAnsi="宋体" w:cs="宋体" w:hint="eastAsia"/>
          <w:kern w:val="18"/>
          <w:sz w:val="20"/>
        </w:rPr>
        <w:t>参见</w:t>
      </w:r>
      <w:r w:rsidRPr="00F91F92">
        <w:rPr>
          <w:kern w:val="18"/>
          <w:sz w:val="20"/>
        </w:rPr>
        <w:t>CBD/COP/14/1/Add.2</w:t>
      </w:r>
      <w:r>
        <w:rPr>
          <w:rFonts w:hint="eastAsia"/>
          <w:kern w:val="18"/>
          <w:sz w:val="20"/>
        </w:rPr>
        <w:t>。</w:t>
      </w:r>
    </w:p>
  </w:footnote>
  <w:footnote w:id="3">
    <w:p w:rsidR="00047BD6" w:rsidRDefault="00047BD6" w:rsidP="003F6AE7">
      <w:pPr>
        <w:pStyle w:val="FootnoteText"/>
        <w:keepLines w:val="0"/>
        <w:kinsoku w:val="0"/>
        <w:overflowPunct w:val="0"/>
        <w:autoSpaceDE w:val="0"/>
        <w:autoSpaceDN w:val="0"/>
        <w:ind w:firstLine="0"/>
      </w:pPr>
      <w:r w:rsidRPr="003F6AE7">
        <w:rPr>
          <w:rStyle w:val="FootnoteReference"/>
          <w:sz w:val="24"/>
          <w:u w:val="none"/>
          <w:vertAlign w:val="superscript"/>
        </w:rPr>
        <w:footnoteRef/>
      </w:r>
      <w:r>
        <w:t xml:space="preserve"> </w:t>
      </w:r>
      <w:r>
        <w:rPr>
          <w:lang w:val="zh-CN"/>
        </w:rPr>
        <w:t>CBD/SBSTTA/21/8</w:t>
      </w:r>
      <w:r>
        <w:rPr>
          <w:rFonts w:ascii="宋体" w:hint="eastAsia"/>
          <w:lang w:val="zh-CN"/>
        </w:rPr>
        <w:t>。</w:t>
      </w:r>
    </w:p>
  </w:footnote>
  <w:footnote w:id="4">
    <w:p w:rsidR="00047BD6" w:rsidRDefault="00047BD6" w:rsidP="002C51E3">
      <w:pPr>
        <w:pStyle w:val="FootnoteText"/>
        <w:keepLines w:val="0"/>
        <w:kinsoku w:val="0"/>
        <w:overflowPunct w:val="0"/>
        <w:autoSpaceDE w:val="0"/>
        <w:autoSpaceDN w:val="0"/>
        <w:ind w:firstLine="0"/>
      </w:pPr>
      <w:r w:rsidRPr="004E2264">
        <w:rPr>
          <w:rStyle w:val="FootnoteReference"/>
          <w:kern w:val="18"/>
          <w:sz w:val="24"/>
          <w:u w:val="none"/>
          <w:vertAlign w:val="superscript"/>
        </w:rPr>
        <w:footnoteRef/>
      </w:r>
      <w:r>
        <w:rPr>
          <w:rFonts w:eastAsia="Times New Roman"/>
          <w:kern w:val="18"/>
          <w:szCs w:val="18"/>
        </w:rPr>
        <w:t xml:space="preserve"> </w:t>
      </w:r>
      <w:r w:rsidRPr="00F91F92">
        <w:rPr>
          <w:rFonts w:ascii="宋体" w:eastAsia="宋体" w:hAnsi="宋体" w:cs="宋体" w:hint="eastAsia"/>
          <w:kern w:val="18"/>
          <w:sz w:val="20"/>
        </w:rPr>
        <w:t>参见</w:t>
      </w:r>
      <w:hyperlink r:id="rId1" w:history="1">
        <w:r w:rsidRPr="00F91F92">
          <w:rPr>
            <w:rStyle w:val="Hyperlink"/>
            <w:rFonts w:ascii="宋体" w:hAnsi="宋体" w:cs="宋体" w:hint="eastAsia"/>
            <w:kern w:val="18"/>
            <w:sz w:val="20"/>
          </w:rPr>
          <w:t>第</w:t>
        </w:r>
        <w:r w:rsidRPr="00F91F92">
          <w:rPr>
            <w:rStyle w:val="Hyperlink"/>
            <w:rFonts w:eastAsia="Times New Roman"/>
            <w:kern w:val="18"/>
            <w:sz w:val="20"/>
          </w:rPr>
          <w:t>XII/31</w:t>
        </w:r>
        <w:r w:rsidRPr="00F91F92">
          <w:rPr>
            <w:rStyle w:val="Hyperlink"/>
            <w:rFonts w:ascii="宋体" w:eastAsia="宋体" w:hAnsi="宋体" w:cs="宋体" w:hint="eastAsia"/>
            <w:kern w:val="18"/>
            <w:sz w:val="20"/>
          </w:rPr>
          <w:t>号决</w:t>
        </w:r>
        <w:r w:rsidRPr="00F91F92">
          <w:rPr>
            <w:rStyle w:val="Hyperlink"/>
            <w:rFonts w:ascii="宋体" w:hAnsi="宋体" w:cs="宋体" w:hint="eastAsia"/>
            <w:kern w:val="18"/>
            <w:sz w:val="20"/>
          </w:rPr>
          <w:t>定</w:t>
        </w:r>
      </w:hyperlink>
      <w:r w:rsidRPr="00F91F92">
        <w:rPr>
          <w:rFonts w:ascii="宋体" w:hAnsi="宋体" w:cs="宋体" w:hint="eastAsia"/>
          <w:kern w:val="18"/>
          <w:sz w:val="20"/>
        </w:rPr>
        <w:t>。</w:t>
      </w:r>
    </w:p>
  </w:footnote>
  <w:footnote w:id="5">
    <w:p w:rsidR="00047BD6" w:rsidRDefault="00047BD6" w:rsidP="000F736E">
      <w:pPr>
        <w:pStyle w:val="FootnoteText"/>
        <w:keepLines w:val="0"/>
        <w:kinsoku w:val="0"/>
        <w:overflowPunct w:val="0"/>
        <w:autoSpaceDE w:val="0"/>
        <w:autoSpaceDN w:val="0"/>
        <w:ind w:firstLine="0"/>
      </w:pPr>
      <w:r w:rsidRPr="00E934D0">
        <w:rPr>
          <w:rStyle w:val="FootnoteReference"/>
          <w:kern w:val="18"/>
          <w:sz w:val="24"/>
          <w:u w:val="none"/>
          <w:vertAlign w:val="superscript"/>
        </w:rPr>
        <w:footnoteRef/>
      </w:r>
      <w:r w:rsidRPr="00F91F92">
        <w:rPr>
          <w:rFonts w:eastAsia="Times New Roman"/>
          <w:kern w:val="18"/>
          <w:sz w:val="20"/>
        </w:rPr>
        <w:t xml:space="preserve"> </w:t>
      </w:r>
      <w:r w:rsidRPr="00F91F92">
        <w:rPr>
          <w:rFonts w:ascii="宋体" w:eastAsia="宋体" w:hAnsi="宋体" w:cs="宋体" w:hint="eastAsia"/>
          <w:kern w:val="18"/>
          <w:sz w:val="20"/>
        </w:rPr>
        <w:t>参见</w:t>
      </w:r>
      <w:hyperlink r:id="rId2" w:history="1">
        <w:r w:rsidRPr="00F91F92">
          <w:rPr>
            <w:rStyle w:val="Hyperlink"/>
            <w:rFonts w:ascii="宋体" w:hAnsi="宋体" w:cs="宋体" w:hint="eastAsia"/>
            <w:kern w:val="18"/>
            <w:sz w:val="20"/>
          </w:rPr>
          <w:t>第</w:t>
        </w:r>
        <w:r w:rsidRPr="00F91F92">
          <w:rPr>
            <w:rStyle w:val="Hyperlink"/>
            <w:rFonts w:eastAsia="Times New Roman"/>
            <w:kern w:val="18"/>
            <w:sz w:val="20"/>
          </w:rPr>
          <w:t>XII/27</w:t>
        </w:r>
        <w:r w:rsidRPr="00F91F92">
          <w:rPr>
            <w:rStyle w:val="Hyperlink"/>
            <w:rFonts w:ascii="宋体" w:eastAsia="宋体" w:hAnsi="宋体" w:cs="宋体" w:hint="eastAsia"/>
            <w:kern w:val="18"/>
            <w:sz w:val="20"/>
          </w:rPr>
          <w:t>号决</w:t>
        </w:r>
        <w:r w:rsidRPr="00F91F92">
          <w:rPr>
            <w:rStyle w:val="Hyperlink"/>
            <w:rFonts w:ascii="宋体" w:hAnsi="宋体" w:cs="宋体" w:hint="eastAsia"/>
            <w:kern w:val="18"/>
            <w:sz w:val="20"/>
          </w:rPr>
          <w:t>定</w:t>
        </w:r>
      </w:hyperlink>
      <w:r w:rsidRPr="00F91F92">
        <w:rPr>
          <w:rFonts w:ascii="宋体" w:hAnsi="宋体" w:cs="宋体" w:hint="eastAsia"/>
          <w:kern w:val="18"/>
          <w:sz w:val="20"/>
        </w:rPr>
        <w:t>。</w:t>
      </w:r>
    </w:p>
  </w:footnote>
  <w:footnote w:id="6">
    <w:p w:rsidR="00047BD6" w:rsidRDefault="00047BD6" w:rsidP="000A75FA">
      <w:pPr>
        <w:pStyle w:val="FootnoteText"/>
        <w:keepLines w:val="0"/>
        <w:kinsoku w:val="0"/>
        <w:overflowPunct w:val="0"/>
        <w:autoSpaceDE w:val="0"/>
        <w:autoSpaceDN w:val="0"/>
        <w:ind w:firstLine="0"/>
      </w:pPr>
      <w:r w:rsidRPr="00E934D0">
        <w:rPr>
          <w:rStyle w:val="FootnoteReference"/>
          <w:kern w:val="18"/>
          <w:sz w:val="24"/>
          <w:u w:val="none"/>
          <w:vertAlign w:val="superscript"/>
        </w:rPr>
        <w:footnoteRef/>
      </w:r>
      <w:r w:rsidRPr="00F91F92">
        <w:rPr>
          <w:rFonts w:eastAsia="Times New Roman"/>
          <w:sz w:val="20"/>
        </w:rPr>
        <w:t xml:space="preserve"> </w:t>
      </w:r>
      <w:r w:rsidRPr="00F91F92">
        <w:rPr>
          <w:rFonts w:ascii="宋体" w:eastAsia="宋体" w:hAnsi="宋体" w:cs="宋体" w:hint="eastAsia"/>
          <w:sz w:val="20"/>
        </w:rPr>
        <w:t>参见</w:t>
      </w:r>
      <w:hyperlink r:id="rId3" w:history="1">
        <w:r w:rsidRPr="00F91F92">
          <w:rPr>
            <w:rStyle w:val="Hyperlink"/>
            <w:rFonts w:ascii="宋体" w:hAnsi="宋体" w:cs="宋体" w:hint="eastAsia"/>
            <w:sz w:val="20"/>
          </w:rPr>
          <w:t>第</w:t>
        </w:r>
        <w:r w:rsidRPr="00F91F92">
          <w:rPr>
            <w:rStyle w:val="Hyperlink"/>
            <w:rFonts w:eastAsia="Times New Roman"/>
            <w:sz w:val="20"/>
          </w:rPr>
          <w:t>X/2</w:t>
        </w:r>
        <w:r w:rsidRPr="00F91F92">
          <w:rPr>
            <w:rStyle w:val="Hyperlink"/>
            <w:rFonts w:ascii="宋体" w:eastAsia="宋体" w:hAnsi="宋体" w:cs="宋体" w:hint="eastAsia"/>
            <w:sz w:val="20"/>
          </w:rPr>
          <w:t>号决</w:t>
        </w:r>
        <w:r w:rsidRPr="00F91F92">
          <w:rPr>
            <w:rStyle w:val="Hyperlink"/>
            <w:rFonts w:ascii="宋体" w:hAnsi="宋体" w:cs="宋体" w:hint="eastAsia"/>
            <w:sz w:val="20"/>
          </w:rPr>
          <w:t>定</w:t>
        </w:r>
      </w:hyperlink>
      <w:r w:rsidRPr="00F91F92">
        <w:rPr>
          <w:rFonts w:ascii="宋体" w:hAnsi="宋体" w:cs="宋体" w:hint="eastAsia"/>
          <w:sz w:val="20"/>
        </w:rPr>
        <w:t>。</w:t>
      </w:r>
    </w:p>
  </w:footnote>
  <w:footnote w:id="7">
    <w:p w:rsidR="00047BD6" w:rsidRDefault="00047BD6" w:rsidP="00ED4829">
      <w:pPr>
        <w:pStyle w:val="FootnoteText"/>
        <w:keepLines w:val="0"/>
        <w:kinsoku w:val="0"/>
        <w:overflowPunct w:val="0"/>
        <w:autoSpaceDE w:val="0"/>
        <w:autoSpaceDN w:val="0"/>
        <w:ind w:firstLine="0"/>
      </w:pPr>
      <w:r w:rsidRPr="00E934D0">
        <w:rPr>
          <w:rStyle w:val="FootnoteReference"/>
          <w:kern w:val="18"/>
          <w:sz w:val="24"/>
          <w:u w:val="none"/>
          <w:vertAlign w:val="superscript"/>
        </w:rPr>
        <w:footnoteRef/>
      </w:r>
      <w:r w:rsidRPr="00F91F92">
        <w:rPr>
          <w:rFonts w:eastAsia="Times New Roman"/>
          <w:kern w:val="18"/>
          <w:sz w:val="20"/>
        </w:rPr>
        <w:t xml:space="preserve"> </w:t>
      </w:r>
      <w:r w:rsidRPr="00F91F92">
        <w:rPr>
          <w:rFonts w:ascii="宋体" w:eastAsia="宋体" w:hAnsi="宋体" w:cs="宋体" w:hint="eastAsia"/>
          <w:kern w:val="18"/>
          <w:sz w:val="20"/>
        </w:rPr>
        <w:t>参见</w:t>
      </w:r>
      <w:r w:rsidRPr="00F91F92">
        <w:rPr>
          <w:rFonts w:ascii="宋体" w:hAnsi="宋体" w:cs="宋体" w:hint="eastAsia"/>
          <w:kern w:val="18"/>
          <w:sz w:val="20"/>
        </w:rPr>
        <w:t>第</w:t>
      </w:r>
      <w:r w:rsidRPr="00F91F92">
        <w:rPr>
          <w:kern w:val="18"/>
          <w:sz w:val="20"/>
        </w:rPr>
        <w:t>BS-V/16</w:t>
      </w:r>
      <w:r w:rsidRPr="00F91F92">
        <w:rPr>
          <w:rFonts w:ascii="宋体" w:eastAsia="宋体" w:hAnsi="宋体" w:cs="宋体" w:hint="eastAsia"/>
          <w:kern w:val="18"/>
          <w:sz w:val="20"/>
        </w:rPr>
        <w:t>号决</w:t>
      </w:r>
      <w:r w:rsidRPr="00F91F92">
        <w:rPr>
          <w:rFonts w:ascii="宋体" w:hAnsi="宋体" w:cs="宋体" w:hint="eastAsia"/>
          <w:kern w:val="18"/>
          <w:sz w:val="20"/>
        </w:rPr>
        <w:t>定。</w:t>
      </w:r>
    </w:p>
  </w:footnote>
  <w:footnote w:id="8">
    <w:p w:rsidR="00047BD6" w:rsidRDefault="00047BD6" w:rsidP="0061681C">
      <w:pPr>
        <w:pStyle w:val="FootnoteText"/>
        <w:keepLines w:val="0"/>
        <w:kinsoku w:val="0"/>
        <w:overflowPunct w:val="0"/>
        <w:autoSpaceDE w:val="0"/>
        <w:autoSpaceDN w:val="0"/>
        <w:ind w:firstLine="0"/>
      </w:pPr>
      <w:r w:rsidRPr="00F91F92">
        <w:rPr>
          <w:rStyle w:val="FootnoteReference"/>
          <w:rFonts w:eastAsia="Times New Roman"/>
          <w:kern w:val="18"/>
          <w:sz w:val="20"/>
          <w:u w:val="none"/>
        </w:rPr>
        <w:footnoteRef/>
      </w:r>
      <w:r w:rsidRPr="00F91F92">
        <w:rPr>
          <w:kern w:val="18"/>
          <w:sz w:val="20"/>
        </w:rPr>
        <w:t xml:space="preserve"> </w:t>
      </w:r>
      <w:hyperlink r:id="rId4" w:history="1">
        <w:r w:rsidRPr="00F91F92">
          <w:rPr>
            <w:rStyle w:val="Hyperlink"/>
            <w:kern w:val="18"/>
            <w:sz w:val="20"/>
          </w:rPr>
          <w:t>CBD/SBSTTA/21/2</w:t>
        </w:r>
      </w:hyperlink>
      <w:r w:rsidRPr="00F91F92">
        <w:rPr>
          <w:iCs/>
          <w:kern w:val="18"/>
          <w:sz w:val="20"/>
        </w:rPr>
        <w:t xml:space="preserve"> </w:t>
      </w:r>
      <w:r w:rsidRPr="00F91F92">
        <w:rPr>
          <w:rFonts w:ascii="宋体" w:hAnsi="宋体" w:cs="宋体" w:hint="eastAsia"/>
          <w:iCs/>
          <w:kern w:val="18"/>
          <w:sz w:val="20"/>
        </w:rPr>
        <w:t>和</w:t>
      </w:r>
      <w:r w:rsidRPr="00F91F92">
        <w:rPr>
          <w:iCs/>
          <w:kern w:val="18"/>
          <w:sz w:val="20"/>
        </w:rPr>
        <w:t xml:space="preserve"> </w:t>
      </w:r>
      <w:hyperlink r:id="rId5" w:history="1">
        <w:r w:rsidRPr="00F91F92">
          <w:rPr>
            <w:rStyle w:val="Hyperlink"/>
            <w:kern w:val="18"/>
            <w:sz w:val="20"/>
          </w:rPr>
          <w:t>Add.1</w:t>
        </w:r>
      </w:hyperlink>
      <w:r w:rsidRPr="00F91F92">
        <w:rPr>
          <w:rFonts w:ascii="宋体" w:hAnsi="宋体" w:cs="宋体" w:hint="eastAsia"/>
          <w:sz w:val="20"/>
        </w:rPr>
        <w:t>。</w:t>
      </w:r>
    </w:p>
  </w:footnote>
  <w:footnote w:id="9">
    <w:p w:rsidR="00047BD6" w:rsidRDefault="00047BD6" w:rsidP="00C74244">
      <w:pPr>
        <w:pStyle w:val="FootnoteText"/>
        <w:keepLines w:val="0"/>
        <w:kinsoku w:val="0"/>
        <w:overflowPunct w:val="0"/>
        <w:autoSpaceDE w:val="0"/>
        <w:autoSpaceDN w:val="0"/>
        <w:ind w:firstLine="0"/>
      </w:pPr>
      <w:r w:rsidRPr="00622B58">
        <w:rPr>
          <w:rStyle w:val="FootnoteReference"/>
          <w:kern w:val="18"/>
          <w:sz w:val="24"/>
          <w:u w:val="none"/>
          <w:vertAlign w:val="superscript"/>
        </w:rPr>
        <w:footnoteRef/>
      </w:r>
      <w:r w:rsidRPr="00622B58">
        <w:rPr>
          <w:kern w:val="18"/>
        </w:rPr>
        <w:t xml:space="preserve"> </w:t>
      </w:r>
      <w:r>
        <w:rPr>
          <w:rFonts w:ascii="宋体" w:eastAsia="宋体" w:hAnsi="宋体" w:cs="宋体" w:hint="eastAsia"/>
          <w:kern w:val="18"/>
          <w:sz w:val="20"/>
          <w:lang w:val="zh-CN"/>
        </w:rPr>
        <w:t>参见</w:t>
      </w:r>
      <w:hyperlink r:id="rId6" w:history="1">
        <w:r>
          <w:rPr>
            <w:rStyle w:val="Hyperlink"/>
            <w:rFonts w:ascii="宋体" w:hint="eastAsia"/>
            <w:kern w:val="18"/>
            <w:sz w:val="20"/>
            <w:lang w:val="zh-CN"/>
          </w:rPr>
          <w:t>第</w:t>
        </w:r>
        <w:r>
          <w:rPr>
            <w:rStyle w:val="Hyperlink"/>
            <w:kern w:val="18"/>
            <w:sz w:val="20"/>
            <w:lang w:val="zh-CN"/>
          </w:rPr>
          <w:t>XXI/5</w:t>
        </w:r>
        <w:r>
          <w:rPr>
            <w:rStyle w:val="Hyperlink"/>
            <w:rFonts w:ascii="宋体" w:eastAsia="宋体" w:hAnsi="宋体" w:cs="宋体" w:hint="eastAsia"/>
            <w:kern w:val="18"/>
            <w:sz w:val="20"/>
            <w:lang w:val="zh-CN"/>
          </w:rPr>
          <w:t>号</w:t>
        </w:r>
        <w:r>
          <w:rPr>
            <w:rStyle w:val="Hyperlink"/>
            <w:rFonts w:ascii="宋体" w:hint="eastAsia"/>
            <w:kern w:val="18"/>
            <w:sz w:val="20"/>
            <w:lang w:val="zh-CN"/>
          </w:rPr>
          <w:t>建</w:t>
        </w:r>
        <w:r>
          <w:rPr>
            <w:rStyle w:val="Hyperlink"/>
            <w:rFonts w:ascii="宋体" w:eastAsia="宋体" w:hAnsi="宋体" w:cs="宋体" w:hint="eastAsia"/>
            <w:kern w:val="18"/>
            <w:sz w:val="20"/>
            <w:lang w:val="zh-CN"/>
          </w:rPr>
          <w:t>议</w:t>
        </w:r>
      </w:hyperlink>
      <w:r>
        <w:rPr>
          <w:rFonts w:ascii="宋体" w:hint="eastAsia"/>
          <w:kern w:val="18"/>
          <w:sz w:val="20"/>
          <w:lang w:val="zh-CN"/>
        </w:rPr>
        <w:t>。</w:t>
      </w:r>
    </w:p>
  </w:footnote>
  <w:footnote w:id="10">
    <w:p w:rsidR="00047BD6" w:rsidRDefault="00047BD6" w:rsidP="00503B04">
      <w:pPr>
        <w:pStyle w:val="FootnoteText"/>
        <w:keepLines w:val="0"/>
        <w:kinsoku w:val="0"/>
        <w:overflowPunct w:val="0"/>
        <w:autoSpaceDE w:val="0"/>
        <w:autoSpaceDN w:val="0"/>
        <w:ind w:firstLine="0"/>
      </w:pPr>
      <w:r w:rsidRPr="00622B58">
        <w:rPr>
          <w:rStyle w:val="FootnoteReference"/>
          <w:sz w:val="24"/>
          <w:u w:val="none"/>
          <w:vertAlign w:val="superscript"/>
        </w:rPr>
        <w:footnoteRef/>
      </w:r>
      <w:r>
        <w:t xml:space="preserve"> </w:t>
      </w:r>
      <w:r>
        <w:rPr>
          <w:rFonts w:ascii="宋体" w:eastAsia="宋体" w:hAnsi="宋体" w:cs="宋体" w:hint="eastAsia"/>
        </w:rPr>
        <w:t>参见</w:t>
      </w:r>
      <w:r>
        <w:rPr>
          <w:rFonts w:hint="eastAsia"/>
        </w:rPr>
        <w:t>第</w:t>
      </w:r>
      <w:hyperlink r:id="rId7" w:history="1">
        <w:r w:rsidRPr="00EC6497">
          <w:rPr>
            <w:rStyle w:val="Hyperlink"/>
            <w:kern w:val="18"/>
          </w:rPr>
          <w:t>XIII/16</w:t>
        </w:r>
      </w:hyperlink>
      <w:r>
        <w:rPr>
          <w:rFonts w:ascii="宋体" w:eastAsia="宋体" w:hAnsi="宋体" w:cs="宋体" w:hint="eastAsia"/>
        </w:rPr>
        <w:t>号决</w:t>
      </w:r>
      <w:r>
        <w:rPr>
          <w:rFonts w:hint="eastAsia"/>
        </w:rPr>
        <w:t>定和第</w:t>
      </w:r>
      <w:hyperlink r:id="rId8" w:history="1">
        <w:r w:rsidRPr="00EC6497">
          <w:rPr>
            <w:rStyle w:val="Hyperlink"/>
            <w:kern w:val="18"/>
          </w:rPr>
          <w:t>NP-2/14</w:t>
        </w:r>
      </w:hyperlink>
      <w:r>
        <w:rPr>
          <w:rFonts w:ascii="宋体" w:eastAsia="宋体" w:hAnsi="宋体" w:cs="宋体" w:hint="eastAsia"/>
        </w:rPr>
        <w:t>号决</w:t>
      </w:r>
      <w:r>
        <w:rPr>
          <w:rFonts w:hint="eastAsia"/>
        </w:rPr>
        <w:t>定。</w:t>
      </w:r>
    </w:p>
  </w:footnote>
  <w:footnote w:id="11">
    <w:p w:rsidR="00047BD6" w:rsidRDefault="00047BD6" w:rsidP="00E37736">
      <w:pPr>
        <w:pStyle w:val="FootnoteText"/>
        <w:keepLines w:val="0"/>
        <w:kinsoku w:val="0"/>
        <w:overflowPunct w:val="0"/>
        <w:autoSpaceDE w:val="0"/>
        <w:autoSpaceDN w:val="0"/>
        <w:ind w:firstLine="0"/>
      </w:pPr>
      <w:r w:rsidRPr="00622B58">
        <w:rPr>
          <w:rStyle w:val="FootnoteReference"/>
          <w:sz w:val="24"/>
          <w:u w:val="none"/>
          <w:vertAlign w:val="superscript"/>
        </w:rPr>
        <w:footnoteRef/>
      </w:r>
      <w:r>
        <w:t xml:space="preserve"> </w:t>
      </w:r>
      <w:r>
        <w:rPr>
          <w:rFonts w:ascii="宋体" w:eastAsia="宋体" w:hAnsi="宋体" w:cs="宋体" w:hint="eastAsia"/>
        </w:rPr>
        <w:t>参见</w:t>
      </w:r>
      <w:r>
        <w:rPr>
          <w:rFonts w:hint="eastAsia"/>
        </w:rPr>
        <w:t>工作</w:t>
      </w:r>
      <w:r>
        <w:rPr>
          <w:rFonts w:ascii="宋体" w:eastAsia="宋体" w:hAnsi="宋体" w:cs="宋体" w:hint="eastAsia"/>
        </w:rPr>
        <w:t>组</w:t>
      </w:r>
      <w:hyperlink r:id="rId9" w:history="1">
        <w:r w:rsidRPr="007C11DC">
          <w:rPr>
            <w:rStyle w:val="Hyperlink"/>
            <w:rFonts w:hint="eastAsia"/>
          </w:rPr>
          <w:t>第</w:t>
        </w:r>
        <w:r w:rsidRPr="007C11DC">
          <w:rPr>
            <w:rStyle w:val="Hyperlink"/>
          </w:rPr>
          <w:t>10/1</w:t>
        </w:r>
        <w:r w:rsidRPr="007C11DC">
          <w:rPr>
            <w:rStyle w:val="Hyperlink"/>
            <w:rFonts w:ascii="宋体" w:eastAsia="宋体" w:hAnsi="宋体" w:cs="宋体" w:hint="eastAsia"/>
          </w:rPr>
          <w:t>号</w:t>
        </w:r>
        <w:r w:rsidRPr="007C11DC">
          <w:rPr>
            <w:rStyle w:val="Hyperlink"/>
            <w:rFonts w:hint="eastAsia"/>
          </w:rPr>
          <w:t>建</w:t>
        </w:r>
        <w:r w:rsidRPr="007C11DC">
          <w:rPr>
            <w:rStyle w:val="Hyperlink"/>
            <w:rFonts w:ascii="宋体" w:eastAsia="宋体" w:hAnsi="宋体" w:cs="宋体" w:hint="eastAsia"/>
          </w:rPr>
          <w:t>议</w:t>
        </w:r>
      </w:hyperlink>
      <w:r>
        <w:rPr>
          <w:rFonts w:hint="eastAsia"/>
        </w:rPr>
        <w:t>。</w:t>
      </w:r>
    </w:p>
  </w:footnote>
  <w:footnote w:id="12">
    <w:p w:rsidR="00047BD6" w:rsidRDefault="00047BD6" w:rsidP="006466F9">
      <w:pPr>
        <w:pStyle w:val="FootnoteText"/>
        <w:keepLines w:val="0"/>
        <w:kinsoku w:val="0"/>
        <w:overflowPunct w:val="0"/>
        <w:autoSpaceDE w:val="0"/>
        <w:autoSpaceDN w:val="0"/>
        <w:ind w:firstLine="0"/>
      </w:pPr>
      <w:r w:rsidRPr="00970106">
        <w:rPr>
          <w:rStyle w:val="FootnoteReference"/>
          <w:kern w:val="18"/>
          <w:sz w:val="24"/>
          <w:u w:val="none"/>
          <w:vertAlign w:val="superscript"/>
        </w:rPr>
        <w:footnoteRef/>
      </w:r>
      <w:r w:rsidRPr="00F91F92">
        <w:rPr>
          <w:rFonts w:eastAsia="Times New Roman"/>
          <w:kern w:val="18"/>
          <w:sz w:val="20"/>
        </w:rPr>
        <w:t xml:space="preserve"> </w:t>
      </w:r>
      <w:r w:rsidRPr="00F91F92">
        <w:rPr>
          <w:rFonts w:ascii="宋体" w:eastAsia="宋体" w:hAnsi="宋体" w:cs="宋体" w:hint="eastAsia"/>
          <w:kern w:val="18"/>
          <w:sz w:val="20"/>
        </w:rPr>
        <w:t>参见</w:t>
      </w:r>
      <w:hyperlink r:id="rId10" w:history="1">
        <w:r w:rsidRPr="00F91F92">
          <w:rPr>
            <w:rStyle w:val="Hyperlink"/>
            <w:rFonts w:ascii="宋体" w:hAnsi="宋体" w:cs="宋体" w:hint="eastAsia"/>
            <w:kern w:val="18"/>
            <w:sz w:val="20"/>
          </w:rPr>
          <w:t>第</w:t>
        </w:r>
        <w:r w:rsidRPr="00F91F92">
          <w:rPr>
            <w:rStyle w:val="Hyperlink"/>
            <w:rFonts w:eastAsia="Times New Roman"/>
            <w:kern w:val="18"/>
            <w:sz w:val="20"/>
          </w:rPr>
          <w:t>XIII/3</w:t>
        </w:r>
        <w:r w:rsidRPr="00F91F92">
          <w:rPr>
            <w:rStyle w:val="Hyperlink"/>
            <w:rFonts w:ascii="宋体" w:eastAsia="宋体" w:hAnsi="宋体" w:cs="宋体" w:hint="eastAsia"/>
            <w:kern w:val="18"/>
            <w:sz w:val="20"/>
          </w:rPr>
          <w:t>号决</w:t>
        </w:r>
        <w:r w:rsidRPr="00F91F92">
          <w:rPr>
            <w:rStyle w:val="Hyperlink"/>
            <w:rFonts w:ascii="宋体" w:hAnsi="宋体" w:cs="宋体" w:hint="eastAsia"/>
            <w:kern w:val="18"/>
            <w:sz w:val="20"/>
          </w:rPr>
          <w:t>定</w:t>
        </w:r>
      </w:hyperlink>
      <w:r w:rsidRPr="00F91F92">
        <w:rPr>
          <w:rFonts w:ascii="宋体" w:hAnsi="宋体" w:cs="宋体" w:hint="eastAsia"/>
          <w:kern w:val="18"/>
          <w:sz w:val="20"/>
        </w:rPr>
        <w:t>。</w:t>
      </w:r>
    </w:p>
  </w:footnote>
  <w:footnote w:id="13">
    <w:p w:rsidR="00047BD6" w:rsidRDefault="00047BD6" w:rsidP="00851002">
      <w:pPr>
        <w:pStyle w:val="FootnoteText"/>
        <w:keepLines w:val="0"/>
        <w:kinsoku w:val="0"/>
        <w:overflowPunct w:val="0"/>
        <w:autoSpaceDE w:val="0"/>
        <w:autoSpaceDN w:val="0"/>
        <w:ind w:firstLine="0"/>
      </w:pPr>
      <w:r w:rsidRPr="00970106">
        <w:rPr>
          <w:rStyle w:val="FootnoteReference"/>
          <w:kern w:val="18"/>
          <w:sz w:val="24"/>
          <w:u w:val="none"/>
          <w:vertAlign w:val="superscript"/>
        </w:rPr>
        <w:footnoteRef/>
      </w:r>
      <w:r>
        <w:rPr>
          <w:kern w:val="18"/>
        </w:rPr>
        <w:t xml:space="preserve"> </w:t>
      </w:r>
      <w:r>
        <w:rPr>
          <w:rFonts w:ascii="宋体" w:eastAsia="宋体" w:hAnsi="宋体" w:cs="宋体" w:hint="eastAsia"/>
          <w:kern w:val="18"/>
          <w:sz w:val="20"/>
          <w:lang w:val="zh-CN"/>
        </w:rPr>
        <w:t>参见</w:t>
      </w:r>
      <w:hyperlink r:id="rId11" w:history="1">
        <w:r>
          <w:rPr>
            <w:rStyle w:val="Hyperlink"/>
            <w:rFonts w:ascii="宋体" w:hint="eastAsia"/>
            <w:kern w:val="18"/>
            <w:sz w:val="20"/>
            <w:lang w:val="zh-CN"/>
          </w:rPr>
          <w:t>第</w:t>
        </w:r>
        <w:r>
          <w:rPr>
            <w:rStyle w:val="Hyperlink"/>
            <w:kern w:val="18"/>
            <w:sz w:val="20"/>
            <w:lang w:val="zh-CN"/>
          </w:rPr>
          <w:t>XII/21</w:t>
        </w:r>
        <w:r>
          <w:rPr>
            <w:rStyle w:val="Hyperlink"/>
            <w:rFonts w:ascii="宋体" w:eastAsia="宋体" w:hAnsi="宋体" w:cs="宋体" w:hint="eastAsia"/>
            <w:kern w:val="18"/>
            <w:sz w:val="20"/>
            <w:lang w:val="zh-CN"/>
          </w:rPr>
          <w:t>号</w:t>
        </w:r>
      </w:hyperlink>
      <w:r>
        <w:rPr>
          <w:rFonts w:ascii="宋体" w:hint="eastAsia"/>
          <w:kern w:val="18"/>
          <w:sz w:val="20"/>
          <w:lang w:val="zh-CN"/>
        </w:rPr>
        <w:t>和</w:t>
      </w:r>
      <w:hyperlink r:id="rId12" w:history="1">
        <w:r>
          <w:rPr>
            <w:rStyle w:val="Hyperlink"/>
            <w:rFonts w:ascii="宋体" w:hint="eastAsia"/>
            <w:kern w:val="18"/>
            <w:sz w:val="20"/>
            <w:lang w:val="zh-CN"/>
          </w:rPr>
          <w:t>第</w:t>
        </w:r>
        <w:r>
          <w:rPr>
            <w:rStyle w:val="Hyperlink"/>
            <w:kern w:val="18"/>
            <w:sz w:val="20"/>
            <w:lang w:val="zh-CN"/>
          </w:rPr>
          <w:t>XIII/6</w:t>
        </w:r>
        <w:r>
          <w:rPr>
            <w:rStyle w:val="Hyperlink"/>
            <w:rFonts w:ascii="宋体" w:eastAsia="宋体" w:hAnsi="宋体" w:cs="宋体" w:hint="eastAsia"/>
            <w:kern w:val="18"/>
            <w:sz w:val="20"/>
            <w:lang w:val="zh-CN"/>
          </w:rPr>
          <w:t>号决</w:t>
        </w:r>
        <w:r>
          <w:rPr>
            <w:rStyle w:val="Hyperlink"/>
            <w:rFonts w:ascii="宋体" w:hint="eastAsia"/>
            <w:kern w:val="18"/>
            <w:sz w:val="20"/>
            <w:lang w:val="zh-CN"/>
          </w:rPr>
          <w:t>定</w:t>
        </w:r>
      </w:hyperlink>
      <w:r>
        <w:rPr>
          <w:rFonts w:ascii="宋体" w:hint="eastAsia"/>
          <w:kern w:val="18"/>
          <w:sz w:val="20"/>
          <w:lang w:val="zh-CN"/>
        </w:rPr>
        <w:t>。</w:t>
      </w:r>
    </w:p>
  </w:footnote>
  <w:footnote w:id="14">
    <w:p w:rsidR="00047BD6" w:rsidRDefault="00047BD6" w:rsidP="00D31EF1">
      <w:pPr>
        <w:pStyle w:val="FootnoteText"/>
        <w:keepLines w:val="0"/>
        <w:kinsoku w:val="0"/>
        <w:overflowPunct w:val="0"/>
        <w:autoSpaceDE w:val="0"/>
        <w:autoSpaceDN w:val="0"/>
        <w:ind w:firstLine="0"/>
      </w:pPr>
      <w:r w:rsidRPr="00424904">
        <w:rPr>
          <w:rStyle w:val="FootnoteReference"/>
          <w:kern w:val="18"/>
          <w:sz w:val="24"/>
          <w:u w:val="none"/>
          <w:vertAlign w:val="superscript"/>
        </w:rPr>
        <w:footnoteRef/>
      </w:r>
      <w:r w:rsidRPr="00F91F92">
        <w:rPr>
          <w:rFonts w:eastAsia="Times New Roman"/>
          <w:kern w:val="18"/>
          <w:sz w:val="20"/>
        </w:rPr>
        <w:t xml:space="preserve"> </w:t>
      </w:r>
      <w:r w:rsidRPr="00F91F92">
        <w:rPr>
          <w:rFonts w:ascii="宋体" w:eastAsia="宋体" w:hAnsi="宋体" w:cs="宋体" w:hint="eastAsia"/>
          <w:kern w:val="18"/>
          <w:sz w:val="20"/>
        </w:rPr>
        <w:t>参见</w:t>
      </w:r>
      <w:hyperlink r:id="rId13" w:history="1">
        <w:r w:rsidRPr="00F91F92">
          <w:rPr>
            <w:rStyle w:val="Hyperlink"/>
            <w:rFonts w:ascii="宋体" w:hAnsi="宋体" w:cs="宋体" w:hint="eastAsia"/>
            <w:kern w:val="18"/>
            <w:sz w:val="20"/>
          </w:rPr>
          <w:t>第</w:t>
        </w:r>
        <w:r w:rsidRPr="00F91F92">
          <w:rPr>
            <w:rStyle w:val="Hyperlink"/>
            <w:rFonts w:eastAsia="Times New Roman"/>
            <w:kern w:val="18"/>
            <w:sz w:val="20"/>
          </w:rPr>
          <w:t>XII/16</w:t>
        </w:r>
        <w:r w:rsidRPr="00F91F92">
          <w:rPr>
            <w:rStyle w:val="Hyperlink"/>
            <w:rFonts w:ascii="宋体" w:eastAsia="宋体" w:hAnsi="宋体" w:cs="宋体" w:hint="eastAsia"/>
            <w:kern w:val="18"/>
            <w:sz w:val="20"/>
          </w:rPr>
          <w:t>号决</w:t>
        </w:r>
        <w:r w:rsidRPr="00F91F92">
          <w:rPr>
            <w:rStyle w:val="Hyperlink"/>
            <w:rFonts w:ascii="宋体" w:hAnsi="宋体" w:cs="宋体" w:hint="eastAsia"/>
            <w:kern w:val="18"/>
            <w:sz w:val="20"/>
          </w:rPr>
          <w:t>定</w:t>
        </w:r>
      </w:hyperlink>
      <w:r w:rsidRPr="00F91F92">
        <w:rPr>
          <w:rFonts w:ascii="宋体" w:hAnsi="宋体" w:cs="宋体" w:hint="eastAsia"/>
          <w:kern w:val="18"/>
          <w:sz w:val="20"/>
        </w:rPr>
        <w:t>，附件。</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D6" w:rsidRPr="004A3B5F" w:rsidRDefault="00047BD6" w:rsidP="00DA449C">
    <w:r>
      <w:t>CBD/COP/1</w:t>
    </w:r>
    <w:r>
      <w:rPr>
        <w:rFonts w:eastAsia="Times New Roman"/>
        <w:lang w:eastAsia="zh-CN"/>
      </w:rPr>
      <w:t>4</w:t>
    </w:r>
    <w:r>
      <w:t>/1/Add.1/Rev.1</w:t>
    </w:r>
  </w:p>
  <w:p w:rsidR="00047BD6" w:rsidRPr="004A3B5F" w:rsidRDefault="00047BD6">
    <w:pPr>
      <w:pStyle w:val="Header"/>
      <w:rPr>
        <w:noProof/>
      </w:rPr>
    </w:pPr>
    <w:r w:rsidRPr="004A3B5F">
      <w:t xml:space="preserve">Page </w:t>
    </w:r>
    <w:fldSimple w:instr=" PAGE   \* MERGEFORMAT ">
      <w:r>
        <w:rPr>
          <w:noProof/>
        </w:rPr>
        <w:t>16</w:t>
      </w:r>
    </w:fldSimple>
  </w:p>
  <w:p w:rsidR="00047BD6" w:rsidRPr="00F7756B" w:rsidRDefault="00047BD6">
    <w:pPr>
      <w:pStyle w:val="Header"/>
      <w:rPr>
        <w:rFonts w:eastAsia="Times New Roman"/>
        <w:noProof/>
        <w:lang w:eastAsia="zh-CN"/>
      </w:rPr>
    </w:pPr>
  </w:p>
  <w:p w:rsidR="00047BD6" w:rsidRPr="00F7756B" w:rsidRDefault="00047BD6">
    <w:pPr>
      <w:pStyle w:val="Header"/>
      <w:rPr>
        <w:rFonts w:eastAsia="Times New Roman"/>
        <w:lang w:eastAsia="zh-C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D6" w:rsidRPr="004A3B5F" w:rsidRDefault="00047BD6" w:rsidP="00DA449C">
    <w:pPr>
      <w:jc w:val="right"/>
    </w:pPr>
    <w:r w:rsidRPr="004A3B5F">
      <w:t>CBD/COP/1</w:t>
    </w:r>
    <w:r>
      <w:rPr>
        <w:rFonts w:eastAsia="Times New Roman"/>
        <w:lang w:eastAsia="zh-CN"/>
      </w:rPr>
      <w:t>4</w:t>
    </w:r>
    <w:r w:rsidRPr="004A3B5F">
      <w:t>/1/Add.1</w:t>
    </w:r>
    <w:r>
      <w:t>/Rev.1</w:t>
    </w:r>
  </w:p>
  <w:p w:rsidR="00047BD6" w:rsidRDefault="00047BD6" w:rsidP="00DA449C">
    <w:pPr>
      <w:pStyle w:val="Header"/>
      <w:jc w:val="right"/>
      <w:rPr>
        <w:noProof/>
      </w:rPr>
    </w:pPr>
    <w:r w:rsidRPr="004A3B5F">
      <w:t xml:space="preserve">Page </w:t>
    </w:r>
    <w:fldSimple w:instr=" PAGE   \* MERGEFORMAT ">
      <w:r>
        <w:rPr>
          <w:noProof/>
        </w:rPr>
        <w:t>7</w:t>
      </w:r>
    </w:fldSimple>
  </w:p>
  <w:p w:rsidR="00047BD6" w:rsidRDefault="00047BD6" w:rsidP="00DA449C">
    <w:pPr>
      <w:pStyle w:val="Header"/>
      <w:jc w:val="right"/>
      <w:rPr>
        <w:noProof/>
      </w:rPr>
    </w:pPr>
  </w:p>
  <w:p w:rsidR="00047BD6" w:rsidRDefault="00047BD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D6" w:rsidRDefault="00047B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lvlText w:val=""/>
      <w:lvlJc w:val="left"/>
      <w:pPr>
        <w:tabs>
          <w:tab w:val="num" w:pos="360"/>
        </w:tabs>
        <w:ind w:left="360" w:hanging="360"/>
      </w:pPr>
      <w:rPr>
        <w:rFonts w:ascii="Symbol" w:hAnsi="Symbol" w:hint="default"/>
      </w:rPr>
    </w:lvl>
  </w:abstractNum>
  <w:abstractNum w:abstractNumId="1">
    <w:nsid w:val="23E12E32"/>
    <w:multiLevelType w:val="hybridMultilevel"/>
    <w:tmpl w:val="AC2C99B6"/>
    <w:lvl w:ilvl="0" w:tplc="8A623A8C">
      <w:start w:val="1"/>
      <w:numFmt w:val="decimal"/>
      <w:pStyle w:val="Para1"/>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EDB318A"/>
    <w:multiLevelType w:val="hybridMultilevel"/>
    <w:tmpl w:val="632E4938"/>
    <w:lvl w:ilvl="0" w:tplc="04090001">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03">
      <w:start w:val="1"/>
      <w:numFmt w:val="lowerLetter"/>
      <w:lvlText w:val="%2."/>
      <w:lvlJc w:val="left"/>
      <w:pPr>
        <w:tabs>
          <w:tab w:val="num" w:pos="1800"/>
        </w:tabs>
        <w:ind w:left="1800" w:hanging="360"/>
      </w:pPr>
      <w:rPr>
        <w:rFonts w:cs="Times New Roman"/>
      </w:rPr>
    </w:lvl>
    <w:lvl w:ilvl="2" w:tplc="04090005" w:tentative="1">
      <w:start w:val="1"/>
      <w:numFmt w:val="lowerRoman"/>
      <w:lvlText w:val="%3."/>
      <w:lvlJc w:val="right"/>
      <w:pPr>
        <w:tabs>
          <w:tab w:val="num" w:pos="2520"/>
        </w:tabs>
        <w:ind w:left="2520" w:hanging="180"/>
      </w:pPr>
      <w:rPr>
        <w:rFonts w:cs="Times New Roman"/>
      </w:rPr>
    </w:lvl>
    <w:lvl w:ilvl="3" w:tplc="04090001" w:tentative="1">
      <w:start w:val="1"/>
      <w:numFmt w:val="decimal"/>
      <w:lvlText w:val="%4."/>
      <w:lvlJc w:val="left"/>
      <w:pPr>
        <w:tabs>
          <w:tab w:val="num" w:pos="3240"/>
        </w:tabs>
        <w:ind w:left="3240" w:hanging="360"/>
      </w:pPr>
      <w:rPr>
        <w:rFonts w:cs="Times New Roman"/>
      </w:rPr>
    </w:lvl>
    <w:lvl w:ilvl="4" w:tplc="04090003" w:tentative="1">
      <w:start w:val="1"/>
      <w:numFmt w:val="lowerLetter"/>
      <w:lvlText w:val="%5."/>
      <w:lvlJc w:val="left"/>
      <w:pPr>
        <w:tabs>
          <w:tab w:val="num" w:pos="3960"/>
        </w:tabs>
        <w:ind w:left="3960" w:hanging="360"/>
      </w:pPr>
      <w:rPr>
        <w:rFonts w:cs="Times New Roman"/>
      </w:rPr>
    </w:lvl>
    <w:lvl w:ilvl="5" w:tplc="04090005" w:tentative="1">
      <w:start w:val="1"/>
      <w:numFmt w:val="lowerRoman"/>
      <w:lvlText w:val="%6."/>
      <w:lvlJc w:val="right"/>
      <w:pPr>
        <w:tabs>
          <w:tab w:val="num" w:pos="4680"/>
        </w:tabs>
        <w:ind w:left="4680" w:hanging="180"/>
      </w:pPr>
      <w:rPr>
        <w:rFonts w:cs="Times New Roman"/>
      </w:rPr>
    </w:lvl>
    <w:lvl w:ilvl="6" w:tplc="04090001" w:tentative="1">
      <w:start w:val="1"/>
      <w:numFmt w:val="decimal"/>
      <w:lvlText w:val="%7."/>
      <w:lvlJc w:val="left"/>
      <w:pPr>
        <w:tabs>
          <w:tab w:val="num" w:pos="5400"/>
        </w:tabs>
        <w:ind w:left="5400" w:hanging="360"/>
      </w:pPr>
      <w:rPr>
        <w:rFonts w:cs="Times New Roman"/>
      </w:rPr>
    </w:lvl>
    <w:lvl w:ilvl="7" w:tplc="04090003" w:tentative="1">
      <w:start w:val="1"/>
      <w:numFmt w:val="lowerLetter"/>
      <w:lvlText w:val="%8."/>
      <w:lvlJc w:val="left"/>
      <w:pPr>
        <w:tabs>
          <w:tab w:val="num" w:pos="6120"/>
        </w:tabs>
        <w:ind w:left="6120" w:hanging="360"/>
      </w:pPr>
      <w:rPr>
        <w:rFonts w:cs="Times New Roman"/>
      </w:rPr>
    </w:lvl>
    <w:lvl w:ilvl="8" w:tplc="04090005" w:tentative="1">
      <w:start w:val="1"/>
      <w:numFmt w:val="lowerRoman"/>
      <w:lvlText w:val="%9."/>
      <w:lvlJc w:val="right"/>
      <w:pPr>
        <w:tabs>
          <w:tab w:val="num" w:pos="6840"/>
        </w:tabs>
        <w:ind w:left="6840" w:hanging="180"/>
      </w:pPr>
      <w:rPr>
        <w:rFonts w:cs="Times New Roman"/>
      </w:rPr>
    </w:lvl>
  </w:abstractNum>
  <w:abstractNum w:abstractNumId="3">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6">
    <w:nsid w:val="44CC7FBB"/>
    <w:multiLevelType w:val="hybridMultilevel"/>
    <w:tmpl w:val="B934B6F0"/>
    <w:lvl w:ilvl="0" w:tplc="3E9AE79A">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9ACE593E" w:tentative="1">
      <w:start w:val="1"/>
      <w:numFmt w:val="lowerLetter"/>
      <w:lvlText w:val="%2."/>
      <w:lvlJc w:val="left"/>
      <w:pPr>
        <w:tabs>
          <w:tab w:val="num" w:pos="2160"/>
        </w:tabs>
        <w:ind w:left="2160" w:hanging="360"/>
      </w:pPr>
      <w:rPr>
        <w:rFonts w:cs="Times New Roman"/>
      </w:rPr>
    </w:lvl>
    <w:lvl w:ilvl="2" w:tplc="F60A9BBE" w:tentative="1">
      <w:start w:val="1"/>
      <w:numFmt w:val="lowerRoman"/>
      <w:lvlText w:val="%3."/>
      <w:lvlJc w:val="right"/>
      <w:pPr>
        <w:tabs>
          <w:tab w:val="num" w:pos="2880"/>
        </w:tabs>
        <w:ind w:left="2880" w:hanging="180"/>
      </w:pPr>
      <w:rPr>
        <w:rFonts w:cs="Times New Roman"/>
      </w:rPr>
    </w:lvl>
    <w:lvl w:ilvl="3" w:tplc="5FD6F600" w:tentative="1">
      <w:start w:val="1"/>
      <w:numFmt w:val="decimal"/>
      <w:lvlText w:val="%4."/>
      <w:lvlJc w:val="left"/>
      <w:pPr>
        <w:tabs>
          <w:tab w:val="num" w:pos="3600"/>
        </w:tabs>
        <w:ind w:left="3600" w:hanging="360"/>
      </w:pPr>
      <w:rPr>
        <w:rFonts w:cs="Times New Roman"/>
      </w:rPr>
    </w:lvl>
    <w:lvl w:ilvl="4" w:tplc="E9E80B82" w:tentative="1">
      <w:start w:val="1"/>
      <w:numFmt w:val="lowerLetter"/>
      <w:lvlText w:val="%5."/>
      <w:lvlJc w:val="left"/>
      <w:pPr>
        <w:tabs>
          <w:tab w:val="num" w:pos="4320"/>
        </w:tabs>
        <w:ind w:left="4320" w:hanging="360"/>
      </w:pPr>
      <w:rPr>
        <w:rFonts w:cs="Times New Roman"/>
      </w:rPr>
    </w:lvl>
    <w:lvl w:ilvl="5" w:tplc="EF8EAA1A" w:tentative="1">
      <w:start w:val="1"/>
      <w:numFmt w:val="lowerRoman"/>
      <w:lvlText w:val="%6."/>
      <w:lvlJc w:val="right"/>
      <w:pPr>
        <w:tabs>
          <w:tab w:val="num" w:pos="5040"/>
        </w:tabs>
        <w:ind w:left="5040" w:hanging="180"/>
      </w:pPr>
      <w:rPr>
        <w:rFonts w:cs="Times New Roman"/>
      </w:rPr>
    </w:lvl>
    <w:lvl w:ilvl="6" w:tplc="46BE71E4" w:tentative="1">
      <w:start w:val="1"/>
      <w:numFmt w:val="decimal"/>
      <w:lvlText w:val="%7."/>
      <w:lvlJc w:val="left"/>
      <w:pPr>
        <w:tabs>
          <w:tab w:val="num" w:pos="5760"/>
        </w:tabs>
        <w:ind w:left="5760" w:hanging="360"/>
      </w:pPr>
      <w:rPr>
        <w:rFonts w:cs="Times New Roman"/>
      </w:rPr>
    </w:lvl>
    <w:lvl w:ilvl="7" w:tplc="C8609980" w:tentative="1">
      <w:start w:val="1"/>
      <w:numFmt w:val="lowerLetter"/>
      <w:lvlText w:val="%8."/>
      <w:lvlJc w:val="left"/>
      <w:pPr>
        <w:tabs>
          <w:tab w:val="num" w:pos="6480"/>
        </w:tabs>
        <w:ind w:left="6480" w:hanging="360"/>
      </w:pPr>
      <w:rPr>
        <w:rFonts w:cs="Times New Roman"/>
      </w:rPr>
    </w:lvl>
    <w:lvl w:ilvl="8" w:tplc="6E7C15F6" w:tentative="1">
      <w:start w:val="1"/>
      <w:numFmt w:val="lowerRoman"/>
      <w:lvlText w:val="%9."/>
      <w:lvlJc w:val="right"/>
      <w:pPr>
        <w:tabs>
          <w:tab w:val="num" w:pos="7200"/>
        </w:tabs>
        <w:ind w:left="7200" w:hanging="180"/>
      </w:pPr>
      <w:rPr>
        <w:rFonts w:cs="Times New Roman"/>
      </w:rPr>
    </w:lvl>
  </w:abstractNum>
  <w:abstractNum w:abstractNumId="7">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4B6A668C"/>
    <w:multiLevelType w:val="hybridMultilevel"/>
    <w:tmpl w:val="7DA6BAE6"/>
    <w:lvl w:ilvl="0" w:tplc="D2800FFC">
      <w:start w:val="1"/>
      <w:numFmt w:val="decimal"/>
      <w:pStyle w:val="Numbering"/>
      <w:lvlText w:val="%1."/>
      <w:lvlJc w:val="left"/>
      <w:pPr>
        <w:tabs>
          <w:tab w:val="num" w:pos="720"/>
        </w:tabs>
      </w:pPr>
      <w:rPr>
        <w:rFonts w:cs="Times New Roman" w:hint="default"/>
      </w:rPr>
    </w:lvl>
    <w:lvl w:ilvl="1" w:tplc="04090019">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nsid w:val="620D6AEB"/>
    <w:multiLevelType w:val="multilevel"/>
    <w:tmpl w:val="FE4C5FB6"/>
    <w:lvl w:ilvl="0">
      <w:start w:val="1"/>
      <w:numFmt w:val="decimal"/>
      <w:lvlText w:val="%1."/>
      <w:lvlJc w:val="left"/>
      <w:pPr>
        <w:tabs>
          <w:tab w:val="num" w:pos="360"/>
        </w:tabs>
      </w:pPr>
      <w:rPr>
        <w:rFonts w:ascii="Times New Roman" w:hAnsi="Times New Roman" w:cs="Times New Roman" w:hint="default"/>
        <w:b w:val="0"/>
        <w:i w:val="0"/>
        <w:color w:val="auto"/>
        <w:sz w:val="24"/>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2">
    <w:nsid w:val="675D359E"/>
    <w:multiLevelType w:val="multilevel"/>
    <w:tmpl w:val="A4A60A38"/>
    <w:lvl w:ilvl="0">
      <w:start w:val="1"/>
      <w:numFmt w:val="decimal"/>
      <w:lvlText w:val="%1."/>
      <w:lvlJc w:val="left"/>
      <w:pPr>
        <w:tabs>
          <w:tab w:val="num" w:pos="360"/>
        </w:tabs>
      </w:pPr>
      <w:rPr>
        <w:rFonts w:ascii="Times New Roman" w:hAnsi="Times New Roman" w:cs="Times New Roman" w:hint="default"/>
        <w:b w:val="0"/>
        <w:i w:val="0"/>
        <w:color w:val="auto"/>
        <w:sz w:val="24"/>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2"/>
  </w:num>
  <w:num w:numId="11">
    <w:abstractNumId w:val="5"/>
  </w:num>
  <w:num w:numId="12">
    <w:abstractNumId w:val="4"/>
  </w:num>
  <w:num w:numId="13">
    <w:abstractNumId w:val="3"/>
  </w:num>
  <w:num w:numId="14">
    <w:abstractNumId w:val="13"/>
  </w:num>
  <w:num w:numId="15">
    <w:abstractNumId w:val="7"/>
  </w:num>
  <w:num w:numId="16">
    <w:abstractNumId w:val="6"/>
  </w:num>
  <w:num w:numId="17">
    <w:abstractNumId w:val="11"/>
  </w:num>
  <w:num w:numId="18">
    <w:abstractNumId w:val="8"/>
  </w:num>
  <w:num w:numId="19">
    <w:abstractNumId w:val="0"/>
  </w:num>
  <w:num w:numId="2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2"/>
  </w:num>
  <w:num w:numId="25">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stylePaneFormatFilter w:val="3701"/>
  <w:defaultTabStop w:val="49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4241"/>
    <w:rsid w:val="00001CD8"/>
    <w:rsid w:val="00001FD3"/>
    <w:rsid w:val="000037D1"/>
    <w:rsid w:val="0000571A"/>
    <w:rsid w:val="00005DDA"/>
    <w:rsid w:val="00006A09"/>
    <w:rsid w:val="000110E5"/>
    <w:rsid w:val="0001232E"/>
    <w:rsid w:val="0001290D"/>
    <w:rsid w:val="000149B3"/>
    <w:rsid w:val="00014FCE"/>
    <w:rsid w:val="000172BD"/>
    <w:rsid w:val="00017BF3"/>
    <w:rsid w:val="00020CA0"/>
    <w:rsid w:val="00021D1D"/>
    <w:rsid w:val="00022674"/>
    <w:rsid w:val="0002273F"/>
    <w:rsid w:val="0002307C"/>
    <w:rsid w:val="00024B74"/>
    <w:rsid w:val="00024C25"/>
    <w:rsid w:val="00030BB4"/>
    <w:rsid w:val="00031201"/>
    <w:rsid w:val="000316A9"/>
    <w:rsid w:val="00032E0D"/>
    <w:rsid w:val="000337D9"/>
    <w:rsid w:val="00034EA7"/>
    <w:rsid w:val="0003678A"/>
    <w:rsid w:val="000402A3"/>
    <w:rsid w:val="000415DB"/>
    <w:rsid w:val="00041D25"/>
    <w:rsid w:val="00042D72"/>
    <w:rsid w:val="00043B4B"/>
    <w:rsid w:val="0004426A"/>
    <w:rsid w:val="00044D37"/>
    <w:rsid w:val="00046553"/>
    <w:rsid w:val="00047BD6"/>
    <w:rsid w:val="00052B9C"/>
    <w:rsid w:val="00053CD1"/>
    <w:rsid w:val="00054CDF"/>
    <w:rsid w:val="00055288"/>
    <w:rsid w:val="00056A8A"/>
    <w:rsid w:val="00060065"/>
    <w:rsid w:val="00062070"/>
    <w:rsid w:val="0006217C"/>
    <w:rsid w:val="000639FD"/>
    <w:rsid w:val="00063B31"/>
    <w:rsid w:val="00065607"/>
    <w:rsid w:val="000656C8"/>
    <w:rsid w:val="00065CC5"/>
    <w:rsid w:val="000703BA"/>
    <w:rsid w:val="000714BD"/>
    <w:rsid w:val="000714EA"/>
    <w:rsid w:val="00071F5A"/>
    <w:rsid w:val="000733E3"/>
    <w:rsid w:val="000760D4"/>
    <w:rsid w:val="00077210"/>
    <w:rsid w:val="0008093C"/>
    <w:rsid w:val="0008292B"/>
    <w:rsid w:val="000834F2"/>
    <w:rsid w:val="000838F5"/>
    <w:rsid w:val="00083951"/>
    <w:rsid w:val="00085EB0"/>
    <w:rsid w:val="00090D0E"/>
    <w:rsid w:val="000938E2"/>
    <w:rsid w:val="00094D64"/>
    <w:rsid w:val="0009542A"/>
    <w:rsid w:val="000975BD"/>
    <w:rsid w:val="000A0A73"/>
    <w:rsid w:val="000A307C"/>
    <w:rsid w:val="000A42B2"/>
    <w:rsid w:val="000A447F"/>
    <w:rsid w:val="000A4AB1"/>
    <w:rsid w:val="000A5B3E"/>
    <w:rsid w:val="000A75FA"/>
    <w:rsid w:val="000A7D3A"/>
    <w:rsid w:val="000B01CD"/>
    <w:rsid w:val="000B0805"/>
    <w:rsid w:val="000B23B3"/>
    <w:rsid w:val="000B2997"/>
    <w:rsid w:val="000B30A9"/>
    <w:rsid w:val="000B3D5E"/>
    <w:rsid w:val="000B7817"/>
    <w:rsid w:val="000C26F9"/>
    <w:rsid w:val="000C2A83"/>
    <w:rsid w:val="000C34C8"/>
    <w:rsid w:val="000C45DE"/>
    <w:rsid w:val="000C4DB4"/>
    <w:rsid w:val="000C7D47"/>
    <w:rsid w:val="000D08FD"/>
    <w:rsid w:val="000D375B"/>
    <w:rsid w:val="000D4B2D"/>
    <w:rsid w:val="000D735E"/>
    <w:rsid w:val="000D7D72"/>
    <w:rsid w:val="000E00A8"/>
    <w:rsid w:val="000E1199"/>
    <w:rsid w:val="000E226B"/>
    <w:rsid w:val="000E5D81"/>
    <w:rsid w:val="000E639C"/>
    <w:rsid w:val="000F0900"/>
    <w:rsid w:val="000F0FAE"/>
    <w:rsid w:val="000F14C0"/>
    <w:rsid w:val="000F3017"/>
    <w:rsid w:val="000F4EBB"/>
    <w:rsid w:val="000F5FF6"/>
    <w:rsid w:val="000F736E"/>
    <w:rsid w:val="00100952"/>
    <w:rsid w:val="0010174A"/>
    <w:rsid w:val="00101B61"/>
    <w:rsid w:val="00101C16"/>
    <w:rsid w:val="0010236D"/>
    <w:rsid w:val="0010356F"/>
    <w:rsid w:val="001051E6"/>
    <w:rsid w:val="0010636B"/>
    <w:rsid w:val="00106C34"/>
    <w:rsid w:val="0010718E"/>
    <w:rsid w:val="00107D99"/>
    <w:rsid w:val="00110191"/>
    <w:rsid w:val="001105E1"/>
    <w:rsid w:val="00110DA0"/>
    <w:rsid w:val="0011584E"/>
    <w:rsid w:val="00115AC6"/>
    <w:rsid w:val="00120FCB"/>
    <w:rsid w:val="001227C9"/>
    <w:rsid w:val="001234CC"/>
    <w:rsid w:val="001235DC"/>
    <w:rsid w:val="00124BFF"/>
    <w:rsid w:val="00124DDB"/>
    <w:rsid w:val="00126D3C"/>
    <w:rsid w:val="0012754B"/>
    <w:rsid w:val="00130C7E"/>
    <w:rsid w:val="00130E37"/>
    <w:rsid w:val="00133869"/>
    <w:rsid w:val="00134050"/>
    <w:rsid w:val="00135026"/>
    <w:rsid w:val="0013666F"/>
    <w:rsid w:val="00136C0F"/>
    <w:rsid w:val="001377CB"/>
    <w:rsid w:val="00137855"/>
    <w:rsid w:val="00137D82"/>
    <w:rsid w:val="00140EC3"/>
    <w:rsid w:val="00140F43"/>
    <w:rsid w:val="0014200A"/>
    <w:rsid w:val="00142718"/>
    <w:rsid w:val="00143D37"/>
    <w:rsid w:val="00144385"/>
    <w:rsid w:val="00144801"/>
    <w:rsid w:val="001457D5"/>
    <w:rsid w:val="00147449"/>
    <w:rsid w:val="00147955"/>
    <w:rsid w:val="001500F5"/>
    <w:rsid w:val="00150E3E"/>
    <w:rsid w:val="0015435E"/>
    <w:rsid w:val="00154923"/>
    <w:rsid w:val="00155C99"/>
    <w:rsid w:val="00156772"/>
    <w:rsid w:val="00156AD0"/>
    <w:rsid w:val="00157424"/>
    <w:rsid w:val="0015749D"/>
    <w:rsid w:val="00161830"/>
    <w:rsid w:val="00162335"/>
    <w:rsid w:val="00166D59"/>
    <w:rsid w:val="00171106"/>
    <w:rsid w:val="0017114F"/>
    <w:rsid w:val="00171713"/>
    <w:rsid w:val="00171FE7"/>
    <w:rsid w:val="00172294"/>
    <w:rsid w:val="001724E3"/>
    <w:rsid w:val="001732D0"/>
    <w:rsid w:val="00175530"/>
    <w:rsid w:val="00176DD8"/>
    <w:rsid w:val="00177AD7"/>
    <w:rsid w:val="0018053B"/>
    <w:rsid w:val="00180B27"/>
    <w:rsid w:val="00180B80"/>
    <w:rsid w:val="00181FFE"/>
    <w:rsid w:val="00182100"/>
    <w:rsid w:val="001835AA"/>
    <w:rsid w:val="001838CD"/>
    <w:rsid w:val="00183AC4"/>
    <w:rsid w:val="001866C4"/>
    <w:rsid w:val="00187F61"/>
    <w:rsid w:val="001902E5"/>
    <w:rsid w:val="00190E54"/>
    <w:rsid w:val="00191CB8"/>
    <w:rsid w:val="00195DBE"/>
    <w:rsid w:val="001962E6"/>
    <w:rsid w:val="0019649B"/>
    <w:rsid w:val="001A114E"/>
    <w:rsid w:val="001A14D9"/>
    <w:rsid w:val="001A2496"/>
    <w:rsid w:val="001A37A5"/>
    <w:rsid w:val="001A3B38"/>
    <w:rsid w:val="001A5733"/>
    <w:rsid w:val="001A7325"/>
    <w:rsid w:val="001B38D3"/>
    <w:rsid w:val="001B723A"/>
    <w:rsid w:val="001B7997"/>
    <w:rsid w:val="001C31A8"/>
    <w:rsid w:val="001C368F"/>
    <w:rsid w:val="001C3EE6"/>
    <w:rsid w:val="001C4FC9"/>
    <w:rsid w:val="001C5953"/>
    <w:rsid w:val="001C6600"/>
    <w:rsid w:val="001C71E7"/>
    <w:rsid w:val="001C7C6B"/>
    <w:rsid w:val="001D128E"/>
    <w:rsid w:val="001D3E43"/>
    <w:rsid w:val="001D417D"/>
    <w:rsid w:val="001D594B"/>
    <w:rsid w:val="001E0416"/>
    <w:rsid w:val="001E0C3F"/>
    <w:rsid w:val="001E402C"/>
    <w:rsid w:val="001E52DD"/>
    <w:rsid w:val="001E5868"/>
    <w:rsid w:val="001E59C1"/>
    <w:rsid w:val="001E5F84"/>
    <w:rsid w:val="001E6615"/>
    <w:rsid w:val="001E68A4"/>
    <w:rsid w:val="001E6F8C"/>
    <w:rsid w:val="001E7330"/>
    <w:rsid w:val="001E7587"/>
    <w:rsid w:val="001F0425"/>
    <w:rsid w:val="001F14DB"/>
    <w:rsid w:val="001F2186"/>
    <w:rsid w:val="001F21E8"/>
    <w:rsid w:val="001F35F3"/>
    <w:rsid w:val="001F5657"/>
    <w:rsid w:val="001F5DF4"/>
    <w:rsid w:val="001F6D5F"/>
    <w:rsid w:val="001F7177"/>
    <w:rsid w:val="002007D2"/>
    <w:rsid w:val="00200ED2"/>
    <w:rsid w:val="00201A8C"/>
    <w:rsid w:val="00202FD4"/>
    <w:rsid w:val="00205EEA"/>
    <w:rsid w:val="00207E8A"/>
    <w:rsid w:val="002111F4"/>
    <w:rsid w:val="002114B4"/>
    <w:rsid w:val="00211C5B"/>
    <w:rsid w:val="00213A31"/>
    <w:rsid w:val="00213ED7"/>
    <w:rsid w:val="002140CF"/>
    <w:rsid w:val="00214251"/>
    <w:rsid w:val="00215D8D"/>
    <w:rsid w:val="00215DDE"/>
    <w:rsid w:val="00217DC2"/>
    <w:rsid w:val="002217F0"/>
    <w:rsid w:val="00222A4C"/>
    <w:rsid w:val="00224922"/>
    <w:rsid w:val="00225EE4"/>
    <w:rsid w:val="00226686"/>
    <w:rsid w:val="00230F83"/>
    <w:rsid w:val="0023251D"/>
    <w:rsid w:val="0023477D"/>
    <w:rsid w:val="0023507A"/>
    <w:rsid w:val="002368C7"/>
    <w:rsid w:val="00236A71"/>
    <w:rsid w:val="00237395"/>
    <w:rsid w:val="00237CA0"/>
    <w:rsid w:val="0024017A"/>
    <w:rsid w:val="0024018D"/>
    <w:rsid w:val="00240F93"/>
    <w:rsid w:val="00243352"/>
    <w:rsid w:val="00247950"/>
    <w:rsid w:val="00250D0A"/>
    <w:rsid w:val="00255985"/>
    <w:rsid w:val="00255D6B"/>
    <w:rsid w:val="00257353"/>
    <w:rsid w:val="00257428"/>
    <w:rsid w:val="00260CDA"/>
    <w:rsid w:val="00261C42"/>
    <w:rsid w:val="00263ED9"/>
    <w:rsid w:val="00264BDC"/>
    <w:rsid w:val="00270817"/>
    <w:rsid w:val="00270DC6"/>
    <w:rsid w:val="00271570"/>
    <w:rsid w:val="00272FCF"/>
    <w:rsid w:val="00275884"/>
    <w:rsid w:val="00275A10"/>
    <w:rsid w:val="00276904"/>
    <w:rsid w:val="00276BE6"/>
    <w:rsid w:val="002773FC"/>
    <w:rsid w:val="002775DA"/>
    <w:rsid w:val="00280EA1"/>
    <w:rsid w:val="0028239E"/>
    <w:rsid w:val="00284133"/>
    <w:rsid w:val="00285443"/>
    <w:rsid w:val="00285FE3"/>
    <w:rsid w:val="0029087B"/>
    <w:rsid w:val="002933C2"/>
    <w:rsid w:val="002935D5"/>
    <w:rsid w:val="002942B2"/>
    <w:rsid w:val="00296077"/>
    <w:rsid w:val="00296CD9"/>
    <w:rsid w:val="00297A03"/>
    <w:rsid w:val="002A1448"/>
    <w:rsid w:val="002A5824"/>
    <w:rsid w:val="002A708C"/>
    <w:rsid w:val="002B094B"/>
    <w:rsid w:val="002B1251"/>
    <w:rsid w:val="002B2AC6"/>
    <w:rsid w:val="002B3DFB"/>
    <w:rsid w:val="002B3E70"/>
    <w:rsid w:val="002B65F2"/>
    <w:rsid w:val="002B7691"/>
    <w:rsid w:val="002B7866"/>
    <w:rsid w:val="002B79A5"/>
    <w:rsid w:val="002C162F"/>
    <w:rsid w:val="002C1B39"/>
    <w:rsid w:val="002C4345"/>
    <w:rsid w:val="002C5144"/>
    <w:rsid w:val="002C51E3"/>
    <w:rsid w:val="002C6203"/>
    <w:rsid w:val="002C70A4"/>
    <w:rsid w:val="002C7695"/>
    <w:rsid w:val="002D0046"/>
    <w:rsid w:val="002D0767"/>
    <w:rsid w:val="002D15A6"/>
    <w:rsid w:val="002D2A1F"/>
    <w:rsid w:val="002D2A91"/>
    <w:rsid w:val="002D3285"/>
    <w:rsid w:val="002E1CDA"/>
    <w:rsid w:val="002E1DB0"/>
    <w:rsid w:val="002E1F2F"/>
    <w:rsid w:val="002E2176"/>
    <w:rsid w:val="002E2456"/>
    <w:rsid w:val="002E2CDE"/>
    <w:rsid w:val="002E44CE"/>
    <w:rsid w:val="002E5030"/>
    <w:rsid w:val="002E6A81"/>
    <w:rsid w:val="002F014B"/>
    <w:rsid w:val="002F15B2"/>
    <w:rsid w:val="002F29F7"/>
    <w:rsid w:val="002F2C7B"/>
    <w:rsid w:val="002F5506"/>
    <w:rsid w:val="002F6D1B"/>
    <w:rsid w:val="0030220E"/>
    <w:rsid w:val="00303041"/>
    <w:rsid w:val="00303862"/>
    <w:rsid w:val="00303DC6"/>
    <w:rsid w:val="00304F6D"/>
    <w:rsid w:val="00305932"/>
    <w:rsid w:val="00305E13"/>
    <w:rsid w:val="0031304F"/>
    <w:rsid w:val="003133C1"/>
    <w:rsid w:val="00313709"/>
    <w:rsid w:val="003169C1"/>
    <w:rsid w:val="00320CDE"/>
    <w:rsid w:val="003212B9"/>
    <w:rsid w:val="00322B3E"/>
    <w:rsid w:val="00324D29"/>
    <w:rsid w:val="00325BB1"/>
    <w:rsid w:val="00325BBD"/>
    <w:rsid w:val="0032624F"/>
    <w:rsid w:val="0032733B"/>
    <w:rsid w:val="0032764F"/>
    <w:rsid w:val="00330073"/>
    <w:rsid w:val="00331A13"/>
    <w:rsid w:val="003322C0"/>
    <w:rsid w:val="00332561"/>
    <w:rsid w:val="00332CEE"/>
    <w:rsid w:val="0033354D"/>
    <w:rsid w:val="00333D12"/>
    <w:rsid w:val="00335B3E"/>
    <w:rsid w:val="003401DD"/>
    <w:rsid w:val="00340498"/>
    <w:rsid w:val="0034054F"/>
    <w:rsid w:val="00342956"/>
    <w:rsid w:val="0034736E"/>
    <w:rsid w:val="0034781C"/>
    <w:rsid w:val="0035066B"/>
    <w:rsid w:val="00352450"/>
    <w:rsid w:val="0035254A"/>
    <w:rsid w:val="00355DFB"/>
    <w:rsid w:val="0035630F"/>
    <w:rsid w:val="003567A0"/>
    <w:rsid w:val="00356904"/>
    <w:rsid w:val="003569EE"/>
    <w:rsid w:val="00356FC0"/>
    <w:rsid w:val="0035724C"/>
    <w:rsid w:val="00363739"/>
    <w:rsid w:val="00363B74"/>
    <w:rsid w:val="003644A4"/>
    <w:rsid w:val="00365A68"/>
    <w:rsid w:val="00365B5F"/>
    <w:rsid w:val="003668B1"/>
    <w:rsid w:val="00370565"/>
    <w:rsid w:val="0037476E"/>
    <w:rsid w:val="003747E4"/>
    <w:rsid w:val="00374B00"/>
    <w:rsid w:val="00375260"/>
    <w:rsid w:val="00376684"/>
    <w:rsid w:val="003768E0"/>
    <w:rsid w:val="00376DDA"/>
    <w:rsid w:val="0037733B"/>
    <w:rsid w:val="003779E7"/>
    <w:rsid w:val="00377DAF"/>
    <w:rsid w:val="00377F11"/>
    <w:rsid w:val="00380A35"/>
    <w:rsid w:val="00381AE7"/>
    <w:rsid w:val="00383A2F"/>
    <w:rsid w:val="00386361"/>
    <w:rsid w:val="00386415"/>
    <w:rsid w:val="0039148C"/>
    <w:rsid w:val="00392F73"/>
    <w:rsid w:val="0039331C"/>
    <w:rsid w:val="00394ECF"/>
    <w:rsid w:val="0039646F"/>
    <w:rsid w:val="003968F0"/>
    <w:rsid w:val="00397484"/>
    <w:rsid w:val="003A2BB1"/>
    <w:rsid w:val="003A2CF9"/>
    <w:rsid w:val="003A363C"/>
    <w:rsid w:val="003A513E"/>
    <w:rsid w:val="003A6683"/>
    <w:rsid w:val="003A6E25"/>
    <w:rsid w:val="003B4058"/>
    <w:rsid w:val="003B40F6"/>
    <w:rsid w:val="003B4C75"/>
    <w:rsid w:val="003B56B6"/>
    <w:rsid w:val="003B6A5B"/>
    <w:rsid w:val="003B74F1"/>
    <w:rsid w:val="003C092D"/>
    <w:rsid w:val="003C1801"/>
    <w:rsid w:val="003C2527"/>
    <w:rsid w:val="003C3E78"/>
    <w:rsid w:val="003C3F8D"/>
    <w:rsid w:val="003C4DA2"/>
    <w:rsid w:val="003C748D"/>
    <w:rsid w:val="003C7529"/>
    <w:rsid w:val="003D0214"/>
    <w:rsid w:val="003D096A"/>
    <w:rsid w:val="003D4BBC"/>
    <w:rsid w:val="003D4D5C"/>
    <w:rsid w:val="003D661A"/>
    <w:rsid w:val="003D77F6"/>
    <w:rsid w:val="003E079F"/>
    <w:rsid w:val="003E0C0E"/>
    <w:rsid w:val="003E14C5"/>
    <w:rsid w:val="003E1637"/>
    <w:rsid w:val="003E21E2"/>
    <w:rsid w:val="003E35F6"/>
    <w:rsid w:val="003E38CD"/>
    <w:rsid w:val="003E4DDC"/>
    <w:rsid w:val="003E53B7"/>
    <w:rsid w:val="003E6549"/>
    <w:rsid w:val="003E76EC"/>
    <w:rsid w:val="003F0807"/>
    <w:rsid w:val="003F1507"/>
    <w:rsid w:val="003F2BE0"/>
    <w:rsid w:val="003F2DE6"/>
    <w:rsid w:val="003F5019"/>
    <w:rsid w:val="003F59D7"/>
    <w:rsid w:val="003F63A9"/>
    <w:rsid w:val="003F6AE7"/>
    <w:rsid w:val="003F7A5B"/>
    <w:rsid w:val="00400DD4"/>
    <w:rsid w:val="004018C2"/>
    <w:rsid w:val="00401DDC"/>
    <w:rsid w:val="00401EFF"/>
    <w:rsid w:val="00402BDA"/>
    <w:rsid w:val="00404C33"/>
    <w:rsid w:val="0040564B"/>
    <w:rsid w:val="00406231"/>
    <w:rsid w:val="00406714"/>
    <w:rsid w:val="0041187C"/>
    <w:rsid w:val="004123C1"/>
    <w:rsid w:val="0041288F"/>
    <w:rsid w:val="00413090"/>
    <w:rsid w:val="004134E8"/>
    <w:rsid w:val="00413A6A"/>
    <w:rsid w:val="0042103D"/>
    <w:rsid w:val="00422349"/>
    <w:rsid w:val="00424904"/>
    <w:rsid w:val="00427158"/>
    <w:rsid w:val="0042753E"/>
    <w:rsid w:val="00430CD7"/>
    <w:rsid w:val="00431D2E"/>
    <w:rsid w:val="0043319F"/>
    <w:rsid w:val="004339D9"/>
    <w:rsid w:val="00433E15"/>
    <w:rsid w:val="00434FE1"/>
    <w:rsid w:val="00435A36"/>
    <w:rsid w:val="0043647C"/>
    <w:rsid w:val="00436742"/>
    <w:rsid w:val="00436F02"/>
    <w:rsid w:val="00437304"/>
    <w:rsid w:val="00437526"/>
    <w:rsid w:val="0044052D"/>
    <w:rsid w:val="0044171D"/>
    <w:rsid w:val="00442390"/>
    <w:rsid w:val="00442C74"/>
    <w:rsid w:val="004442A3"/>
    <w:rsid w:val="00445D9A"/>
    <w:rsid w:val="00445E57"/>
    <w:rsid w:val="0044692C"/>
    <w:rsid w:val="0045226B"/>
    <w:rsid w:val="00453630"/>
    <w:rsid w:val="004536F9"/>
    <w:rsid w:val="0045746A"/>
    <w:rsid w:val="0046119B"/>
    <w:rsid w:val="004623DB"/>
    <w:rsid w:val="004623DF"/>
    <w:rsid w:val="00466D32"/>
    <w:rsid w:val="00470D4B"/>
    <w:rsid w:val="004725DA"/>
    <w:rsid w:val="004738C1"/>
    <w:rsid w:val="00474683"/>
    <w:rsid w:val="004755D0"/>
    <w:rsid w:val="004756B3"/>
    <w:rsid w:val="00475823"/>
    <w:rsid w:val="004764F9"/>
    <w:rsid w:val="00476C7A"/>
    <w:rsid w:val="004770B7"/>
    <w:rsid w:val="0047782F"/>
    <w:rsid w:val="00482612"/>
    <w:rsid w:val="00484757"/>
    <w:rsid w:val="00485EE6"/>
    <w:rsid w:val="004863B0"/>
    <w:rsid w:val="004865D2"/>
    <w:rsid w:val="00486785"/>
    <w:rsid w:val="004868A3"/>
    <w:rsid w:val="00486A55"/>
    <w:rsid w:val="004902CE"/>
    <w:rsid w:val="00490525"/>
    <w:rsid w:val="004907B5"/>
    <w:rsid w:val="00490801"/>
    <w:rsid w:val="0049201C"/>
    <w:rsid w:val="00493448"/>
    <w:rsid w:val="00495413"/>
    <w:rsid w:val="00495A96"/>
    <w:rsid w:val="00495AA4"/>
    <w:rsid w:val="00495FD6"/>
    <w:rsid w:val="00496743"/>
    <w:rsid w:val="00497527"/>
    <w:rsid w:val="004975CC"/>
    <w:rsid w:val="00497AE8"/>
    <w:rsid w:val="00497CE2"/>
    <w:rsid w:val="004A1584"/>
    <w:rsid w:val="004A1B95"/>
    <w:rsid w:val="004A1F2B"/>
    <w:rsid w:val="004A2543"/>
    <w:rsid w:val="004A3B5F"/>
    <w:rsid w:val="004A7B7D"/>
    <w:rsid w:val="004A7CF3"/>
    <w:rsid w:val="004B0D05"/>
    <w:rsid w:val="004B10E4"/>
    <w:rsid w:val="004B2782"/>
    <w:rsid w:val="004B2974"/>
    <w:rsid w:val="004B29C6"/>
    <w:rsid w:val="004B4B24"/>
    <w:rsid w:val="004B4FD1"/>
    <w:rsid w:val="004B5243"/>
    <w:rsid w:val="004B5CD6"/>
    <w:rsid w:val="004B644E"/>
    <w:rsid w:val="004C11ED"/>
    <w:rsid w:val="004C39D3"/>
    <w:rsid w:val="004C4116"/>
    <w:rsid w:val="004C4D91"/>
    <w:rsid w:val="004C5C86"/>
    <w:rsid w:val="004C5E39"/>
    <w:rsid w:val="004C73F8"/>
    <w:rsid w:val="004C771A"/>
    <w:rsid w:val="004D1DD7"/>
    <w:rsid w:val="004D26F5"/>
    <w:rsid w:val="004D3CB4"/>
    <w:rsid w:val="004D4A2B"/>
    <w:rsid w:val="004D516B"/>
    <w:rsid w:val="004D5BDB"/>
    <w:rsid w:val="004D669F"/>
    <w:rsid w:val="004E03F2"/>
    <w:rsid w:val="004E040B"/>
    <w:rsid w:val="004E16DB"/>
    <w:rsid w:val="004E2264"/>
    <w:rsid w:val="004E7CB7"/>
    <w:rsid w:val="004F07DB"/>
    <w:rsid w:val="004F5AE7"/>
    <w:rsid w:val="004F7F72"/>
    <w:rsid w:val="0050040C"/>
    <w:rsid w:val="00500688"/>
    <w:rsid w:val="0050106B"/>
    <w:rsid w:val="00503B04"/>
    <w:rsid w:val="00503ECC"/>
    <w:rsid w:val="00505842"/>
    <w:rsid w:val="00510F2C"/>
    <w:rsid w:val="00511EBE"/>
    <w:rsid w:val="005125FA"/>
    <w:rsid w:val="00513DDC"/>
    <w:rsid w:val="00514EFB"/>
    <w:rsid w:val="005164FB"/>
    <w:rsid w:val="00516B0A"/>
    <w:rsid w:val="0051788A"/>
    <w:rsid w:val="00520CA2"/>
    <w:rsid w:val="00521ABD"/>
    <w:rsid w:val="00523929"/>
    <w:rsid w:val="00523BB0"/>
    <w:rsid w:val="00524EB0"/>
    <w:rsid w:val="005273D3"/>
    <w:rsid w:val="00530E05"/>
    <w:rsid w:val="0053128E"/>
    <w:rsid w:val="00531AC0"/>
    <w:rsid w:val="005349CD"/>
    <w:rsid w:val="005373D9"/>
    <w:rsid w:val="0053748F"/>
    <w:rsid w:val="00537A68"/>
    <w:rsid w:val="00537E21"/>
    <w:rsid w:val="0054133C"/>
    <w:rsid w:val="00542015"/>
    <w:rsid w:val="00543A46"/>
    <w:rsid w:val="00544024"/>
    <w:rsid w:val="0054471C"/>
    <w:rsid w:val="00544DB3"/>
    <w:rsid w:val="0054526E"/>
    <w:rsid w:val="00545869"/>
    <w:rsid w:val="00546A69"/>
    <w:rsid w:val="00547D05"/>
    <w:rsid w:val="00550248"/>
    <w:rsid w:val="005529AA"/>
    <w:rsid w:val="00554ECD"/>
    <w:rsid w:val="00556C1F"/>
    <w:rsid w:val="0056048D"/>
    <w:rsid w:val="005629BA"/>
    <w:rsid w:val="005638ED"/>
    <w:rsid w:val="005651CE"/>
    <w:rsid w:val="00565AC8"/>
    <w:rsid w:val="00566DC4"/>
    <w:rsid w:val="0057070D"/>
    <w:rsid w:val="00571305"/>
    <w:rsid w:val="00571A5C"/>
    <w:rsid w:val="00571F66"/>
    <w:rsid w:val="005724E3"/>
    <w:rsid w:val="005724FA"/>
    <w:rsid w:val="00572D80"/>
    <w:rsid w:val="00573019"/>
    <w:rsid w:val="005748BC"/>
    <w:rsid w:val="00580DC8"/>
    <w:rsid w:val="005810A1"/>
    <w:rsid w:val="00581B07"/>
    <w:rsid w:val="00585CD0"/>
    <w:rsid w:val="005866B9"/>
    <w:rsid w:val="005872DA"/>
    <w:rsid w:val="00587E9E"/>
    <w:rsid w:val="00591FA0"/>
    <w:rsid w:val="005922A9"/>
    <w:rsid w:val="005924DE"/>
    <w:rsid w:val="00592511"/>
    <w:rsid w:val="00592B16"/>
    <w:rsid w:val="0059787E"/>
    <w:rsid w:val="005A022A"/>
    <w:rsid w:val="005A0418"/>
    <w:rsid w:val="005A0936"/>
    <w:rsid w:val="005A0E4E"/>
    <w:rsid w:val="005A2D2A"/>
    <w:rsid w:val="005A3D6D"/>
    <w:rsid w:val="005A4972"/>
    <w:rsid w:val="005A72F8"/>
    <w:rsid w:val="005B0C95"/>
    <w:rsid w:val="005B2179"/>
    <w:rsid w:val="005B336A"/>
    <w:rsid w:val="005B44B4"/>
    <w:rsid w:val="005B56B8"/>
    <w:rsid w:val="005B71FA"/>
    <w:rsid w:val="005B7835"/>
    <w:rsid w:val="005C02CF"/>
    <w:rsid w:val="005C14BB"/>
    <w:rsid w:val="005C1EB4"/>
    <w:rsid w:val="005C26B8"/>
    <w:rsid w:val="005C2A4E"/>
    <w:rsid w:val="005C32AB"/>
    <w:rsid w:val="005C32EA"/>
    <w:rsid w:val="005C74D1"/>
    <w:rsid w:val="005C7E77"/>
    <w:rsid w:val="005D04FA"/>
    <w:rsid w:val="005D0A41"/>
    <w:rsid w:val="005D17AC"/>
    <w:rsid w:val="005D1C46"/>
    <w:rsid w:val="005D2F6F"/>
    <w:rsid w:val="005D3513"/>
    <w:rsid w:val="005D46A4"/>
    <w:rsid w:val="005D611F"/>
    <w:rsid w:val="005D6751"/>
    <w:rsid w:val="005D6B1C"/>
    <w:rsid w:val="005D7DDD"/>
    <w:rsid w:val="005E00AE"/>
    <w:rsid w:val="005E24D8"/>
    <w:rsid w:val="005E2F96"/>
    <w:rsid w:val="005E3635"/>
    <w:rsid w:val="005E3EA0"/>
    <w:rsid w:val="005E5412"/>
    <w:rsid w:val="005E612F"/>
    <w:rsid w:val="005F04A5"/>
    <w:rsid w:val="005F1504"/>
    <w:rsid w:val="005F2CEA"/>
    <w:rsid w:val="005F35FB"/>
    <w:rsid w:val="005F5EEC"/>
    <w:rsid w:val="005F67FF"/>
    <w:rsid w:val="005F7604"/>
    <w:rsid w:val="00600279"/>
    <w:rsid w:val="00601709"/>
    <w:rsid w:val="006050CD"/>
    <w:rsid w:val="00605C8D"/>
    <w:rsid w:val="00606B3F"/>
    <w:rsid w:val="006079EF"/>
    <w:rsid w:val="00607ABE"/>
    <w:rsid w:val="006119D4"/>
    <w:rsid w:val="00611BA3"/>
    <w:rsid w:val="0061228D"/>
    <w:rsid w:val="00613713"/>
    <w:rsid w:val="00613888"/>
    <w:rsid w:val="00613B3E"/>
    <w:rsid w:val="00613E4A"/>
    <w:rsid w:val="0061681C"/>
    <w:rsid w:val="00620252"/>
    <w:rsid w:val="006223B0"/>
    <w:rsid w:val="00622B58"/>
    <w:rsid w:val="00623992"/>
    <w:rsid w:val="00624673"/>
    <w:rsid w:val="006247BC"/>
    <w:rsid w:val="006258DD"/>
    <w:rsid w:val="00625C2E"/>
    <w:rsid w:val="00626C92"/>
    <w:rsid w:val="00626CA5"/>
    <w:rsid w:val="006317BD"/>
    <w:rsid w:val="00634174"/>
    <w:rsid w:val="00636B99"/>
    <w:rsid w:val="006377F0"/>
    <w:rsid w:val="006413D4"/>
    <w:rsid w:val="006416F3"/>
    <w:rsid w:val="0064190A"/>
    <w:rsid w:val="00641DE5"/>
    <w:rsid w:val="006444FD"/>
    <w:rsid w:val="00645DE4"/>
    <w:rsid w:val="006466F9"/>
    <w:rsid w:val="0064692C"/>
    <w:rsid w:val="0065065C"/>
    <w:rsid w:val="0065166D"/>
    <w:rsid w:val="006527BB"/>
    <w:rsid w:val="0065347A"/>
    <w:rsid w:val="006552F8"/>
    <w:rsid w:val="0066192C"/>
    <w:rsid w:val="00662B6D"/>
    <w:rsid w:val="00662BB5"/>
    <w:rsid w:val="00664A85"/>
    <w:rsid w:val="006657BD"/>
    <w:rsid w:val="0066618D"/>
    <w:rsid w:val="006662B2"/>
    <w:rsid w:val="006670A0"/>
    <w:rsid w:val="006708E5"/>
    <w:rsid w:val="00671368"/>
    <w:rsid w:val="006715DC"/>
    <w:rsid w:val="006717C5"/>
    <w:rsid w:val="00671D4C"/>
    <w:rsid w:val="00672E25"/>
    <w:rsid w:val="00673197"/>
    <w:rsid w:val="006735CE"/>
    <w:rsid w:val="006744F0"/>
    <w:rsid w:val="00676F11"/>
    <w:rsid w:val="006773A2"/>
    <w:rsid w:val="00677FD4"/>
    <w:rsid w:val="00680250"/>
    <w:rsid w:val="00681211"/>
    <w:rsid w:val="006822F5"/>
    <w:rsid w:val="00682CAC"/>
    <w:rsid w:val="00684E61"/>
    <w:rsid w:val="00690ABA"/>
    <w:rsid w:val="00691180"/>
    <w:rsid w:val="00691DEE"/>
    <w:rsid w:val="00692A59"/>
    <w:rsid w:val="00692E5A"/>
    <w:rsid w:val="006947AB"/>
    <w:rsid w:val="00695628"/>
    <w:rsid w:val="00695E28"/>
    <w:rsid w:val="00695FDE"/>
    <w:rsid w:val="006A0B25"/>
    <w:rsid w:val="006A10E4"/>
    <w:rsid w:val="006A37ED"/>
    <w:rsid w:val="006A3BAB"/>
    <w:rsid w:val="006A3F2A"/>
    <w:rsid w:val="006B055A"/>
    <w:rsid w:val="006B12DF"/>
    <w:rsid w:val="006B301F"/>
    <w:rsid w:val="006B3ADA"/>
    <w:rsid w:val="006B3D72"/>
    <w:rsid w:val="006B4DEA"/>
    <w:rsid w:val="006B57D6"/>
    <w:rsid w:val="006B7772"/>
    <w:rsid w:val="006B7A70"/>
    <w:rsid w:val="006C15F8"/>
    <w:rsid w:val="006C1941"/>
    <w:rsid w:val="006C19CB"/>
    <w:rsid w:val="006C2893"/>
    <w:rsid w:val="006C32AE"/>
    <w:rsid w:val="006C3F2D"/>
    <w:rsid w:val="006C61DB"/>
    <w:rsid w:val="006C7214"/>
    <w:rsid w:val="006C75EE"/>
    <w:rsid w:val="006C7B02"/>
    <w:rsid w:val="006C7BE5"/>
    <w:rsid w:val="006D078F"/>
    <w:rsid w:val="006D256F"/>
    <w:rsid w:val="006D50B6"/>
    <w:rsid w:val="006D57CE"/>
    <w:rsid w:val="006D735C"/>
    <w:rsid w:val="006E05DD"/>
    <w:rsid w:val="006E07F3"/>
    <w:rsid w:val="006E1BAA"/>
    <w:rsid w:val="006E212F"/>
    <w:rsid w:val="006E5DEE"/>
    <w:rsid w:val="006E68A5"/>
    <w:rsid w:val="006F0061"/>
    <w:rsid w:val="006F0DDC"/>
    <w:rsid w:val="006F22CA"/>
    <w:rsid w:val="006F2B18"/>
    <w:rsid w:val="006F4A26"/>
    <w:rsid w:val="006F7B44"/>
    <w:rsid w:val="0070032F"/>
    <w:rsid w:val="007006B1"/>
    <w:rsid w:val="00700B0E"/>
    <w:rsid w:val="00702667"/>
    <w:rsid w:val="00703434"/>
    <w:rsid w:val="007037D8"/>
    <w:rsid w:val="00704F26"/>
    <w:rsid w:val="00704FE0"/>
    <w:rsid w:val="00705369"/>
    <w:rsid w:val="00706DF1"/>
    <w:rsid w:val="00707B3D"/>
    <w:rsid w:val="00710185"/>
    <w:rsid w:val="00710CA3"/>
    <w:rsid w:val="00711B48"/>
    <w:rsid w:val="00712887"/>
    <w:rsid w:val="007130E4"/>
    <w:rsid w:val="00717223"/>
    <w:rsid w:val="007178A8"/>
    <w:rsid w:val="00720399"/>
    <w:rsid w:val="00721B1A"/>
    <w:rsid w:val="007225D7"/>
    <w:rsid w:val="00722DFE"/>
    <w:rsid w:val="00726474"/>
    <w:rsid w:val="00726896"/>
    <w:rsid w:val="007269A0"/>
    <w:rsid w:val="00727C39"/>
    <w:rsid w:val="00727C40"/>
    <w:rsid w:val="0073139B"/>
    <w:rsid w:val="00731767"/>
    <w:rsid w:val="00731FFD"/>
    <w:rsid w:val="00732126"/>
    <w:rsid w:val="00732742"/>
    <w:rsid w:val="00732EF1"/>
    <w:rsid w:val="00734726"/>
    <w:rsid w:val="007378F3"/>
    <w:rsid w:val="00737DF5"/>
    <w:rsid w:val="007427B1"/>
    <w:rsid w:val="0074520A"/>
    <w:rsid w:val="0074667C"/>
    <w:rsid w:val="00751F7D"/>
    <w:rsid w:val="00752732"/>
    <w:rsid w:val="00752825"/>
    <w:rsid w:val="00752CCE"/>
    <w:rsid w:val="007537E4"/>
    <w:rsid w:val="00761362"/>
    <w:rsid w:val="007622C5"/>
    <w:rsid w:val="00763C29"/>
    <w:rsid w:val="00763CD7"/>
    <w:rsid w:val="00766BF2"/>
    <w:rsid w:val="00770908"/>
    <w:rsid w:val="007713C4"/>
    <w:rsid w:val="007722DC"/>
    <w:rsid w:val="00772634"/>
    <w:rsid w:val="0077336B"/>
    <w:rsid w:val="007737CB"/>
    <w:rsid w:val="00776DFE"/>
    <w:rsid w:val="007831AA"/>
    <w:rsid w:val="00783D44"/>
    <w:rsid w:val="0078626D"/>
    <w:rsid w:val="00786574"/>
    <w:rsid w:val="00790054"/>
    <w:rsid w:val="00792344"/>
    <w:rsid w:val="00793F5B"/>
    <w:rsid w:val="0079418B"/>
    <w:rsid w:val="00796A15"/>
    <w:rsid w:val="00797840"/>
    <w:rsid w:val="007A0395"/>
    <w:rsid w:val="007A2132"/>
    <w:rsid w:val="007A428A"/>
    <w:rsid w:val="007A449D"/>
    <w:rsid w:val="007A4729"/>
    <w:rsid w:val="007A506A"/>
    <w:rsid w:val="007A5405"/>
    <w:rsid w:val="007A5ABE"/>
    <w:rsid w:val="007A5D8A"/>
    <w:rsid w:val="007A7977"/>
    <w:rsid w:val="007B1149"/>
    <w:rsid w:val="007B3A1A"/>
    <w:rsid w:val="007B72FC"/>
    <w:rsid w:val="007C0F49"/>
    <w:rsid w:val="007C11DC"/>
    <w:rsid w:val="007C14E0"/>
    <w:rsid w:val="007C1637"/>
    <w:rsid w:val="007C29DE"/>
    <w:rsid w:val="007C331A"/>
    <w:rsid w:val="007C3BE3"/>
    <w:rsid w:val="007C3F99"/>
    <w:rsid w:val="007C475A"/>
    <w:rsid w:val="007C5E76"/>
    <w:rsid w:val="007C6870"/>
    <w:rsid w:val="007C6D72"/>
    <w:rsid w:val="007D1B51"/>
    <w:rsid w:val="007D20C0"/>
    <w:rsid w:val="007D5086"/>
    <w:rsid w:val="007D5329"/>
    <w:rsid w:val="007D6534"/>
    <w:rsid w:val="007D6C96"/>
    <w:rsid w:val="007D7EAA"/>
    <w:rsid w:val="007E05F2"/>
    <w:rsid w:val="007E0834"/>
    <w:rsid w:val="007E0A3C"/>
    <w:rsid w:val="007E18A1"/>
    <w:rsid w:val="007E430A"/>
    <w:rsid w:val="007E73DC"/>
    <w:rsid w:val="007F02FF"/>
    <w:rsid w:val="007F084F"/>
    <w:rsid w:val="007F0AEC"/>
    <w:rsid w:val="007F0B99"/>
    <w:rsid w:val="007F3E0E"/>
    <w:rsid w:val="007F4AC6"/>
    <w:rsid w:val="007F6D14"/>
    <w:rsid w:val="007F7236"/>
    <w:rsid w:val="0080054F"/>
    <w:rsid w:val="00801404"/>
    <w:rsid w:val="00801E28"/>
    <w:rsid w:val="00803030"/>
    <w:rsid w:val="00804820"/>
    <w:rsid w:val="008049BB"/>
    <w:rsid w:val="00805479"/>
    <w:rsid w:val="00806BBB"/>
    <w:rsid w:val="00806D12"/>
    <w:rsid w:val="00806F04"/>
    <w:rsid w:val="008132B1"/>
    <w:rsid w:val="00814534"/>
    <w:rsid w:val="00815794"/>
    <w:rsid w:val="0081693A"/>
    <w:rsid w:val="008206E7"/>
    <w:rsid w:val="00820E5E"/>
    <w:rsid w:val="00823EA3"/>
    <w:rsid w:val="00825B9E"/>
    <w:rsid w:val="0082680A"/>
    <w:rsid w:val="00827A02"/>
    <w:rsid w:val="0083036B"/>
    <w:rsid w:val="00830EE5"/>
    <w:rsid w:val="00831FA0"/>
    <w:rsid w:val="00835514"/>
    <w:rsid w:val="008356AC"/>
    <w:rsid w:val="008368DA"/>
    <w:rsid w:val="00836BC9"/>
    <w:rsid w:val="00837729"/>
    <w:rsid w:val="008377BC"/>
    <w:rsid w:val="00837F16"/>
    <w:rsid w:val="00841377"/>
    <w:rsid w:val="00841BC1"/>
    <w:rsid w:val="008455B0"/>
    <w:rsid w:val="00846371"/>
    <w:rsid w:val="00847F0E"/>
    <w:rsid w:val="008503B8"/>
    <w:rsid w:val="008507A9"/>
    <w:rsid w:val="00851002"/>
    <w:rsid w:val="00852B9C"/>
    <w:rsid w:val="008546F3"/>
    <w:rsid w:val="00854B17"/>
    <w:rsid w:val="00854E1F"/>
    <w:rsid w:val="00855528"/>
    <w:rsid w:val="00855B1B"/>
    <w:rsid w:val="0085631C"/>
    <w:rsid w:val="00860683"/>
    <w:rsid w:val="00860950"/>
    <w:rsid w:val="00862A00"/>
    <w:rsid w:val="00863527"/>
    <w:rsid w:val="00864EBC"/>
    <w:rsid w:val="00865329"/>
    <w:rsid w:val="0086591C"/>
    <w:rsid w:val="00865EB0"/>
    <w:rsid w:val="00866771"/>
    <w:rsid w:val="00866F2B"/>
    <w:rsid w:val="0086708D"/>
    <w:rsid w:val="008677AE"/>
    <w:rsid w:val="008678B8"/>
    <w:rsid w:val="008709E1"/>
    <w:rsid w:val="00872D87"/>
    <w:rsid w:val="00873B6D"/>
    <w:rsid w:val="00874C40"/>
    <w:rsid w:val="00877550"/>
    <w:rsid w:val="00881387"/>
    <w:rsid w:val="008813F1"/>
    <w:rsid w:val="008827DD"/>
    <w:rsid w:val="00884241"/>
    <w:rsid w:val="00884930"/>
    <w:rsid w:val="0088496B"/>
    <w:rsid w:val="0088620D"/>
    <w:rsid w:val="00890013"/>
    <w:rsid w:val="0089004E"/>
    <w:rsid w:val="008920B9"/>
    <w:rsid w:val="008932BE"/>
    <w:rsid w:val="00893784"/>
    <w:rsid w:val="00894AB0"/>
    <w:rsid w:val="00895B4D"/>
    <w:rsid w:val="0089777D"/>
    <w:rsid w:val="008A1168"/>
    <w:rsid w:val="008A246E"/>
    <w:rsid w:val="008A3C68"/>
    <w:rsid w:val="008A4135"/>
    <w:rsid w:val="008A69FA"/>
    <w:rsid w:val="008A6BDF"/>
    <w:rsid w:val="008B02EE"/>
    <w:rsid w:val="008B09E4"/>
    <w:rsid w:val="008B0A16"/>
    <w:rsid w:val="008B2AE6"/>
    <w:rsid w:val="008B4191"/>
    <w:rsid w:val="008B516D"/>
    <w:rsid w:val="008B550A"/>
    <w:rsid w:val="008B7080"/>
    <w:rsid w:val="008C0ECE"/>
    <w:rsid w:val="008C10C7"/>
    <w:rsid w:val="008C57BC"/>
    <w:rsid w:val="008D08B7"/>
    <w:rsid w:val="008D0AAC"/>
    <w:rsid w:val="008D11D8"/>
    <w:rsid w:val="008D2267"/>
    <w:rsid w:val="008D3728"/>
    <w:rsid w:val="008D489C"/>
    <w:rsid w:val="008D4AFC"/>
    <w:rsid w:val="008D4E04"/>
    <w:rsid w:val="008D5C60"/>
    <w:rsid w:val="008D71E9"/>
    <w:rsid w:val="008E271D"/>
    <w:rsid w:val="008E2842"/>
    <w:rsid w:val="008E342C"/>
    <w:rsid w:val="008E3852"/>
    <w:rsid w:val="008E3D02"/>
    <w:rsid w:val="008E490B"/>
    <w:rsid w:val="008E5506"/>
    <w:rsid w:val="008E5724"/>
    <w:rsid w:val="008E6BE2"/>
    <w:rsid w:val="008E7B76"/>
    <w:rsid w:val="008F3554"/>
    <w:rsid w:val="008F4531"/>
    <w:rsid w:val="008F5855"/>
    <w:rsid w:val="008F76FD"/>
    <w:rsid w:val="00902743"/>
    <w:rsid w:val="00903345"/>
    <w:rsid w:val="009042C2"/>
    <w:rsid w:val="00904BC7"/>
    <w:rsid w:val="009051C3"/>
    <w:rsid w:val="009063AD"/>
    <w:rsid w:val="00906714"/>
    <w:rsid w:val="00906D55"/>
    <w:rsid w:val="00910EB3"/>
    <w:rsid w:val="00911449"/>
    <w:rsid w:val="00912978"/>
    <w:rsid w:val="00915839"/>
    <w:rsid w:val="009168C6"/>
    <w:rsid w:val="009230CC"/>
    <w:rsid w:val="00926D57"/>
    <w:rsid w:val="00927162"/>
    <w:rsid w:val="00927417"/>
    <w:rsid w:val="00930406"/>
    <w:rsid w:val="009308A8"/>
    <w:rsid w:val="00930E6C"/>
    <w:rsid w:val="009312BB"/>
    <w:rsid w:val="0093174B"/>
    <w:rsid w:val="00931ADD"/>
    <w:rsid w:val="0093236F"/>
    <w:rsid w:val="009324EB"/>
    <w:rsid w:val="009337C4"/>
    <w:rsid w:val="0093518E"/>
    <w:rsid w:val="009355E2"/>
    <w:rsid w:val="00935760"/>
    <w:rsid w:val="009366EE"/>
    <w:rsid w:val="00941438"/>
    <w:rsid w:val="00941526"/>
    <w:rsid w:val="0094154A"/>
    <w:rsid w:val="009417D8"/>
    <w:rsid w:val="0094397C"/>
    <w:rsid w:val="00943B61"/>
    <w:rsid w:val="00943D7C"/>
    <w:rsid w:val="00943F09"/>
    <w:rsid w:val="009444F9"/>
    <w:rsid w:val="00944EBB"/>
    <w:rsid w:val="00945261"/>
    <w:rsid w:val="009454E0"/>
    <w:rsid w:val="0094619B"/>
    <w:rsid w:val="009461E4"/>
    <w:rsid w:val="00950B41"/>
    <w:rsid w:val="009514C4"/>
    <w:rsid w:val="00951904"/>
    <w:rsid w:val="00953A66"/>
    <w:rsid w:val="00955A1E"/>
    <w:rsid w:val="00955A59"/>
    <w:rsid w:val="00955B38"/>
    <w:rsid w:val="00956210"/>
    <w:rsid w:val="00960A5C"/>
    <w:rsid w:val="00961728"/>
    <w:rsid w:val="009628D3"/>
    <w:rsid w:val="009639AC"/>
    <w:rsid w:val="00964000"/>
    <w:rsid w:val="009652CB"/>
    <w:rsid w:val="00965431"/>
    <w:rsid w:val="009664CD"/>
    <w:rsid w:val="00966AD9"/>
    <w:rsid w:val="0096771B"/>
    <w:rsid w:val="00970106"/>
    <w:rsid w:val="00971DAE"/>
    <w:rsid w:val="009724AD"/>
    <w:rsid w:val="009727C0"/>
    <w:rsid w:val="00972C14"/>
    <w:rsid w:val="00973A83"/>
    <w:rsid w:val="00974384"/>
    <w:rsid w:val="0097521A"/>
    <w:rsid w:val="009757E0"/>
    <w:rsid w:val="00977D1F"/>
    <w:rsid w:val="00980AD5"/>
    <w:rsid w:val="00980C62"/>
    <w:rsid w:val="00981592"/>
    <w:rsid w:val="009832B4"/>
    <w:rsid w:val="009834C2"/>
    <w:rsid w:val="00984CFC"/>
    <w:rsid w:val="00985E85"/>
    <w:rsid w:val="00987601"/>
    <w:rsid w:val="00987C4D"/>
    <w:rsid w:val="00991303"/>
    <w:rsid w:val="009931A4"/>
    <w:rsid w:val="00993B77"/>
    <w:rsid w:val="00994F5F"/>
    <w:rsid w:val="0099694B"/>
    <w:rsid w:val="00997B23"/>
    <w:rsid w:val="00997D06"/>
    <w:rsid w:val="00997DC2"/>
    <w:rsid w:val="009A1973"/>
    <w:rsid w:val="009A3B1B"/>
    <w:rsid w:val="009A3DBA"/>
    <w:rsid w:val="009A40D1"/>
    <w:rsid w:val="009A4A4E"/>
    <w:rsid w:val="009A6A38"/>
    <w:rsid w:val="009B23FF"/>
    <w:rsid w:val="009B348B"/>
    <w:rsid w:val="009B364D"/>
    <w:rsid w:val="009B4B8D"/>
    <w:rsid w:val="009B4D1B"/>
    <w:rsid w:val="009B54C2"/>
    <w:rsid w:val="009B5775"/>
    <w:rsid w:val="009B6BAD"/>
    <w:rsid w:val="009B6D2D"/>
    <w:rsid w:val="009B7AFC"/>
    <w:rsid w:val="009C02B0"/>
    <w:rsid w:val="009C099C"/>
    <w:rsid w:val="009C0E4D"/>
    <w:rsid w:val="009C180B"/>
    <w:rsid w:val="009C5356"/>
    <w:rsid w:val="009C648F"/>
    <w:rsid w:val="009C759F"/>
    <w:rsid w:val="009C7E58"/>
    <w:rsid w:val="009C7F6D"/>
    <w:rsid w:val="009D12DA"/>
    <w:rsid w:val="009D1A52"/>
    <w:rsid w:val="009D239F"/>
    <w:rsid w:val="009D345E"/>
    <w:rsid w:val="009D3B5A"/>
    <w:rsid w:val="009D510F"/>
    <w:rsid w:val="009D5E77"/>
    <w:rsid w:val="009D60F0"/>
    <w:rsid w:val="009D67DD"/>
    <w:rsid w:val="009E2E39"/>
    <w:rsid w:val="009E47B5"/>
    <w:rsid w:val="009E48F3"/>
    <w:rsid w:val="009E7B58"/>
    <w:rsid w:val="009E7FA5"/>
    <w:rsid w:val="009F0B1C"/>
    <w:rsid w:val="009F12F6"/>
    <w:rsid w:val="009F1E32"/>
    <w:rsid w:val="009F1FC8"/>
    <w:rsid w:val="009F2D45"/>
    <w:rsid w:val="009F3733"/>
    <w:rsid w:val="009F3841"/>
    <w:rsid w:val="009F4026"/>
    <w:rsid w:val="009F48E2"/>
    <w:rsid w:val="009F6246"/>
    <w:rsid w:val="009F67C9"/>
    <w:rsid w:val="00A01266"/>
    <w:rsid w:val="00A0143D"/>
    <w:rsid w:val="00A01601"/>
    <w:rsid w:val="00A01E2E"/>
    <w:rsid w:val="00A02FC8"/>
    <w:rsid w:val="00A06F60"/>
    <w:rsid w:val="00A111C0"/>
    <w:rsid w:val="00A13A6A"/>
    <w:rsid w:val="00A141C9"/>
    <w:rsid w:val="00A20973"/>
    <w:rsid w:val="00A22006"/>
    <w:rsid w:val="00A23504"/>
    <w:rsid w:val="00A240B9"/>
    <w:rsid w:val="00A267E0"/>
    <w:rsid w:val="00A27A4B"/>
    <w:rsid w:val="00A27AA6"/>
    <w:rsid w:val="00A27B8D"/>
    <w:rsid w:val="00A27D92"/>
    <w:rsid w:val="00A306DC"/>
    <w:rsid w:val="00A31FA5"/>
    <w:rsid w:val="00A33AEA"/>
    <w:rsid w:val="00A3523C"/>
    <w:rsid w:val="00A354FD"/>
    <w:rsid w:val="00A37BBE"/>
    <w:rsid w:val="00A41053"/>
    <w:rsid w:val="00A43517"/>
    <w:rsid w:val="00A44196"/>
    <w:rsid w:val="00A442F4"/>
    <w:rsid w:val="00A45F7C"/>
    <w:rsid w:val="00A4658F"/>
    <w:rsid w:val="00A500DB"/>
    <w:rsid w:val="00A50484"/>
    <w:rsid w:val="00A52E4B"/>
    <w:rsid w:val="00A53C4E"/>
    <w:rsid w:val="00A542F2"/>
    <w:rsid w:val="00A550F7"/>
    <w:rsid w:val="00A5521B"/>
    <w:rsid w:val="00A558D6"/>
    <w:rsid w:val="00A56ACD"/>
    <w:rsid w:val="00A61875"/>
    <w:rsid w:val="00A629CB"/>
    <w:rsid w:val="00A63383"/>
    <w:rsid w:val="00A666F8"/>
    <w:rsid w:val="00A67F33"/>
    <w:rsid w:val="00A70103"/>
    <w:rsid w:val="00A7170D"/>
    <w:rsid w:val="00A71AFE"/>
    <w:rsid w:val="00A72E49"/>
    <w:rsid w:val="00A74E59"/>
    <w:rsid w:val="00A759EA"/>
    <w:rsid w:val="00A76327"/>
    <w:rsid w:val="00A771BE"/>
    <w:rsid w:val="00A77515"/>
    <w:rsid w:val="00A8048C"/>
    <w:rsid w:val="00A86934"/>
    <w:rsid w:val="00A87290"/>
    <w:rsid w:val="00A87BF2"/>
    <w:rsid w:val="00A90E90"/>
    <w:rsid w:val="00A91660"/>
    <w:rsid w:val="00A91E7B"/>
    <w:rsid w:val="00A9205A"/>
    <w:rsid w:val="00A937E8"/>
    <w:rsid w:val="00A948DE"/>
    <w:rsid w:val="00A94CCA"/>
    <w:rsid w:val="00A9668D"/>
    <w:rsid w:val="00AA09B5"/>
    <w:rsid w:val="00AA162B"/>
    <w:rsid w:val="00AA2EEA"/>
    <w:rsid w:val="00AA411B"/>
    <w:rsid w:val="00AA41CE"/>
    <w:rsid w:val="00AA47D6"/>
    <w:rsid w:val="00AA5152"/>
    <w:rsid w:val="00AA56D3"/>
    <w:rsid w:val="00AA5752"/>
    <w:rsid w:val="00AA5AA8"/>
    <w:rsid w:val="00AA5E5A"/>
    <w:rsid w:val="00AA65FF"/>
    <w:rsid w:val="00AB113E"/>
    <w:rsid w:val="00AB1566"/>
    <w:rsid w:val="00AB2825"/>
    <w:rsid w:val="00AB287E"/>
    <w:rsid w:val="00AB712D"/>
    <w:rsid w:val="00AB75E4"/>
    <w:rsid w:val="00AC113D"/>
    <w:rsid w:val="00AC1902"/>
    <w:rsid w:val="00AC1F23"/>
    <w:rsid w:val="00AC5974"/>
    <w:rsid w:val="00AC7CAD"/>
    <w:rsid w:val="00AD0F7E"/>
    <w:rsid w:val="00AD6392"/>
    <w:rsid w:val="00AD711E"/>
    <w:rsid w:val="00AD73A8"/>
    <w:rsid w:val="00AE02FC"/>
    <w:rsid w:val="00AE2B2B"/>
    <w:rsid w:val="00AE33B6"/>
    <w:rsid w:val="00AE3B25"/>
    <w:rsid w:val="00AE4DFC"/>
    <w:rsid w:val="00AE7025"/>
    <w:rsid w:val="00AE7276"/>
    <w:rsid w:val="00AF0807"/>
    <w:rsid w:val="00AF17E9"/>
    <w:rsid w:val="00AF1AFA"/>
    <w:rsid w:val="00AF21BA"/>
    <w:rsid w:val="00AF3D1A"/>
    <w:rsid w:val="00AF48F8"/>
    <w:rsid w:val="00AF4B0B"/>
    <w:rsid w:val="00AF5041"/>
    <w:rsid w:val="00AF5D38"/>
    <w:rsid w:val="00AF7FE2"/>
    <w:rsid w:val="00B075C3"/>
    <w:rsid w:val="00B11092"/>
    <w:rsid w:val="00B11770"/>
    <w:rsid w:val="00B139AF"/>
    <w:rsid w:val="00B149A0"/>
    <w:rsid w:val="00B150DB"/>
    <w:rsid w:val="00B15530"/>
    <w:rsid w:val="00B15C1E"/>
    <w:rsid w:val="00B20C84"/>
    <w:rsid w:val="00B21999"/>
    <w:rsid w:val="00B21C43"/>
    <w:rsid w:val="00B22CE0"/>
    <w:rsid w:val="00B23ADC"/>
    <w:rsid w:val="00B24378"/>
    <w:rsid w:val="00B25567"/>
    <w:rsid w:val="00B25AC2"/>
    <w:rsid w:val="00B2622E"/>
    <w:rsid w:val="00B27235"/>
    <w:rsid w:val="00B305F5"/>
    <w:rsid w:val="00B31061"/>
    <w:rsid w:val="00B316B8"/>
    <w:rsid w:val="00B34265"/>
    <w:rsid w:val="00B3511F"/>
    <w:rsid w:val="00B354F3"/>
    <w:rsid w:val="00B35C5F"/>
    <w:rsid w:val="00B36710"/>
    <w:rsid w:val="00B37E7F"/>
    <w:rsid w:val="00B40340"/>
    <w:rsid w:val="00B41A37"/>
    <w:rsid w:val="00B4348B"/>
    <w:rsid w:val="00B44EA4"/>
    <w:rsid w:val="00B45A1A"/>
    <w:rsid w:val="00B47E64"/>
    <w:rsid w:val="00B5240D"/>
    <w:rsid w:val="00B720DA"/>
    <w:rsid w:val="00B72B26"/>
    <w:rsid w:val="00B759D5"/>
    <w:rsid w:val="00B75DD2"/>
    <w:rsid w:val="00B76C5C"/>
    <w:rsid w:val="00B80A85"/>
    <w:rsid w:val="00B81D67"/>
    <w:rsid w:val="00B82ACE"/>
    <w:rsid w:val="00B82AD3"/>
    <w:rsid w:val="00B8311A"/>
    <w:rsid w:val="00B8401E"/>
    <w:rsid w:val="00B854D2"/>
    <w:rsid w:val="00B865FF"/>
    <w:rsid w:val="00B879B9"/>
    <w:rsid w:val="00B935FF"/>
    <w:rsid w:val="00B93EEB"/>
    <w:rsid w:val="00B94332"/>
    <w:rsid w:val="00B946CC"/>
    <w:rsid w:val="00B95654"/>
    <w:rsid w:val="00B976CA"/>
    <w:rsid w:val="00BA08A5"/>
    <w:rsid w:val="00BA3677"/>
    <w:rsid w:val="00BA3BCC"/>
    <w:rsid w:val="00BA3DC1"/>
    <w:rsid w:val="00BA3ECB"/>
    <w:rsid w:val="00BA5163"/>
    <w:rsid w:val="00BA7D98"/>
    <w:rsid w:val="00BB04D7"/>
    <w:rsid w:val="00BB1113"/>
    <w:rsid w:val="00BB21A7"/>
    <w:rsid w:val="00BB2353"/>
    <w:rsid w:val="00BB27CE"/>
    <w:rsid w:val="00BB5706"/>
    <w:rsid w:val="00BB7EAE"/>
    <w:rsid w:val="00BC0E12"/>
    <w:rsid w:val="00BC13CC"/>
    <w:rsid w:val="00BC2A4D"/>
    <w:rsid w:val="00BC2E7F"/>
    <w:rsid w:val="00BC5A5F"/>
    <w:rsid w:val="00BC5C65"/>
    <w:rsid w:val="00BC5D71"/>
    <w:rsid w:val="00BC69A6"/>
    <w:rsid w:val="00BC7265"/>
    <w:rsid w:val="00BD02F2"/>
    <w:rsid w:val="00BD050E"/>
    <w:rsid w:val="00BD18AA"/>
    <w:rsid w:val="00BD3C59"/>
    <w:rsid w:val="00BD5E8F"/>
    <w:rsid w:val="00BD64FF"/>
    <w:rsid w:val="00BD69E3"/>
    <w:rsid w:val="00BD6E52"/>
    <w:rsid w:val="00BE0B2D"/>
    <w:rsid w:val="00BE0B7D"/>
    <w:rsid w:val="00BE1113"/>
    <w:rsid w:val="00BE2F97"/>
    <w:rsid w:val="00BE4889"/>
    <w:rsid w:val="00BE5230"/>
    <w:rsid w:val="00BE637E"/>
    <w:rsid w:val="00BE6637"/>
    <w:rsid w:val="00BF0756"/>
    <w:rsid w:val="00BF08FD"/>
    <w:rsid w:val="00BF0B4A"/>
    <w:rsid w:val="00BF33EE"/>
    <w:rsid w:val="00BF3AE3"/>
    <w:rsid w:val="00BF5C37"/>
    <w:rsid w:val="00BF6200"/>
    <w:rsid w:val="00BF647D"/>
    <w:rsid w:val="00BF66F1"/>
    <w:rsid w:val="00BF68A3"/>
    <w:rsid w:val="00BF7ED5"/>
    <w:rsid w:val="00C02DFF"/>
    <w:rsid w:val="00C04021"/>
    <w:rsid w:val="00C06DC8"/>
    <w:rsid w:val="00C07FFD"/>
    <w:rsid w:val="00C115FB"/>
    <w:rsid w:val="00C11DC3"/>
    <w:rsid w:val="00C11FAA"/>
    <w:rsid w:val="00C1258C"/>
    <w:rsid w:val="00C16984"/>
    <w:rsid w:val="00C175EB"/>
    <w:rsid w:val="00C221D9"/>
    <w:rsid w:val="00C222C0"/>
    <w:rsid w:val="00C22E4E"/>
    <w:rsid w:val="00C233E2"/>
    <w:rsid w:val="00C2583C"/>
    <w:rsid w:val="00C26385"/>
    <w:rsid w:val="00C27854"/>
    <w:rsid w:val="00C31AD3"/>
    <w:rsid w:val="00C33AC7"/>
    <w:rsid w:val="00C341AB"/>
    <w:rsid w:val="00C341EC"/>
    <w:rsid w:val="00C37891"/>
    <w:rsid w:val="00C37C58"/>
    <w:rsid w:val="00C41435"/>
    <w:rsid w:val="00C4160C"/>
    <w:rsid w:val="00C42281"/>
    <w:rsid w:val="00C4335C"/>
    <w:rsid w:val="00C4358D"/>
    <w:rsid w:val="00C44820"/>
    <w:rsid w:val="00C46857"/>
    <w:rsid w:val="00C47243"/>
    <w:rsid w:val="00C47ED8"/>
    <w:rsid w:val="00C50757"/>
    <w:rsid w:val="00C51B61"/>
    <w:rsid w:val="00C54A3D"/>
    <w:rsid w:val="00C55EE5"/>
    <w:rsid w:val="00C56D33"/>
    <w:rsid w:val="00C56E13"/>
    <w:rsid w:val="00C61797"/>
    <w:rsid w:val="00C64CFD"/>
    <w:rsid w:val="00C70F53"/>
    <w:rsid w:val="00C71225"/>
    <w:rsid w:val="00C7157F"/>
    <w:rsid w:val="00C716FB"/>
    <w:rsid w:val="00C7232F"/>
    <w:rsid w:val="00C7245B"/>
    <w:rsid w:val="00C72F2B"/>
    <w:rsid w:val="00C734AD"/>
    <w:rsid w:val="00C7387C"/>
    <w:rsid w:val="00C74244"/>
    <w:rsid w:val="00C74EDA"/>
    <w:rsid w:val="00C75B74"/>
    <w:rsid w:val="00C75F23"/>
    <w:rsid w:val="00C77838"/>
    <w:rsid w:val="00C8118D"/>
    <w:rsid w:val="00C86375"/>
    <w:rsid w:val="00C906F4"/>
    <w:rsid w:val="00C918D7"/>
    <w:rsid w:val="00C933DA"/>
    <w:rsid w:val="00C9360E"/>
    <w:rsid w:val="00C97DFC"/>
    <w:rsid w:val="00CA1DBD"/>
    <w:rsid w:val="00CA1E79"/>
    <w:rsid w:val="00CA2048"/>
    <w:rsid w:val="00CA211D"/>
    <w:rsid w:val="00CA2D51"/>
    <w:rsid w:val="00CA39F0"/>
    <w:rsid w:val="00CA3A85"/>
    <w:rsid w:val="00CA4584"/>
    <w:rsid w:val="00CA5FEA"/>
    <w:rsid w:val="00CA745F"/>
    <w:rsid w:val="00CB03F0"/>
    <w:rsid w:val="00CB112E"/>
    <w:rsid w:val="00CB14ED"/>
    <w:rsid w:val="00CB23FA"/>
    <w:rsid w:val="00CB3403"/>
    <w:rsid w:val="00CB42F2"/>
    <w:rsid w:val="00CB54B7"/>
    <w:rsid w:val="00CB60A8"/>
    <w:rsid w:val="00CB6351"/>
    <w:rsid w:val="00CB6692"/>
    <w:rsid w:val="00CB7F0B"/>
    <w:rsid w:val="00CC02D0"/>
    <w:rsid w:val="00CC0809"/>
    <w:rsid w:val="00CC0C35"/>
    <w:rsid w:val="00CC1754"/>
    <w:rsid w:val="00CC2C46"/>
    <w:rsid w:val="00CC36A5"/>
    <w:rsid w:val="00CC58DF"/>
    <w:rsid w:val="00CC601C"/>
    <w:rsid w:val="00CC788C"/>
    <w:rsid w:val="00CD1912"/>
    <w:rsid w:val="00CD30D5"/>
    <w:rsid w:val="00CD3398"/>
    <w:rsid w:val="00CD4BE4"/>
    <w:rsid w:val="00CD5396"/>
    <w:rsid w:val="00CD5B03"/>
    <w:rsid w:val="00CD78E3"/>
    <w:rsid w:val="00CE1D44"/>
    <w:rsid w:val="00CE1F88"/>
    <w:rsid w:val="00CE20B0"/>
    <w:rsid w:val="00CE40A4"/>
    <w:rsid w:val="00CE47F5"/>
    <w:rsid w:val="00CE5E44"/>
    <w:rsid w:val="00CF14B2"/>
    <w:rsid w:val="00CF276D"/>
    <w:rsid w:val="00CF496A"/>
    <w:rsid w:val="00CF519D"/>
    <w:rsid w:val="00CF5344"/>
    <w:rsid w:val="00D002D7"/>
    <w:rsid w:val="00D0079D"/>
    <w:rsid w:val="00D0139A"/>
    <w:rsid w:val="00D02CD0"/>
    <w:rsid w:val="00D030CF"/>
    <w:rsid w:val="00D0345C"/>
    <w:rsid w:val="00D034A8"/>
    <w:rsid w:val="00D07DAE"/>
    <w:rsid w:val="00D10384"/>
    <w:rsid w:val="00D1071F"/>
    <w:rsid w:val="00D11BC6"/>
    <w:rsid w:val="00D127FC"/>
    <w:rsid w:val="00D12B18"/>
    <w:rsid w:val="00D143E1"/>
    <w:rsid w:val="00D152AA"/>
    <w:rsid w:val="00D174EB"/>
    <w:rsid w:val="00D17962"/>
    <w:rsid w:val="00D20169"/>
    <w:rsid w:val="00D21495"/>
    <w:rsid w:val="00D217D0"/>
    <w:rsid w:val="00D2246E"/>
    <w:rsid w:val="00D232E9"/>
    <w:rsid w:val="00D25438"/>
    <w:rsid w:val="00D259C9"/>
    <w:rsid w:val="00D275EB"/>
    <w:rsid w:val="00D30F7E"/>
    <w:rsid w:val="00D31279"/>
    <w:rsid w:val="00D312E8"/>
    <w:rsid w:val="00D314D4"/>
    <w:rsid w:val="00D31EF1"/>
    <w:rsid w:val="00D32AE9"/>
    <w:rsid w:val="00D35415"/>
    <w:rsid w:val="00D41B84"/>
    <w:rsid w:val="00D42C71"/>
    <w:rsid w:val="00D42CF8"/>
    <w:rsid w:val="00D42FCC"/>
    <w:rsid w:val="00D43B03"/>
    <w:rsid w:val="00D4530F"/>
    <w:rsid w:val="00D45782"/>
    <w:rsid w:val="00D45D23"/>
    <w:rsid w:val="00D47120"/>
    <w:rsid w:val="00D4765D"/>
    <w:rsid w:val="00D55313"/>
    <w:rsid w:val="00D60045"/>
    <w:rsid w:val="00D60518"/>
    <w:rsid w:val="00D61E96"/>
    <w:rsid w:val="00D6416B"/>
    <w:rsid w:val="00D668D0"/>
    <w:rsid w:val="00D67C15"/>
    <w:rsid w:val="00D70272"/>
    <w:rsid w:val="00D712AB"/>
    <w:rsid w:val="00D712E9"/>
    <w:rsid w:val="00D71872"/>
    <w:rsid w:val="00D718F5"/>
    <w:rsid w:val="00D7295E"/>
    <w:rsid w:val="00D74D1F"/>
    <w:rsid w:val="00D75AA3"/>
    <w:rsid w:val="00D801A0"/>
    <w:rsid w:val="00D80E3F"/>
    <w:rsid w:val="00D82C4C"/>
    <w:rsid w:val="00D82F64"/>
    <w:rsid w:val="00D8484D"/>
    <w:rsid w:val="00D84B2E"/>
    <w:rsid w:val="00D8679E"/>
    <w:rsid w:val="00D9015D"/>
    <w:rsid w:val="00D943BE"/>
    <w:rsid w:val="00D94D3E"/>
    <w:rsid w:val="00D94E15"/>
    <w:rsid w:val="00D96914"/>
    <w:rsid w:val="00D97643"/>
    <w:rsid w:val="00D97793"/>
    <w:rsid w:val="00DA0A83"/>
    <w:rsid w:val="00DA0AF8"/>
    <w:rsid w:val="00DA0EB8"/>
    <w:rsid w:val="00DA1F81"/>
    <w:rsid w:val="00DA235B"/>
    <w:rsid w:val="00DA3960"/>
    <w:rsid w:val="00DA3EEE"/>
    <w:rsid w:val="00DA449C"/>
    <w:rsid w:val="00DA47AB"/>
    <w:rsid w:val="00DA5DDD"/>
    <w:rsid w:val="00DA6B9F"/>
    <w:rsid w:val="00DA760E"/>
    <w:rsid w:val="00DB0182"/>
    <w:rsid w:val="00DB0DCC"/>
    <w:rsid w:val="00DB37E9"/>
    <w:rsid w:val="00DB3829"/>
    <w:rsid w:val="00DB5508"/>
    <w:rsid w:val="00DB5816"/>
    <w:rsid w:val="00DC01AB"/>
    <w:rsid w:val="00DC239A"/>
    <w:rsid w:val="00DC250D"/>
    <w:rsid w:val="00DC2F5F"/>
    <w:rsid w:val="00DC6112"/>
    <w:rsid w:val="00DC7089"/>
    <w:rsid w:val="00DD00FD"/>
    <w:rsid w:val="00DD7EEC"/>
    <w:rsid w:val="00DE0F5D"/>
    <w:rsid w:val="00DE1010"/>
    <w:rsid w:val="00DE1254"/>
    <w:rsid w:val="00DE2B1F"/>
    <w:rsid w:val="00DE45A8"/>
    <w:rsid w:val="00DE5C69"/>
    <w:rsid w:val="00DE603E"/>
    <w:rsid w:val="00DE67B4"/>
    <w:rsid w:val="00DF274C"/>
    <w:rsid w:val="00DF29F2"/>
    <w:rsid w:val="00DF4066"/>
    <w:rsid w:val="00DF53B0"/>
    <w:rsid w:val="00DF5663"/>
    <w:rsid w:val="00DF5B0B"/>
    <w:rsid w:val="00DF6884"/>
    <w:rsid w:val="00DF7A38"/>
    <w:rsid w:val="00E00632"/>
    <w:rsid w:val="00E0431A"/>
    <w:rsid w:val="00E044A7"/>
    <w:rsid w:val="00E05701"/>
    <w:rsid w:val="00E068CE"/>
    <w:rsid w:val="00E06EC4"/>
    <w:rsid w:val="00E1137A"/>
    <w:rsid w:val="00E11C6F"/>
    <w:rsid w:val="00E13DDB"/>
    <w:rsid w:val="00E154BE"/>
    <w:rsid w:val="00E156D3"/>
    <w:rsid w:val="00E159BB"/>
    <w:rsid w:val="00E16E1C"/>
    <w:rsid w:val="00E221E0"/>
    <w:rsid w:val="00E2305B"/>
    <w:rsid w:val="00E2337C"/>
    <w:rsid w:val="00E23C7B"/>
    <w:rsid w:val="00E240B3"/>
    <w:rsid w:val="00E245FE"/>
    <w:rsid w:val="00E24BF4"/>
    <w:rsid w:val="00E254EE"/>
    <w:rsid w:val="00E2588A"/>
    <w:rsid w:val="00E27094"/>
    <w:rsid w:val="00E2710F"/>
    <w:rsid w:val="00E27E48"/>
    <w:rsid w:val="00E30891"/>
    <w:rsid w:val="00E3604E"/>
    <w:rsid w:val="00E368CA"/>
    <w:rsid w:val="00E36E9F"/>
    <w:rsid w:val="00E37736"/>
    <w:rsid w:val="00E37A16"/>
    <w:rsid w:val="00E427F4"/>
    <w:rsid w:val="00E437A6"/>
    <w:rsid w:val="00E46D90"/>
    <w:rsid w:val="00E505DF"/>
    <w:rsid w:val="00E50A1F"/>
    <w:rsid w:val="00E50FDE"/>
    <w:rsid w:val="00E51FEA"/>
    <w:rsid w:val="00E52427"/>
    <w:rsid w:val="00E52A28"/>
    <w:rsid w:val="00E53558"/>
    <w:rsid w:val="00E53687"/>
    <w:rsid w:val="00E54004"/>
    <w:rsid w:val="00E54365"/>
    <w:rsid w:val="00E545AD"/>
    <w:rsid w:val="00E60ED0"/>
    <w:rsid w:val="00E61607"/>
    <w:rsid w:val="00E63AE9"/>
    <w:rsid w:val="00E65F61"/>
    <w:rsid w:val="00E66D5E"/>
    <w:rsid w:val="00E679A6"/>
    <w:rsid w:val="00E72ECE"/>
    <w:rsid w:val="00E74874"/>
    <w:rsid w:val="00E74895"/>
    <w:rsid w:val="00E75828"/>
    <w:rsid w:val="00E75946"/>
    <w:rsid w:val="00E76709"/>
    <w:rsid w:val="00E8003C"/>
    <w:rsid w:val="00E8152C"/>
    <w:rsid w:val="00E816D0"/>
    <w:rsid w:val="00E8449F"/>
    <w:rsid w:val="00E84816"/>
    <w:rsid w:val="00E85884"/>
    <w:rsid w:val="00E86146"/>
    <w:rsid w:val="00E86D8D"/>
    <w:rsid w:val="00E86FEE"/>
    <w:rsid w:val="00E90EE3"/>
    <w:rsid w:val="00E91FBB"/>
    <w:rsid w:val="00E921C0"/>
    <w:rsid w:val="00E92BA3"/>
    <w:rsid w:val="00E92BEF"/>
    <w:rsid w:val="00E934D0"/>
    <w:rsid w:val="00E93912"/>
    <w:rsid w:val="00E93A98"/>
    <w:rsid w:val="00E93B39"/>
    <w:rsid w:val="00EA0B25"/>
    <w:rsid w:val="00EA0B58"/>
    <w:rsid w:val="00EA10EA"/>
    <w:rsid w:val="00EA37FD"/>
    <w:rsid w:val="00EA43B6"/>
    <w:rsid w:val="00EA6994"/>
    <w:rsid w:val="00EA757D"/>
    <w:rsid w:val="00EB07E5"/>
    <w:rsid w:val="00EB1A07"/>
    <w:rsid w:val="00EB1E1C"/>
    <w:rsid w:val="00EB28FB"/>
    <w:rsid w:val="00EB4488"/>
    <w:rsid w:val="00EB5114"/>
    <w:rsid w:val="00EB544B"/>
    <w:rsid w:val="00EB6880"/>
    <w:rsid w:val="00EC0017"/>
    <w:rsid w:val="00EC0990"/>
    <w:rsid w:val="00EC0A38"/>
    <w:rsid w:val="00EC0EBA"/>
    <w:rsid w:val="00EC0FB9"/>
    <w:rsid w:val="00EC18B9"/>
    <w:rsid w:val="00EC1C54"/>
    <w:rsid w:val="00EC252B"/>
    <w:rsid w:val="00EC26C4"/>
    <w:rsid w:val="00EC2ED5"/>
    <w:rsid w:val="00EC31C1"/>
    <w:rsid w:val="00EC4614"/>
    <w:rsid w:val="00EC4B53"/>
    <w:rsid w:val="00EC542A"/>
    <w:rsid w:val="00EC6497"/>
    <w:rsid w:val="00EC67AD"/>
    <w:rsid w:val="00EC79C3"/>
    <w:rsid w:val="00ED093D"/>
    <w:rsid w:val="00ED1556"/>
    <w:rsid w:val="00ED1616"/>
    <w:rsid w:val="00ED4829"/>
    <w:rsid w:val="00ED54B3"/>
    <w:rsid w:val="00ED71BB"/>
    <w:rsid w:val="00EE268E"/>
    <w:rsid w:val="00EE30C3"/>
    <w:rsid w:val="00EE3499"/>
    <w:rsid w:val="00EE3D60"/>
    <w:rsid w:val="00EE6400"/>
    <w:rsid w:val="00EE6C12"/>
    <w:rsid w:val="00EF0D00"/>
    <w:rsid w:val="00EF1E8A"/>
    <w:rsid w:val="00EF5512"/>
    <w:rsid w:val="00EF58CC"/>
    <w:rsid w:val="00EF6699"/>
    <w:rsid w:val="00EF768E"/>
    <w:rsid w:val="00F01DD5"/>
    <w:rsid w:val="00F04FDD"/>
    <w:rsid w:val="00F05BC8"/>
    <w:rsid w:val="00F10D87"/>
    <w:rsid w:val="00F10F31"/>
    <w:rsid w:val="00F111AF"/>
    <w:rsid w:val="00F134A4"/>
    <w:rsid w:val="00F13815"/>
    <w:rsid w:val="00F1384F"/>
    <w:rsid w:val="00F14B3E"/>
    <w:rsid w:val="00F20086"/>
    <w:rsid w:val="00F21AE3"/>
    <w:rsid w:val="00F232AC"/>
    <w:rsid w:val="00F24F74"/>
    <w:rsid w:val="00F250B4"/>
    <w:rsid w:val="00F25690"/>
    <w:rsid w:val="00F30967"/>
    <w:rsid w:val="00F31854"/>
    <w:rsid w:val="00F33319"/>
    <w:rsid w:val="00F3729D"/>
    <w:rsid w:val="00F423C9"/>
    <w:rsid w:val="00F42A94"/>
    <w:rsid w:val="00F42B29"/>
    <w:rsid w:val="00F4443D"/>
    <w:rsid w:val="00F44F45"/>
    <w:rsid w:val="00F467DA"/>
    <w:rsid w:val="00F501DF"/>
    <w:rsid w:val="00F51051"/>
    <w:rsid w:val="00F51568"/>
    <w:rsid w:val="00F54793"/>
    <w:rsid w:val="00F565FD"/>
    <w:rsid w:val="00F56A47"/>
    <w:rsid w:val="00F56D2A"/>
    <w:rsid w:val="00F57B67"/>
    <w:rsid w:val="00F60B80"/>
    <w:rsid w:val="00F60C62"/>
    <w:rsid w:val="00F6137C"/>
    <w:rsid w:val="00F62A9F"/>
    <w:rsid w:val="00F6485B"/>
    <w:rsid w:val="00F64C26"/>
    <w:rsid w:val="00F6581F"/>
    <w:rsid w:val="00F677F2"/>
    <w:rsid w:val="00F7235F"/>
    <w:rsid w:val="00F72FC2"/>
    <w:rsid w:val="00F73651"/>
    <w:rsid w:val="00F74A21"/>
    <w:rsid w:val="00F76DBF"/>
    <w:rsid w:val="00F7756B"/>
    <w:rsid w:val="00F77BFE"/>
    <w:rsid w:val="00F77E61"/>
    <w:rsid w:val="00F81561"/>
    <w:rsid w:val="00F81C26"/>
    <w:rsid w:val="00F8351C"/>
    <w:rsid w:val="00F84AA7"/>
    <w:rsid w:val="00F85728"/>
    <w:rsid w:val="00F8639A"/>
    <w:rsid w:val="00F90362"/>
    <w:rsid w:val="00F9081D"/>
    <w:rsid w:val="00F91F92"/>
    <w:rsid w:val="00F92AF1"/>
    <w:rsid w:val="00F95858"/>
    <w:rsid w:val="00F96253"/>
    <w:rsid w:val="00F96FD8"/>
    <w:rsid w:val="00F974E2"/>
    <w:rsid w:val="00F97FB9"/>
    <w:rsid w:val="00FA01B9"/>
    <w:rsid w:val="00FA13CE"/>
    <w:rsid w:val="00FA23DF"/>
    <w:rsid w:val="00FA2A2E"/>
    <w:rsid w:val="00FA3081"/>
    <w:rsid w:val="00FA323D"/>
    <w:rsid w:val="00FA3DCC"/>
    <w:rsid w:val="00FA4048"/>
    <w:rsid w:val="00FA4610"/>
    <w:rsid w:val="00FA48FB"/>
    <w:rsid w:val="00FA51FB"/>
    <w:rsid w:val="00FA54DC"/>
    <w:rsid w:val="00FA5742"/>
    <w:rsid w:val="00FA6A70"/>
    <w:rsid w:val="00FA7133"/>
    <w:rsid w:val="00FB23ED"/>
    <w:rsid w:val="00FB2AC5"/>
    <w:rsid w:val="00FB2B8C"/>
    <w:rsid w:val="00FB51B3"/>
    <w:rsid w:val="00FC1F14"/>
    <w:rsid w:val="00FC2C86"/>
    <w:rsid w:val="00FC3C51"/>
    <w:rsid w:val="00FC49C2"/>
    <w:rsid w:val="00FC56D1"/>
    <w:rsid w:val="00FC6B85"/>
    <w:rsid w:val="00FC7C79"/>
    <w:rsid w:val="00FD11F7"/>
    <w:rsid w:val="00FD255B"/>
    <w:rsid w:val="00FD2681"/>
    <w:rsid w:val="00FD2737"/>
    <w:rsid w:val="00FD2D72"/>
    <w:rsid w:val="00FD3597"/>
    <w:rsid w:val="00FD4ED3"/>
    <w:rsid w:val="00FD55C7"/>
    <w:rsid w:val="00FD592B"/>
    <w:rsid w:val="00FD645A"/>
    <w:rsid w:val="00FD685C"/>
    <w:rsid w:val="00FD7C5D"/>
    <w:rsid w:val="00FD7D2D"/>
    <w:rsid w:val="00FE14AA"/>
    <w:rsid w:val="00FE1CC5"/>
    <w:rsid w:val="00FE2D45"/>
    <w:rsid w:val="00FE4ABA"/>
    <w:rsid w:val="00FE5308"/>
    <w:rsid w:val="00FE6A8B"/>
    <w:rsid w:val="00FE7E55"/>
    <w:rsid w:val="00FF1407"/>
    <w:rsid w:val="00FF331E"/>
    <w:rsid w:val="00FF45B6"/>
    <w:rsid w:val="00FF4B4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algun Gothic" w:hAnsi="Times New Roman" w:cs="Times New Roman"/>
        <w:sz w:val="22"/>
        <w:szCs w:val="22"/>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2007D2"/>
    <w:pPr>
      <w:jc w:val="both"/>
    </w:pPr>
    <w:rPr>
      <w:rFonts w:eastAsia="宋体"/>
      <w:sz w:val="24"/>
      <w:szCs w:val="24"/>
      <w:lang w:val="en-GB" w:eastAsia="en-US"/>
    </w:rPr>
  </w:style>
  <w:style w:type="paragraph" w:styleId="Heading1">
    <w:name w:val="heading 1"/>
    <w:basedOn w:val="Normal"/>
    <w:next w:val="Normal"/>
    <w:link w:val="Heading1Char"/>
    <w:uiPriority w:val="99"/>
    <w:qFormat/>
    <w:rsid w:val="005C32EA"/>
    <w:pPr>
      <w:keepNext/>
      <w:tabs>
        <w:tab w:val="left" w:pos="770"/>
      </w:tabs>
      <w:spacing w:before="240" w:after="120"/>
      <w:ind w:right="357"/>
      <w:jc w:val="center"/>
      <w:outlineLvl w:val="0"/>
    </w:pPr>
    <w:rPr>
      <w:b/>
      <w:caps/>
      <w:szCs w:val="20"/>
    </w:rPr>
  </w:style>
  <w:style w:type="paragraph" w:styleId="Heading2">
    <w:name w:val="heading 2"/>
    <w:basedOn w:val="Normal"/>
    <w:next w:val="Normal"/>
    <w:link w:val="Heading2Char"/>
    <w:uiPriority w:val="99"/>
    <w:qFormat/>
    <w:rsid w:val="005C32EA"/>
    <w:pPr>
      <w:keepNext/>
      <w:spacing w:before="120" w:after="120"/>
      <w:jc w:val="center"/>
      <w:outlineLvl w:val="1"/>
    </w:pPr>
    <w:rPr>
      <w:b/>
      <w:bCs/>
      <w:i/>
      <w:iCs/>
      <w:lang w:eastAsia="zh-CN"/>
    </w:rPr>
  </w:style>
  <w:style w:type="paragraph" w:styleId="Heading3">
    <w:name w:val="heading 3"/>
    <w:basedOn w:val="Normal"/>
    <w:next w:val="Normal"/>
    <w:link w:val="Heading3Char"/>
    <w:uiPriority w:val="99"/>
    <w:qFormat/>
    <w:rsid w:val="005C32EA"/>
    <w:pPr>
      <w:keepNext/>
      <w:spacing w:before="120" w:after="120"/>
      <w:jc w:val="center"/>
      <w:outlineLvl w:val="2"/>
    </w:pPr>
    <w:rPr>
      <w:i/>
      <w:iCs/>
    </w:rPr>
  </w:style>
  <w:style w:type="paragraph" w:styleId="Heading40">
    <w:name w:val="heading 4"/>
    <w:basedOn w:val="Normal"/>
    <w:link w:val="Heading4Char"/>
    <w:uiPriority w:val="99"/>
    <w:qFormat/>
    <w:rsid w:val="005C32EA"/>
    <w:pPr>
      <w:keepNext/>
      <w:spacing w:before="120" w:after="120"/>
      <w:outlineLvl w:val="3"/>
    </w:pPr>
    <w:rPr>
      <w:rFonts w:eastAsia="Malgun Gothic" w:cs="Arial"/>
      <w:b/>
      <w:i/>
    </w:rPr>
  </w:style>
  <w:style w:type="paragraph" w:styleId="Heading5">
    <w:name w:val="heading 5"/>
    <w:basedOn w:val="Normal"/>
    <w:next w:val="Normal"/>
    <w:link w:val="Heading5Char"/>
    <w:uiPriority w:val="99"/>
    <w:qFormat/>
    <w:rsid w:val="005C32EA"/>
    <w:pPr>
      <w:keepNext/>
      <w:numPr>
        <w:ilvl w:val="4"/>
        <w:numId w:val="13"/>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5C32EA"/>
    <w:pPr>
      <w:keepNext/>
      <w:spacing w:after="240" w:line="240" w:lineRule="exact"/>
      <w:outlineLvl w:val="5"/>
    </w:pPr>
    <w:rPr>
      <w:i/>
      <w:szCs w:val="20"/>
    </w:rPr>
  </w:style>
  <w:style w:type="paragraph" w:styleId="Heading7">
    <w:name w:val="heading 7"/>
    <w:basedOn w:val="Normal"/>
    <w:next w:val="Normal"/>
    <w:link w:val="Heading7Char"/>
    <w:uiPriority w:val="99"/>
    <w:qFormat/>
    <w:rsid w:val="005C32E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5C32E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5C32EA"/>
    <w:pPr>
      <w:keepNext/>
      <w:spacing w:before="100" w:beforeAutospacing="1" w:after="120"/>
      <w:outlineLvl w:val="8"/>
    </w:pPr>
    <w:rPr>
      <w:i/>
      <w:iCs/>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C32EA"/>
    <w:rPr>
      <w:rFonts w:cs="Times New Roman"/>
      <w:b/>
      <w:caps/>
      <w:sz w:val="24"/>
      <w:lang w:val="en-GB" w:eastAsia="en-US"/>
    </w:rPr>
  </w:style>
  <w:style w:type="character" w:customStyle="1" w:styleId="Heading2Char">
    <w:name w:val="Heading 2 Char"/>
    <w:basedOn w:val="DefaultParagraphFont"/>
    <w:link w:val="Heading2"/>
    <w:uiPriority w:val="99"/>
    <w:locked/>
    <w:rsid w:val="005C32EA"/>
    <w:rPr>
      <w:rFonts w:cs="Times New Roman"/>
      <w:b/>
      <w:i/>
      <w:sz w:val="24"/>
      <w:lang w:val="en-GB"/>
    </w:rPr>
  </w:style>
  <w:style w:type="character" w:customStyle="1" w:styleId="Heading3Char">
    <w:name w:val="Heading 3 Char"/>
    <w:basedOn w:val="DefaultParagraphFont"/>
    <w:link w:val="Heading3"/>
    <w:uiPriority w:val="99"/>
    <w:semiHidden/>
    <w:locked/>
    <w:rsid w:val="003F59D7"/>
    <w:rPr>
      <w:rFonts w:ascii="Cambria" w:eastAsia="宋体" w:hAnsi="Cambria" w:cs="Times New Roman"/>
      <w:b/>
      <w:bCs/>
      <w:sz w:val="26"/>
      <w:szCs w:val="26"/>
      <w:lang w:val="en-GB" w:eastAsia="en-US"/>
    </w:rPr>
  </w:style>
  <w:style w:type="character" w:customStyle="1" w:styleId="Heading4Char">
    <w:name w:val="Heading 4 Char"/>
    <w:basedOn w:val="DefaultParagraphFont"/>
    <w:link w:val="Heading40"/>
    <w:uiPriority w:val="99"/>
    <w:semiHidden/>
    <w:locked/>
    <w:rsid w:val="003F59D7"/>
    <w:rPr>
      <w:rFonts w:ascii="Calibri" w:eastAsia="宋体" w:hAnsi="Calibri" w:cs="Times New Roman"/>
      <w:b/>
      <w:bCs/>
      <w:sz w:val="28"/>
      <w:szCs w:val="28"/>
      <w:lang w:val="en-GB" w:eastAsia="en-US"/>
    </w:rPr>
  </w:style>
  <w:style w:type="character" w:customStyle="1" w:styleId="Heading5Char">
    <w:name w:val="Heading 5 Char"/>
    <w:basedOn w:val="DefaultParagraphFont"/>
    <w:link w:val="Heading5"/>
    <w:uiPriority w:val="99"/>
    <w:locked/>
    <w:rsid w:val="003F59D7"/>
    <w:rPr>
      <w:rFonts w:eastAsia="宋体"/>
      <w:bCs/>
      <w:i/>
      <w:sz w:val="24"/>
      <w:szCs w:val="26"/>
      <w:lang w:val="en-CA" w:eastAsia="en-US"/>
    </w:rPr>
  </w:style>
  <w:style w:type="character" w:customStyle="1" w:styleId="Heading6Char">
    <w:name w:val="Heading 6 Char"/>
    <w:basedOn w:val="DefaultParagraphFont"/>
    <w:link w:val="Heading6"/>
    <w:uiPriority w:val="99"/>
    <w:locked/>
    <w:rsid w:val="005C32EA"/>
    <w:rPr>
      <w:rFonts w:cs="Times New Roman"/>
      <w:i/>
      <w:sz w:val="24"/>
      <w:lang w:val="en-GB" w:eastAsia="en-US"/>
    </w:rPr>
  </w:style>
  <w:style w:type="character" w:customStyle="1" w:styleId="Heading7Char">
    <w:name w:val="Heading 7 Char"/>
    <w:basedOn w:val="DefaultParagraphFont"/>
    <w:link w:val="Heading7"/>
    <w:uiPriority w:val="99"/>
    <w:semiHidden/>
    <w:locked/>
    <w:rsid w:val="003F59D7"/>
    <w:rPr>
      <w:rFonts w:ascii="Calibri" w:eastAsia="宋体" w:hAnsi="Calibri" w:cs="Times New Roman"/>
      <w:sz w:val="24"/>
      <w:szCs w:val="24"/>
      <w:lang w:val="en-GB" w:eastAsia="en-US"/>
    </w:rPr>
  </w:style>
  <w:style w:type="character" w:customStyle="1" w:styleId="Heading8Char">
    <w:name w:val="Heading 8 Char"/>
    <w:basedOn w:val="DefaultParagraphFont"/>
    <w:link w:val="Heading8"/>
    <w:uiPriority w:val="99"/>
    <w:semiHidden/>
    <w:locked/>
    <w:rsid w:val="003F59D7"/>
    <w:rPr>
      <w:rFonts w:ascii="Calibri" w:eastAsia="宋体" w:hAnsi="Calibri" w:cs="Times New Roman"/>
      <w:i/>
      <w:iCs/>
      <w:sz w:val="24"/>
      <w:szCs w:val="24"/>
      <w:lang w:val="en-GB" w:eastAsia="en-US"/>
    </w:rPr>
  </w:style>
  <w:style w:type="character" w:customStyle="1" w:styleId="Heading9Char">
    <w:name w:val="Heading 9 Char"/>
    <w:basedOn w:val="DefaultParagraphFont"/>
    <w:link w:val="Heading9"/>
    <w:uiPriority w:val="99"/>
    <w:locked/>
    <w:rsid w:val="005C32EA"/>
    <w:rPr>
      <w:rFonts w:cs="Times New Roman"/>
      <w:i/>
      <w:sz w:val="24"/>
      <w:lang w:val="en-GB"/>
    </w:rPr>
  </w:style>
  <w:style w:type="paragraph" w:styleId="BalloonText">
    <w:name w:val="Balloon Text"/>
    <w:basedOn w:val="Normal"/>
    <w:link w:val="BalloonTextChar1"/>
    <w:uiPriority w:val="99"/>
    <w:semiHidden/>
    <w:rsid w:val="005C32EA"/>
    <w:rPr>
      <w:rFonts w:ascii="Lucida Grande" w:eastAsia="Malgun Gothic" w:hAnsi="Lucida Grande"/>
      <w:sz w:val="18"/>
      <w:szCs w:val="20"/>
      <w:lang w:val="en-US" w:eastAsia="zh-CN"/>
    </w:rPr>
  </w:style>
  <w:style w:type="character" w:customStyle="1" w:styleId="BalloonTextChar">
    <w:name w:val="Balloon Text Char"/>
    <w:basedOn w:val="DefaultParagraphFont"/>
    <w:link w:val="BalloonText"/>
    <w:uiPriority w:val="99"/>
    <w:semiHidden/>
    <w:locked/>
    <w:rsid w:val="005C32EA"/>
    <w:rPr>
      <w:rFonts w:ascii="Lucida Grande" w:hAnsi="Lucida Grande" w:cs="Times New Roman"/>
      <w:sz w:val="18"/>
    </w:rPr>
  </w:style>
  <w:style w:type="character" w:customStyle="1" w:styleId="BalloonTextChar2">
    <w:name w:val="Balloon Text Char2"/>
    <w:uiPriority w:val="99"/>
    <w:semiHidden/>
    <w:rsid w:val="005C32EA"/>
    <w:rPr>
      <w:rFonts w:ascii="Lucida Grande" w:hAnsi="Lucida Grande"/>
      <w:sz w:val="18"/>
    </w:rPr>
  </w:style>
  <w:style w:type="character" w:customStyle="1" w:styleId="BalloonTextChar1">
    <w:name w:val="Balloon Text Char1"/>
    <w:link w:val="BalloonText"/>
    <w:uiPriority w:val="99"/>
    <w:semiHidden/>
    <w:locked/>
    <w:rsid w:val="005C32EA"/>
    <w:rPr>
      <w:rFonts w:ascii="Lucida Grande" w:hAnsi="Lucida Grande"/>
      <w:sz w:val="18"/>
    </w:rPr>
  </w:style>
  <w:style w:type="paragraph" w:styleId="BodyText">
    <w:name w:val="Body Text"/>
    <w:basedOn w:val="Normal"/>
    <w:link w:val="BodyTextChar"/>
    <w:uiPriority w:val="99"/>
    <w:rsid w:val="005C32EA"/>
    <w:pPr>
      <w:spacing w:before="120" w:after="120"/>
      <w:ind w:firstLine="720"/>
    </w:pPr>
    <w:rPr>
      <w:iCs/>
      <w:lang w:eastAsia="zh-CN"/>
    </w:rPr>
  </w:style>
  <w:style w:type="character" w:customStyle="1" w:styleId="BodyTextChar">
    <w:name w:val="Body Text Char"/>
    <w:basedOn w:val="DefaultParagraphFont"/>
    <w:link w:val="BodyText"/>
    <w:uiPriority w:val="99"/>
    <w:locked/>
    <w:rsid w:val="005C32EA"/>
    <w:rPr>
      <w:rFonts w:cs="Times New Roman"/>
      <w:sz w:val="24"/>
      <w:lang w:val="en-GB"/>
    </w:rPr>
  </w:style>
  <w:style w:type="paragraph" w:styleId="Footer">
    <w:name w:val="footer"/>
    <w:basedOn w:val="Normal"/>
    <w:link w:val="FooterChar"/>
    <w:uiPriority w:val="99"/>
    <w:rsid w:val="005C32EA"/>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sid w:val="003F59D7"/>
    <w:rPr>
      <w:rFonts w:eastAsia="宋体" w:cs="Times New Roman"/>
      <w:sz w:val="24"/>
      <w:szCs w:val="24"/>
      <w:lang w:val="en-GB" w:eastAsia="en-US"/>
    </w:rPr>
  </w:style>
  <w:style w:type="paragraph" w:customStyle="1" w:styleId="Para10">
    <w:name w:val="Para1"/>
    <w:basedOn w:val="Normal"/>
    <w:link w:val="Para1Char"/>
    <w:uiPriority w:val="99"/>
    <w:rsid w:val="005C32EA"/>
    <w:pPr>
      <w:numPr>
        <w:numId w:val="13"/>
      </w:numPr>
      <w:tabs>
        <w:tab w:val="clear" w:pos="720"/>
        <w:tab w:val="num" w:pos="360"/>
      </w:tabs>
      <w:spacing w:before="120" w:after="120"/>
    </w:pPr>
    <w:rPr>
      <w:sz w:val="18"/>
      <w:szCs w:val="20"/>
      <w:lang w:eastAsia="zh-CN"/>
    </w:rPr>
  </w:style>
  <w:style w:type="paragraph" w:customStyle="1" w:styleId="Para20">
    <w:name w:val="Para2"/>
    <w:basedOn w:val="Para10"/>
    <w:uiPriority w:val="99"/>
    <w:rsid w:val="005C32EA"/>
    <w:pPr>
      <w:numPr>
        <w:numId w:val="16"/>
      </w:numPr>
      <w:tabs>
        <w:tab w:val="num" w:pos="990"/>
      </w:tabs>
      <w:autoSpaceDE w:val="0"/>
      <w:autoSpaceDN w:val="0"/>
    </w:pPr>
  </w:style>
  <w:style w:type="paragraph" w:customStyle="1" w:styleId="Para3">
    <w:name w:val="Para3"/>
    <w:basedOn w:val="Normal"/>
    <w:uiPriority w:val="99"/>
    <w:rsid w:val="005C32EA"/>
    <w:pPr>
      <w:numPr>
        <w:ilvl w:val="2"/>
        <w:numId w:val="11"/>
      </w:numPr>
      <w:tabs>
        <w:tab w:val="clear" w:pos="360"/>
        <w:tab w:val="num" w:pos="1440"/>
      </w:tabs>
      <w:spacing w:before="80" w:after="80"/>
      <w:ind w:left="1440" w:hanging="36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5C32EA"/>
    <w:pPr>
      <w:keepLines/>
      <w:spacing w:after="60"/>
      <w:ind w:firstLine="720"/>
    </w:pPr>
    <w:rPr>
      <w:rFonts w:eastAsia="Malgun Gothic"/>
      <w:szCs w:val="20"/>
      <w:lang w:eastAsia="zh-CN"/>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3F59D7"/>
    <w:rPr>
      <w:rFonts w:eastAsia="宋体" w:cs="Times New Roman"/>
      <w:sz w:val="20"/>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rsid w:val="005C32EA"/>
    <w:rPr>
      <w:rFonts w:cs="Times New Roman"/>
      <w:sz w:val="18"/>
      <w:u w:val="single"/>
      <w:vertAlign w:val="baseline"/>
    </w:rPr>
  </w:style>
  <w:style w:type="paragraph" w:customStyle="1" w:styleId="Cornernotation">
    <w:name w:val="Corner notation"/>
    <w:basedOn w:val="Normal"/>
    <w:uiPriority w:val="99"/>
    <w:rsid w:val="005C32EA"/>
    <w:pPr>
      <w:ind w:left="284" w:right="4398" w:hanging="284"/>
      <w:jc w:val="left"/>
    </w:pPr>
  </w:style>
  <w:style w:type="paragraph" w:customStyle="1" w:styleId="para2">
    <w:name w:val="para2"/>
    <w:basedOn w:val="Normal"/>
    <w:uiPriority w:val="99"/>
    <w:rsid w:val="005C32EA"/>
    <w:pPr>
      <w:numPr>
        <w:numId w:val="12"/>
      </w:numPr>
      <w:tabs>
        <w:tab w:val="clear" w:pos="360"/>
      </w:tabs>
      <w:spacing w:before="120" w:after="120"/>
    </w:pPr>
    <w:rPr>
      <w:szCs w:val="20"/>
    </w:rPr>
  </w:style>
  <w:style w:type="paragraph" w:customStyle="1" w:styleId="Paranum">
    <w:name w:val="Paranum"/>
    <w:basedOn w:val="Para10"/>
    <w:uiPriority w:val="99"/>
    <w:rsid w:val="005C32EA"/>
    <w:pPr>
      <w:numPr>
        <w:numId w:val="11"/>
      </w:numPr>
      <w:spacing w:line="240" w:lineRule="exact"/>
    </w:pPr>
    <w:rPr>
      <w:lang w:val="en-US"/>
    </w:rPr>
  </w:style>
  <w:style w:type="paragraph" w:styleId="EndnoteText">
    <w:name w:val="endnote text"/>
    <w:basedOn w:val="Normal"/>
    <w:link w:val="EndnoteTextChar"/>
    <w:uiPriority w:val="99"/>
    <w:semiHidden/>
    <w:rsid w:val="005C32E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3F59D7"/>
    <w:rPr>
      <w:rFonts w:eastAsia="宋体" w:cs="Times New Roman"/>
      <w:sz w:val="20"/>
      <w:szCs w:val="20"/>
      <w:lang w:val="en-GB" w:eastAsia="en-US"/>
    </w:rPr>
  </w:style>
  <w:style w:type="character" w:styleId="EndnoteReference">
    <w:name w:val="endnote reference"/>
    <w:basedOn w:val="DefaultParagraphFont"/>
    <w:uiPriority w:val="99"/>
    <w:semiHidden/>
    <w:rsid w:val="005C32EA"/>
    <w:rPr>
      <w:rFonts w:cs="Times New Roman"/>
      <w:vertAlign w:val="superscript"/>
    </w:rPr>
  </w:style>
  <w:style w:type="character" w:styleId="PageNumber">
    <w:name w:val="page number"/>
    <w:basedOn w:val="DefaultParagraphFont"/>
    <w:uiPriority w:val="99"/>
    <w:rsid w:val="005C32EA"/>
    <w:rPr>
      <w:rFonts w:ascii="Times New Roman" w:hAnsi="Times New Roman" w:cs="Times New Roman"/>
      <w:sz w:val="22"/>
    </w:rPr>
  </w:style>
  <w:style w:type="paragraph" w:customStyle="1" w:styleId="para4">
    <w:name w:val="para4"/>
    <w:basedOn w:val="Normal"/>
    <w:uiPriority w:val="99"/>
    <w:rsid w:val="005C32EA"/>
    <w:pPr>
      <w:numPr>
        <w:ilvl w:val="3"/>
        <w:numId w:val="15"/>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uiPriority w:val="99"/>
    <w:rsid w:val="005C32EA"/>
    <w:pPr>
      <w:ind w:left="1843" w:right="996" w:hanging="567"/>
      <w:jc w:val="left"/>
    </w:pPr>
  </w:style>
  <w:style w:type="paragraph" w:customStyle="1" w:styleId="Heading2multiline">
    <w:name w:val="Heading 2 (multiline)"/>
    <w:basedOn w:val="Heading1"/>
    <w:next w:val="Normal"/>
    <w:uiPriority w:val="99"/>
    <w:rsid w:val="005C32EA"/>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5C32EA"/>
    <w:pPr>
      <w:tabs>
        <w:tab w:val="left" w:pos="567"/>
      </w:tabs>
      <w:ind w:left="1418" w:hanging="425"/>
      <w:jc w:val="left"/>
    </w:pPr>
  </w:style>
  <w:style w:type="paragraph" w:customStyle="1" w:styleId="Heading2longmultiline">
    <w:name w:val="Heading 2 (long multiline)"/>
    <w:basedOn w:val="Heading2multiline"/>
    <w:uiPriority w:val="99"/>
    <w:rsid w:val="005C32EA"/>
    <w:pPr>
      <w:ind w:left="2127" w:hanging="1276"/>
    </w:pPr>
    <w:rPr>
      <w:sz w:val="22"/>
    </w:rPr>
  </w:style>
  <w:style w:type="paragraph" w:customStyle="1" w:styleId="Heading1longmultiline">
    <w:name w:val="Heading 1 (long multiline)"/>
    <w:basedOn w:val="Heading1"/>
    <w:uiPriority w:val="99"/>
    <w:rsid w:val="005C32EA"/>
    <w:pPr>
      <w:ind w:left="1843" w:right="6" w:hanging="1134"/>
      <w:jc w:val="left"/>
    </w:pPr>
  </w:style>
  <w:style w:type="paragraph" w:styleId="BodyTextIndent">
    <w:name w:val="Body Text Indent"/>
    <w:basedOn w:val="Normal"/>
    <w:link w:val="BodyTextIndentChar"/>
    <w:uiPriority w:val="99"/>
    <w:rsid w:val="005C32EA"/>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sid w:val="003F59D7"/>
    <w:rPr>
      <w:rFonts w:eastAsia="宋体" w:cs="Times New Roman"/>
      <w:sz w:val="24"/>
      <w:szCs w:val="24"/>
      <w:lang w:val="en-GB" w:eastAsia="en-US"/>
    </w:rPr>
  </w:style>
  <w:style w:type="paragraph" w:customStyle="1" w:styleId="Heading-plainbold">
    <w:name w:val="Heading-plain bold"/>
    <w:basedOn w:val="BodyText"/>
    <w:uiPriority w:val="99"/>
    <w:rsid w:val="005C32EA"/>
    <w:pPr>
      <w:ind w:firstLine="0"/>
      <w:jc w:val="center"/>
    </w:pPr>
    <w:rPr>
      <w:b/>
      <w:bCs/>
      <w:i/>
      <w:iCs w:val="0"/>
    </w:rPr>
  </w:style>
  <w:style w:type="paragraph" w:customStyle="1" w:styleId="Heading-plainitalic">
    <w:name w:val="Heading-plain italic"/>
    <w:basedOn w:val="Normal"/>
    <w:uiPriority w:val="99"/>
    <w:rsid w:val="005C32EA"/>
    <w:pPr>
      <w:spacing w:before="120" w:after="120"/>
      <w:jc w:val="center"/>
    </w:pPr>
    <w:rPr>
      <w:i/>
      <w:szCs w:val="20"/>
    </w:rPr>
  </w:style>
  <w:style w:type="paragraph" w:styleId="TOC1">
    <w:name w:val="toc 1"/>
    <w:basedOn w:val="Normal"/>
    <w:next w:val="Normal"/>
    <w:autoRedefine/>
    <w:uiPriority w:val="99"/>
    <w:semiHidden/>
    <w:rsid w:val="005C32EA"/>
    <w:pPr>
      <w:tabs>
        <w:tab w:val="left" w:pos="1200"/>
        <w:tab w:val="right" w:leader="dot" w:pos="9350"/>
      </w:tabs>
      <w:spacing w:before="120" w:after="120"/>
      <w:ind w:left="1210" w:right="450" w:hanging="1210"/>
      <w:jc w:val="left"/>
    </w:pPr>
    <w:rPr>
      <w:noProof/>
      <w:szCs w:val="22"/>
      <w:lang w:val="en-CA"/>
    </w:rPr>
  </w:style>
  <w:style w:type="paragraph" w:styleId="TOC2">
    <w:name w:val="toc 2"/>
    <w:basedOn w:val="Normal"/>
    <w:next w:val="Normal"/>
    <w:autoRedefine/>
    <w:uiPriority w:val="99"/>
    <w:semiHidden/>
    <w:rsid w:val="005C32EA"/>
    <w:pPr>
      <w:tabs>
        <w:tab w:val="left" w:pos="2750"/>
        <w:tab w:val="right" w:leader="dot" w:pos="9350"/>
      </w:tabs>
      <w:spacing w:before="120" w:after="120"/>
      <w:ind w:left="2310" w:right="448" w:hanging="1100"/>
      <w:jc w:val="left"/>
    </w:pPr>
    <w:rPr>
      <w:noProof/>
      <w:szCs w:val="22"/>
      <w:lang w:val="en-US"/>
    </w:rPr>
  </w:style>
  <w:style w:type="paragraph" w:styleId="TOC3">
    <w:name w:val="toc 3"/>
    <w:basedOn w:val="Normal"/>
    <w:next w:val="Normal"/>
    <w:autoRedefine/>
    <w:uiPriority w:val="99"/>
    <w:semiHidden/>
    <w:rsid w:val="005C32EA"/>
    <w:pPr>
      <w:spacing w:before="120" w:after="120"/>
      <w:ind w:left="480"/>
      <w:jc w:val="left"/>
    </w:pPr>
    <w:rPr>
      <w:lang w:val="en-CA"/>
    </w:rPr>
  </w:style>
  <w:style w:type="paragraph" w:styleId="Header">
    <w:name w:val="header"/>
    <w:basedOn w:val="Normal"/>
    <w:link w:val="HeaderChar"/>
    <w:uiPriority w:val="99"/>
    <w:rsid w:val="005C32EA"/>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HeaderChar">
    <w:name w:val="Header Char"/>
    <w:basedOn w:val="DefaultParagraphFont"/>
    <w:link w:val="Header"/>
    <w:uiPriority w:val="99"/>
    <w:semiHidden/>
    <w:locked/>
    <w:rsid w:val="003F59D7"/>
    <w:rPr>
      <w:rFonts w:eastAsia="宋体" w:cs="Times New Roman"/>
      <w:sz w:val="24"/>
      <w:szCs w:val="24"/>
      <w:lang w:val="en-GB" w:eastAsia="en-US"/>
    </w:rPr>
  </w:style>
  <w:style w:type="paragraph" w:customStyle="1" w:styleId="HEADINGNOTFORTOC">
    <w:name w:val="HEADING (NOT FOR TOC)"/>
    <w:basedOn w:val="Heading1"/>
    <w:next w:val="Heading2"/>
    <w:uiPriority w:val="99"/>
    <w:rsid w:val="005C32EA"/>
  </w:style>
  <w:style w:type="paragraph" w:customStyle="1" w:styleId="Paragraph">
    <w:name w:val="Paragraph"/>
    <w:basedOn w:val="Normal"/>
    <w:uiPriority w:val="99"/>
    <w:rsid w:val="005C32EA"/>
    <w:pPr>
      <w:spacing w:before="120" w:after="120"/>
    </w:pPr>
  </w:style>
  <w:style w:type="paragraph" w:customStyle="1" w:styleId="Heading4">
    <w:name w:val="Heading4"/>
    <w:basedOn w:val="Normal"/>
    <w:uiPriority w:val="99"/>
    <w:rsid w:val="005C32EA"/>
    <w:pPr>
      <w:numPr>
        <w:numId w:val="10"/>
      </w:numPr>
    </w:pPr>
    <w:rPr>
      <w:b/>
      <w:i/>
      <w:iCs/>
      <w:szCs w:val="20"/>
    </w:rPr>
  </w:style>
  <w:style w:type="paragraph" w:customStyle="1" w:styleId="Activity">
    <w:name w:val="Activity"/>
    <w:basedOn w:val="Normal"/>
    <w:uiPriority w:val="99"/>
    <w:rsid w:val="005C32EA"/>
    <w:pPr>
      <w:numPr>
        <w:ilvl w:val="1"/>
        <w:numId w:val="14"/>
      </w:numPr>
      <w:spacing w:before="120" w:after="120"/>
    </w:pPr>
  </w:style>
  <w:style w:type="paragraph" w:styleId="BodyTextIndent3">
    <w:name w:val="Body Text Indent 3"/>
    <w:basedOn w:val="Normal"/>
    <w:link w:val="BodyTextIndent3Char"/>
    <w:uiPriority w:val="99"/>
    <w:rsid w:val="005C32EA"/>
    <w:pPr>
      <w:ind w:left="720"/>
      <w:jc w:val="left"/>
    </w:pPr>
    <w:rPr>
      <w:szCs w:val="20"/>
    </w:rPr>
  </w:style>
  <w:style w:type="character" w:customStyle="1" w:styleId="BodyTextIndent3Char">
    <w:name w:val="Body Text Indent 3 Char"/>
    <w:basedOn w:val="DefaultParagraphFont"/>
    <w:link w:val="BodyTextIndent3"/>
    <w:uiPriority w:val="99"/>
    <w:semiHidden/>
    <w:locked/>
    <w:rsid w:val="003F59D7"/>
    <w:rPr>
      <w:rFonts w:eastAsia="宋体" w:cs="Times New Roman"/>
      <w:sz w:val="16"/>
      <w:szCs w:val="16"/>
      <w:lang w:val="en-GB" w:eastAsia="en-US"/>
    </w:rPr>
  </w:style>
  <w:style w:type="paragraph" w:styleId="BodyText2">
    <w:name w:val="Body Text 2"/>
    <w:basedOn w:val="Normal"/>
    <w:link w:val="BodyText2Char"/>
    <w:uiPriority w:val="99"/>
    <w:rsid w:val="005C32EA"/>
    <w:pPr>
      <w:jc w:val="right"/>
    </w:pPr>
    <w:rPr>
      <w:szCs w:val="20"/>
    </w:rPr>
  </w:style>
  <w:style w:type="character" w:customStyle="1" w:styleId="BodyText2Char">
    <w:name w:val="Body Text 2 Char"/>
    <w:basedOn w:val="DefaultParagraphFont"/>
    <w:link w:val="BodyText2"/>
    <w:uiPriority w:val="99"/>
    <w:semiHidden/>
    <w:locked/>
    <w:rsid w:val="003F59D7"/>
    <w:rPr>
      <w:rFonts w:eastAsia="宋体" w:cs="Times New Roman"/>
      <w:sz w:val="24"/>
      <w:szCs w:val="24"/>
      <w:lang w:val="en-GB" w:eastAsia="en-US"/>
    </w:rPr>
  </w:style>
  <w:style w:type="paragraph" w:customStyle="1" w:styleId="HEADING">
    <w:name w:val="HEADING"/>
    <w:basedOn w:val="Normal"/>
    <w:uiPriority w:val="99"/>
    <w:rsid w:val="005C32EA"/>
    <w:pPr>
      <w:keepNext/>
      <w:tabs>
        <w:tab w:val="left" w:pos="1134"/>
      </w:tabs>
      <w:spacing w:before="240" w:after="120"/>
      <w:jc w:val="center"/>
    </w:pPr>
    <w:rPr>
      <w:b/>
      <w:caps/>
    </w:rPr>
  </w:style>
  <w:style w:type="paragraph" w:customStyle="1" w:styleId="Heading2-center">
    <w:name w:val="Heading 2-center"/>
    <w:basedOn w:val="Heading2"/>
    <w:uiPriority w:val="99"/>
    <w:rsid w:val="005C32EA"/>
    <w:pPr>
      <w:ind w:left="1304" w:right="1134" w:hanging="340"/>
      <w:outlineLvl w:val="9"/>
    </w:pPr>
    <w:rPr>
      <w:b w:val="0"/>
      <w:i w:val="0"/>
      <w:caps/>
      <w:szCs w:val="28"/>
    </w:rPr>
  </w:style>
  <w:style w:type="paragraph" w:styleId="BodyTextIndent2">
    <w:name w:val="Body Text Indent 2"/>
    <w:basedOn w:val="Normal"/>
    <w:link w:val="BodyTextIndent2Char"/>
    <w:uiPriority w:val="99"/>
    <w:rsid w:val="005C32EA"/>
    <w:pPr>
      <w:ind w:firstLine="709"/>
    </w:pPr>
  </w:style>
  <w:style w:type="character" w:customStyle="1" w:styleId="BodyTextIndent2Char">
    <w:name w:val="Body Text Indent 2 Char"/>
    <w:basedOn w:val="DefaultParagraphFont"/>
    <w:link w:val="BodyTextIndent2"/>
    <w:uiPriority w:val="99"/>
    <w:semiHidden/>
    <w:locked/>
    <w:rsid w:val="003F59D7"/>
    <w:rPr>
      <w:rFonts w:eastAsia="宋体" w:cs="Times New Roman"/>
      <w:sz w:val="24"/>
      <w:szCs w:val="24"/>
      <w:lang w:val="en-GB" w:eastAsia="en-US"/>
    </w:rPr>
  </w:style>
  <w:style w:type="paragraph" w:customStyle="1" w:styleId="bodytextnoindent">
    <w:name w:val="body text (no indent)"/>
    <w:basedOn w:val="Normal"/>
    <w:uiPriority w:val="99"/>
    <w:rsid w:val="005C32EA"/>
    <w:pPr>
      <w:spacing w:before="120" w:after="120"/>
    </w:pPr>
  </w:style>
  <w:style w:type="paragraph" w:customStyle="1" w:styleId="Heading2noletter">
    <w:name w:val="Heading 2 (no letter)"/>
    <w:basedOn w:val="Heading2"/>
    <w:uiPriority w:val="99"/>
    <w:rsid w:val="005C32EA"/>
  </w:style>
  <w:style w:type="paragraph" w:customStyle="1" w:styleId="Heading4indent">
    <w:name w:val="Heading 4 indent"/>
    <w:basedOn w:val="Heading40"/>
    <w:uiPriority w:val="99"/>
    <w:rsid w:val="005C32EA"/>
    <w:pPr>
      <w:ind w:left="720"/>
      <w:outlineLvl w:val="9"/>
    </w:pPr>
  </w:style>
  <w:style w:type="paragraph" w:customStyle="1" w:styleId="heading-plainbold0">
    <w:name w:val="heading-plain bold"/>
    <w:basedOn w:val="Heading1"/>
    <w:uiPriority w:val="99"/>
    <w:rsid w:val="005C32EA"/>
    <w:pPr>
      <w:spacing w:before="120"/>
      <w:ind w:right="0"/>
    </w:pPr>
    <w:rPr>
      <w:i/>
      <w:iCs/>
      <w:caps w:val="0"/>
    </w:rPr>
  </w:style>
  <w:style w:type="character" w:styleId="Hyperlink">
    <w:name w:val="Hyperlink"/>
    <w:basedOn w:val="DefaultParagraphFont"/>
    <w:uiPriority w:val="99"/>
    <w:rsid w:val="005C32EA"/>
    <w:rPr>
      <w:rFonts w:cs="Times New Roman"/>
      <w:color w:val="0000FF"/>
      <w:sz w:val="18"/>
      <w:u w:val="single"/>
    </w:rPr>
  </w:style>
  <w:style w:type="paragraph" w:customStyle="1" w:styleId="aident">
    <w:name w:val="(a) ident"/>
    <w:basedOn w:val="Normal"/>
    <w:uiPriority w:val="99"/>
    <w:rsid w:val="005C32EA"/>
    <w:pPr>
      <w:tabs>
        <w:tab w:val="num" w:pos="1077"/>
      </w:tabs>
      <w:autoSpaceDE w:val="0"/>
      <w:autoSpaceDN w:val="0"/>
      <w:spacing w:before="120" w:after="120"/>
      <w:ind w:left="1077" w:hanging="357"/>
    </w:pPr>
    <w:rPr>
      <w:szCs w:val="18"/>
    </w:rPr>
  </w:style>
  <w:style w:type="paragraph" w:customStyle="1" w:styleId="para11">
    <w:name w:val="para1"/>
    <w:basedOn w:val="Normal"/>
    <w:uiPriority w:val="99"/>
    <w:rsid w:val="005C32EA"/>
    <w:pPr>
      <w:spacing w:before="100" w:beforeAutospacing="1" w:after="100" w:afterAutospacing="1"/>
      <w:jc w:val="left"/>
    </w:pPr>
    <w:rPr>
      <w:rFonts w:ascii="Arial Unicode MS" w:eastAsia="Malgun Gothic" w:hAnsi="Arial Unicode MS" w:cs="Arial Unicode MS"/>
      <w:lang w:val="en-US"/>
    </w:rPr>
  </w:style>
  <w:style w:type="character" w:styleId="FollowedHyperlink">
    <w:name w:val="FollowedHyperlink"/>
    <w:basedOn w:val="DefaultParagraphFont"/>
    <w:uiPriority w:val="99"/>
    <w:rsid w:val="005C32EA"/>
    <w:rPr>
      <w:rFonts w:cs="Times New Roman"/>
      <w:color w:val="800080"/>
      <w:u w:val="single"/>
    </w:rPr>
  </w:style>
  <w:style w:type="character" w:styleId="CommentReference">
    <w:name w:val="annotation reference"/>
    <w:basedOn w:val="DefaultParagraphFont"/>
    <w:uiPriority w:val="99"/>
    <w:semiHidden/>
    <w:rsid w:val="005C32EA"/>
    <w:rPr>
      <w:rFonts w:cs="Times New Roman"/>
      <w:sz w:val="16"/>
    </w:rPr>
  </w:style>
  <w:style w:type="paragraph" w:styleId="CommentText">
    <w:name w:val="annotation text"/>
    <w:basedOn w:val="Normal"/>
    <w:link w:val="CommentTextChar"/>
    <w:uiPriority w:val="99"/>
    <w:semiHidden/>
    <w:rsid w:val="005C32EA"/>
    <w:rPr>
      <w:sz w:val="20"/>
      <w:szCs w:val="20"/>
      <w:lang w:eastAsia="zh-CN"/>
    </w:rPr>
  </w:style>
  <w:style w:type="character" w:customStyle="1" w:styleId="CommentTextChar">
    <w:name w:val="Comment Text Char"/>
    <w:basedOn w:val="DefaultParagraphFont"/>
    <w:link w:val="CommentText"/>
    <w:uiPriority w:val="99"/>
    <w:semiHidden/>
    <w:locked/>
    <w:rsid w:val="005C32EA"/>
    <w:rPr>
      <w:rFonts w:cs="Times New Roman"/>
      <w:lang w:val="en-GB"/>
    </w:rPr>
  </w:style>
  <w:style w:type="paragraph" w:customStyle="1" w:styleId="FOOTNOTETEX">
    <w:name w:val="FOOTNOTE TEX"/>
    <w:uiPriority w:val="99"/>
    <w:rsid w:val="005C32EA"/>
    <w:pPr>
      <w:widowControl w:val="0"/>
      <w:tabs>
        <w:tab w:val="left" w:pos="-720"/>
      </w:tabs>
      <w:suppressAutoHyphens/>
    </w:pPr>
    <w:rPr>
      <w:sz w:val="20"/>
      <w:szCs w:val="20"/>
      <w:lang w:eastAsia="en-US"/>
    </w:rPr>
  </w:style>
  <w:style w:type="character" w:styleId="Strong">
    <w:name w:val="Strong"/>
    <w:basedOn w:val="DefaultParagraphFont"/>
    <w:uiPriority w:val="99"/>
    <w:qFormat/>
    <w:rsid w:val="005C32EA"/>
    <w:rPr>
      <w:rFonts w:cs="Times New Roman"/>
      <w:b/>
    </w:rPr>
  </w:style>
  <w:style w:type="paragraph" w:customStyle="1" w:styleId="Paraofficial">
    <w:name w:val="Para official"/>
    <w:basedOn w:val="Normal"/>
    <w:uiPriority w:val="99"/>
    <w:rsid w:val="005C32EA"/>
    <w:pPr>
      <w:framePr w:hSpace="187" w:vSpace="187" w:wrap="notBeside" w:vAnchor="text" w:hAnchor="text" w:y="1"/>
      <w:numPr>
        <w:numId w:val="17"/>
      </w:numPr>
      <w:spacing w:before="240" w:after="240"/>
      <w:jc w:val="left"/>
    </w:pPr>
    <w:rPr>
      <w:szCs w:val="20"/>
    </w:rPr>
  </w:style>
  <w:style w:type="paragraph" w:styleId="BodyText3">
    <w:name w:val="Body Text 3"/>
    <w:basedOn w:val="Normal"/>
    <w:link w:val="BodyText3Char"/>
    <w:uiPriority w:val="99"/>
    <w:rsid w:val="005C32EA"/>
    <w:rPr>
      <w:color w:val="FF0000"/>
    </w:rPr>
  </w:style>
  <w:style w:type="character" w:customStyle="1" w:styleId="BodyText3Char">
    <w:name w:val="Body Text 3 Char"/>
    <w:basedOn w:val="DefaultParagraphFont"/>
    <w:link w:val="BodyText3"/>
    <w:uiPriority w:val="99"/>
    <w:semiHidden/>
    <w:locked/>
    <w:rsid w:val="003F59D7"/>
    <w:rPr>
      <w:rFonts w:eastAsia="宋体" w:cs="Times New Roman"/>
      <w:sz w:val="16"/>
      <w:szCs w:val="16"/>
      <w:lang w:val="en-GB" w:eastAsia="en-US"/>
    </w:rPr>
  </w:style>
  <w:style w:type="paragraph" w:styleId="NormalWeb">
    <w:name w:val="Normal (Web)"/>
    <w:basedOn w:val="Normal"/>
    <w:uiPriority w:val="99"/>
    <w:rsid w:val="005C32EA"/>
    <w:pPr>
      <w:spacing w:before="100" w:beforeAutospacing="1" w:after="100" w:afterAutospacing="1"/>
      <w:jc w:val="left"/>
    </w:pPr>
    <w:rPr>
      <w:lang w:val="en-US"/>
    </w:rPr>
  </w:style>
  <w:style w:type="paragraph" w:customStyle="1" w:styleId="Numbering">
    <w:name w:val="Numbering"/>
    <w:basedOn w:val="Normal"/>
    <w:uiPriority w:val="99"/>
    <w:rsid w:val="005C32EA"/>
    <w:pPr>
      <w:numPr>
        <w:numId w:val="18"/>
      </w:numPr>
    </w:pPr>
    <w:rPr>
      <w:lang w:val="en-US"/>
    </w:rPr>
  </w:style>
  <w:style w:type="paragraph" w:customStyle="1" w:styleId="Para2rev">
    <w:name w:val="Para 2 (rev)"/>
    <w:basedOn w:val="Normal"/>
    <w:uiPriority w:val="99"/>
    <w:rsid w:val="005C32EA"/>
    <w:pPr>
      <w:tabs>
        <w:tab w:val="num" w:pos="720"/>
      </w:tabs>
      <w:spacing w:after="120"/>
      <w:ind w:firstLine="720"/>
    </w:pPr>
  </w:style>
  <w:style w:type="character" w:customStyle="1" w:styleId="CharChar2">
    <w:name w:val="Char Char2"/>
    <w:uiPriority w:val="99"/>
    <w:semiHidden/>
    <w:rsid w:val="005C32EA"/>
    <w:rPr>
      <w:lang w:val="en-GB" w:eastAsia="en-US"/>
    </w:rPr>
  </w:style>
  <w:style w:type="paragraph" w:styleId="CommentSubject">
    <w:name w:val="annotation subject"/>
    <w:basedOn w:val="CommentText"/>
    <w:next w:val="CommentText"/>
    <w:link w:val="CommentSubjectChar"/>
    <w:uiPriority w:val="99"/>
    <w:semiHidden/>
    <w:rsid w:val="005C32EA"/>
    <w:rPr>
      <w:b/>
      <w:bCs/>
    </w:rPr>
  </w:style>
  <w:style w:type="character" w:customStyle="1" w:styleId="CommentSubjectChar">
    <w:name w:val="Comment Subject Char"/>
    <w:basedOn w:val="CommentTextChar"/>
    <w:link w:val="CommentSubject"/>
    <w:uiPriority w:val="99"/>
    <w:semiHidden/>
    <w:locked/>
    <w:rsid w:val="003F59D7"/>
    <w:rPr>
      <w:rFonts w:eastAsia="宋体"/>
      <w:b/>
      <w:bCs/>
      <w:sz w:val="20"/>
      <w:szCs w:val="20"/>
      <w:lang w:eastAsia="en-US"/>
    </w:rPr>
  </w:style>
  <w:style w:type="paragraph" w:styleId="ListBullet">
    <w:name w:val="List Bullet"/>
    <w:basedOn w:val="Normal"/>
    <w:autoRedefine/>
    <w:uiPriority w:val="99"/>
    <w:rsid w:val="005C32EA"/>
    <w:pPr>
      <w:numPr>
        <w:numId w:val="11"/>
      </w:numPr>
      <w:ind w:left="360" w:hanging="360"/>
      <w:jc w:val="left"/>
    </w:pPr>
    <w:rPr>
      <w:lang w:val="en-US"/>
    </w:rPr>
  </w:style>
  <w:style w:type="character" w:customStyle="1" w:styleId="Para1Char">
    <w:name w:val="Para1 Char"/>
    <w:link w:val="Para10"/>
    <w:uiPriority w:val="99"/>
    <w:locked/>
    <w:rsid w:val="005C32EA"/>
    <w:rPr>
      <w:rFonts w:eastAsia="宋体"/>
      <w:sz w:val="18"/>
      <w:lang w:val="en-GB"/>
    </w:rPr>
  </w:style>
  <w:style w:type="paragraph" w:customStyle="1" w:styleId="ColorfulList-Accent11">
    <w:name w:val="Colorful List - Accent 11"/>
    <w:basedOn w:val="Normal"/>
    <w:uiPriority w:val="99"/>
    <w:rsid w:val="005C32EA"/>
    <w:pPr>
      <w:spacing w:after="200" w:line="276" w:lineRule="auto"/>
      <w:ind w:left="720"/>
      <w:contextualSpacing/>
      <w:jc w:val="left"/>
    </w:pPr>
    <w:rPr>
      <w:rFonts w:ascii="Calibri" w:hAnsi="Calibri"/>
      <w:szCs w:val="22"/>
      <w:lang w:val="en-CA"/>
    </w:rPr>
  </w:style>
  <w:style w:type="character" w:styleId="Emphasis">
    <w:name w:val="Emphasis"/>
    <w:basedOn w:val="DefaultParagraphFont"/>
    <w:uiPriority w:val="99"/>
    <w:qFormat/>
    <w:rsid w:val="005C32EA"/>
    <w:rPr>
      <w:rFonts w:cs="Times New Roman"/>
      <w:i/>
    </w:rPr>
  </w:style>
  <w:style w:type="character" w:customStyle="1" w:styleId="CharChar3">
    <w:name w:val="Char Char3"/>
    <w:uiPriority w:val="99"/>
    <w:rsid w:val="005C32EA"/>
    <w:rPr>
      <w:rFonts w:ascii="Times New Roman" w:hAnsi="Times New Roman"/>
      <w:b/>
      <w:caps/>
      <w:sz w:val="24"/>
      <w:lang w:val="en-GB"/>
    </w:rPr>
  </w:style>
  <w:style w:type="paragraph" w:styleId="TOC9">
    <w:name w:val="toc 9"/>
    <w:basedOn w:val="Normal"/>
    <w:next w:val="Normal"/>
    <w:autoRedefine/>
    <w:uiPriority w:val="99"/>
    <w:rsid w:val="005C32EA"/>
    <w:pPr>
      <w:spacing w:before="120" w:after="120"/>
      <w:ind w:left="1760"/>
      <w:jc w:val="left"/>
    </w:pPr>
  </w:style>
  <w:style w:type="paragraph" w:customStyle="1" w:styleId="Default">
    <w:name w:val="Default"/>
    <w:uiPriority w:val="99"/>
    <w:rsid w:val="005C32EA"/>
    <w:pPr>
      <w:autoSpaceDE w:val="0"/>
      <w:autoSpaceDN w:val="0"/>
      <w:adjustRightInd w:val="0"/>
    </w:pPr>
    <w:rPr>
      <w:rFonts w:eastAsia="MS Mincho"/>
      <w:color w:val="000000"/>
      <w:sz w:val="24"/>
      <w:szCs w:val="24"/>
      <w:lang w:val="en-CA" w:eastAsia="ja-JP"/>
    </w:rPr>
  </w:style>
  <w:style w:type="character" w:customStyle="1" w:styleId="apple-style-span">
    <w:name w:val="apple-style-span"/>
    <w:uiPriority w:val="99"/>
    <w:rsid w:val="005C32EA"/>
  </w:style>
  <w:style w:type="paragraph" w:customStyle="1" w:styleId="ColorfulShading-Accent11">
    <w:name w:val="Colorful Shading - Accent 11"/>
    <w:hidden/>
    <w:uiPriority w:val="99"/>
    <w:semiHidden/>
    <w:rsid w:val="005C32EA"/>
    <w:rPr>
      <w:szCs w:val="24"/>
      <w:lang w:val="en-GB" w:eastAsia="en-US"/>
    </w:rPr>
  </w:style>
  <w:style w:type="paragraph" w:styleId="DocumentMap">
    <w:name w:val="Document Map"/>
    <w:basedOn w:val="Normal"/>
    <w:link w:val="DocumentMapChar"/>
    <w:uiPriority w:val="99"/>
    <w:semiHidden/>
    <w:rsid w:val="005C32E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3F59D7"/>
    <w:rPr>
      <w:rFonts w:eastAsia="宋体" w:cs="Times New Roman"/>
      <w:sz w:val="2"/>
      <w:lang w:val="en-GB" w:eastAsia="en-US"/>
    </w:rPr>
  </w:style>
  <w:style w:type="paragraph" w:customStyle="1" w:styleId="ColorfulList-Accent12">
    <w:name w:val="Colorful List - Accent 12"/>
    <w:basedOn w:val="Normal"/>
    <w:uiPriority w:val="99"/>
    <w:rsid w:val="005C32EA"/>
    <w:pPr>
      <w:ind w:left="720"/>
    </w:pPr>
  </w:style>
  <w:style w:type="character" w:customStyle="1" w:styleId="hps">
    <w:name w:val="hps"/>
    <w:uiPriority w:val="99"/>
    <w:rsid w:val="005C32EA"/>
  </w:style>
  <w:style w:type="table" w:styleId="TableGrid">
    <w:name w:val="Table Grid"/>
    <w:basedOn w:val="TableNormal"/>
    <w:uiPriority w:val="99"/>
    <w:rsid w:val="005C32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0"/>
    <w:uiPriority w:val="99"/>
    <w:rsid w:val="005C32EA"/>
  </w:style>
  <w:style w:type="paragraph" w:customStyle="1" w:styleId="Para40">
    <w:name w:val="Para4"/>
    <w:basedOn w:val="Para3"/>
    <w:uiPriority w:val="99"/>
    <w:rsid w:val="005C32EA"/>
    <w:pPr>
      <w:numPr>
        <w:ilvl w:val="0"/>
        <w:numId w:val="0"/>
      </w:numPr>
      <w:tabs>
        <w:tab w:val="left" w:pos="2552"/>
        <w:tab w:val="num" w:pos="2880"/>
      </w:tabs>
      <w:ind w:left="2880" w:hanging="360"/>
    </w:p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5C32EA"/>
    <w:rPr>
      <w:sz w:val="24"/>
      <w:lang w:val="en-GB"/>
    </w:rPr>
  </w:style>
  <w:style w:type="paragraph" w:customStyle="1" w:styleId="LightShading-Accent51">
    <w:name w:val="Light Shading - Accent 51"/>
    <w:hidden/>
    <w:uiPriority w:val="99"/>
    <w:semiHidden/>
    <w:rsid w:val="005C32EA"/>
    <w:rPr>
      <w:szCs w:val="24"/>
      <w:lang w:val="en-GB" w:eastAsia="en-US"/>
    </w:rPr>
  </w:style>
  <w:style w:type="paragraph" w:customStyle="1" w:styleId="Quotationtextindented">
    <w:name w:val="Quotation text (indented)"/>
    <w:basedOn w:val="Normal"/>
    <w:uiPriority w:val="99"/>
    <w:rsid w:val="005C32EA"/>
    <w:pPr>
      <w:spacing w:before="120" w:after="120"/>
      <w:ind w:left="720" w:right="720"/>
    </w:pPr>
    <w:rPr>
      <w:bCs/>
    </w:rPr>
  </w:style>
  <w:style w:type="paragraph" w:customStyle="1" w:styleId="Para1-Annex">
    <w:name w:val="Para1-Annex"/>
    <w:basedOn w:val="Normal"/>
    <w:uiPriority w:val="99"/>
    <w:rsid w:val="005C32EA"/>
    <w:pPr>
      <w:numPr>
        <w:numId w:val="22"/>
      </w:numPr>
      <w:spacing w:before="120" w:after="120"/>
    </w:pPr>
  </w:style>
  <w:style w:type="character" w:customStyle="1" w:styleId="StyleFootnoteReferenceNounderlineSuperscriptKernat10pt">
    <w:name w:val="Style Footnote Reference + No underline Superscript Kern at 10 pt"/>
    <w:uiPriority w:val="99"/>
    <w:rsid w:val="005C32EA"/>
    <w:rPr>
      <w:kern w:val="20"/>
      <w:sz w:val="22"/>
      <w:u w:val="none"/>
      <w:vertAlign w:val="superscript"/>
    </w:rPr>
  </w:style>
  <w:style w:type="paragraph" w:customStyle="1" w:styleId="MediumList1-Accent41">
    <w:name w:val="Medium List 1 - Accent 41"/>
    <w:hidden/>
    <w:uiPriority w:val="99"/>
    <w:rsid w:val="005C32EA"/>
    <w:rPr>
      <w:szCs w:val="24"/>
      <w:lang w:val="en-GB" w:eastAsia="en-US"/>
    </w:rPr>
  </w:style>
  <w:style w:type="character" w:customStyle="1" w:styleId="apple-converted-space">
    <w:name w:val="apple-converted-space"/>
    <w:uiPriority w:val="99"/>
    <w:rsid w:val="00C74EDA"/>
  </w:style>
  <w:style w:type="paragraph" w:customStyle="1" w:styleId="ColorfulShading-Accent31">
    <w:name w:val="Colorful Shading - Accent 31"/>
    <w:basedOn w:val="Normal"/>
    <w:uiPriority w:val="99"/>
    <w:rsid w:val="00065CC5"/>
    <w:pPr>
      <w:ind w:left="720"/>
    </w:pPr>
  </w:style>
  <w:style w:type="paragraph" w:customStyle="1" w:styleId="LightList-Accent31">
    <w:name w:val="Light List - Accent 31"/>
    <w:hidden/>
    <w:uiPriority w:val="99"/>
    <w:rsid w:val="004D669F"/>
    <w:rPr>
      <w:szCs w:val="24"/>
      <w:lang w:val="en-GB" w:eastAsia="en-US"/>
    </w:rPr>
  </w:style>
  <w:style w:type="paragraph" w:customStyle="1" w:styleId="Para1">
    <w:name w:val="Para 1"/>
    <w:basedOn w:val="BodyText"/>
    <w:uiPriority w:val="99"/>
    <w:rsid w:val="00544024"/>
    <w:pPr>
      <w:numPr>
        <w:numId w:val="23"/>
      </w:numPr>
    </w:pPr>
    <w:rPr>
      <w:rFonts w:eastAsia="MS Mincho" w:cs="Angsana New"/>
      <w:bCs/>
      <w:iCs w:val="0"/>
      <w:szCs w:val="22"/>
      <w:lang w:eastAsia="en-US"/>
    </w:rPr>
  </w:style>
  <w:style w:type="paragraph" w:customStyle="1" w:styleId="a">
    <w:name w:val="文件标题"/>
    <w:basedOn w:val="Normal"/>
    <w:uiPriority w:val="99"/>
    <w:rsid w:val="0023507A"/>
    <w:pPr>
      <w:keepNext/>
      <w:jc w:val="center"/>
    </w:pPr>
    <w:rPr>
      <w:rFonts w:eastAsia="Malgun Gothic"/>
      <w:kern w:val="28"/>
      <w:sz w:val="28"/>
      <w:lang w:eastAsia="zh-CN"/>
    </w:rPr>
  </w:style>
  <w:style w:type="paragraph" w:styleId="ListParagraph">
    <w:name w:val="List Paragraph"/>
    <w:basedOn w:val="Normal"/>
    <w:uiPriority w:val="99"/>
    <w:qFormat/>
    <w:rsid w:val="002E5030"/>
    <w:pPr>
      <w:ind w:left="720"/>
      <w:contextualSpacing/>
      <w:jc w:val="left"/>
    </w:pPr>
    <w:rPr>
      <w:lang w:val="en-CA" w:eastAsia="en-CA"/>
    </w:rPr>
  </w:style>
  <w:style w:type="character" w:customStyle="1" w:styleId="UnresolvedMention">
    <w:name w:val="Unresolved Mention"/>
    <w:basedOn w:val="DefaultParagraphFont"/>
    <w:uiPriority w:val="99"/>
    <w:semiHidden/>
    <w:rsid w:val="00EB544B"/>
    <w:rPr>
      <w:rFonts w:cs="Times New Roman"/>
      <w:color w:val="808080"/>
      <w:shd w:val="clear" w:color="auto" w:fill="E6E6E6"/>
    </w:rPr>
  </w:style>
  <w:style w:type="character" w:customStyle="1" w:styleId="tw4winInternal">
    <w:name w:val="tw4winInternal"/>
    <w:uiPriority w:val="99"/>
    <w:rsid w:val="009366EE"/>
    <w:rPr>
      <w:rFonts w:ascii="Courier New" w:hAnsi="Courier New"/>
      <w:noProof/>
      <w:color w:val="FF0000"/>
    </w:rPr>
  </w:style>
</w:styles>
</file>

<file path=word/webSettings.xml><?xml version="1.0" encoding="utf-8"?>
<w:webSettings xmlns:r="http://schemas.openxmlformats.org/officeDocument/2006/relationships" xmlns:w="http://schemas.openxmlformats.org/wordprocessingml/2006/main">
  <w:divs>
    <w:div w:id="808279478">
      <w:marLeft w:val="0"/>
      <w:marRight w:val="0"/>
      <w:marTop w:val="0"/>
      <w:marBottom w:val="0"/>
      <w:divBdr>
        <w:top w:val="none" w:sz="0" w:space="0" w:color="auto"/>
        <w:left w:val="none" w:sz="0" w:space="0" w:color="auto"/>
        <w:bottom w:val="none" w:sz="0" w:space="0" w:color="auto"/>
        <w:right w:val="none" w:sz="0" w:space="0" w:color="auto"/>
      </w:divBdr>
    </w:div>
    <w:div w:id="808279479">
      <w:marLeft w:val="0"/>
      <w:marRight w:val="0"/>
      <w:marTop w:val="0"/>
      <w:marBottom w:val="0"/>
      <w:divBdr>
        <w:top w:val="none" w:sz="0" w:space="0" w:color="auto"/>
        <w:left w:val="none" w:sz="0" w:space="0" w:color="auto"/>
        <w:bottom w:val="none" w:sz="0" w:space="0" w:color="auto"/>
        <w:right w:val="none" w:sz="0" w:space="0" w:color="auto"/>
      </w:divBdr>
    </w:div>
    <w:div w:id="808279480">
      <w:marLeft w:val="0"/>
      <w:marRight w:val="0"/>
      <w:marTop w:val="0"/>
      <w:marBottom w:val="0"/>
      <w:divBdr>
        <w:top w:val="none" w:sz="0" w:space="0" w:color="auto"/>
        <w:left w:val="none" w:sz="0" w:space="0" w:color="auto"/>
        <w:bottom w:val="none" w:sz="0" w:space="0" w:color="auto"/>
        <w:right w:val="none" w:sz="0" w:space="0" w:color="auto"/>
      </w:divBdr>
    </w:div>
    <w:div w:id="808279481">
      <w:marLeft w:val="0"/>
      <w:marRight w:val="0"/>
      <w:marTop w:val="0"/>
      <w:marBottom w:val="0"/>
      <w:divBdr>
        <w:top w:val="none" w:sz="0" w:space="0" w:color="auto"/>
        <w:left w:val="none" w:sz="0" w:space="0" w:color="auto"/>
        <w:bottom w:val="none" w:sz="0" w:space="0" w:color="auto"/>
        <w:right w:val="none" w:sz="0" w:space="0" w:color="auto"/>
      </w:divBdr>
    </w:div>
    <w:div w:id="808279482">
      <w:marLeft w:val="0"/>
      <w:marRight w:val="0"/>
      <w:marTop w:val="0"/>
      <w:marBottom w:val="0"/>
      <w:divBdr>
        <w:top w:val="none" w:sz="0" w:space="0" w:color="auto"/>
        <w:left w:val="none" w:sz="0" w:space="0" w:color="auto"/>
        <w:bottom w:val="none" w:sz="0" w:space="0" w:color="auto"/>
        <w:right w:val="none" w:sz="0" w:space="0" w:color="auto"/>
      </w:divBdr>
    </w:div>
    <w:div w:id="808279483">
      <w:marLeft w:val="0"/>
      <w:marRight w:val="0"/>
      <w:marTop w:val="0"/>
      <w:marBottom w:val="0"/>
      <w:divBdr>
        <w:top w:val="none" w:sz="0" w:space="0" w:color="auto"/>
        <w:left w:val="none" w:sz="0" w:space="0" w:color="auto"/>
        <w:bottom w:val="none" w:sz="0" w:space="0" w:color="auto"/>
        <w:right w:val="none" w:sz="0" w:space="0" w:color="auto"/>
      </w:divBdr>
    </w:div>
    <w:div w:id="808279484">
      <w:marLeft w:val="0"/>
      <w:marRight w:val="0"/>
      <w:marTop w:val="0"/>
      <w:marBottom w:val="0"/>
      <w:divBdr>
        <w:top w:val="none" w:sz="0" w:space="0" w:color="auto"/>
        <w:left w:val="none" w:sz="0" w:space="0" w:color="auto"/>
        <w:bottom w:val="none" w:sz="0" w:space="0" w:color="auto"/>
        <w:right w:val="none" w:sz="0" w:space="0" w:color="auto"/>
      </w:divBdr>
    </w:div>
    <w:div w:id="808279490">
      <w:marLeft w:val="0"/>
      <w:marRight w:val="0"/>
      <w:marTop w:val="0"/>
      <w:marBottom w:val="0"/>
      <w:divBdr>
        <w:top w:val="none" w:sz="0" w:space="0" w:color="auto"/>
        <w:left w:val="none" w:sz="0" w:space="0" w:color="auto"/>
        <w:bottom w:val="none" w:sz="0" w:space="0" w:color="auto"/>
        <w:right w:val="none" w:sz="0" w:space="0" w:color="auto"/>
      </w:divBdr>
    </w:div>
    <w:div w:id="808279491">
      <w:marLeft w:val="0"/>
      <w:marRight w:val="0"/>
      <w:marTop w:val="0"/>
      <w:marBottom w:val="0"/>
      <w:divBdr>
        <w:top w:val="none" w:sz="0" w:space="0" w:color="auto"/>
        <w:left w:val="none" w:sz="0" w:space="0" w:color="auto"/>
        <w:bottom w:val="none" w:sz="0" w:space="0" w:color="auto"/>
        <w:right w:val="none" w:sz="0" w:space="0" w:color="auto"/>
      </w:divBdr>
    </w:div>
    <w:div w:id="808279494">
      <w:marLeft w:val="0"/>
      <w:marRight w:val="0"/>
      <w:marTop w:val="0"/>
      <w:marBottom w:val="0"/>
      <w:divBdr>
        <w:top w:val="none" w:sz="0" w:space="0" w:color="auto"/>
        <w:left w:val="none" w:sz="0" w:space="0" w:color="auto"/>
        <w:bottom w:val="none" w:sz="0" w:space="0" w:color="auto"/>
        <w:right w:val="none" w:sz="0" w:space="0" w:color="auto"/>
      </w:divBdr>
    </w:div>
    <w:div w:id="808279495">
      <w:marLeft w:val="0"/>
      <w:marRight w:val="0"/>
      <w:marTop w:val="0"/>
      <w:marBottom w:val="0"/>
      <w:divBdr>
        <w:top w:val="none" w:sz="0" w:space="0" w:color="auto"/>
        <w:left w:val="none" w:sz="0" w:space="0" w:color="auto"/>
        <w:bottom w:val="none" w:sz="0" w:space="0" w:color="auto"/>
        <w:right w:val="none" w:sz="0" w:space="0" w:color="auto"/>
      </w:divBdr>
    </w:div>
    <w:div w:id="808279497">
      <w:marLeft w:val="0"/>
      <w:marRight w:val="0"/>
      <w:marTop w:val="0"/>
      <w:marBottom w:val="0"/>
      <w:divBdr>
        <w:top w:val="none" w:sz="0" w:space="0" w:color="auto"/>
        <w:left w:val="none" w:sz="0" w:space="0" w:color="auto"/>
        <w:bottom w:val="none" w:sz="0" w:space="0" w:color="auto"/>
        <w:right w:val="none" w:sz="0" w:space="0" w:color="auto"/>
      </w:divBdr>
    </w:div>
    <w:div w:id="808279501">
      <w:marLeft w:val="0"/>
      <w:marRight w:val="0"/>
      <w:marTop w:val="0"/>
      <w:marBottom w:val="0"/>
      <w:divBdr>
        <w:top w:val="none" w:sz="0" w:space="0" w:color="auto"/>
        <w:left w:val="none" w:sz="0" w:space="0" w:color="auto"/>
        <w:bottom w:val="none" w:sz="0" w:space="0" w:color="auto"/>
        <w:right w:val="none" w:sz="0" w:space="0" w:color="auto"/>
      </w:divBdr>
    </w:div>
    <w:div w:id="808279504">
      <w:marLeft w:val="0"/>
      <w:marRight w:val="0"/>
      <w:marTop w:val="0"/>
      <w:marBottom w:val="0"/>
      <w:divBdr>
        <w:top w:val="none" w:sz="0" w:space="0" w:color="auto"/>
        <w:left w:val="none" w:sz="0" w:space="0" w:color="auto"/>
        <w:bottom w:val="none" w:sz="0" w:space="0" w:color="auto"/>
        <w:right w:val="none" w:sz="0" w:space="0" w:color="auto"/>
      </w:divBdr>
    </w:div>
    <w:div w:id="808279506">
      <w:marLeft w:val="0"/>
      <w:marRight w:val="0"/>
      <w:marTop w:val="0"/>
      <w:marBottom w:val="0"/>
      <w:divBdr>
        <w:top w:val="none" w:sz="0" w:space="0" w:color="auto"/>
        <w:left w:val="none" w:sz="0" w:space="0" w:color="auto"/>
        <w:bottom w:val="none" w:sz="0" w:space="0" w:color="auto"/>
        <w:right w:val="none" w:sz="0" w:space="0" w:color="auto"/>
      </w:divBdr>
    </w:div>
    <w:div w:id="808279508">
      <w:marLeft w:val="0"/>
      <w:marRight w:val="0"/>
      <w:marTop w:val="0"/>
      <w:marBottom w:val="0"/>
      <w:divBdr>
        <w:top w:val="none" w:sz="0" w:space="0" w:color="auto"/>
        <w:left w:val="none" w:sz="0" w:space="0" w:color="auto"/>
        <w:bottom w:val="none" w:sz="0" w:space="0" w:color="auto"/>
        <w:right w:val="none" w:sz="0" w:space="0" w:color="auto"/>
      </w:divBdr>
    </w:div>
    <w:div w:id="808279510">
      <w:marLeft w:val="0"/>
      <w:marRight w:val="0"/>
      <w:marTop w:val="0"/>
      <w:marBottom w:val="0"/>
      <w:divBdr>
        <w:top w:val="none" w:sz="0" w:space="0" w:color="auto"/>
        <w:left w:val="none" w:sz="0" w:space="0" w:color="auto"/>
        <w:bottom w:val="none" w:sz="0" w:space="0" w:color="auto"/>
        <w:right w:val="none" w:sz="0" w:space="0" w:color="auto"/>
      </w:divBdr>
    </w:div>
    <w:div w:id="808279512">
      <w:marLeft w:val="0"/>
      <w:marRight w:val="0"/>
      <w:marTop w:val="0"/>
      <w:marBottom w:val="0"/>
      <w:divBdr>
        <w:top w:val="none" w:sz="0" w:space="0" w:color="auto"/>
        <w:left w:val="none" w:sz="0" w:space="0" w:color="auto"/>
        <w:bottom w:val="none" w:sz="0" w:space="0" w:color="auto"/>
        <w:right w:val="none" w:sz="0" w:space="0" w:color="auto"/>
      </w:divBdr>
    </w:div>
    <w:div w:id="808279515">
      <w:marLeft w:val="0"/>
      <w:marRight w:val="0"/>
      <w:marTop w:val="0"/>
      <w:marBottom w:val="0"/>
      <w:divBdr>
        <w:top w:val="none" w:sz="0" w:space="0" w:color="auto"/>
        <w:left w:val="none" w:sz="0" w:space="0" w:color="auto"/>
        <w:bottom w:val="none" w:sz="0" w:space="0" w:color="auto"/>
        <w:right w:val="none" w:sz="0" w:space="0" w:color="auto"/>
      </w:divBdr>
      <w:divsChild>
        <w:div w:id="808279555">
          <w:marLeft w:val="0"/>
          <w:marRight w:val="0"/>
          <w:marTop w:val="0"/>
          <w:marBottom w:val="0"/>
          <w:divBdr>
            <w:top w:val="none" w:sz="0" w:space="0" w:color="auto"/>
            <w:left w:val="none" w:sz="0" w:space="0" w:color="auto"/>
            <w:bottom w:val="none" w:sz="0" w:space="0" w:color="auto"/>
            <w:right w:val="none" w:sz="0" w:space="0" w:color="auto"/>
          </w:divBdr>
        </w:div>
        <w:div w:id="808279565">
          <w:marLeft w:val="0"/>
          <w:marRight w:val="0"/>
          <w:marTop w:val="0"/>
          <w:marBottom w:val="0"/>
          <w:divBdr>
            <w:top w:val="none" w:sz="0" w:space="0" w:color="auto"/>
            <w:left w:val="none" w:sz="0" w:space="0" w:color="auto"/>
            <w:bottom w:val="none" w:sz="0" w:space="0" w:color="auto"/>
            <w:right w:val="none" w:sz="0" w:space="0" w:color="auto"/>
          </w:divBdr>
        </w:div>
        <w:div w:id="808279608">
          <w:marLeft w:val="0"/>
          <w:marRight w:val="0"/>
          <w:marTop w:val="0"/>
          <w:marBottom w:val="0"/>
          <w:divBdr>
            <w:top w:val="none" w:sz="0" w:space="0" w:color="auto"/>
            <w:left w:val="none" w:sz="0" w:space="0" w:color="auto"/>
            <w:bottom w:val="none" w:sz="0" w:space="0" w:color="auto"/>
            <w:right w:val="none" w:sz="0" w:space="0" w:color="auto"/>
          </w:divBdr>
        </w:div>
      </w:divsChild>
    </w:div>
    <w:div w:id="808279517">
      <w:marLeft w:val="0"/>
      <w:marRight w:val="0"/>
      <w:marTop w:val="0"/>
      <w:marBottom w:val="0"/>
      <w:divBdr>
        <w:top w:val="none" w:sz="0" w:space="0" w:color="auto"/>
        <w:left w:val="none" w:sz="0" w:space="0" w:color="auto"/>
        <w:bottom w:val="none" w:sz="0" w:space="0" w:color="auto"/>
        <w:right w:val="none" w:sz="0" w:space="0" w:color="auto"/>
      </w:divBdr>
    </w:div>
    <w:div w:id="808279518">
      <w:marLeft w:val="0"/>
      <w:marRight w:val="0"/>
      <w:marTop w:val="0"/>
      <w:marBottom w:val="0"/>
      <w:divBdr>
        <w:top w:val="none" w:sz="0" w:space="0" w:color="auto"/>
        <w:left w:val="none" w:sz="0" w:space="0" w:color="auto"/>
        <w:bottom w:val="none" w:sz="0" w:space="0" w:color="auto"/>
        <w:right w:val="none" w:sz="0" w:space="0" w:color="auto"/>
      </w:divBdr>
    </w:div>
    <w:div w:id="808279520">
      <w:marLeft w:val="0"/>
      <w:marRight w:val="0"/>
      <w:marTop w:val="0"/>
      <w:marBottom w:val="0"/>
      <w:divBdr>
        <w:top w:val="none" w:sz="0" w:space="0" w:color="auto"/>
        <w:left w:val="none" w:sz="0" w:space="0" w:color="auto"/>
        <w:bottom w:val="none" w:sz="0" w:space="0" w:color="auto"/>
        <w:right w:val="none" w:sz="0" w:space="0" w:color="auto"/>
      </w:divBdr>
    </w:div>
    <w:div w:id="808279523">
      <w:marLeft w:val="0"/>
      <w:marRight w:val="0"/>
      <w:marTop w:val="0"/>
      <w:marBottom w:val="0"/>
      <w:divBdr>
        <w:top w:val="none" w:sz="0" w:space="0" w:color="auto"/>
        <w:left w:val="none" w:sz="0" w:space="0" w:color="auto"/>
        <w:bottom w:val="none" w:sz="0" w:space="0" w:color="auto"/>
        <w:right w:val="none" w:sz="0" w:space="0" w:color="auto"/>
      </w:divBdr>
    </w:div>
    <w:div w:id="808279526">
      <w:marLeft w:val="0"/>
      <w:marRight w:val="0"/>
      <w:marTop w:val="0"/>
      <w:marBottom w:val="0"/>
      <w:divBdr>
        <w:top w:val="none" w:sz="0" w:space="0" w:color="auto"/>
        <w:left w:val="none" w:sz="0" w:space="0" w:color="auto"/>
        <w:bottom w:val="none" w:sz="0" w:space="0" w:color="auto"/>
        <w:right w:val="none" w:sz="0" w:space="0" w:color="auto"/>
      </w:divBdr>
      <w:divsChild>
        <w:div w:id="808279524">
          <w:marLeft w:val="0"/>
          <w:marRight w:val="0"/>
          <w:marTop w:val="105"/>
          <w:marBottom w:val="105"/>
          <w:divBdr>
            <w:top w:val="none" w:sz="0" w:space="0" w:color="auto"/>
            <w:left w:val="none" w:sz="0" w:space="0" w:color="auto"/>
            <w:bottom w:val="none" w:sz="0" w:space="0" w:color="auto"/>
            <w:right w:val="none" w:sz="0" w:space="0" w:color="auto"/>
          </w:divBdr>
        </w:div>
        <w:div w:id="808279561">
          <w:marLeft w:val="0"/>
          <w:marRight w:val="0"/>
          <w:marTop w:val="105"/>
          <w:marBottom w:val="105"/>
          <w:divBdr>
            <w:top w:val="none" w:sz="0" w:space="0" w:color="auto"/>
            <w:left w:val="none" w:sz="0" w:space="0" w:color="auto"/>
            <w:bottom w:val="none" w:sz="0" w:space="0" w:color="auto"/>
            <w:right w:val="none" w:sz="0" w:space="0" w:color="auto"/>
          </w:divBdr>
        </w:div>
        <w:div w:id="808279570">
          <w:marLeft w:val="0"/>
          <w:marRight w:val="0"/>
          <w:marTop w:val="105"/>
          <w:marBottom w:val="105"/>
          <w:divBdr>
            <w:top w:val="none" w:sz="0" w:space="0" w:color="auto"/>
            <w:left w:val="none" w:sz="0" w:space="0" w:color="auto"/>
            <w:bottom w:val="none" w:sz="0" w:space="0" w:color="auto"/>
            <w:right w:val="none" w:sz="0" w:space="0" w:color="auto"/>
          </w:divBdr>
        </w:div>
        <w:div w:id="808279603">
          <w:marLeft w:val="0"/>
          <w:marRight w:val="0"/>
          <w:marTop w:val="105"/>
          <w:marBottom w:val="105"/>
          <w:divBdr>
            <w:top w:val="none" w:sz="0" w:space="0" w:color="auto"/>
            <w:left w:val="none" w:sz="0" w:space="0" w:color="auto"/>
            <w:bottom w:val="none" w:sz="0" w:space="0" w:color="auto"/>
            <w:right w:val="none" w:sz="0" w:space="0" w:color="auto"/>
          </w:divBdr>
        </w:div>
        <w:div w:id="808279605">
          <w:marLeft w:val="0"/>
          <w:marRight w:val="0"/>
          <w:marTop w:val="105"/>
          <w:marBottom w:val="105"/>
          <w:divBdr>
            <w:top w:val="none" w:sz="0" w:space="0" w:color="auto"/>
            <w:left w:val="none" w:sz="0" w:space="0" w:color="auto"/>
            <w:bottom w:val="none" w:sz="0" w:space="0" w:color="auto"/>
            <w:right w:val="none" w:sz="0" w:space="0" w:color="auto"/>
          </w:divBdr>
        </w:div>
      </w:divsChild>
    </w:div>
    <w:div w:id="808279528">
      <w:marLeft w:val="0"/>
      <w:marRight w:val="0"/>
      <w:marTop w:val="0"/>
      <w:marBottom w:val="0"/>
      <w:divBdr>
        <w:top w:val="none" w:sz="0" w:space="0" w:color="auto"/>
        <w:left w:val="none" w:sz="0" w:space="0" w:color="auto"/>
        <w:bottom w:val="none" w:sz="0" w:space="0" w:color="auto"/>
        <w:right w:val="none" w:sz="0" w:space="0" w:color="auto"/>
      </w:divBdr>
    </w:div>
    <w:div w:id="808279532">
      <w:marLeft w:val="0"/>
      <w:marRight w:val="0"/>
      <w:marTop w:val="0"/>
      <w:marBottom w:val="0"/>
      <w:divBdr>
        <w:top w:val="none" w:sz="0" w:space="0" w:color="auto"/>
        <w:left w:val="none" w:sz="0" w:space="0" w:color="auto"/>
        <w:bottom w:val="none" w:sz="0" w:space="0" w:color="auto"/>
        <w:right w:val="none" w:sz="0" w:space="0" w:color="auto"/>
      </w:divBdr>
      <w:divsChild>
        <w:div w:id="808279500">
          <w:marLeft w:val="0"/>
          <w:marRight w:val="0"/>
          <w:marTop w:val="0"/>
          <w:marBottom w:val="0"/>
          <w:divBdr>
            <w:top w:val="none" w:sz="0" w:space="0" w:color="auto"/>
            <w:left w:val="none" w:sz="0" w:space="0" w:color="auto"/>
            <w:bottom w:val="none" w:sz="0" w:space="0" w:color="auto"/>
            <w:right w:val="none" w:sz="0" w:space="0" w:color="auto"/>
          </w:divBdr>
        </w:div>
        <w:div w:id="808279511">
          <w:marLeft w:val="0"/>
          <w:marRight w:val="0"/>
          <w:marTop w:val="0"/>
          <w:marBottom w:val="0"/>
          <w:divBdr>
            <w:top w:val="none" w:sz="0" w:space="0" w:color="auto"/>
            <w:left w:val="none" w:sz="0" w:space="0" w:color="auto"/>
            <w:bottom w:val="none" w:sz="0" w:space="0" w:color="auto"/>
            <w:right w:val="none" w:sz="0" w:space="0" w:color="auto"/>
          </w:divBdr>
        </w:div>
        <w:div w:id="808279533">
          <w:marLeft w:val="0"/>
          <w:marRight w:val="0"/>
          <w:marTop w:val="0"/>
          <w:marBottom w:val="0"/>
          <w:divBdr>
            <w:top w:val="none" w:sz="0" w:space="0" w:color="auto"/>
            <w:left w:val="none" w:sz="0" w:space="0" w:color="auto"/>
            <w:bottom w:val="none" w:sz="0" w:space="0" w:color="auto"/>
            <w:right w:val="none" w:sz="0" w:space="0" w:color="auto"/>
          </w:divBdr>
        </w:div>
        <w:div w:id="808279550">
          <w:marLeft w:val="0"/>
          <w:marRight w:val="0"/>
          <w:marTop w:val="0"/>
          <w:marBottom w:val="0"/>
          <w:divBdr>
            <w:top w:val="none" w:sz="0" w:space="0" w:color="auto"/>
            <w:left w:val="none" w:sz="0" w:space="0" w:color="auto"/>
            <w:bottom w:val="none" w:sz="0" w:space="0" w:color="auto"/>
            <w:right w:val="none" w:sz="0" w:space="0" w:color="auto"/>
          </w:divBdr>
        </w:div>
        <w:div w:id="808279569">
          <w:marLeft w:val="0"/>
          <w:marRight w:val="0"/>
          <w:marTop w:val="0"/>
          <w:marBottom w:val="0"/>
          <w:divBdr>
            <w:top w:val="none" w:sz="0" w:space="0" w:color="auto"/>
            <w:left w:val="none" w:sz="0" w:space="0" w:color="auto"/>
            <w:bottom w:val="none" w:sz="0" w:space="0" w:color="auto"/>
            <w:right w:val="none" w:sz="0" w:space="0" w:color="auto"/>
          </w:divBdr>
        </w:div>
        <w:div w:id="808279581">
          <w:marLeft w:val="0"/>
          <w:marRight w:val="0"/>
          <w:marTop w:val="0"/>
          <w:marBottom w:val="0"/>
          <w:divBdr>
            <w:top w:val="none" w:sz="0" w:space="0" w:color="auto"/>
            <w:left w:val="none" w:sz="0" w:space="0" w:color="auto"/>
            <w:bottom w:val="none" w:sz="0" w:space="0" w:color="auto"/>
            <w:right w:val="none" w:sz="0" w:space="0" w:color="auto"/>
          </w:divBdr>
        </w:div>
        <w:div w:id="808279611">
          <w:marLeft w:val="0"/>
          <w:marRight w:val="0"/>
          <w:marTop w:val="0"/>
          <w:marBottom w:val="0"/>
          <w:divBdr>
            <w:top w:val="none" w:sz="0" w:space="0" w:color="auto"/>
            <w:left w:val="none" w:sz="0" w:space="0" w:color="auto"/>
            <w:bottom w:val="none" w:sz="0" w:space="0" w:color="auto"/>
            <w:right w:val="none" w:sz="0" w:space="0" w:color="auto"/>
          </w:divBdr>
        </w:div>
        <w:div w:id="808279625">
          <w:marLeft w:val="0"/>
          <w:marRight w:val="0"/>
          <w:marTop w:val="0"/>
          <w:marBottom w:val="0"/>
          <w:divBdr>
            <w:top w:val="none" w:sz="0" w:space="0" w:color="auto"/>
            <w:left w:val="none" w:sz="0" w:space="0" w:color="auto"/>
            <w:bottom w:val="none" w:sz="0" w:space="0" w:color="auto"/>
            <w:right w:val="none" w:sz="0" w:space="0" w:color="auto"/>
          </w:divBdr>
        </w:div>
        <w:div w:id="808279630">
          <w:marLeft w:val="0"/>
          <w:marRight w:val="0"/>
          <w:marTop w:val="0"/>
          <w:marBottom w:val="0"/>
          <w:divBdr>
            <w:top w:val="none" w:sz="0" w:space="0" w:color="auto"/>
            <w:left w:val="none" w:sz="0" w:space="0" w:color="auto"/>
            <w:bottom w:val="none" w:sz="0" w:space="0" w:color="auto"/>
            <w:right w:val="none" w:sz="0" w:space="0" w:color="auto"/>
          </w:divBdr>
        </w:div>
      </w:divsChild>
    </w:div>
    <w:div w:id="808279536">
      <w:marLeft w:val="0"/>
      <w:marRight w:val="0"/>
      <w:marTop w:val="0"/>
      <w:marBottom w:val="0"/>
      <w:divBdr>
        <w:top w:val="none" w:sz="0" w:space="0" w:color="auto"/>
        <w:left w:val="none" w:sz="0" w:space="0" w:color="auto"/>
        <w:bottom w:val="none" w:sz="0" w:space="0" w:color="auto"/>
        <w:right w:val="none" w:sz="0" w:space="0" w:color="auto"/>
      </w:divBdr>
    </w:div>
    <w:div w:id="808279543">
      <w:marLeft w:val="0"/>
      <w:marRight w:val="0"/>
      <w:marTop w:val="0"/>
      <w:marBottom w:val="0"/>
      <w:divBdr>
        <w:top w:val="none" w:sz="0" w:space="0" w:color="auto"/>
        <w:left w:val="none" w:sz="0" w:space="0" w:color="auto"/>
        <w:bottom w:val="none" w:sz="0" w:space="0" w:color="auto"/>
        <w:right w:val="none" w:sz="0" w:space="0" w:color="auto"/>
      </w:divBdr>
    </w:div>
    <w:div w:id="808279544">
      <w:marLeft w:val="0"/>
      <w:marRight w:val="0"/>
      <w:marTop w:val="0"/>
      <w:marBottom w:val="0"/>
      <w:divBdr>
        <w:top w:val="none" w:sz="0" w:space="0" w:color="auto"/>
        <w:left w:val="none" w:sz="0" w:space="0" w:color="auto"/>
        <w:bottom w:val="none" w:sz="0" w:space="0" w:color="auto"/>
        <w:right w:val="none" w:sz="0" w:space="0" w:color="auto"/>
      </w:divBdr>
    </w:div>
    <w:div w:id="808279548">
      <w:marLeft w:val="0"/>
      <w:marRight w:val="0"/>
      <w:marTop w:val="0"/>
      <w:marBottom w:val="0"/>
      <w:divBdr>
        <w:top w:val="none" w:sz="0" w:space="0" w:color="auto"/>
        <w:left w:val="none" w:sz="0" w:space="0" w:color="auto"/>
        <w:bottom w:val="none" w:sz="0" w:space="0" w:color="auto"/>
        <w:right w:val="none" w:sz="0" w:space="0" w:color="auto"/>
      </w:divBdr>
    </w:div>
    <w:div w:id="808279556">
      <w:marLeft w:val="0"/>
      <w:marRight w:val="0"/>
      <w:marTop w:val="0"/>
      <w:marBottom w:val="0"/>
      <w:divBdr>
        <w:top w:val="none" w:sz="0" w:space="0" w:color="auto"/>
        <w:left w:val="none" w:sz="0" w:space="0" w:color="auto"/>
        <w:bottom w:val="none" w:sz="0" w:space="0" w:color="auto"/>
        <w:right w:val="none" w:sz="0" w:space="0" w:color="auto"/>
      </w:divBdr>
    </w:div>
    <w:div w:id="808279558">
      <w:marLeft w:val="0"/>
      <w:marRight w:val="0"/>
      <w:marTop w:val="0"/>
      <w:marBottom w:val="0"/>
      <w:divBdr>
        <w:top w:val="none" w:sz="0" w:space="0" w:color="auto"/>
        <w:left w:val="none" w:sz="0" w:space="0" w:color="auto"/>
        <w:bottom w:val="none" w:sz="0" w:space="0" w:color="auto"/>
        <w:right w:val="none" w:sz="0" w:space="0" w:color="auto"/>
      </w:divBdr>
    </w:div>
    <w:div w:id="808279560">
      <w:marLeft w:val="0"/>
      <w:marRight w:val="0"/>
      <w:marTop w:val="0"/>
      <w:marBottom w:val="0"/>
      <w:divBdr>
        <w:top w:val="none" w:sz="0" w:space="0" w:color="auto"/>
        <w:left w:val="none" w:sz="0" w:space="0" w:color="auto"/>
        <w:bottom w:val="none" w:sz="0" w:space="0" w:color="auto"/>
        <w:right w:val="none" w:sz="0" w:space="0" w:color="auto"/>
      </w:divBdr>
    </w:div>
    <w:div w:id="808279562">
      <w:marLeft w:val="0"/>
      <w:marRight w:val="0"/>
      <w:marTop w:val="0"/>
      <w:marBottom w:val="0"/>
      <w:divBdr>
        <w:top w:val="none" w:sz="0" w:space="0" w:color="auto"/>
        <w:left w:val="none" w:sz="0" w:space="0" w:color="auto"/>
        <w:bottom w:val="none" w:sz="0" w:space="0" w:color="auto"/>
        <w:right w:val="none" w:sz="0" w:space="0" w:color="auto"/>
      </w:divBdr>
      <w:divsChild>
        <w:div w:id="808279505">
          <w:marLeft w:val="0"/>
          <w:marRight w:val="0"/>
          <w:marTop w:val="0"/>
          <w:marBottom w:val="0"/>
          <w:divBdr>
            <w:top w:val="none" w:sz="0" w:space="0" w:color="auto"/>
            <w:left w:val="none" w:sz="0" w:space="0" w:color="auto"/>
            <w:bottom w:val="none" w:sz="0" w:space="0" w:color="auto"/>
            <w:right w:val="none" w:sz="0" w:space="0" w:color="auto"/>
          </w:divBdr>
        </w:div>
        <w:div w:id="808279575">
          <w:marLeft w:val="0"/>
          <w:marRight w:val="0"/>
          <w:marTop w:val="0"/>
          <w:marBottom w:val="0"/>
          <w:divBdr>
            <w:top w:val="none" w:sz="0" w:space="0" w:color="auto"/>
            <w:left w:val="none" w:sz="0" w:space="0" w:color="auto"/>
            <w:bottom w:val="none" w:sz="0" w:space="0" w:color="auto"/>
            <w:right w:val="none" w:sz="0" w:space="0" w:color="auto"/>
          </w:divBdr>
        </w:div>
        <w:div w:id="808279597">
          <w:marLeft w:val="0"/>
          <w:marRight w:val="0"/>
          <w:marTop w:val="0"/>
          <w:marBottom w:val="0"/>
          <w:divBdr>
            <w:top w:val="none" w:sz="0" w:space="0" w:color="auto"/>
            <w:left w:val="none" w:sz="0" w:space="0" w:color="auto"/>
            <w:bottom w:val="none" w:sz="0" w:space="0" w:color="auto"/>
            <w:right w:val="none" w:sz="0" w:space="0" w:color="auto"/>
          </w:divBdr>
        </w:div>
      </w:divsChild>
    </w:div>
    <w:div w:id="808279563">
      <w:marLeft w:val="0"/>
      <w:marRight w:val="0"/>
      <w:marTop w:val="0"/>
      <w:marBottom w:val="0"/>
      <w:divBdr>
        <w:top w:val="none" w:sz="0" w:space="0" w:color="auto"/>
        <w:left w:val="none" w:sz="0" w:space="0" w:color="auto"/>
        <w:bottom w:val="none" w:sz="0" w:space="0" w:color="auto"/>
        <w:right w:val="none" w:sz="0" w:space="0" w:color="auto"/>
      </w:divBdr>
      <w:divsChild>
        <w:div w:id="808279489">
          <w:marLeft w:val="0"/>
          <w:marRight w:val="0"/>
          <w:marTop w:val="0"/>
          <w:marBottom w:val="0"/>
          <w:divBdr>
            <w:top w:val="none" w:sz="0" w:space="0" w:color="auto"/>
            <w:left w:val="none" w:sz="0" w:space="0" w:color="auto"/>
            <w:bottom w:val="none" w:sz="0" w:space="0" w:color="auto"/>
            <w:right w:val="none" w:sz="0" w:space="0" w:color="auto"/>
          </w:divBdr>
        </w:div>
        <w:div w:id="808279499">
          <w:marLeft w:val="0"/>
          <w:marRight w:val="0"/>
          <w:marTop w:val="0"/>
          <w:marBottom w:val="0"/>
          <w:divBdr>
            <w:top w:val="none" w:sz="0" w:space="0" w:color="auto"/>
            <w:left w:val="none" w:sz="0" w:space="0" w:color="auto"/>
            <w:bottom w:val="none" w:sz="0" w:space="0" w:color="auto"/>
            <w:right w:val="none" w:sz="0" w:space="0" w:color="auto"/>
          </w:divBdr>
        </w:div>
        <w:div w:id="808279521">
          <w:marLeft w:val="0"/>
          <w:marRight w:val="0"/>
          <w:marTop w:val="0"/>
          <w:marBottom w:val="0"/>
          <w:divBdr>
            <w:top w:val="none" w:sz="0" w:space="0" w:color="auto"/>
            <w:left w:val="none" w:sz="0" w:space="0" w:color="auto"/>
            <w:bottom w:val="none" w:sz="0" w:space="0" w:color="auto"/>
            <w:right w:val="none" w:sz="0" w:space="0" w:color="auto"/>
          </w:divBdr>
        </w:div>
        <w:div w:id="808279554">
          <w:marLeft w:val="0"/>
          <w:marRight w:val="0"/>
          <w:marTop w:val="0"/>
          <w:marBottom w:val="0"/>
          <w:divBdr>
            <w:top w:val="none" w:sz="0" w:space="0" w:color="auto"/>
            <w:left w:val="none" w:sz="0" w:space="0" w:color="auto"/>
            <w:bottom w:val="none" w:sz="0" w:space="0" w:color="auto"/>
            <w:right w:val="none" w:sz="0" w:space="0" w:color="auto"/>
          </w:divBdr>
        </w:div>
        <w:div w:id="808279559">
          <w:marLeft w:val="0"/>
          <w:marRight w:val="0"/>
          <w:marTop w:val="0"/>
          <w:marBottom w:val="0"/>
          <w:divBdr>
            <w:top w:val="none" w:sz="0" w:space="0" w:color="auto"/>
            <w:left w:val="none" w:sz="0" w:space="0" w:color="auto"/>
            <w:bottom w:val="none" w:sz="0" w:space="0" w:color="auto"/>
            <w:right w:val="none" w:sz="0" w:space="0" w:color="auto"/>
          </w:divBdr>
        </w:div>
        <w:div w:id="808279578">
          <w:marLeft w:val="0"/>
          <w:marRight w:val="0"/>
          <w:marTop w:val="0"/>
          <w:marBottom w:val="0"/>
          <w:divBdr>
            <w:top w:val="none" w:sz="0" w:space="0" w:color="auto"/>
            <w:left w:val="none" w:sz="0" w:space="0" w:color="auto"/>
            <w:bottom w:val="none" w:sz="0" w:space="0" w:color="auto"/>
            <w:right w:val="none" w:sz="0" w:space="0" w:color="auto"/>
          </w:divBdr>
        </w:div>
        <w:div w:id="808279584">
          <w:marLeft w:val="0"/>
          <w:marRight w:val="0"/>
          <w:marTop w:val="0"/>
          <w:marBottom w:val="0"/>
          <w:divBdr>
            <w:top w:val="none" w:sz="0" w:space="0" w:color="auto"/>
            <w:left w:val="none" w:sz="0" w:space="0" w:color="auto"/>
            <w:bottom w:val="none" w:sz="0" w:space="0" w:color="auto"/>
            <w:right w:val="none" w:sz="0" w:space="0" w:color="auto"/>
          </w:divBdr>
        </w:div>
        <w:div w:id="808279621">
          <w:marLeft w:val="0"/>
          <w:marRight w:val="0"/>
          <w:marTop w:val="0"/>
          <w:marBottom w:val="0"/>
          <w:divBdr>
            <w:top w:val="none" w:sz="0" w:space="0" w:color="auto"/>
            <w:left w:val="none" w:sz="0" w:space="0" w:color="auto"/>
            <w:bottom w:val="none" w:sz="0" w:space="0" w:color="auto"/>
            <w:right w:val="none" w:sz="0" w:space="0" w:color="auto"/>
          </w:divBdr>
        </w:div>
        <w:div w:id="808279623">
          <w:marLeft w:val="0"/>
          <w:marRight w:val="0"/>
          <w:marTop w:val="0"/>
          <w:marBottom w:val="0"/>
          <w:divBdr>
            <w:top w:val="none" w:sz="0" w:space="0" w:color="auto"/>
            <w:left w:val="none" w:sz="0" w:space="0" w:color="auto"/>
            <w:bottom w:val="none" w:sz="0" w:space="0" w:color="auto"/>
            <w:right w:val="none" w:sz="0" w:space="0" w:color="auto"/>
          </w:divBdr>
        </w:div>
      </w:divsChild>
    </w:div>
    <w:div w:id="808279568">
      <w:marLeft w:val="0"/>
      <w:marRight w:val="0"/>
      <w:marTop w:val="0"/>
      <w:marBottom w:val="0"/>
      <w:divBdr>
        <w:top w:val="none" w:sz="0" w:space="0" w:color="auto"/>
        <w:left w:val="none" w:sz="0" w:space="0" w:color="auto"/>
        <w:bottom w:val="none" w:sz="0" w:space="0" w:color="auto"/>
        <w:right w:val="none" w:sz="0" w:space="0" w:color="auto"/>
      </w:divBdr>
    </w:div>
    <w:div w:id="808279572">
      <w:marLeft w:val="0"/>
      <w:marRight w:val="0"/>
      <w:marTop w:val="0"/>
      <w:marBottom w:val="0"/>
      <w:divBdr>
        <w:top w:val="none" w:sz="0" w:space="0" w:color="auto"/>
        <w:left w:val="none" w:sz="0" w:space="0" w:color="auto"/>
        <w:bottom w:val="none" w:sz="0" w:space="0" w:color="auto"/>
        <w:right w:val="none" w:sz="0" w:space="0" w:color="auto"/>
      </w:divBdr>
    </w:div>
    <w:div w:id="808279579">
      <w:marLeft w:val="0"/>
      <w:marRight w:val="0"/>
      <w:marTop w:val="0"/>
      <w:marBottom w:val="0"/>
      <w:divBdr>
        <w:top w:val="none" w:sz="0" w:space="0" w:color="auto"/>
        <w:left w:val="none" w:sz="0" w:space="0" w:color="auto"/>
        <w:bottom w:val="none" w:sz="0" w:space="0" w:color="auto"/>
        <w:right w:val="none" w:sz="0" w:space="0" w:color="auto"/>
      </w:divBdr>
    </w:div>
    <w:div w:id="808279582">
      <w:marLeft w:val="0"/>
      <w:marRight w:val="0"/>
      <w:marTop w:val="0"/>
      <w:marBottom w:val="0"/>
      <w:divBdr>
        <w:top w:val="none" w:sz="0" w:space="0" w:color="auto"/>
        <w:left w:val="none" w:sz="0" w:space="0" w:color="auto"/>
        <w:bottom w:val="none" w:sz="0" w:space="0" w:color="auto"/>
        <w:right w:val="none" w:sz="0" w:space="0" w:color="auto"/>
      </w:divBdr>
    </w:div>
    <w:div w:id="808279585">
      <w:marLeft w:val="0"/>
      <w:marRight w:val="0"/>
      <w:marTop w:val="0"/>
      <w:marBottom w:val="0"/>
      <w:divBdr>
        <w:top w:val="none" w:sz="0" w:space="0" w:color="auto"/>
        <w:left w:val="none" w:sz="0" w:space="0" w:color="auto"/>
        <w:bottom w:val="none" w:sz="0" w:space="0" w:color="auto"/>
        <w:right w:val="none" w:sz="0" w:space="0" w:color="auto"/>
      </w:divBdr>
    </w:div>
    <w:div w:id="808279589">
      <w:marLeft w:val="0"/>
      <w:marRight w:val="0"/>
      <w:marTop w:val="0"/>
      <w:marBottom w:val="0"/>
      <w:divBdr>
        <w:top w:val="none" w:sz="0" w:space="0" w:color="auto"/>
        <w:left w:val="none" w:sz="0" w:space="0" w:color="auto"/>
        <w:bottom w:val="none" w:sz="0" w:space="0" w:color="auto"/>
        <w:right w:val="none" w:sz="0" w:space="0" w:color="auto"/>
      </w:divBdr>
      <w:divsChild>
        <w:div w:id="808279488">
          <w:marLeft w:val="0"/>
          <w:marRight w:val="0"/>
          <w:marTop w:val="0"/>
          <w:marBottom w:val="0"/>
          <w:divBdr>
            <w:top w:val="none" w:sz="0" w:space="0" w:color="auto"/>
            <w:left w:val="none" w:sz="0" w:space="0" w:color="auto"/>
            <w:bottom w:val="none" w:sz="0" w:space="0" w:color="auto"/>
            <w:right w:val="none" w:sz="0" w:space="0" w:color="auto"/>
          </w:divBdr>
        </w:div>
        <w:div w:id="808279492">
          <w:marLeft w:val="0"/>
          <w:marRight w:val="0"/>
          <w:marTop w:val="0"/>
          <w:marBottom w:val="0"/>
          <w:divBdr>
            <w:top w:val="none" w:sz="0" w:space="0" w:color="auto"/>
            <w:left w:val="none" w:sz="0" w:space="0" w:color="auto"/>
            <w:bottom w:val="none" w:sz="0" w:space="0" w:color="auto"/>
            <w:right w:val="none" w:sz="0" w:space="0" w:color="auto"/>
          </w:divBdr>
        </w:div>
        <w:div w:id="808279493">
          <w:marLeft w:val="0"/>
          <w:marRight w:val="0"/>
          <w:marTop w:val="0"/>
          <w:marBottom w:val="0"/>
          <w:divBdr>
            <w:top w:val="none" w:sz="0" w:space="0" w:color="auto"/>
            <w:left w:val="none" w:sz="0" w:space="0" w:color="auto"/>
            <w:bottom w:val="none" w:sz="0" w:space="0" w:color="auto"/>
            <w:right w:val="none" w:sz="0" w:space="0" w:color="auto"/>
          </w:divBdr>
        </w:div>
        <w:div w:id="808279502">
          <w:marLeft w:val="0"/>
          <w:marRight w:val="0"/>
          <w:marTop w:val="0"/>
          <w:marBottom w:val="0"/>
          <w:divBdr>
            <w:top w:val="none" w:sz="0" w:space="0" w:color="auto"/>
            <w:left w:val="none" w:sz="0" w:space="0" w:color="auto"/>
            <w:bottom w:val="none" w:sz="0" w:space="0" w:color="auto"/>
            <w:right w:val="none" w:sz="0" w:space="0" w:color="auto"/>
          </w:divBdr>
        </w:div>
        <w:div w:id="808279513">
          <w:marLeft w:val="0"/>
          <w:marRight w:val="0"/>
          <w:marTop w:val="0"/>
          <w:marBottom w:val="0"/>
          <w:divBdr>
            <w:top w:val="none" w:sz="0" w:space="0" w:color="auto"/>
            <w:left w:val="none" w:sz="0" w:space="0" w:color="auto"/>
            <w:bottom w:val="none" w:sz="0" w:space="0" w:color="auto"/>
            <w:right w:val="none" w:sz="0" w:space="0" w:color="auto"/>
          </w:divBdr>
        </w:div>
        <w:div w:id="808279519">
          <w:marLeft w:val="0"/>
          <w:marRight w:val="0"/>
          <w:marTop w:val="0"/>
          <w:marBottom w:val="0"/>
          <w:divBdr>
            <w:top w:val="none" w:sz="0" w:space="0" w:color="auto"/>
            <w:left w:val="none" w:sz="0" w:space="0" w:color="auto"/>
            <w:bottom w:val="none" w:sz="0" w:space="0" w:color="auto"/>
            <w:right w:val="none" w:sz="0" w:space="0" w:color="auto"/>
          </w:divBdr>
        </w:div>
        <w:div w:id="808279531">
          <w:marLeft w:val="0"/>
          <w:marRight w:val="0"/>
          <w:marTop w:val="0"/>
          <w:marBottom w:val="0"/>
          <w:divBdr>
            <w:top w:val="none" w:sz="0" w:space="0" w:color="auto"/>
            <w:left w:val="none" w:sz="0" w:space="0" w:color="auto"/>
            <w:bottom w:val="none" w:sz="0" w:space="0" w:color="auto"/>
            <w:right w:val="none" w:sz="0" w:space="0" w:color="auto"/>
          </w:divBdr>
        </w:div>
        <w:div w:id="808279534">
          <w:marLeft w:val="0"/>
          <w:marRight w:val="0"/>
          <w:marTop w:val="0"/>
          <w:marBottom w:val="0"/>
          <w:divBdr>
            <w:top w:val="none" w:sz="0" w:space="0" w:color="auto"/>
            <w:left w:val="none" w:sz="0" w:space="0" w:color="auto"/>
            <w:bottom w:val="none" w:sz="0" w:space="0" w:color="auto"/>
            <w:right w:val="none" w:sz="0" w:space="0" w:color="auto"/>
          </w:divBdr>
        </w:div>
        <w:div w:id="808279538">
          <w:marLeft w:val="0"/>
          <w:marRight w:val="0"/>
          <w:marTop w:val="0"/>
          <w:marBottom w:val="0"/>
          <w:divBdr>
            <w:top w:val="none" w:sz="0" w:space="0" w:color="auto"/>
            <w:left w:val="none" w:sz="0" w:space="0" w:color="auto"/>
            <w:bottom w:val="none" w:sz="0" w:space="0" w:color="auto"/>
            <w:right w:val="none" w:sz="0" w:space="0" w:color="auto"/>
          </w:divBdr>
        </w:div>
        <w:div w:id="808279539">
          <w:marLeft w:val="0"/>
          <w:marRight w:val="0"/>
          <w:marTop w:val="0"/>
          <w:marBottom w:val="0"/>
          <w:divBdr>
            <w:top w:val="none" w:sz="0" w:space="0" w:color="auto"/>
            <w:left w:val="none" w:sz="0" w:space="0" w:color="auto"/>
            <w:bottom w:val="none" w:sz="0" w:space="0" w:color="auto"/>
            <w:right w:val="none" w:sz="0" w:space="0" w:color="auto"/>
          </w:divBdr>
        </w:div>
        <w:div w:id="808279541">
          <w:marLeft w:val="0"/>
          <w:marRight w:val="0"/>
          <w:marTop w:val="0"/>
          <w:marBottom w:val="0"/>
          <w:divBdr>
            <w:top w:val="none" w:sz="0" w:space="0" w:color="auto"/>
            <w:left w:val="none" w:sz="0" w:space="0" w:color="auto"/>
            <w:bottom w:val="none" w:sz="0" w:space="0" w:color="auto"/>
            <w:right w:val="none" w:sz="0" w:space="0" w:color="auto"/>
          </w:divBdr>
        </w:div>
        <w:div w:id="808279542">
          <w:marLeft w:val="0"/>
          <w:marRight w:val="0"/>
          <w:marTop w:val="0"/>
          <w:marBottom w:val="0"/>
          <w:divBdr>
            <w:top w:val="none" w:sz="0" w:space="0" w:color="auto"/>
            <w:left w:val="none" w:sz="0" w:space="0" w:color="auto"/>
            <w:bottom w:val="none" w:sz="0" w:space="0" w:color="auto"/>
            <w:right w:val="none" w:sz="0" w:space="0" w:color="auto"/>
          </w:divBdr>
        </w:div>
        <w:div w:id="808279547">
          <w:marLeft w:val="0"/>
          <w:marRight w:val="0"/>
          <w:marTop w:val="0"/>
          <w:marBottom w:val="0"/>
          <w:divBdr>
            <w:top w:val="none" w:sz="0" w:space="0" w:color="auto"/>
            <w:left w:val="none" w:sz="0" w:space="0" w:color="auto"/>
            <w:bottom w:val="none" w:sz="0" w:space="0" w:color="auto"/>
            <w:right w:val="none" w:sz="0" w:space="0" w:color="auto"/>
          </w:divBdr>
        </w:div>
        <w:div w:id="808279551">
          <w:marLeft w:val="0"/>
          <w:marRight w:val="0"/>
          <w:marTop w:val="0"/>
          <w:marBottom w:val="0"/>
          <w:divBdr>
            <w:top w:val="none" w:sz="0" w:space="0" w:color="auto"/>
            <w:left w:val="none" w:sz="0" w:space="0" w:color="auto"/>
            <w:bottom w:val="none" w:sz="0" w:space="0" w:color="auto"/>
            <w:right w:val="none" w:sz="0" w:space="0" w:color="auto"/>
          </w:divBdr>
        </w:div>
        <w:div w:id="808279552">
          <w:marLeft w:val="0"/>
          <w:marRight w:val="0"/>
          <w:marTop w:val="0"/>
          <w:marBottom w:val="0"/>
          <w:divBdr>
            <w:top w:val="none" w:sz="0" w:space="0" w:color="auto"/>
            <w:left w:val="none" w:sz="0" w:space="0" w:color="auto"/>
            <w:bottom w:val="none" w:sz="0" w:space="0" w:color="auto"/>
            <w:right w:val="none" w:sz="0" w:space="0" w:color="auto"/>
          </w:divBdr>
        </w:div>
        <w:div w:id="808279557">
          <w:marLeft w:val="0"/>
          <w:marRight w:val="0"/>
          <w:marTop w:val="0"/>
          <w:marBottom w:val="0"/>
          <w:divBdr>
            <w:top w:val="none" w:sz="0" w:space="0" w:color="auto"/>
            <w:left w:val="none" w:sz="0" w:space="0" w:color="auto"/>
            <w:bottom w:val="none" w:sz="0" w:space="0" w:color="auto"/>
            <w:right w:val="none" w:sz="0" w:space="0" w:color="auto"/>
          </w:divBdr>
        </w:div>
        <w:div w:id="808279571">
          <w:marLeft w:val="0"/>
          <w:marRight w:val="0"/>
          <w:marTop w:val="0"/>
          <w:marBottom w:val="0"/>
          <w:divBdr>
            <w:top w:val="none" w:sz="0" w:space="0" w:color="auto"/>
            <w:left w:val="none" w:sz="0" w:space="0" w:color="auto"/>
            <w:bottom w:val="none" w:sz="0" w:space="0" w:color="auto"/>
            <w:right w:val="none" w:sz="0" w:space="0" w:color="auto"/>
          </w:divBdr>
        </w:div>
        <w:div w:id="808279577">
          <w:marLeft w:val="0"/>
          <w:marRight w:val="0"/>
          <w:marTop w:val="0"/>
          <w:marBottom w:val="0"/>
          <w:divBdr>
            <w:top w:val="none" w:sz="0" w:space="0" w:color="auto"/>
            <w:left w:val="none" w:sz="0" w:space="0" w:color="auto"/>
            <w:bottom w:val="none" w:sz="0" w:space="0" w:color="auto"/>
            <w:right w:val="none" w:sz="0" w:space="0" w:color="auto"/>
          </w:divBdr>
        </w:div>
        <w:div w:id="808279586">
          <w:marLeft w:val="0"/>
          <w:marRight w:val="0"/>
          <w:marTop w:val="0"/>
          <w:marBottom w:val="0"/>
          <w:divBdr>
            <w:top w:val="none" w:sz="0" w:space="0" w:color="auto"/>
            <w:left w:val="none" w:sz="0" w:space="0" w:color="auto"/>
            <w:bottom w:val="none" w:sz="0" w:space="0" w:color="auto"/>
            <w:right w:val="none" w:sz="0" w:space="0" w:color="auto"/>
          </w:divBdr>
        </w:div>
        <w:div w:id="808279599">
          <w:marLeft w:val="0"/>
          <w:marRight w:val="0"/>
          <w:marTop w:val="0"/>
          <w:marBottom w:val="0"/>
          <w:divBdr>
            <w:top w:val="none" w:sz="0" w:space="0" w:color="auto"/>
            <w:left w:val="none" w:sz="0" w:space="0" w:color="auto"/>
            <w:bottom w:val="none" w:sz="0" w:space="0" w:color="auto"/>
            <w:right w:val="none" w:sz="0" w:space="0" w:color="auto"/>
          </w:divBdr>
        </w:div>
        <w:div w:id="808279601">
          <w:marLeft w:val="0"/>
          <w:marRight w:val="0"/>
          <w:marTop w:val="0"/>
          <w:marBottom w:val="0"/>
          <w:divBdr>
            <w:top w:val="none" w:sz="0" w:space="0" w:color="auto"/>
            <w:left w:val="none" w:sz="0" w:space="0" w:color="auto"/>
            <w:bottom w:val="none" w:sz="0" w:space="0" w:color="auto"/>
            <w:right w:val="none" w:sz="0" w:space="0" w:color="auto"/>
          </w:divBdr>
        </w:div>
        <w:div w:id="808279628">
          <w:marLeft w:val="0"/>
          <w:marRight w:val="0"/>
          <w:marTop w:val="0"/>
          <w:marBottom w:val="0"/>
          <w:divBdr>
            <w:top w:val="none" w:sz="0" w:space="0" w:color="auto"/>
            <w:left w:val="none" w:sz="0" w:space="0" w:color="auto"/>
            <w:bottom w:val="none" w:sz="0" w:space="0" w:color="auto"/>
            <w:right w:val="none" w:sz="0" w:space="0" w:color="auto"/>
          </w:divBdr>
        </w:div>
      </w:divsChild>
    </w:div>
    <w:div w:id="808279590">
      <w:marLeft w:val="0"/>
      <w:marRight w:val="0"/>
      <w:marTop w:val="0"/>
      <w:marBottom w:val="0"/>
      <w:divBdr>
        <w:top w:val="none" w:sz="0" w:space="0" w:color="auto"/>
        <w:left w:val="none" w:sz="0" w:space="0" w:color="auto"/>
        <w:bottom w:val="none" w:sz="0" w:space="0" w:color="auto"/>
        <w:right w:val="none" w:sz="0" w:space="0" w:color="auto"/>
      </w:divBdr>
    </w:div>
    <w:div w:id="808279591">
      <w:marLeft w:val="0"/>
      <w:marRight w:val="0"/>
      <w:marTop w:val="0"/>
      <w:marBottom w:val="0"/>
      <w:divBdr>
        <w:top w:val="none" w:sz="0" w:space="0" w:color="auto"/>
        <w:left w:val="none" w:sz="0" w:space="0" w:color="auto"/>
        <w:bottom w:val="none" w:sz="0" w:space="0" w:color="auto"/>
        <w:right w:val="none" w:sz="0" w:space="0" w:color="auto"/>
      </w:divBdr>
      <w:divsChild>
        <w:div w:id="808279576">
          <w:marLeft w:val="0"/>
          <w:marRight w:val="0"/>
          <w:marTop w:val="0"/>
          <w:marBottom w:val="0"/>
          <w:divBdr>
            <w:top w:val="none" w:sz="0" w:space="0" w:color="auto"/>
            <w:left w:val="none" w:sz="0" w:space="0" w:color="auto"/>
            <w:bottom w:val="none" w:sz="0" w:space="0" w:color="auto"/>
            <w:right w:val="none" w:sz="0" w:space="0" w:color="auto"/>
          </w:divBdr>
        </w:div>
      </w:divsChild>
    </w:div>
    <w:div w:id="808279592">
      <w:marLeft w:val="0"/>
      <w:marRight w:val="0"/>
      <w:marTop w:val="0"/>
      <w:marBottom w:val="0"/>
      <w:divBdr>
        <w:top w:val="none" w:sz="0" w:space="0" w:color="auto"/>
        <w:left w:val="none" w:sz="0" w:space="0" w:color="auto"/>
        <w:bottom w:val="none" w:sz="0" w:space="0" w:color="auto"/>
        <w:right w:val="none" w:sz="0" w:space="0" w:color="auto"/>
      </w:divBdr>
      <w:divsChild>
        <w:div w:id="808279509">
          <w:marLeft w:val="0"/>
          <w:marRight w:val="0"/>
          <w:marTop w:val="105"/>
          <w:marBottom w:val="105"/>
          <w:divBdr>
            <w:top w:val="none" w:sz="0" w:space="0" w:color="auto"/>
            <w:left w:val="none" w:sz="0" w:space="0" w:color="auto"/>
            <w:bottom w:val="none" w:sz="0" w:space="0" w:color="auto"/>
            <w:right w:val="none" w:sz="0" w:space="0" w:color="auto"/>
          </w:divBdr>
          <w:divsChild>
            <w:div w:id="808279516">
              <w:marLeft w:val="0"/>
              <w:marRight w:val="0"/>
              <w:marTop w:val="105"/>
              <w:marBottom w:val="105"/>
              <w:divBdr>
                <w:top w:val="none" w:sz="0" w:space="0" w:color="auto"/>
                <w:left w:val="none" w:sz="0" w:space="0" w:color="auto"/>
                <w:bottom w:val="none" w:sz="0" w:space="0" w:color="auto"/>
                <w:right w:val="none" w:sz="0" w:space="0" w:color="auto"/>
              </w:divBdr>
            </w:div>
          </w:divsChild>
        </w:div>
        <w:div w:id="808279609">
          <w:marLeft w:val="0"/>
          <w:marRight w:val="0"/>
          <w:marTop w:val="105"/>
          <w:marBottom w:val="105"/>
          <w:divBdr>
            <w:top w:val="none" w:sz="0" w:space="0" w:color="auto"/>
            <w:left w:val="none" w:sz="0" w:space="0" w:color="auto"/>
            <w:bottom w:val="none" w:sz="0" w:space="0" w:color="auto"/>
            <w:right w:val="none" w:sz="0" w:space="0" w:color="auto"/>
          </w:divBdr>
        </w:div>
      </w:divsChild>
    </w:div>
    <w:div w:id="808279594">
      <w:marLeft w:val="0"/>
      <w:marRight w:val="0"/>
      <w:marTop w:val="0"/>
      <w:marBottom w:val="0"/>
      <w:divBdr>
        <w:top w:val="none" w:sz="0" w:space="0" w:color="auto"/>
        <w:left w:val="none" w:sz="0" w:space="0" w:color="auto"/>
        <w:bottom w:val="none" w:sz="0" w:space="0" w:color="auto"/>
        <w:right w:val="none" w:sz="0" w:space="0" w:color="auto"/>
      </w:divBdr>
    </w:div>
    <w:div w:id="808279595">
      <w:marLeft w:val="0"/>
      <w:marRight w:val="0"/>
      <w:marTop w:val="0"/>
      <w:marBottom w:val="0"/>
      <w:divBdr>
        <w:top w:val="none" w:sz="0" w:space="0" w:color="auto"/>
        <w:left w:val="none" w:sz="0" w:space="0" w:color="auto"/>
        <w:bottom w:val="none" w:sz="0" w:space="0" w:color="auto"/>
        <w:right w:val="none" w:sz="0" w:space="0" w:color="auto"/>
      </w:divBdr>
    </w:div>
    <w:div w:id="808279598">
      <w:marLeft w:val="0"/>
      <w:marRight w:val="0"/>
      <w:marTop w:val="0"/>
      <w:marBottom w:val="0"/>
      <w:divBdr>
        <w:top w:val="none" w:sz="0" w:space="0" w:color="auto"/>
        <w:left w:val="none" w:sz="0" w:space="0" w:color="auto"/>
        <w:bottom w:val="none" w:sz="0" w:space="0" w:color="auto"/>
        <w:right w:val="none" w:sz="0" w:space="0" w:color="auto"/>
      </w:divBdr>
    </w:div>
    <w:div w:id="808279600">
      <w:marLeft w:val="0"/>
      <w:marRight w:val="0"/>
      <w:marTop w:val="0"/>
      <w:marBottom w:val="0"/>
      <w:divBdr>
        <w:top w:val="none" w:sz="0" w:space="0" w:color="auto"/>
        <w:left w:val="none" w:sz="0" w:space="0" w:color="auto"/>
        <w:bottom w:val="none" w:sz="0" w:space="0" w:color="auto"/>
        <w:right w:val="none" w:sz="0" w:space="0" w:color="auto"/>
      </w:divBdr>
    </w:div>
    <w:div w:id="808279602">
      <w:marLeft w:val="0"/>
      <w:marRight w:val="0"/>
      <w:marTop w:val="0"/>
      <w:marBottom w:val="0"/>
      <w:divBdr>
        <w:top w:val="none" w:sz="0" w:space="0" w:color="auto"/>
        <w:left w:val="none" w:sz="0" w:space="0" w:color="auto"/>
        <w:bottom w:val="none" w:sz="0" w:space="0" w:color="auto"/>
        <w:right w:val="none" w:sz="0" w:space="0" w:color="auto"/>
      </w:divBdr>
    </w:div>
    <w:div w:id="808279604">
      <w:marLeft w:val="0"/>
      <w:marRight w:val="0"/>
      <w:marTop w:val="0"/>
      <w:marBottom w:val="0"/>
      <w:divBdr>
        <w:top w:val="none" w:sz="0" w:space="0" w:color="auto"/>
        <w:left w:val="none" w:sz="0" w:space="0" w:color="auto"/>
        <w:bottom w:val="none" w:sz="0" w:space="0" w:color="auto"/>
        <w:right w:val="none" w:sz="0" w:space="0" w:color="auto"/>
      </w:divBdr>
      <w:divsChild>
        <w:div w:id="808279574">
          <w:marLeft w:val="0"/>
          <w:marRight w:val="0"/>
          <w:marTop w:val="0"/>
          <w:marBottom w:val="0"/>
          <w:divBdr>
            <w:top w:val="none" w:sz="0" w:space="0" w:color="auto"/>
            <w:left w:val="none" w:sz="0" w:space="0" w:color="auto"/>
            <w:bottom w:val="none" w:sz="0" w:space="0" w:color="auto"/>
            <w:right w:val="none" w:sz="0" w:space="0" w:color="auto"/>
          </w:divBdr>
          <w:divsChild>
            <w:div w:id="808279530">
              <w:marLeft w:val="0"/>
              <w:marRight w:val="0"/>
              <w:marTop w:val="0"/>
              <w:marBottom w:val="0"/>
              <w:divBdr>
                <w:top w:val="none" w:sz="0" w:space="0" w:color="auto"/>
                <w:left w:val="none" w:sz="0" w:space="0" w:color="auto"/>
                <w:bottom w:val="none" w:sz="0" w:space="0" w:color="auto"/>
                <w:right w:val="none" w:sz="0" w:space="0" w:color="auto"/>
              </w:divBdr>
              <w:divsChild>
                <w:div w:id="808279583">
                  <w:marLeft w:val="0"/>
                  <w:marRight w:val="0"/>
                  <w:marTop w:val="0"/>
                  <w:marBottom w:val="0"/>
                  <w:divBdr>
                    <w:top w:val="none" w:sz="0" w:space="0" w:color="auto"/>
                    <w:left w:val="none" w:sz="0" w:space="0" w:color="auto"/>
                    <w:bottom w:val="none" w:sz="0" w:space="0" w:color="auto"/>
                    <w:right w:val="none" w:sz="0" w:space="0" w:color="auto"/>
                  </w:divBdr>
                  <w:divsChild>
                    <w:div w:id="808279587">
                      <w:marLeft w:val="0"/>
                      <w:marRight w:val="0"/>
                      <w:marTop w:val="0"/>
                      <w:marBottom w:val="0"/>
                      <w:divBdr>
                        <w:top w:val="none" w:sz="0" w:space="0" w:color="auto"/>
                        <w:left w:val="none" w:sz="0" w:space="0" w:color="auto"/>
                        <w:bottom w:val="none" w:sz="0" w:space="0" w:color="auto"/>
                        <w:right w:val="none" w:sz="0" w:space="0" w:color="auto"/>
                      </w:divBdr>
                      <w:divsChild>
                        <w:div w:id="808279546">
                          <w:marLeft w:val="0"/>
                          <w:marRight w:val="0"/>
                          <w:marTop w:val="0"/>
                          <w:marBottom w:val="0"/>
                          <w:divBdr>
                            <w:top w:val="none" w:sz="0" w:space="0" w:color="auto"/>
                            <w:left w:val="none" w:sz="0" w:space="0" w:color="auto"/>
                            <w:bottom w:val="none" w:sz="0" w:space="0" w:color="auto"/>
                            <w:right w:val="none" w:sz="0" w:space="0" w:color="auto"/>
                          </w:divBdr>
                          <w:divsChild>
                            <w:div w:id="808279549">
                              <w:marLeft w:val="0"/>
                              <w:marRight w:val="0"/>
                              <w:marTop w:val="0"/>
                              <w:marBottom w:val="0"/>
                              <w:divBdr>
                                <w:top w:val="none" w:sz="0" w:space="0" w:color="auto"/>
                                <w:left w:val="none" w:sz="0" w:space="0" w:color="auto"/>
                                <w:bottom w:val="none" w:sz="0" w:space="0" w:color="auto"/>
                                <w:right w:val="none" w:sz="0" w:space="0" w:color="auto"/>
                              </w:divBdr>
                              <w:divsChild>
                                <w:div w:id="808279620">
                                  <w:marLeft w:val="0"/>
                                  <w:marRight w:val="0"/>
                                  <w:marTop w:val="0"/>
                                  <w:marBottom w:val="0"/>
                                  <w:divBdr>
                                    <w:top w:val="none" w:sz="0" w:space="0" w:color="auto"/>
                                    <w:left w:val="none" w:sz="0" w:space="0" w:color="auto"/>
                                    <w:bottom w:val="none" w:sz="0" w:space="0" w:color="auto"/>
                                    <w:right w:val="none" w:sz="0" w:space="0" w:color="auto"/>
                                  </w:divBdr>
                                  <w:divsChild>
                                    <w:div w:id="808279580">
                                      <w:marLeft w:val="0"/>
                                      <w:marRight w:val="0"/>
                                      <w:marTop w:val="0"/>
                                      <w:marBottom w:val="0"/>
                                      <w:divBdr>
                                        <w:top w:val="none" w:sz="0" w:space="0" w:color="auto"/>
                                        <w:left w:val="none" w:sz="0" w:space="0" w:color="auto"/>
                                        <w:bottom w:val="none" w:sz="0" w:space="0" w:color="auto"/>
                                        <w:right w:val="none" w:sz="0" w:space="0" w:color="auto"/>
                                      </w:divBdr>
                                      <w:divsChild>
                                        <w:div w:id="808279514">
                                          <w:marLeft w:val="0"/>
                                          <w:marRight w:val="0"/>
                                          <w:marTop w:val="0"/>
                                          <w:marBottom w:val="0"/>
                                          <w:divBdr>
                                            <w:top w:val="none" w:sz="0" w:space="0" w:color="auto"/>
                                            <w:left w:val="none" w:sz="0" w:space="0" w:color="auto"/>
                                            <w:bottom w:val="none" w:sz="0" w:space="0" w:color="auto"/>
                                            <w:right w:val="none" w:sz="0" w:space="0" w:color="auto"/>
                                          </w:divBdr>
                                          <w:divsChild>
                                            <w:div w:id="808279566">
                                              <w:marLeft w:val="0"/>
                                              <w:marRight w:val="0"/>
                                              <w:marTop w:val="105"/>
                                              <w:marBottom w:val="105"/>
                                              <w:divBdr>
                                                <w:top w:val="none" w:sz="0" w:space="0" w:color="auto"/>
                                                <w:left w:val="none" w:sz="0" w:space="0" w:color="auto"/>
                                                <w:bottom w:val="none" w:sz="0" w:space="0" w:color="auto"/>
                                                <w:right w:val="none" w:sz="0" w:space="0" w:color="auto"/>
                                              </w:divBdr>
                                              <w:divsChild>
                                                <w:div w:id="808279540">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8279606">
      <w:marLeft w:val="0"/>
      <w:marRight w:val="0"/>
      <w:marTop w:val="0"/>
      <w:marBottom w:val="0"/>
      <w:divBdr>
        <w:top w:val="none" w:sz="0" w:space="0" w:color="auto"/>
        <w:left w:val="none" w:sz="0" w:space="0" w:color="auto"/>
        <w:bottom w:val="none" w:sz="0" w:space="0" w:color="auto"/>
        <w:right w:val="none" w:sz="0" w:space="0" w:color="auto"/>
      </w:divBdr>
      <w:divsChild>
        <w:div w:id="808279485">
          <w:marLeft w:val="0"/>
          <w:marRight w:val="0"/>
          <w:marTop w:val="0"/>
          <w:marBottom w:val="0"/>
          <w:divBdr>
            <w:top w:val="none" w:sz="0" w:space="0" w:color="auto"/>
            <w:left w:val="none" w:sz="0" w:space="0" w:color="auto"/>
            <w:bottom w:val="none" w:sz="0" w:space="0" w:color="auto"/>
            <w:right w:val="none" w:sz="0" w:space="0" w:color="auto"/>
          </w:divBdr>
        </w:div>
        <w:div w:id="808279486">
          <w:marLeft w:val="0"/>
          <w:marRight w:val="0"/>
          <w:marTop w:val="0"/>
          <w:marBottom w:val="0"/>
          <w:divBdr>
            <w:top w:val="none" w:sz="0" w:space="0" w:color="auto"/>
            <w:left w:val="none" w:sz="0" w:space="0" w:color="auto"/>
            <w:bottom w:val="none" w:sz="0" w:space="0" w:color="auto"/>
            <w:right w:val="none" w:sz="0" w:space="0" w:color="auto"/>
          </w:divBdr>
        </w:div>
        <w:div w:id="808279496">
          <w:marLeft w:val="0"/>
          <w:marRight w:val="0"/>
          <w:marTop w:val="0"/>
          <w:marBottom w:val="0"/>
          <w:divBdr>
            <w:top w:val="none" w:sz="0" w:space="0" w:color="auto"/>
            <w:left w:val="none" w:sz="0" w:space="0" w:color="auto"/>
            <w:bottom w:val="none" w:sz="0" w:space="0" w:color="auto"/>
            <w:right w:val="none" w:sz="0" w:space="0" w:color="auto"/>
          </w:divBdr>
        </w:div>
        <w:div w:id="808279498">
          <w:marLeft w:val="0"/>
          <w:marRight w:val="0"/>
          <w:marTop w:val="0"/>
          <w:marBottom w:val="0"/>
          <w:divBdr>
            <w:top w:val="none" w:sz="0" w:space="0" w:color="auto"/>
            <w:left w:val="none" w:sz="0" w:space="0" w:color="auto"/>
            <w:bottom w:val="none" w:sz="0" w:space="0" w:color="auto"/>
            <w:right w:val="none" w:sz="0" w:space="0" w:color="auto"/>
          </w:divBdr>
        </w:div>
        <w:div w:id="808279503">
          <w:marLeft w:val="0"/>
          <w:marRight w:val="0"/>
          <w:marTop w:val="0"/>
          <w:marBottom w:val="0"/>
          <w:divBdr>
            <w:top w:val="none" w:sz="0" w:space="0" w:color="auto"/>
            <w:left w:val="none" w:sz="0" w:space="0" w:color="auto"/>
            <w:bottom w:val="none" w:sz="0" w:space="0" w:color="auto"/>
            <w:right w:val="none" w:sz="0" w:space="0" w:color="auto"/>
          </w:divBdr>
        </w:div>
        <w:div w:id="808279507">
          <w:marLeft w:val="0"/>
          <w:marRight w:val="0"/>
          <w:marTop w:val="0"/>
          <w:marBottom w:val="0"/>
          <w:divBdr>
            <w:top w:val="none" w:sz="0" w:space="0" w:color="auto"/>
            <w:left w:val="none" w:sz="0" w:space="0" w:color="auto"/>
            <w:bottom w:val="none" w:sz="0" w:space="0" w:color="auto"/>
            <w:right w:val="none" w:sz="0" w:space="0" w:color="auto"/>
          </w:divBdr>
        </w:div>
        <w:div w:id="808279527">
          <w:marLeft w:val="0"/>
          <w:marRight w:val="0"/>
          <w:marTop w:val="0"/>
          <w:marBottom w:val="0"/>
          <w:divBdr>
            <w:top w:val="none" w:sz="0" w:space="0" w:color="auto"/>
            <w:left w:val="none" w:sz="0" w:space="0" w:color="auto"/>
            <w:bottom w:val="none" w:sz="0" w:space="0" w:color="auto"/>
            <w:right w:val="none" w:sz="0" w:space="0" w:color="auto"/>
          </w:divBdr>
        </w:div>
        <w:div w:id="808279529">
          <w:marLeft w:val="0"/>
          <w:marRight w:val="0"/>
          <w:marTop w:val="0"/>
          <w:marBottom w:val="0"/>
          <w:divBdr>
            <w:top w:val="none" w:sz="0" w:space="0" w:color="auto"/>
            <w:left w:val="none" w:sz="0" w:space="0" w:color="auto"/>
            <w:bottom w:val="none" w:sz="0" w:space="0" w:color="auto"/>
            <w:right w:val="none" w:sz="0" w:space="0" w:color="auto"/>
          </w:divBdr>
        </w:div>
        <w:div w:id="808279535">
          <w:marLeft w:val="0"/>
          <w:marRight w:val="0"/>
          <w:marTop w:val="0"/>
          <w:marBottom w:val="0"/>
          <w:divBdr>
            <w:top w:val="none" w:sz="0" w:space="0" w:color="auto"/>
            <w:left w:val="none" w:sz="0" w:space="0" w:color="auto"/>
            <w:bottom w:val="none" w:sz="0" w:space="0" w:color="auto"/>
            <w:right w:val="none" w:sz="0" w:space="0" w:color="auto"/>
          </w:divBdr>
        </w:div>
        <w:div w:id="808279537">
          <w:marLeft w:val="0"/>
          <w:marRight w:val="0"/>
          <w:marTop w:val="0"/>
          <w:marBottom w:val="0"/>
          <w:divBdr>
            <w:top w:val="none" w:sz="0" w:space="0" w:color="auto"/>
            <w:left w:val="none" w:sz="0" w:space="0" w:color="auto"/>
            <w:bottom w:val="none" w:sz="0" w:space="0" w:color="auto"/>
            <w:right w:val="none" w:sz="0" w:space="0" w:color="auto"/>
          </w:divBdr>
        </w:div>
        <w:div w:id="808279564">
          <w:marLeft w:val="0"/>
          <w:marRight w:val="0"/>
          <w:marTop w:val="0"/>
          <w:marBottom w:val="0"/>
          <w:divBdr>
            <w:top w:val="none" w:sz="0" w:space="0" w:color="auto"/>
            <w:left w:val="none" w:sz="0" w:space="0" w:color="auto"/>
            <w:bottom w:val="none" w:sz="0" w:space="0" w:color="auto"/>
            <w:right w:val="none" w:sz="0" w:space="0" w:color="auto"/>
          </w:divBdr>
        </w:div>
        <w:div w:id="808279567">
          <w:marLeft w:val="0"/>
          <w:marRight w:val="0"/>
          <w:marTop w:val="0"/>
          <w:marBottom w:val="0"/>
          <w:divBdr>
            <w:top w:val="none" w:sz="0" w:space="0" w:color="auto"/>
            <w:left w:val="none" w:sz="0" w:space="0" w:color="auto"/>
            <w:bottom w:val="none" w:sz="0" w:space="0" w:color="auto"/>
            <w:right w:val="none" w:sz="0" w:space="0" w:color="auto"/>
          </w:divBdr>
        </w:div>
        <w:div w:id="808279588">
          <w:marLeft w:val="0"/>
          <w:marRight w:val="0"/>
          <w:marTop w:val="0"/>
          <w:marBottom w:val="0"/>
          <w:divBdr>
            <w:top w:val="none" w:sz="0" w:space="0" w:color="auto"/>
            <w:left w:val="none" w:sz="0" w:space="0" w:color="auto"/>
            <w:bottom w:val="none" w:sz="0" w:space="0" w:color="auto"/>
            <w:right w:val="none" w:sz="0" w:space="0" w:color="auto"/>
          </w:divBdr>
        </w:div>
        <w:div w:id="808279593">
          <w:marLeft w:val="0"/>
          <w:marRight w:val="0"/>
          <w:marTop w:val="0"/>
          <w:marBottom w:val="0"/>
          <w:divBdr>
            <w:top w:val="none" w:sz="0" w:space="0" w:color="auto"/>
            <w:left w:val="none" w:sz="0" w:space="0" w:color="auto"/>
            <w:bottom w:val="none" w:sz="0" w:space="0" w:color="auto"/>
            <w:right w:val="none" w:sz="0" w:space="0" w:color="auto"/>
          </w:divBdr>
        </w:div>
        <w:div w:id="808279596">
          <w:marLeft w:val="0"/>
          <w:marRight w:val="0"/>
          <w:marTop w:val="0"/>
          <w:marBottom w:val="0"/>
          <w:divBdr>
            <w:top w:val="none" w:sz="0" w:space="0" w:color="auto"/>
            <w:left w:val="none" w:sz="0" w:space="0" w:color="auto"/>
            <w:bottom w:val="none" w:sz="0" w:space="0" w:color="auto"/>
            <w:right w:val="none" w:sz="0" w:space="0" w:color="auto"/>
          </w:divBdr>
        </w:div>
        <w:div w:id="808279607">
          <w:marLeft w:val="0"/>
          <w:marRight w:val="0"/>
          <w:marTop w:val="0"/>
          <w:marBottom w:val="0"/>
          <w:divBdr>
            <w:top w:val="none" w:sz="0" w:space="0" w:color="auto"/>
            <w:left w:val="none" w:sz="0" w:space="0" w:color="auto"/>
            <w:bottom w:val="none" w:sz="0" w:space="0" w:color="auto"/>
            <w:right w:val="none" w:sz="0" w:space="0" w:color="auto"/>
          </w:divBdr>
        </w:div>
        <w:div w:id="808279613">
          <w:marLeft w:val="0"/>
          <w:marRight w:val="0"/>
          <w:marTop w:val="0"/>
          <w:marBottom w:val="0"/>
          <w:divBdr>
            <w:top w:val="none" w:sz="0" w:space="0" w:color="auto"/>
            <w:left w:val="none" w:sz="0" w:space="0" w:color="auto"/>
            <w:bottom w:val="none" w:sz="0" w:space="0" w:color="auto"/>
            <w:right w:val="none" w:sz="0" w:space="0" w:color="auto"/>
          </w:divBdr>
        </w:div>
        <w:div w:id="808279615">
          <w:marLeft w:val="0"/>
          <w:marRight w:val="0"/>
          <w:marTop w:val="0"/>
          <w:marBottom w:val="0"/>
          <w:divBdr>
            <w:top w:val="none" w:sz="0" w:space="0" w:color="auto"/>
            <w:left w:val="none" w:sz="0" w:space="0" w:color="auto"/>
            <w:bottom w:val="none" w:sz="0" w:space="0" w:color="auto"/>
            <w:right w:val="none" w:sz="0" w:space="0" w:color="auto"/>
          </w:divBdr>
        </w:div>
        <w:div w:id="808279617">
          <w:marLeft w:val="0"/>
          <w:marRight w:val="0"/>
          <w:marTop w:val="0"/>
          <w:marBottom w:val="0"/>
          <w:divBdr>
            <w:top w:val="none" w:sz="0" w:space="0" w:color="auto"/>
            <w:left w:val="none" w:sz="0" w:space="0" w:color="auto"/>
            <w:bottom w:val="none" w:sz="0" w:space="0" w:color="auto"/>
            <w:right w:val="none" w:sz="0" w:space="0" w:color="auto"/>
          </w:divBdr>
        </w:div>
        <w:div w:id="808279622">
          <w:marLeft w:val="0"/>
          <w:marRight w:val="0"/>
          <w:marTop w:val="0"/>
          <w:marBottom w:val="0"/>
          <w:divBdr>
            <w:top w:val="none" w:sz="0" w:space="0" w:color="auto"/>
            <w:left w:val="none" w:sz="0" w:space="0" w:color="auto"/>
            <w:bottom w:val="none" w:sz="0" w:space="0" w:color="auto"/>
            <w:right w:val="none" w:sz="0" w:space="0" w:color="auto"/>
          </w:divBdr>
        </w:div>
        <w:div w:id="808279626">
          <w:marLeft w:val="0"/>
          <w:marRight w:val="0"/>
          <w:marTop w:val="0"/>
          <w:marBottom w:val="0"/>
          <w:divBdr>
            <w:top w:val="none" w:sz="0" w:space="0" w:color="auto"/>
            <w:left w:val="none" w:sz="0" w:space="0" w:color="auto"/>
            <w:bottom w:val="none" w:sz="0" w:space="0" w:color="auto"/>
            <w:right w:val="none" w:sz="0" w:space="0" w:color="auto"/>
          </w:divBdr>
        </w:div>
        <w:div w:id="808279627">
          <w:marLeft w:val="0"/>
          <w:marRight w:val="0"/>
          <w:marTop w:val="0"/>
          <w:marBottom w:val="0"/>
          <w:divBdr>
            <w:top w:val="none" w:sz="0" w:space="0" w:color="auto"/>
            <w:left w:val="none" w:sz="0" w:space="0" w:color="auto"/>
            <w:bottom w:val="none" w:sz="0" w:space="0" w:color="auto"/>
            <w:right w:val="none" w:sz="0" w:space="0" w:color="auto"/>
          </w:divBdr>
        </w:div>
      </w:divsChild>
    </w:div>
    <w:div w:id="808279610">
      <w:marLeft w:val="0"/>
      <w:marRight w:val="0"/>
      <w:marTop w:val="0"/>
      <w:marBottom w:val="0"/>
      <w:divBdr>
        <w:top w:val="none" w:sz="0" w:space="0" w:color="auto"/>
        <w:left w:val="none" w:sz="0" w:space="0" w:color="auto"/>
        <w:bottom w:val="none" w:sz="0" w:space="0" w:color="auto"/>
        <w:right w:val="none" w:sz="0" w:space="0" w:color="auto"/>
      </w:divBdr>
    </w:div>
    <w:div w:id="808279612">
      <w:marLeft w:val="0"/>
      <w:marRight w:val="0"/>
      <w:marTop w:val="0"/>
      <w:marBottom w:val="0"/>
      <w:divBdr>
        <w:top w:val="none" w:sz="0" w:space="0" w:color="auto"/>
        <w:left w:val="none" w:sz="0" w:space="0" w:color="auto"/>
        <w:bottom w:val="none" w:sz="0" w:space="0" w:color="auto"/>
        <w:right w:val="none" w:sz="0" w:space="0" w:color="auto"/>
      </w:divBdr>
      <w:divsChild>
        <w:div w:id="808279525">
          <w:marLeft w:val="0"/>
          <w:marRight w:val="0"/>
          <w:marTop w:val="0"/>
          <w:marBottom w:val="0"/>
          <w:divBdr>
            <w:top w:val="none" w:sz="0" w:space="0" w:color="auto"/>
            <w:left w:val="none" w:sz="0" w:space="0" w:color="auto"/>
            <w:bottom w:val="none" w:sz="0" w:space="0" w:color="auto"/>
            <w:right w:val="none" w:sz="0" w:space="0" w:color="auto"/>
          </w:divBdr>
        </w:div>
        <w:div w:id="808279553">
          <w:marLeft w:val="0"/>
          <w:marRight w:val="0"/>
          <w:marTop w:val="0"/>
          <w:marBottom w:val="0"/>
          <w:divBdr>
            <w:top w:val="none" w:sz="0" w:space="0" w:color="auto"/>
            <w:left w:val="none" w:sz="0" w:space="0" w:color="auto"/>
            <w:bottom w:val="none" w:sz="0" w:space="0" w:color="auto"/>
            <w:right w:val="none" w:sz="0" w:space="0" w:color="auto"/>
          </w:divBdr>
        </w:div>
        <w:div w:id="808279573">
          <w:marLeft w:val="0"/>
          <w:marRight w:val="0"/>
          <w:marTop w:val="0"/>
          <w:marBottom w:val="0"/>
          <w:divBdr>
            <w:top w:val="none" w:sz="0" w:space="0" w:color="auto"/>
            <w:left w:val="none" w:sz="0" w:space="0" w:color="auto"/>
            <w:bottom w:val="none" w:sz="0" w:space="0" w:color="auto"/>
            <w:right w:val="none" w:sz="0" w:space="0" w:color="auto"/>
          </w:divBdr>
        </w:div>
      </w:divsChild>
    </w:div>
    <w:div w:id="808279614">
      <w:marLeft w:val="0"/>
      <w:marRight w:val="0"/>
      <w:marTop w:val="0"/>
      <w:marBottom w:val="0"/>
      <w:divBdr>
        <w:top w:val="none" w:sz="0" w:space="0" w:color="auto"/>
        <w:left w:val="none" w:sz="0" w:space="0" w:color="auto"/>
        <w:bottom w:val="none" w:sz="0" w:space="0" w:color="auto"/>
        <w:right w:val="none" w:sz="0" w:space="0" w:color="auto"/>
      </w:divBdr>
    </w:div>
    <w:div w:id="808279616">
      <w:marLeft w:val="0"/>
      <w:marRight w:val="0"/>
      <w:marTop w:val="0"/>
      <w:marBottom w:val="0"/>
      <w:divBdr>
        <w:top w:val="none" w:sz="0" w:space="0" w:color="auto"/>
        <w:left w:val="none" w:sz="0" w:space="0" w:color="auto"/>
        <w:bottom w:val="none" w:sz="0" w:space="0" w:color="auto"/>
        <w:right w:val="none" w:sz="0" w:space="0" w:color="auto"/>
      </w:divBdr>
    </w:div>
    <w:div w:id="808279618">
      <w:marLeft w:val="0"/>
      <w:marRight w:val="0"/>
      <w:marTop w:val="0"/>
      <w:marBottom w:val="0"/>
      <w:divBdr>
        <w:top w:val="none" w:sz="0" w:space="0" w:color="auto"/>
        <w:left w:val="none" w:sz="0" w:space="0" w:color="auto"/>
        <w:bottom w:val="none" w:sz="0" w:space="0" w:color="auto"/>
        <w:right w:val="none" w:sz="0" w:space="0" w:color="auto"/>
      </w:divBdr>
    </w:div>
    <w:div w:id="808279619">
      <w:marLeft w:val="0"/>
      <w:marRight w:val="0"/>
      <w:marTop w:val="0"/>
      <w:marBottom w:val="0"/>
      <w:divBdr>
        <w:top w:val="none" w:sz="0" w:space="0" w:color="auto"/>
        <w:left w:val="none" w:sz="0" w:space="0" w:color="auto"/>
        <w:bottom w:val="none" w:sz="0" w:space="0" w:color="auto"/>
        <w:right w:val="none" w:sz="0" w:space="0" w:color="auto"/>
      </w:divBdr>
    </w:div>
    <w:div w:id="808279624">
      <w:marLeft w:val="0"/>
      <w:marRight w:val="0"/>
      <w:marTop w:val="0"/>
      <w:marBottom w:val="0"/>
      <w:divBdr>
        <w:top w:val="none" w:sz="0" w:space="0" w:color="auto"/>
        <w:left w:val="none" w:sz="0" w:space="0" w:color="auto"/>
        <w:bottom w:val="none" w:sz="0" w:space="0" w:color="auto"/>
        <w:right w:val="none" w:sz="0" w:space="0" w:color="auto"/>
      </w:divBdr>
    </w:div>
    <w:div w:id="808279629">
      <w:marLeft w:val="0"/>
      <w:marRight w:val="0"/>
      <w:marTop w:val="0"/>
      <w:marBottom w:val="0"/>
      <w:divBdr>
        <w:top w:val="none" w:sz="0" w:space="0" w:color="auto"/>
        <w:left w:val="none" w:sz="0" w:space="0" w:color="auto"/>
        <w:bottom w:val="none" w:sz="0" w:space="0" w:color="auto"/>
        <w:right w:val="none" w:sz="0" w:space="0" w:color="auto"/>
      </w:divBdr>
      <w:divsChild>
        <w:div w:id="808279487">
          <w:marLeft w:val="0"/>
          <w:marRight w:val="0"/>
          <w:marTop w:val="0"/>
          <w:marBottom w:val="0"/>
          <w:divBdr>
            <w:top w:val="none" w:sz="0" w:space="0" w:color="auto"/>
            <w:left w:val="none" w:sz="0" w:space="0" w:color="auto"/>
            <w:bottom w:val="none" w:sz="0" w:space="0" w:color="auto"/>
            <w:right w:val="none" w:sz="0" w:space="0" w:color="auto"/>
          </w:divBdr>
        </w:div>
        <w:div w:id="808279522">
          <w:marLeft w:val="0"/>
          <w:marRight w:val="0"/>
          <w:marTop w:val="0"/>
          <w:marBottom w:val="0"/>
          <w:divBdr>
            <w:top w:val="none" w:sz="0" w:space="0" w:color="auto"/>
            <w:left w:val="none" w:sz="0" w:space="0" w:color="auto"/>
            <w:bottom w:val="none" w:sz="0" w:space="0" w:color="auto"/>
            <w:right w:val="none" w:sz="0" w:space="0" w:color="auto"/>
          </w:divBdr>
        </w:div>
        <w:div w:id="808279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mop-07/mop-07-dec-09-zh.pdf" TargetMode="External"/><Relationship Id="rId18" Type="http://schemas.openxmlformats.org/officeDocument/2006/relationships/hyperlink" Target="https://www.cbd.int/doc/decisions/cop-13/cop-13-dec-32-zh.pdf" TargetMode="External"/><Relationship Id="rId26" Type="http://schemas.openxmlformats.org/officeDocument/2006/relationships/hyperlink" Target="https://www.cbd.int/gender/action-plan/" TargetMode="External"/><Relationship Id="rId39" Type="http://schemas.openxmlformats.org/officeDocument/2006/relationships/hyperlink" Target="https://www.cbd.int/doc/recommendations/sbstta-21/sbstta-21-rec-06-zh.pdf" TargetMode="External"/><Relationship Id="rId21" Type="http://schemas.openxmlformats.org/officeDocument/2006/relationships/hyperlink" Target="https://www.cbd.int/sp/" TargetMode="External"/><Relationship Id="rId34" Type="http://schemas.openxmlformats.org/officeDocument/2006/relationships/hyperlink" Target="https://www.cbd.int/doc/decisions/cop-13/cop-13-dec-23-zh.pdf" TargetMode="External"/><Relationship Id="rId42" Type="http://schemas.openxmlformats.org/officeDocument/2006/relationships/hyperlink" Target="https://www.cbd.int/doc/decisions/cop-13/cop-13-dec-26-zh.pdf" TargetMode="External"/><Relationship Id="rId47" Type="http://schemas.openxmlformats.org/officeDocument/2006/relationships/hyperlink" Target="https://www.cbd.int/doc/decisions/cop-13/cop-13-dec-26-zh.pdf" TargetMode="External"/><Relationship Id="rId50" Type="http://schemas.openxmlformats.org/officeDocument/2006/relationships/hyperlink" Target="https://www.cbd.int/doc/decisions/cop-12/cop-12-dec-31-zh.pdf" TargetMode="External"/><Relationship Id="rId55" Type="http://schemas.openxmlformats.org/officeDocument/2006/relationships/hyperlink" Target="https://www.cbd.int/doc/decisions/cop-13/cop-13-dec-19-zh.pdf" TargetMode="External"/><Relationship Id="rId63" Type="http://schemas.openxmlformats.org/officeDocument/2006/relationships/hyperlink" Target="https://www.cbd.int/doc/recommendations/sbstta-21/sbstta-21-rec-03-zh.pdf" TargetMode="External"/><Relationship Id="rId68" Type="http://schemas.openxmlformats.org/officeDocument/2006/relationships/hyperlink" Target="https://www.cbd.int/doc/decisions/cop-13/cop-13-dec-02-zh.pdf" TargetMode="External"/><Relationship Id="rId76" Type="http://schemas.openxmlformats.org/officeDocument/2006/relationships/hyperlink" Target="https://www.cbd.int/doc/decisions/cop-12/cop-12-dec-14-zh.pdf" TargetMode="External"/><Relationship Id="rId84" Type="http://schemas.openxmlformats.org/officeDocument/2006/relationships/fontTable" Target="fontTable.xml"/><Relationship Id="rId7" Type="http://schemas.openxmlformats.org/officeDocument/2006/relationships/image" Target="media/image1.emf"/><Relationship Id="rId71" Type="http://schemas.openxmlformats.org/officeDocument/2006/relationships/hyperlink" Target="https://www.cbd.int/doc/decisions/cop-13/cop-13-dec-09-zh.pdf" TargetMode="External"/><Relationship Id="rId2" Type="http://schemas.openxmlformats.org/officeDocument/2006/relationships/styles" Target="styles.xml"/><Relationship Id="rId16" Type="http://schemas.openxmlformats.org/officeDocument/2006/relationships/hyperlink" Target="https://www.cbd.int/doc/decisions/cop-01/full/cop-01-dec-zh.pdf" TargetMode="External"/><Relationship Id="rId29" Type="http://schemas.openxmlformats.org/officeDocument/2006/relationships/hyperlink" Target="https://www.cbd.int/doc/decisions/cop-13/cop-13-dec-20-zh.pdf" TargetMode="External"/><Relationship Id="rId11" Type="http://schemas.openxmlformats.org/officeDocument/2006/relationships/hyperlink" Target="https://www.cbd.int/doc/decisions/cop-12/cop-12-dec-31-zh.pdf" TargetMode="External"/><Relationship Id="rId24" Type="http://schemas.openxmlformats.org/officeDocument/2006/relationships/hyperlink" Target="https://www.cbd.int/doc/decisions/cop-13/cop-13-dec-01-zh.pdf" TargetMode="External"/><Relationship Id="rId32" Type="http://schemas.openxmlformats.org/officeDocument/2006/relationships/hyperlink" Target="https://www.cbd.int/doc/recommendations/wg8j-10/wg8j-10-rec-04-zh.pdf" TargetMode="External"/><Relationship Id="rId37" Type="http://schemas.openxmlformats.org/officeDocument/2006/relationships/hyperlink" Target="https://www.cbd.int/doc/decisions/cop-13/cop-13-dec-27-zh.pdf" TargetMode="External"/><Relationship Id="rId40" Type="http://schemas.openxmlformats.org/officeDocument/2006/relationships/hyperlink" Target="https://www.cbd.int/doc/decisions/cop-13/cop-13-dec-25-zh.pdf" TargetMode="External"/><Relationship Id="rId45" Type="http://schemas.openxmlformats.org/officeDocument/2006/relationships/hyperlink" Target="https://www.cbd.int/doc/decisions/cop-13/cop-13-dec-07-zh.pdf" TargetMode="External"/><Relationship Id="rId53" Type="http://schemas.openxmlformats.org/officeDocument/2006/relationships/hyperlink" Target="https://www.cbd.int/doc/decisions/cop-13/cop-13-dec-29-zh.pdf" TargetMode="External"/><Relationship Id="rId58" Type="http://schemas.openxmlformats.org/officeDocument/2006/relationships/hyperlink" Target="https://www.cbd.int/doc/decisions/cop-13/cop-13-dec-08-zh.pdf" TargetMode="External"/><Relationship Id="rId66" Type="http://schemas.openxmlformats.org/officeDocument/2006/relationships/hyperlink" Target="https://www.cbd.int/doc/decisions/cop-13/cop-13-dec-02-zh.pdf" TargetMode="External"/><Relationship Id="rId74" Type="http://schemas.openxmlformats.org/officeDocument/2006/relationships/hyperlink" Target="https://www.cbd.int/doc/decisions/cop-13/cop-13-dec-09-zh.pdf" TargetMode="External"/><Relationship Id="rId79"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www.cbd.int/doc/decisions/cop-13/cop-13-dec-04-zh.pdf" TargetMode="External"/><Relationship Id="rId82" Type="http://schemas.openxmlformats.org/officeDocument/2006/relationships/header" Target="header3.xml"/><Relationship Id="rId19" Type="http://schemas.openxmlformats.org/officeDocument/2006/relationships/hyperlink" Target="https://www.cbd.int/doc/decisions/cop-13/cop-13-dec-32-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np-mop-01/np-mop-01-dec-12-zh.pdf" TargetMode="External"/><Relationship Id="rId22" Type="http://schemas.openxmlformats.org/officeDocument/2006/relationships/hyperlink" Target="https://www.cbd.int/doc/decisions/cop-12/cop-12-dec-31-zh.pdf" TargetMode="External"/><Relationship Id="rId27" Type="http://schemas.openxmlformats.org/officeDocument/2006/relationships/hyperlink" Target="https://www.cbd.int/doc/decisions/cop-12/cop-12-dec-03-zh.pdf" TargetMode="External"/><Relationship Id="rId30" Type="http://schemas.openxmlformats.org/officeDocument/2006/relationships/hyperlink" Target="https://www.cbd.int/doc/recommendations/wg8j-10/wg8j-10-rec-04-zh.pdf" TargetMode="External"/><Relationship Id="rId35" Type="http://schemas.openxmlformats.org/officeDocument/2006/relationships/hyperlink" Target="https://www.cbd.int/doc/decisions/cop-13/cop-13-dec-23-zh.pdf" TargetMode="External"/><Relationship Id="rId43" Type="http://schemas.openxmlformats.org/officeDocument/2006/relationships/hyperlink" Target="https://www.cbd.int/doc/recommendations/wg8j-10/wg8j-10-rec-03-zh.pdf" TargetMode="External"/><Relationship Id="rId48" Type="http://schemas.openxmlformats.org/officeDocument/2006/relationships/hyperlink" Target="https://www.cbd.int/doc/decisions/cop-12/cop-12-dec-25-zh.pdf" TargetMode="External"/><Relationship Id="rId56" Type="http://schemas.openxmlformats.org/officeDocument/2006/relationships/hyperlink" Target="https://www.cbd.int/doc/recommendations/wg8j-10/wg8j-10-rec-05-zh.pdf" TargetMode="External"/><Relationship Id="rId64" Type="http://schemas.openxmlformats.org/officeDocument/2006/relationships/hyperlink" Target="https://www.cbd.int/doc/recommendations/sbstta-21/sbstta-21-rec-04-zh.pdf" TargetMode="External"/><Relationship Id="rId69" Type="http://schemas.openxmlformats.org/officeDocument/2006/relationships/hyperlink" Target="https://www.cbd.int/doc/decisions/cop-13/cop-13-dec-09-zh.pdf" TargetMode="External"/><Relationship Id="rId77" Type="http://schemas.openxmlformats.org/officeDocument/2006/relationships/hyperlink" Target="https://www.cbd.int/doc/decisions/cop-04/full/cop-04-dec-zh.pdf" TargetMode="External"/><Relationship Id="rId8" Type="http://schemas.openxmlformats.org/officeDocument/2006/relationships/image" Target="media/image2.png"/><Relationship Id="rId51" Type="http://schemas.openxmlformats.org/officeDocument/2006/relationships/hyperlink" Target="https://www.cbd.int/doc/recommendations/sbstta-21/sbstta-21-rec-01-zh.pdf" TargetMode="External"/><Relationship Id="rId72" Type="http://schemas.openxmlformats.org/officeDocument/2006/relationships/hyperlink" Target="https://www.cbd.int/doc/decisions/cop-13/cop-13-dec-03-zh.pdf"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cbd.int/doc/decisions/cop-12/cop-12-dec-27-zh.pdf" TargetMode="External"/><Relationship Id="rId17" Type="http://schemas.openxmlformats.org/officeDocument/2006/relationships/hyperlink" Target="https://www.cbd.int/doc/decisions/cop-13/cop-13-dec-33-zh.pdf" TargetMode="External"/><Relationship Id="rId25" Type="http://schemas.openxmlformats.org/officeDocument/2006/relationships/hyperlink" Target="https://www.cbd.int/doc/decisions/cop-12/cop-12-dec-07-zh.pdf" TargetMode="External"/><Relationship Id="rId33" Type="http://schemas.openxmlformats.org/officeDocument/2006/relationships/hyperlink" Target="https://www.cbd.int/doc/decisions/cop-13/cop-13-dec-21-zh.pdf" TargetMode="External"/><Relationship Id="rId38" Type="http://schemas.openxmlformats.org/officeDocument/2006/relationships/hyperlink" Target="https://www.cbd.int/doc/decisions/cop-13/cop-13-dec-01-zh.pdf" TargetMode="External"/><Relationship Id="rId46" Type="http://schemas.openxmlformats.org/officeDocument/2006/relationships/hyperlink" Target="https://www.cbd.int/doc/decisions/cop-12/cop-12-dec-06-zh.pdf" TargetMode="External"/><Relationship Id="rId59" Type="http://schemas.openxmlformats.org/officeDocument/2006/relationships/hyperlink" Target="https://www.cbd.int/doc/c/13c6/c275/c86c359365008a2007d9bde6/sbstta-21-03-zh.pdf" TargetMode="External"/><Relationship Id="rId67" Type="http://schemas.openxmlformats.org/officeDocument/2006/relationships/hyperlink" Target="https://www.cbd.int/doc/decisions/cop-13/cop-13-dec-09-zh.pdf" TargetMode="External"/><Relationship Id="rId20" Type="http://schemas.openxmlformats.org/officeDocument/2006/relationships/hyperlink" Target="https://www.cbd.int/doc/decisions/cop-10/cop-10-dec-02-zh.pdf" TargetMode="External"/><Relationship Id="rId41" Type="http://schemas.openxmlformats.org/officeDocument/2006/relationships/hyperlink" Target="https://www.cbd.int/doc/decisions/cop-12/cop-12-dec-13-zh.pdf" TargetMode="External"/><Relationship Id="rId54" Type="http://schemas.openxmlformats.org/officeDocument/2006/relationships/hyperlink" Target="https://www.cbd.int/doc/decisions/cop-13/cop-13-dec-19-zh.pdf" TargetMode="External"/><Relationship Id="rId62" Type="http://schemas.openxmlformats.org/officeDocument/2006/relationships/hyperlink" Target="https://www.cbd.int/doc/meetings/cop/cop-13/official/cop-13-24-zh.pdf" TargetMode="External"/><Relationship Id="rId70" Type="http://schemas.openxmlformats.org/officeDocument/2006/relationships/hyperlink" Target="https://www.cbd.int/doc/decisions/cop-13/cop-13-dec-12-zh.pdf" TargetMode="External"/><Relationship Id="rId75" Type="http://schemas.openxmlformats.org/officeDocument/2006/relationships/hyperlink" Target="https://www.cbd.int/doc/decisions/cop-13/cop-13-dec-28-zh.pdf" TargetMode="External"/><Relationship Id="rId83"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bd.int/doc/decisions/cop-01/full/cop-01-dec-zh.pdf" TargetMode="External"/><Relationship Id="rId23" Type="http://schemas.openxmlformats.org/officeDocument/2006/relationships/hyperlink" Target="https://www.cbd.int/doc/decisions/cop-13/cop-13-dec-30-zh.pdf" TargetMode="External"/><Relationship Id="rId28" Type="http://schemas.openxmlformats.org/officeDocument/2006/relationships/hyperlink" Target="https://www.cbd.int/doc/decisions/cop-12/cop-12-dec-03-zh.pdf" TargetMode="External"/><Relationship Id="rId36" Type="http://schemas.openxmlformats.org/officeDocument/2006/relationships/hyperlink" Target="https://www.cbd.int/doc/decisions/cop-13/cop-13-dec-27-zh.pdf" TargetMode="External"/><Relationship Id="rId49" Type="http://schemas.openxmlformats.org/officeDocument/2006/relationships/hyperlink" Target="https://www.cbd.int/doc/decisions/cop-13/cop-13-dec-29-zh.pdf" TargetMode="External"/><Relationship Id="rId57" Type="http://schemas.openxmlformats.org/officeDocument/2006/relationships/hyperlink" Target="https://www.cbd.int/doc/recommendations/wg8j-10/wg8j-10-rec-06-zh.pdf" TargetMode="External"/><Relationship Id="rId10" Type="http://schemas.openxmlformats.org/officeDocument/2006/relationships/hyperlink" Target="https://www.cbd.int/doc/decisions/cop-13/cop-13-dec-33-zh.pdf" TargetMode="External"/><Relationship Id="rId31" Type="http://schemas.openxmlformats.org/officeDocument/2006/relationships/hyperlink" Target="https://www.cbd.int/doc/decisions/cop-13/cop-13-dec-20-zh.pdf" TargetMode="External"/><Relationship Id="rId44" Type="http://schemas.openxmlformats.org/officeDocument/2006/relationships/hyperlink" Target="https://www.cbd.int/doc/decisions/cop-13/cop-13-dec-24-zh.pdf" TargetMode="External"/><Relationship Id="rId52" Type="http://schemas.openxmlformats.org/officeDocument/2006/relationships/hyperlink" Target="https://www.cbd.int/doc/decisions/cop-13/cop-13-dec-01-zh.pdf" TargetMode="External"/><Relationship Id="rId60" Type="http://schemas.openxmlformats.org/officeDocument/2006/relationships/hyperlink" Target="https://www.cbd.int/doc/recommendations/sbstta-21/sbstta-21-rec-02-zh.pdf" TargetMode="External"/><Relationship Id="rId65" Type="http://schemas.openxmlformats.org/officeDocument/2006/relationships/hyperlink" Target="https://www.cbd.int/doc/decisions/cop-13/cop-13-dec-15-zh.pdf" TargetMode="External"/><Relationship Id="rId73" Type="http://schemas.openxmlformats.org/officeDocument/2006/relationships/hyperlink" Target="https://www.cbd.int/doc/decisions/cop-13/cop-13-dec-03-zh.pdf" TargetMode="External"/><Relationship Id="rId78" Type="http://schemas.openxmlformats.org/officeDocument/2006/relationships/header" Target="header1.xml"/><Relationship Id="rId8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2/np-mop-02-dec-14-en.pdf" TargetMode="External"/><Relationship Id="rId13" Type="http://schemas.openxmlformats.org/officeDocument/2006/relationships/hyperlink" Target="https://www.cbd.int/doc/decisions/cop-12/cop-12-dec-16-zh.pdf" TargetMode="External"/><Relationship Id="rId3" Type="http://schemas.openxmlformats.org/officeDocument/2006/relationships/hyperlink" Target="https://www.cbd.int/doc/decisions/cop-10/cop-10-dec-02-zh.pdf" TargetMode="External"/><Relationship Id="rId7" Type="http://schemas.openxmlformats.org/officeDocument/2006/relationships/hyperlink" Target="https://www.cbd.int/doc/decisions/cop-13/cop-13-dec-16-en.pdf" TargetMode="External"/><Relationship Id="rId12" Type="http://schemas.openxmlformats.org/officeDocument/2006/relationships/hyperlink" Target="https://www.cbd.int/doc/decisions/cop-13/cop-13-dec-06-zh.pdf" TargetMode="External"/><Relationship Id="rId2" Type="http://schemas.openxmlformats.org/officeDocument/2006/relationships/hyperlink" Target="https://www.cbd.int/doc/decisions/cop-12/cop-12-dec-27-zh.pdf" TargetMode="External"/><Relationship Id="rId1" Type="http://schemas.openxmlformats.org/officeDocument/2006/relationships/hyperlink" Target="https://www.cbd.int/doc/decisions/cop-12/cop-12-dec-31-zh.pdf" TargetMode="External"/><Relationship Id="rId6" Type="http://schemas.openxmlformats.org/officeDocument/2006/relationships/hyperlink" Target="https://www.cbd.int/doc/recommendations/sbstta-21/sbstta-21-rec-05-zh.pdf" TargetMode="External"/><Relationship Id="rId11" Type="http://schemas.openxmlformats.org/officeDocument/2006/relationships/hyperlink" Target="https://www.cbd.int/doc/decisions/cop-12/cop-12-dec-21-zh.pdf" TargetMode="External"/><Relationship Id="rId5" Type="http://schemas.openxmlformats.org/officeDocument/2006/relationships/hyperlink" Target="https://www.cbd.int/doc/meetings/sbstta/sbstta-21/official/sbstta-21-02-add1-zh.pdf" TargetMode="External"/><Relationship Id="rId10" Type="http://schemas.openxmlformats.org/officeDocument/2006/relationships/hyperlink" Target="https://www.cbd.int/doc/decisions/cop-13/cop-13-dec-03-zh.pdf" TargetMode="External"/><Relationship Id="rId4" Type="http://schemas.openxmlformats.org/officeDocument/2006/relationships/hyperlink" Target="https://www.cbd.int/doc/c/d766/1a03/78b20fbb715f9b87a8099efa/sbstta-21-02-zh.pdf" TargetMode="External"/><Relationship Id="rId9" Type="http://schemas.openxmlformats.org/officeDocument/2006/relationships/hyperlink" Target="https://www.cbd.int/doc/recommendations/wg8j-10/wg8j-10-rec-0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COP-6.dot</Template>
  <TotalTime>3</TotalTime>
  <Pages>18</Pages>
  <Words>3653</Words>
  <Characters>20827</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UNEP/CBD/COP/13/1/Add.1/Rev.1</dc:title>
  <dc:subject>REVISED ANNOTATED PROVISIONAL AGENDA</dc:subject>
  <dc:creator>SCBD</dc:creator>
  <cp:keywords>CONFERENCE OF THE PARTIES</cp:keywords>
  <dc:description/>
  <cp:lastModifiedBy>HH</cp:lastModifiedBy>
  <cp:revision>5</cp:revision>
  <cp:lastPrinted>2018-05-09T19:53:00Z</cp:lastPrinted>
  <dcterms:created xsi:type="dcterms:W3CDTF">2018-09-06T01:00:00Z</dcterms:created>
  <dcterms:modified xsi:type="dcterms:W3CDTF">2018-09-06T01:08:00Z</dcterms:modified>
  <cp:category>Chinese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WorkflowType">
    <vt:lpwstr>ActiveSubmitStub</vt:lpwstr>
  </property>
  <property fmtid="{D5CDD505-2E9C-101B-9397-08002B2CF9AE}" pid="3" name="RecordPoint_ActiveItemSiteId">
    <vt:lpwstr>{592f51bd-7f6c-40bf-afb4-0f69d5494f0f}</vt:lpwstr>
  </property>
  <property fmtid="{D5CDD505-2E9C-101B-9397-08002B2CF9AE}" pid="4" name="RecordPoint_ActiveItemListId">
    <vt:lpwstr>{752e5cfc-d116-4928-97bc-088e2b45e755}</vt:lpwstr>
  </property>
  <property fmtid="{D5CDD505-2E9C-101B-9397-08002B2CF9AE}" pid="5" name="RecordPoint_ActiveItemUniqueId">
    <vt:lpwstr>{28339756-ead0-44c5-acf4-83950bce65d8}</vt:lpwstr>
  </property>
  <property fmtid="{D5CDD505-2E9C-101B-9397-08002B2CF9AE}" pid="6" name="RecordPoint_ActiveItemWebId">
    <vt:lpwstr>{7f0dbcdb-8733-46c7-8260-b6bc98d8a954}</vt:lpwstr>
  </property>
  <property fmtid="{D5CDD505-2E9C-101B-9397-08002B2CF9AE}" pid="7" name="Function">
    <vt:lpwstr>Program Admin</vt:lpwstr>
  </property>
  <property fmtid="{D5CDD505-2E9C-101B-9397-08002B2CF9AE}" pid="8" name="IconOverlay">
    <vt:lpwstr/>
  </property>
  <property fmtid="{D5CDD505-2E9C-101B-9397-08002B2CF9AE}" pid="9" name="DocumentDescription">
    <vt:lpwstr/>
  </property>
  <property fmtid="{D5CDD505-2E9C-101B-9397-08002B2CF9AE}" pid="10" name="RecordNumber">
    <vt:lpwstr/>
  </property>
  <property fmtid="{D5CDD505-2E9C-101B-9397-08002B2CF9AE}" pid="11" name="Approval">
    <vt:lpwstr/>
  </property>
</Properties>
</file>