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479DF" w:rsidRPr="002364AB" w14:paraId="5652E4BA" w14:textId="77777777" w:rsidTr="00E3674F">
        <w:trPr>
          <w:trHeight w:val="844"/>
        </w:trPr>
        <w:tc>
          <w:tcPr>
            <w:tcW w:w="976" w:type="dxa"/>
            <w:tcBorders>
              <w:bottom w:val="single" w:sz="12" w:space="0" w:color="auto"/>
            </w:tcBorders>
          </w:tcPr>
          <w:p w14:paraId="0FADD1D2" w14:textId="77777777" w:rsidR="00D479DF" w:rsidRPr="002364AB" w:rsidRDefault="00D479DF" w:rsidP="00E3674F">
            <w:pPr>
              <w:rPr>
                <w:kern w:val="22"/>
                <w:lang w:val="en-GB"/>
              </w:rPr>
            </w:pPr>
            <w:bookmarkStart w:id="0" w:name="Meeting"/>
            <w:r w:rsidRPr="002364AB">
              <w:rPr>
                <w:noProof/>
                <w:kern w:val="22"/>
                <w:lang w:val="fr-FR" w:eastAsia="fr-FR"/>
              </w:rPr>
              <w:drawing>
                <wp:anchor distT="0" distB="0" distL="114300" distR="114300" simplePos="0" relativeHeight="251659264" behindDoc="0" locked="0" layoutInCell="1" allowOverlap="1" wp14:anchorId="5C1E6861" wp14:editId="15974B13">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A572EB9" w14:textId="77777777" w:rsidR="00D479DF" w:rsidRPr="002364AB" w:rsidRDefault="00D479DF" w:rsidP="00E3674F">
            <w:pPr>
              <w:rPr>
                <w:kern w:val="22"/>
                <w:lang w:val="en-GB"/>
              </w:rPr>
            </w:pPr>
            <w:r w:rsidRPr="002364AB">
              <w:rPr>
                <w:noProof/>
                <w:lang w:val="fr-FR" w:eastAsia="fr-FR"/>
              </w:rPr>
              <w:drawing>
                <wp:anchor distT="0" distB="0" distL="114300" distR="114300" simplePos="0" relativeHeight="251657216" behindDoc="0" locked="0" layoutInCell="1" allowOverlap="1" wp14:anchorId="6827D8B7" wp14:editId="5BB1C2E4">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DA822FC" w14:textId="77777777" w:rsidR="00D479DF" w:rsidRPr="002364AB" w:rsidRDefault="00D479DF" w:rsidP="00E3674F">
            <w:pPr>
              <w:jc w:val="right"/>
              <w:rPr>
                <w:rFonts w:ascii="Arial" w:hAnsi="Arial" w:cs="Arial"/>
                <w:b/>
                <w:kern w:val="22"/>
                <w:sz w:val="32"/>
                <w:szCs w:val="32"/>
                <w:lang w:val="en-GB"/>
              </w:rPr>
            </w:pPr>
            <w:r w:rsidRPr="002364AB">
              <w:rPr>
                <w:rFonts w:ascii="Arial" w:hAnsi="Arial" w:cs="Arial"/>
                <w:b/>
                <w:kern w:val="22"/>
                <w:sz w:val="32"/>
                <w:szCs w:val="32"/>
                <w:lang w:val="en-GB"/>
              </w:rPr>
              <w:t>CBD</w:t>
            </w:r>
          </w:p>
        </w:tc>
      </w:tr>
      <w:tr w:rsidR="00D479DF" w:rsidRPr="00552599" w14:paraId="12F5006F" w14:textId="77777777" w:rsidTr="00E3674F">
        <w:tc>
          <w:tcPr>
            <w:tcW w:w="6117" w:type="dxa"/>
            <w:gridSpan w:val="2"/>
            <w:tcBorders>
              <w:top w:val="single" w:sz="12" w:space="0" w:color="auto"/>
              <w:bottom w:val="single" w:sz="36" w:space="0" w:color="auto"/>
            </w:tcBorders>
            <w:vAlign w:val="center"/>
          </w:tcPr>
          <w:p w14:paraId="451DA2D7" w14:textId="25AC0F63" w:rsidR="00D479DF" w:rsidRPr="002364AB" w:rsidRDefault="0099414D" w:rsidP="00E3674F">
            <w:pPr>
              <w:rPr>
                <w:kern w:val="22"/>
                <w:lang w:val="en-GB"/>
              </w:rPr>
            </w:pPr>
            <w:r>
              <w:rPr>
                <w:noProof/>
                <w:lang w:val="fr-FR" w:eastAsia="fr-FR"/>
              </w:rPr>
              <w:drawing>
                <wp:inline distT="0" distB="0" distL="0" distR="0" wp14:anchorId="54D71803" wp14:editId="5AC11D21">
                  <wp:extent cx="2860675" cy="1073785"/>
                  <wp:effectExtent l="0" t="0" r="0" b="0"/>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FCE1D5" w14:textId="77777777" w:rsidR="00D479DF" w:rsidRPr="004C75A2" w:rsidRDefault="00D479DF" w:rsidP="00E3674F">
            <w:pPr>
              <w:ind w:left="1215"/>
              <w:rPr>
                <w:kern w:val="22"/>
                <w:sz w:val="22"/>
                <w:lang w:val="fr-FR"/>
              </w:rPr>
            </w:pPr>
            <w:r w:rsidRPr="004C75A2">
              <w:rPr>
                <w:kern w:val="22"/>
                <w:sz w:val="22"/>
                <w:lang w:val="fr-FR"/>
              </w:rPr>
              <w:t>Distr.</w:t>
            </w:r>
          </w:p>
          <w:p w14:paraId="2C70660C" w14:textId="739A2FEC" w:rsidR="00D479DF" w:rsidRPr="004C75A2" w:rsidRDefault="00552599" w:rsidP="00E3674F">
            <w:pPr>
              <w:ind w:left="1215"/>
              <w:jc w:val="left"/>
              <w:rPr>
                <w:kern w:val="22"/>
                <w:sz w:val="22"/>
                <w:lang w:val="fr-FR"/>
              </w:rPr>
            </w:pPr>
            <w:r w:rsidRPr="004C75A2">
              <w:rPr>
                <w:kern w:val="22"/>
                <w:sz w:val="22"/>
                <w:lang w:val="fr-FR"/>
              </w:rPr>
              <w:t>G</w:t>
            </w:r>
            <w:r w:rsidRPr="004C75A2">
              <w:rPr>
                <w:rFonts w:cs="Times New Roman"/>
                <w:kern w:val="22"/>
                <w:sz w:val="22"/>
                <w:lang w:val="fr-FR"/>
              </w:rPr>
              <w:t>É</w:t>
            </w:r>
            <w:r w:rsidRPr="004C75A2">
              <w:rPr>
                <w:kern w:val="22"/>
                <w:sz w:val="22"/>
                <w:lang w:val="fr-FR"/>
              </w:rPr>
              <w:t>N</w:t>
            </w:r>
            <w:r w:rsidRPr="004C75A2">
              <w:rPr>
                <w:rFonts w:cs="Times New Roman"/>
                <w:kern w:val="22"/>
                <w:sz w:val="22"/>
                <w:lang w:val="fr-FR"/>
              </w:rPr>
              <w:t>É</w:t>
            </w:r>
            <w:r w:rsidR="00D479DF" w:rsidRPr="004C75A2">
              <w:rPr>
                <w:kern w:val="22"/>
                <w:sz w:val="22"/>
                <w:lang w:val="fr-FR"/>
              </w:rPr>
              <w:t>RAL</w:t>
            </w:r>
            <w:r w:rsidRPr="004C75A2">
              <w:rPr>
                <w:kern w:val="22"/>
                <w:sz w:val="22"/>
                <w:lang w:val="fr-FR"/>
              </w:rPr>
              <w:t>E</w:t>
            </w:r>
          </w:p>
          <w:p w14:paraId="6F07A0A4" w14:textId="77777777" w:rsidR="00D479DF" w:rsidRPr="004C75A2" w:rsidRDefault="00D479DF" w:rsidP="00E3674F">
            <w:pPr>
              <w:ind w:left="1215"/>
              <w:rPr>
                <w:kern w:val="22"/>
                <w:sz w:val="22"/>
                <w:lang w:val="fr-FR"/>
              </w:rPr>
            </w:pPr>
          </w:p>
          <w:p w14:paraId="12AA9BF5" w14:textId="54C99E3A" w:rsidR="00D479DF" w:rsidRPr="00552599" w:rsidRDefault="008A77A6" w:rsidP="00E3674F">
            <w:pPr>
              <w:ind w:left="1215"/>
              <w:rPr>
                <w:kern w:val="22"/>
                <w:sz w:val="22"/>
                <w:lang w:val="fr-FR"/>
              </w:rPr>
            </w:pPr>
            <w:sdt>
              <w:sdtPr>
                <w:rPr>
                  <w:kern w:val="22"/>
                  <w:sz w:val="22"/>
                  <w:lang w:val="fr-FR"/>
                </w:rPr>
                <w:alias w:val="Subject"/>
                <w:tag w:val=""/>
                <w:id w:val="2137136483"/>
                <w:placeholder>
                  <w:docPart w:val="AF7956A100824BCC9FA96850A1F70DC6"/>
                </w:placeholder>
                <w:dataBinding w:prefixMappings="xmlns:ns0='http://purl.org/dc/elements/1.1/' xmlns:ns1='http://schemas.openxmlformats.org/package/2006/metadata/core-properties' " w:xpath="/ns1:coreProperties[1]/ns0:subject[1]" w:storeItemID="{6C3C8BC8-F283-45AE-878A-BAB7291924A1}"/>
                <w:text/>
              </w:sdtPr>
              <w:sdtContent>
                <w:r w:rsidR="00D479DF" w:rsidRPr="00552599">
                  <w:rPr>
                    <w:kern w:val="22"/>
                    <w:sz w:val="22"/>
                    <w:lang w:val="fr-FR"/>
                  </w:rPr>
                  <w:t>CBD/SBI/3/15/Add.1</w:t>
                </w:r>
              </w:sdtContent>
            </w:sdt>
          </w:p>
          <w:p w14:paraId="362DBA88" w14:textId="2ED4C745" w:rsidR="00D479DF" w:rsidRPr="00552599" w:rsidRDefault="00A007BB" w:rsidP="00E3674F">
            <w:pPr>
              <w:ind w:left="1215"/>
              <w:jc w:val="left"/>
              <w:rPr>
                <w:kern w:val="22"/>
                <w:sz w:val="22"/>
                <w:lang w:val="fr-FR"/>
              </w:rPr>
            </w:pPr>
            <w:r w:rsidRPr="00552599">
              <w:rPr>
                <w:kern w:val="22"/>
                <w:sz w:val="22"/>
                <w:lang w:val="fr-FR"/>
              </w:rPr>
              <w:t>13</w:t>
            </w:r>
            <w:r w:rsidR="00D479DF" w:rsidRPr="00552599">
              <w:rPr>
                <w:kern w:val="22"/>
                <w:sz w:val="22"/>
                <w:lang w:val="fr-FR"/>
              </w:rPr>
              <w:t xml:space="preserve"> </w:t>
            </w:r>
            <w:r w:rsidR="00AC3D59" w:rsidRPr="00552599">
              <w:rPr>
                <w:kern w:val="22"/>
                <w:sz w:val="22"/>
                <w:lang w:val="fr-FR"/>
              </w:rPr>
              <w:t xml:space="preserve">juillet </w:t>
            </w:r>
            <w:r w:rsidR="00D479DF" w:rsidRPr="00552599">
              <w:rPr>
                <w:kern w:val="22"/>
                <w:sz w:val="22"/>
                <w:lang w:val="fr-FR"/>
              </w:rPr>
              <w:t xml:space="preserve">2020 </w:t>
            </w:r>
          </w:p>
          <w:p w14:paraId="1359B38C" w14:textId="77777777" w:rsidR="00D479DF" w:rsidRPr="00552599" w:rsidRDefault="00D479DF" w:rsidP="00E3674F">
            <w:pPr>
              <w:ind w:left="1215"/>
              <w:rPr>
                <w:kern w:val="22"/>
                <w:sz w:val="22"/>
                <w:lang w:val="fr-FR"/>
              </w:rPr>
            </w:pPr>
          </w:p>
          <w:p w14:paraId="33ED7696" w14:textId="26CB7CED" w:rsidR="00AC3D59" w:rsidRPr="00552599" w:rsidRDefault="00AC3D59" w:rsidP="008E01A8">
            <w:pPr>
              <w:ind w:left="1215"/>
              <w:rPr>
                <w:kern w:val="22"/>
                <w:sz w:val="22"/>
                <w:lang w:val="fr-FR"/>
              </w:rPr>
            </w:pPr>
            <w:r w:rsidRPr="00552599">
              <w:rPr>
                <w:kern w:val="22"/>
                <w:sz w:val="22"/>
                <w:lang w:val="fr-FR"/>
              </w:rPr>
              <w:t>FRAN</w:t>
            </w:r>
            <w:r w:rsidRPr="00552599">
              <w:rPr>
                <w:rFonts w:cs="Times New Roman"/>
                <w:kern w:val="22"/>
                <w:sz w:val="22"/>
                <w:lang w:val="fr-FR"/>
              </w:rPr>
              <w:t>Ç</w:t>
            </w:r>
            <w:r w:rsidRPr="00552599">
              <w:rPr>
                <w:kern w:val="22"/>
                <w:sz w:val="22"/>
                <w:lang w:val="fr-FR"/>
              </w:rPr>
              <w:t>AIS</w:t>
            </w:r>
          </w:p>
          <w:p w14:paraId="708755D7" w14:textId="3051D9C5" w:rsidR="00D479DF" w:rsidRPr="00552599" w:rsidRDefault="00D479DF" w:rsidP="008E01A8">
            <w:pPr>
              <w:ind w:left="1215"/>
              <w:rPr>
                <w:kern w:val="22"/>
                <w:lang w:val="fr-FR"/>
              </w:rPr>
            </w:pPr>
            <w:r w:rsidRPr="00552599">
              <w:rPr>
                <w:kern w:val="22"/>
                <w:sz w:val="22"/>
                <w:lang w:val="fr-FR"/>
              </w:rPr>
              <w:t>ORIGINAL</w:t>
            </w:r>
            <w:r w:rsidR="00AC3D59" w:rsidRPr="00552599">
              <w:rPr>
                <w:kern w:val="22"/>
                <w:sz w:val="22"/>
                <w:lang w:val="fr-FR"/>
              </w:rPr>
              <w:t xml:space="preserve"> : A</w:t>
            </w:r>
            <w:r w:rsidRPr="00552599">
              <w:rPr>
                <w:kern w:val="22"/>
                <w:sz w:val="22"/>
                <w:lang w:val="fr-FR"/>
              </w:rPr>
              <w:t>NGL</w:t>
            </w:r>
            <w:r w:rsidR="00AC3D59" w:rsidRPr="00552599">
              <w:rPr>
                <w:kern w:val="22"/>
                <w:sz w:val="22"/>
                <w:lang w:val="fr-FR"/>
              </w:rPr>
              <w:t>AIS</w:t>
            </w:r>
          </w:p>
        </w:tc>
      </w:tr>
    </w:tbl>
    <w:p w14:paraId="0F6BE3C8" w14:textId="054EBBF7" w:rsidR="008533FE" w:rsidRPr="00552599" w:rsidRDefault="007A0B5B" w:rsidP="00AC3D59">
      <w:pPr>
        <w:suppressLineNumbers/>
        <w:suppressAutoHyphens/>
        <w:spacing w:after="0"/>
        <w:ind w:right="4398"/>
        <w:jc w:val="left"/>
        <w:rPr>
          <w:rFonts w:eastAsia="Times New Roman" w:cs="Times New Roman"/>
          <w:caps/>
          <w:kern w:val="22"/>
          <w:sz w:val="22"/>
          <w:lang w:val="fr-FR"/>
        </w:rPr>
      </w:pPr>
      <w:r w:rsidRPr="00552599">
        <w:rPr>
          <w:rFonts w:eastAsia="Times New Roman" w:cs="Times New Roman"/>
          <w:caps/>
          <w:kern w:val="22"/>
          <w:sz w:val="22"/>
          <w:lang w:val="fr-FR"/>
        </w:rPr>
        <w:t>ORGANE SUBSIDIAIRE</w:t>
      </w:r>
      <w:bookmarkEnd w:id="0"/>
      <w:r w:rsidR="00552599">
        <w:rPr>
          <w:rFonts w:eastAsia="Times New Roman" w:cs="Times New Roman"/>
          <w:caps/>
          <w:kern w:val="22"/>
          <w:sz w:val="22"/>
          <w:lang w:val="fr-FR"/>
        </w:rPr>
        <w:t xml:space="preserve"> CHARGÉ</w:t>
      </w:r>
      <w:r w:rsidR="00AC3D59" w:rsidRPr="00552599">
        <w:rPr>
          <w:rFonts w:eastAsia="Times New Roman" w:cs="Times New Roman"/>
          <w:caps/>
          <w:kern w:val="22"/>
          <w:sz w:val="22"/>
          <w:lang w:val="fr-FR"/>
        </w:rPr>
        <w:t xml:space="preserve"> DE l’application</w:t>
      </w:r>
    </w:p>
    <w:p w14:paraId="390E33EB" w14:textId="2A9CD935" w:rsidR="008533FE" w:rsidRPr="00552599" w:rsidRDefault="00E3674F" w:rsidP="008533FE">
      <w:pPr>
        <w:suppressLineNumbers/>
        <w:suppressAutoHyphens/>
        <w:spacing w:after="0"/>
        <w:rPr>
          <w:rFonts w:eastAsia="Times New Roman" w:cs="Times New Roman"/>
          <w:snapToGrid w:val="0"/>
          <w:kern w:val="22"/>
          <w:sz w:val="22"/>
          <w:lang w:val="fr-FR" w:eastAsia="nb-NO"/>
        </w:rPr>
      </w:pPr>
      <w:r w:rsidRPr="00552599">
        <w:rPr>
          <w:rFonts w:eastAsia="Times New Roman" w:cs="Times New Roman"/>
          <w:snapToGrid w:val="0"/>
          <w:kern w:val="22"/>
          <w:sz w:val="22"/>
          <w:lang w:val="fr-FR" w:eastAsia="nb-NO"/>
        </w:rPr>
        <w:t>Troisième</w:t>
      </w:r>
      <w:r w:rsidR="008533FE" w:rsidRPr="00552599">
        <w:rPr>
          <w:rFonts w:eastAsia="Times New Roman" w:cs="Times New Roman"/>
          <w:snapToGrid w:val="0"/>
          <w:kern w:val="22"/>
          <w:sz w:val="22"/>
          <w:lang w:val="fr-FR" w:eastAsia="nb-NO"/>
        </w:rPr>
        <w:t xml:space="preserve"> </w:t>
      </w:r>
      <w:r w:rsidRPr="00552599">
        <w:rPr>
          <w:rFonts w:eastAsia="Times New Roman" w:cs="Times New Roman"/>
          <w:snapToGrid w:val="0"/>
          <w:kern w:val="22"/>
          <w:sz w:val="22"/>
          <w:lang w:val="fr-FR" w:eastAsia="nb-NO"/>
        </w:rPr>
        <w:t>réunion</w:t>
      </w:r>
    </w:p>
    <w:p w14:paraId="70EA840D" w14:textId="7D16D17D" w:rsidR="008533FE" w:rsidRPr="00AC3D59" w:rsidRDefault="00AC3D59" w:rsidP="008533FE">
      <w:pPr>
        <w:suppressLineNumbers/>
        <w:suppressAutoHyphens/>
        <w:spacing w:after="0"/>
        <w:rPr>
          <w:rFonts w:eastAsia="Times New Roman" w:cs="Times New Roman"/>
          <w:snapToGrid w:val="0"/>
          <w:kern w:val="22"/>
          <w:sz w:val="22"/>
          <w:lang w:val="fr-FR" w:eastAsia="nb-NO"/>
        </w:rPr>
      </w:pPr>
      <w:r w:rsidRPr="00AC3D59">
        <w:rPr>
          <w:rFonts w:eastAsia="Times New Roman" w:cs="Times New Roman"/>
          <w:snapToGrid w:val="0"/>
          <w:kern w:val="22"/>
          <w:sz w:val="22"/>
          <w:lang w:val="fr-FR" w:eastAsia="nb-NO"/>
        </w:rPr>
        <w:t xml:space="preserve">Ville de </w:t>
      </w:r>
      <w:r w:rsidR="00184A0A" w:rsidRPr="00AC3D59">
        <w:rPr>
          <w:rFonts w:eastAsia="Times New Roman" w:cs="Times New Roman"/>
          <w:snapToGrid w:val="0"/>
          <w:kern w:val="22"/>
          <w:sz w:val="22"/>
          <w:lang w:val="fr-FR" w:eastAsia="nb-NO"/>
        </w:rPr>
        <w:t>Q</w:t>
      </w:r>
      <w:r w:rsidRPr="00AC3D59">
        <w:rPr>
          <w:rFonts w:eastAsia="Times New Roman" w:cs="Times New Roman"/>
          <w:snapToGrid w:val="0"/>
          <w:kern w:val="22"/>
          <w:sz w:val="22"/>
          <w:lang w:val="fr-FR" w:eastAsia="nb-NO"/>
        </w:rPr>
        <w:t>uébec (à confirmer</w:t>
      </w:r>
      <w:r w:rsidR="00F214BD" w:rsidRPr="00AC3D59">
        <w:rPr>
          <w:rFonts w:eastAsia="Times New Roman" w:cs="Times New Roman"/>
          <w:snapToGrid w:val="0"/>
          <w:kern w:val="22"/>
          <w:sz w:val="22"/>
          <w:lang w:val="fr-FR" w:eastAsia="nb-NO"/>
        </w:rPr>
        <w:t>)</w:t>
      </w:r>
      <w:r w:rsidR="008533FE" w:rsidRPr="00AC3D59">
        <w:rPr>
          <w:rFonts w:eastAsia="Times New Roman" w:cs="Times New Roman"/>
          <w:snapToGrid w:val="0"/>
          <w:kern w:val="22"/>
          <w:sz w:val="22"/>
          <w:lang w:val="fr-FR" w:eastAsia="nb-NO"/>
        </w:rPr>
        <w:t xml:space="preserve">, Canada, </w:t>
      </w:r>
      <w:r w:rsidRPr="00AC3D59">
        <w:rPr>
          <w:rFonts w:eastAsia="Times New Roman" w:cs="Times New Roman"/>
          <w:snapToGrid w:val="0"/>
          <w:kern w:val="22"/>
          <w:sz w:val="22"/>
          <w:lang w:val="fr-FR" w:eastAsia="nb-NO"/>
        </w:rPr>
        <w:t>9-14 novemb</w:t>
      </w:r>
      <w:r w:rsidR="00811642" w:rsidRPr="00AC3D59">
        <w:rPr>
          <w:rFonts w:eastAsia="Times New Roman" w:cs="Times New Roman"/>
          <w:snapToGrid w:val="0"/>
          <w:kern w:val="22"/>
          <w:sz w:val="22"/>
          <w:lang w:val="fr-FR" w:eastAsia="nb-NO"/>
        </w:rPr>
        <w:t>r</w:t>
      </w:r>
      <w:r w:rsidRPr="00AC3D59">
        <w:rPr>
          <w:rFonts w:eastAsia="Times New Roman" w:cs="Times New Roman"/>
          <w:snapToGrid w:val="0"/>
          <w:kern w:val="22"/>
          <w:sz w:val="22"/>
          <w:lang w:val="fr-FR" w:eastAsia="nb-NO"/>
        </w:rPr>
        <w:t>e</w:t>
      </w:r>
      <w:r w:rsidR="00811642" w:rsidRPr="00AC3D59">
        <w:rPr>
          <w:rFonts w:eastAsia="Times New Roman" w:cs="Times New Roman"/>
          <w:snapToGrid w:val="0"/>
          <w:kern w:val="22"/>
          <w:sz w:val="22"/>
          <w:lang w:val="fr-FR" w:eastAsia="nb-NO"/>
        </w:rPr>
        <w:t xml:space="preserve"> 2020</w:t>
      </w:r>
    </w:p>
    <w:p w14:paraId="08F7B3C7" w14:textId="09864CA5" w:rsidR="009D37AC" w:rsidRPr="00AC3D59" w:rsidRDefault="00AC3D59" w:rsidP="008533FE">
      <w:pPr>
        <w:suppressLineNumbers/>
        <w:suppressAutoHyphens/>
        <w:spacing w:after="0"/>
        <w:rPr>
          <w:rFonts w:eastAsia="Times New Roman" w:cs="Times New Roman"/>
          <w:snapToGrid w:val="0"/>
          <w:kern w:val="22"/>
          <w:sz w:val="22"/>
          <w:lang w:val="fr-FR"/>
        </w:rPr>
      </w:pPr>
      <w:r w:rsidRPr="00AC3D59">
        <w:rPr>
          <w:rFonts w:eastAsia="Times New Roman" w:cs="Times New Roman"/>
          <w:snapToGrid w:val="0"/>
          <w:kern w:val="22"/>
          <w:sz w:val="22"/>
          <w:lang w:val="fr-FR"/>
        </w:rPr>
        <w:t>Point 13 de l’ordre du jour provisoire</w:t>
      </w:r>
      <w:r w:rsidR="008533FE" w:rsidRPr="00AC3D59">
        <w:rPr>
          <w:rFonts w:eastAsia="Times New Roman" w:cs="Times New Roman"/>
          <w:snapToGrid w:val="0"/>
          <w:kern w:val="22"/>
          <w:sz w:val="22"/>
          <w:vertAlign w:val="superscript"/>
          <w:lang w:val="fr-FR"/>
        </w:rPr>
        <w:footnoteReference w:customMarkFollows="1" w:id="2"/>
        <w:t>*</w:t>
      </w:r>
    </w:p>
    <w:p w14:paraId="6EB2A8C2" w14:textId="58682C0F" w:rsidR="008533FE" w:rsidRPr="00E3674F" w:rsidRDefault="008A77A6" w:rsidP="008533FE">
      <w:pPr>
        <w:spacing w:before="240" w:after="240"/>
        <w:jc w:val="center"/>
        <w:rPr>
          <w:rFonts w:eastAsia="Times New Roman" w:cs="Times New Roman"/>
          <w:b/>
          <w:caps/>
          <w:kern w:val="22"/>
          <w:sz w:val="22"/>
          <w:lang w:val="fr-FR"/>
        </w:rPr>
      </w:pPr>
      <w:sdt>
        <w:sdtPr>
          <w:rPr>
            <w:rFonts w:eastAsia="Times New Roman" w:cs="Times New Roman"/>
            <w:b/>
            <w:bCs/>
            <w:caps/>
            <w:spacing w:val="-2"/>
            <w:kern w:val="22"/>
            <w:sz w:val="22"/>
            <w:lang w:val="fr-FR"/>
          </w:rPr>
          <w:alias w:val="Title"/>
          <w:tag w:val=""/>
          <w:id w:val="772832786"/>
          <w:placeholder>
            <w:docPart w:val="8551FA5095394A22B6286ABC61933FFB"/>
          </w:placeholder>
          <w:dataBinding w:prefixMappings="xmlns:ns0='http://purl.org/dc/elements/1.1/' xmlns:ns1='http://schemas.openxmlformats.org/package/2006/metadata/core-properties' " w:xpath="/ns1:coreProperties[1]/ns0:title[1]" w:storeItemID="{6C3C8BC8-F283-45AE-878A-BAB7291924A1}"/>
          <w:text/>
        </w:sdtPr>
        <w:sdtContent>
          <w:r w:rsidR="00552599">
            <w:rPr>
              <w:rFonts w:eastAsia="Times New Roman" w:cs="Times New Roman"/>
              <w:b/>
              <w:bCs/>
              <w:caps/>
              <w:spacing w:val="-2"/>
              <w:kern w:val="22"/>
              <w:sz w:val="22"/>
              <w:lang w:val="fr-FR"/>
            </w:rPr>
            <w:t>E</w:t>
          </w:r>
          <w:r w:rsidR="00E3674F" w:rsidRPr="00E3674F">
            <w:rPr>
              <w:rFonts w:eastAsia="Times New Roman" w:cs="Times New Roman"/>
              <w:b/>
              <w:bCs/>
              <w:caps/>
              <w:spacing w:val="-2"/>
              <w:kern w:val="22"/>
              <w:sz w:val="22"/>
              <w:lang w:val="fr-FR"/>
            </w:rPr>
            <w:t>tude</w:t>
          </w:r>
          <w:r w:rsidR="00552599">
            <w:rPr>
              <w:rFonts w:eastAsia="Times New Roman" w:cs="Times New Roman"/>
              <w:b/>
              <w:bCs/>
              <w:caps/>
              <w:spacing w:val="-2"/>
              <w:kern w:val="22"/>
              <w:sz w:val="22"/>
              <w:lang w:val="fr-FR"/>
            </w:rPr>
            <w:t xml:space="preserve"> visant a </w:t>
          </w:r>
          <w:r w:rsidR="00E3674F" w:rsidRPr="00E3674F">
            <w:rPr>
              <w:rFonts w:eastAsia="Times New Roman" w:cs="Times New Roman"/>
              <w:b/>
              <w:bCs/>
              <w:caps/>
              <w:spacing w:val="-2"/>
              <w:kern w:val="22"/>
              <w:sz w:val="22"/>
              <w:lang w:val="fr-FR"/>
            </w:rPr>
            <w:t>identifier</w:t>
          </w:r>
          <w:r w:rsidR="008533FE" w:rsidRPr="00E3674F">
            <w:rPr>
              <w:rFonts w:eastAsia="Times New Roman" w:cs="Times New Roman"/>
              <w:b/>
              <w:bCs/>
              <w:caps/>
              <w:spacing w:val="-2"/>
              <w:kern w:val="22"/>
              <w:sz w:val="22"/>
              <w:lang w:val="fr-FR"/>
            </w:rPr>
            <w:t xml:space="preserve"> </w:t>
          </w:r>
          <w:r w:rsidR="00D8084B">
            <w:rPr>
              <w:rFonts w:eastAsia="Times New Roman" w:cs="Times New Roman"/>
              <w:b/>
              <w:bCs/>
              <w:caps/>
              <w:spacing w:val="-2"/>
              <w:kern w:val="22"/>
              <w:sz w:val="22"/>
              <w:lang w:val="fr-FR"/>
            </w:rPr>
            <w:t>D</w:t>
          </w:r>
          <w:r w:rsidR="00E3674F" w:rsidRPr="00E3674F">
            <w:rPr>
              <w:rFonts w:eastAsia="Times New Roman" w:cs="Times New Roman"/>
              <w:b/>
              <w:bCs/>
              <w:caps/>
              <w:spacing w:val="-2"/>
              <w:kern w:val="22"/>
              <w:sz w:val="22"/>
              <w:lang w:val="fr-FR"/>
            </w:rPr>
            <w:t>es cas spécifiques</w:t>
          </w:r>
          <w:r w:rsidR="008533FE" w:rsidRPr="00E3674F">
            <w:rPr>
              <w:rFonts w:eastAsia="Times New Roman" w:cs="Times New Roman"/>
              <w:b/>
              <w:bCs/>
              <w:caps/>
              <w:spacing w:val="-2"/>
              <w:kern w:val="22"/>
              <w:sz w:val="22"/>
              <w:lang w:val="fr-FR"/>
            </w:rPr>
            <w:t xml:space="preserve"> </w:t>
          </w:r>
          <w:r w:rsidR="00D6232E">
            <w:rPr>
              <w:rFonts w:eastAsia="Times New Roman" w:cs="Times New Roman"/>
              <w:b/>
              <w:bCs/>
              <w:caps/>
              <w:spacing w:val="-2"/>
              <w:kern w:val="22"/>
              <w:sz w:val="22"/>
              <w:lang w:val="fr-FR"/>
            </w:rPr>
            <w:t>de ressources</w:t>
          </w:r>
          <w:r w:rsidR="00E3674F" w:rsidRPr="00E3674F">
            <w:rPr>
              <w:rFonts w:eastAsia="Times New Roman" w:cs="Times New Roman"/>
              <w:b/>
              <w:bCs/>
              <w:caps/>
              <w:spacing w:val="-2"/>
              <w:kern w:val="22"/>
              <w:sz w:val="22"/>
              <w:lang w:val="fr-FR"/>
            </w:rPr>
            <w:t xml:space="preserve"> génétiques et </w:t>
          </w:r>
          <w:r w:rsidR="00552599">
            <w:rPr>
              <w:rFonts w:eastAsia="Times New Roman" w:cs="Times New Roman"/>
              <w:b/>
              <w:bCs/>
              <w:caps/>
              <w:spacing w:val="-2"/>
              <w:kern w:val="22"/>
              <w:sz w:val="22"/>
              <w:lang w:val="fr-FR"/>
            </w:rPr>
            <w:t xml:space="preserve">de </w:t>
          </w:r>
          <w:r w:rsidR="00E3674F" w:rsidRPr="00E3674F">
            <w:rPr>
              <w:rFonts w:eastAsia="Times New Roman" w:cs="Times New Roman"/>
              <w:b/>
              <w:bCs/>
              <w:caps/>
              <w:spacing w:val="-2"/>
              <w:kern w:val="22"/>
              <w:sz w:val="22"/>
              <w:lang w:val="fr-FR"/>
            </w:rPr>
            <w:t>connaissances traditionnelles</w:t>
          </w:r>
          <w:r w:rsidR="008533FE" w:rsidRPr="00E3674F">
            <w:rPr>
              <w:rFonts w:eastAsia="Times New Roman" w:cs="Times New Roman"/>
              <w:b/>
              <w:bCs/>
              <w:caps/>
              <w:spacing w:val="-2"/>
              <w:kern w:val="22"/>
              <w:sz w:val="22"/>
              <w:lang w:val="fr-FR"/>
            </w:rPr>
            <w:t xml:space="preserve"> </w:t>
          </w:r>
          <w:r w:rsidR="001E6419">
            <w:rPr>
              <w:rFonts w:eastAsia="Times New Roman" w:cs="Times New Roman"/>
              <w:b/>
              <w:bCs/>
              <w:caps/>
              <w:spacing w:val="-2"/>
              <w:kern w:val="22"/>
              <w:sz w:val="22"/>
              <w:lang w:val="fr-FR"/>
            </w:rPr>
            <w:t>asso</w:t>
          </w:r>
          <w:r w:rsidR="00D8084B">
            <w:rPr>
              <w:rFonts w:eastAsia="Times New Roman" w:cs="Times New Roman"/>
              <w:b/>
              <w:bCs/>
              <w:caps/>
              <w:spacing w:val="-2"/>
              <w:kern w:val="22"/>
              <w:sz w:val="22"/>
              <w:lang w:val="fr-FR"/>
            </w:rPr>
            <w:t>ciees aux ressources genetiques</w:t>
          </w:r>
          <w:r w:rsidR="008533FE" w:rsidRPr="00E3674F">
            <w:rPr>
              <w:rFonts w:eastAsia="Times New Roman" w:cs="Times New Roman"/>
              <w:b/>
              <w:bCs/>
              <w:caps/>
              <w:spacing w:val="-2"/>
              <w:kern w:val="22"/>
              <w:sz w:val="22"/>
              <w:lang w:val="fr-FR"/>
            </w:rPr>
            <w:t xml:space="preserve"> </w:t>
          </w:r>
          <w:r w:rsidR="00651FB0">
            <w:rPr>
              <w:rFonts w:eastAsia="Times New Roman" w:cs="Times New Roman"/>
              <w:b/>
              <w:bCs/>
              <w:caps/>
              <w:spacing w:val="-2"/>
              <w:kern w:val="22"/>
              <w:sz w:val="22"/>
              <w:lang w:val="fr-FR"/>
            </w:rPr>
            <w:t>qui se trouvent</w:t>
          </w:r>
          <w:r w:rsidR="00FB033A">
            <w:rPr>
              <w:rFonts w:eastAsia="Times New Roman" w:cs="Times New Roman"/>
              <w:b/>
              <w:bCs/>
              <w:caps/>
              <w:spacing w:val="-2"/>
              <w:kern w:val="22"/>
              <w:sz w:val="22"/>
              <w:lang w:val="fr-FR"/>
            </w:rPr>
            <w:t xml:space="preserve"> dans</w:t>
          </w:r>
          <w:r w:rsidR="008533FE" w:rsidRPr="00E3674F">
            <w:rPr>
              <w:rFonts w:eastAsia="Times New Roman" w:cs="Times New Roman"/>
              <w:b/>
              <w:bCs/>
              <w:caps/>
              <w:spacing w:val="-2"/>
              <w:kern w:val="22"/>
              <w:sz w:val="22"/>
              <w:lang w:val="fr-FR"/>
            </w:rPr>
            <w:t xml:space="preserve"> </w:t>
          </w:r>
          <w:r w:rsidR="00AC3D59">
            <w:rPr>
              <w:rFonts w:eastAsia="Times New Roman" w:cs="Times New Roman"/>
              <w:b/>
              <w:bCs/>
              <w:caps/>
              <w:spacing w:val="-2"/>
              <w:kern w:val="22"/>
              <w:sz w:val="22"/>
              <w:lang w:val="fr-FR"/>
            </w:rPr>
            <w:t xml:space="preserve">des </w:t>
          </w:r>
          <w:r w:rsidR="00E3674F" w:rsidRPr="00E3674F">
            <w:rPr>
              <w:rFonts w:eastAsia="Times New Roman" w:cs="Times New Roman"/>
              <w:b/>
              <w:bCs/>
              <w:caps/>
              <w:spacing w:val="-2"/>
              <w:kern w:val="22"/>
              <w:sz w:val="22"/>
              <w:lang w:val="fr-FR"/>
            </w:rPr>
            <w:t>situations transfrontières</w:t>
          </w:r>
          <w:r w:rsidR="008533FE" w:rsidRPr="00E3674F">
            <w:rPr>
              <w:rFonts w:eastAsia="Times New Roman" w:cs="Times New Roman"/>
              <w:b/>
              <w:bCs/>
              <w:caps/>
              <w:spacing w:val="-2"/>
              <w:kern w:val="22"/>
              <w:sz w:val="22"/>
              <w:lang w:val="fr-FR"/>
            </w:rPr>
            <w:t xml:space="preserve"> </w:t>
          </w:r>
          <w:r w:rsidR="0020703A">
            <w:rPr>
              <w:rFonts w:eastAsia="Times New Roman" w:cs="Times New Roman"/>
              <w:b/>
              <w:bCs/>
              <w:caps/>
              <w:spacing w:val="-2"/>
              <w:kern w:val="22"/>
              <w:sz w:val="22"/>
              <w:lang w:val="fr-FR"/>
            </w:rPr>
            <w:t>ou pour lesquel</w:t>
          </w:r>
          <w:r w:rsidR="00552599">
            <w:rPr>
              <w:rFonts w:eastAsia="Times New Roman" w:cs="Times New Roman"/>
              <w:b/>
              <w:bCs/>
              <w:caps/>
              <w:spacing w:val="-2"/>
              <w:kern w:val="22"/>
              <w:sz w:val="22"/>
              <w:lang w:val="fr-FR"/>
            </w:rPr>
            <w:t>le</w:t>
          </w:r>
          <w:r w:rsidR="0020703A">
            <w:rPr>
              <w:rFonts w:eastAsia="Times New Roman" w:cs="Times New Roman"/>
              <w:b/>
              <w:bCs/>
              <w:caps/>
              <w:spacing w:val="-2"/>
              <w:kern w:val="22"/>
              <w:sz w:val="22"/>
              <w:lang w:val="fr-FR"/>
            </w:rPr>
            <w:t xml:space="preserve">s </w:t>
          </w:r>
          <w:r w:rsidR="007D7761">
            <w:rPr>
              <w:rFonts w:eastAsia="Times New Roman" w:cs="Times New Roman"/>
              <w:b/>
              <w:bCs/>
              <w:caps/>
              <w:spacing w:val="-2"/>
              <w:kern w:val="22"/>
              <w:sz w:val="22"/>
              <w:lang w:val="fr-FR"/>
            </w:rPr>
            <w:t>il n’est pas possible</w:t>
          </w:r>
          <w:r w:rsidR="008533FE" w:rsidRPr="00E3674F">
            <w:rPr>
              <w:rFonts w:eastAsia="Times New Roman" w:cs="Times New Roman"/>
              <w:b/>
              <w:bCs/>
              <w:caps/>
              <w:spacing w:val="-2"/>
              <w:kern w:val="22"/>
              <w:sz w:val="22"/>
              <w:lang w:val="fr-FR"/>
            </w:rPr>
            <w:t xml:space="preserve"> </w:t>
          </w:r>
          <w:r w:rsidR="00FB033A">
            <w:rPr>
              <w:rFonts w:eastAsia="Times New Roman" w:cs="Times New Roman"/>
              <w:b/>
              <w:bCs/>
              <w:caps/>
              <w:spacing w:val="-2"/>
              <w:kern w:val="22"/>
              <w:sz w:val="22"/>
              <w:lang w:val="fr-FR"/>
            </w:rPr>
            <w:t>d’accorder ou d’obtenir un</w:t>
          </w:r>
          <w:r w:rsidR="008533FE" w:rsidRPr="00E3674F">
            <w:rPr>
              <w:rFonts w:eastAsia="Times New Roman" w:cs="Times New Roman"/>
              <w:b/>
              <w:bCs/>
              <w:caps/>
              <w:spacing w:val="-2"/>
              <w:kern w:val="22"/>
              <w:sz w:val="22"/>
              <w:lang w:val="fr-FR"/>
            </w:rPr>
            <w:t xml:space="preserve"> </w:t>
          </w:r>
          <w:r w:rsidR="00AC3D59">
            <w:rPr>
              <w:rFonts w:eastAsia="Times New Roman" w:cs="Times New Roman"/>
              <w:b/>
              <w:bCs/>
              <w:caps/>
              <w:spacing w:val="-2"/>
              <w:kern w:val="22"/>
              <w:sz w:val="22"/>
              <w:lang w:val="fr-FR"/>
            </w:rPr>
            <w:t xml:space="preserve">consentement préalable </w:t>
          </w:r>
          <w:r w:rsidR="007D7761">
            <w:rPr>
              <w:rFonts w:eastAsia="Times New Roman" w:cs="Times New Roman"/>
              <w:b/>
              <w:bCs/>
              <w:caps/>
              <w:spacing w:val="-2"/>
              <w:kern w:val="22"/>
              <w:sz w:val="22"/>
              <w:lang w:val="fr-FR"/>
            </w:rPr>
            <w:t xml:space="preserve">donné </w:t>
          </w:r>
          <w:r w:rsidR="00E3674F" w:rsidRPr="00E3674F">
            <w:rPr>
              <w:rFonts w:eastAsia="Times New Roman" w:cs="Times New Roman"/>
              <w:b/>
              <w:bCs/>
              <w:caps/>
              <w:spacing w:val="-2"/>
              <w:kern w:val="22"/>
              <w:sz w:val="22"/>
              <w:lang w:val="fr-FR"/>
            </w:rPr>
            <w:t>en connaissance de cause</w:t>
          </w:r>
        </w:sdtContent>
      </w:sdt>
    </w:p>
    <w:p w14:paraId="6C0EEE04" w14:textId="3C2EB97D" w:rsidR="008533FE" w:rsidRPr="00E3674F" w:rsidRDefault="00AC3D59" w:rsidP="00C1349A">
      <w:pPr>
        <w:spacing w:before="120" w:after="240"/>
        <w:ind w:left="4320" w:hanging="4320"/>
        <w:jc w:val="center"/>
        <w:rPr>
          <w:rFonts w:eastAsia="Times New Roman" w:cs="Times New Roman"/>
          <w:i/>
          <w:snapToGrid w:val="0"/>
          <w:kern w:val="22"/>
          <w:sz w:val="22"/>
          <w:lang w:val="fr-FR"/>
        </w:rPr>
      </w:pPr>
      <w:r>
        <w:rPr>
          <w:rFonts w:eastAsia="Times New Roman" w:cs="Times New Roman"/>
          <w:i/>
          <w:snapToGrid w:val="0"/>
          <w:kern w:val="22"/>
          <w:sz w:val="22"/>
          <w:lang w:val="fr-FR"/>
        </w:rPr>
        <w:t>Note de l</w:t>
      </w:r>
      <w:r w:rsidR="00E3674F" w:rsidRPr="00E3674F">
        <w:rPr>
          <w:rFonts w:eastAsia="Times New Roman" w:cs="Times New Roman"/>
          <w:i/>
          <w:snapToGrid w:val="0"/>
          <w:kern w:val="22"/>
          <w:sz w:val="22"/>
          <w:lang w:val="fr-FR"/>
        </w:rPr>
        <w:t>a Secrétaire exécutive</w:t>
      </w:r>
    </w:p>
    <w:p w14:paraId="396D9B7B" w14:textId="303234B2" w:rsidR="00DE64FA" w:rsidRPr="00E3674F" w:rsidRDefault="00E3674F" w:rsidP="008533FE">
      <w:pPr>
        <w:numPr>
          <w:ilvl w:val="0"/>
          <w:numId w:val="36"/>
        </w:numPr>
        <w:snapToGrid w:val="0"/>
        <w:spacing w:before="120" w:after="120"/>
        <w:ind w:left="0" w:firstLine="0"/>
        <w:rPr>
          <w:rFonts w:eastAsia="Times New Roman" w:cs="Times New Roman"/>
          <w:kern w:val="22"/>
          <w:sz w:val="22"/>
          <w:lang w:val="fr-FR"/>
        </w:rPr>
      </w:pPr>
      <w:r w:rsidRPr="00E3674F">
        <w:rPr>
          <w:rFonts w:eastAsia="Times New Roman" w:cs="Times New Roman"/>
          <w:kern w:val="22"/>
          <w:sz w:val="22"/>
          <w:szCs w:val="24"/>
          <w:lang w:val="fr-FR"/>
        </w:rPr>
        <w:t>La Conférence des Parties</w:t>
      </w:r>
      <w:r w:rsidR="00DE64FA" w:rsidRPr="00E3674F">
        <w:rPr>
          <w:rFonts w:eastAsia="Times New Roman" w:cs="Times New Roman"/>
          <w:kern w:val="22"/>
          <w:sz w:val="22"/>
          <w:szCs w:val="24"/>
          <w:lang w:val="fr-FR"/>
        </w:rPr>
        <w:t xml:space="preserve"> </w:t>
      </w:r>
      <w:r w:rsidRPr="00E3674F">
        <w:rPr>
          <w:rFonts w:eastAsia="Times New Roman" w:cs="Times New Roman"/>
          <w:kern w:val="22"/>
          <w:sz w:val="22"/>
          <w:szCs w:val="24"/>
          <w:lang w:val="fr-FR"/>
        </w:rPr>
        <w:t>siégeant en tant que réunion des Parties</w:t>
      </w:r>
      <w:r w:rsidR="00DE64FA" w:rsidRPr="00E3674F">
        <w:rPr>
          <w:rFonts w:eastAsia="Times New Roman" w:cs="Times New Roman"/>
          <w:kern w:val="22"/>
          <w:sz w:val="22"/>
          <w:szCs w:val="24"/>
          <w:lang w:val="fr-FR"/>
        </w:rPr>
        <w:t xml:space="preserve"> </w:t>
      </w:r>
      <w:r w:rsidRPr="00E3674F">
        <w:rPr>
          <w:rFonts w:eastAsia="Times New Roman" w:cs="Times New Roman"/>
          <w:kern w:val="22"/>
          <w:sz w:val="22"/>
          <w:szCs w:val="24"/>
          <w:lang w:val="fr-FR"/>
        </w:rPr>
        <w:t>au Protocole de Nagoya</w:t>
      </w:r>
      <w:r w:rsidR="00DE64FA" w:rsidRPr="00E3674F">
        <w:rPr>
          <w:rFonts w:eastAsia="Times New Roman" w:cs="Times New Roman"/>
          <w:kern w:val="22"/>
          <w:sz w:val="22"/>
          <w:szCs w:val="24"/>
          <w:lang w:val="fr-FR"/>
        </w:rPr>
        <w:t xml:space="preserve"> </w:t>
      </w:r>
      <w:r w:rsidRPr="00E3674F">
        <w:rPr>
          <w:rFonts w:eastAsia="Times New Roman" w:cs="Times New Roman"/>
          <w:kern w:val="22"/>
          <w:sz w:val="22"/>
          <w:szCs w:val="24"/>
          <w:lang w:val="fr-FR"/>
        </w:rPr>
        <w:t>sur l’accès et le partage des avantages</w:t>
      </w:r>
      <w:r w:rsidR="00DE64FA" w:rsidRPr="00E3674F">
        <w:rPr>
          <w:rFonts w:eastAsia="Times New Roman" w:cs="Times New Roman"/>
          <w:kern w:val="22"/>
          <w:sz w:val="22"/>
          <w:szCs w:val="24"/>
          <w:lang w:val="fr-FR"/>
        </w:rPr>
        <w:t xml:space="preserve"> </w:t>
      </w:r>
      <w:r>
        <w:rPr>
          <w:rFonts w:eastAsia="Times New Roman" w:cs="Times New Roman"/>
          <w:kern w:val="22"/>
          <w:sz w:val="22"/>
          <w:szCs w:val="24"/>
          <w:lang w:val="fr-FR"/>
        </w:rPr>
        <w:t>a examiné</w:t>
      </w:r>
      <w:r w:rsidR="00DE64FA" w:rsidRPr="00E3674F">
        <w:rPr>
          <w:rFonts w:eastAsia="Times New Roman" w:cs="Times New Roman"/>
          <w:kern w:val="22"/>
          <w:sz w:val="22"/>
          <w:szCs w:val="24"/>
          <w:lang w:val="fr-FR"/>
        </w:rPr>
        <w:t xml:space="preserve"> </w:t>
      </w:r>
      <w:r w:rsidR="007D7761">
        <w:rPr>
          <w:rFonts w:eastAsia="Times New Roman" w:cs="Times New Roman"/>
          <w:kern w:val="22"/>
          <w:sz w:val="22"/>
          <w:szCs w:val="24"/>
          <w:lang w:val="fr-FR"/>
        </w:rPr>
        <w:t>la nécessité</w:t>
      </w:r>
      <w:r w:rsidR="00552599">
        <w:rPr>
          <w:rFonts w:eastAsia="Times New Roman" w:cs="Times New Roman"/>
          <w:kern w:val="22"/>
          <w:sz w:val="22"/>
          <w:szCs w:val="24"/>
          <w:lang w:val="fr-FR"/>
        </w:rPr>
        <w:t xml:space="preserve"> et</w:t>
      </w:r>
      <w:r>
        <w:rPr>
          <w:rFonts w:eastAsia="Times New Roman" w:cs="Times New Roman"/>
          <w:kern w:val="22"/>
          <w:sz w:val="22"/>
          <w:szCs w:val="24"/>
          <w:lang w:val="fr-FR"/>
        </w:rPr>
        <w:t xml:space="preserve"> les modalités d’un </w:t>
      </w:r>
      <w:r w:rsidR="001A200E">
        <w:rPr>
          <w:rFonts w:eastAsia="Times New Roman" w:cs="Times New Roman"/>
          <w:kern w:val="22"/>
          <w:sz w:val="22"/>
          <w:szCs w:val="24"/>
          <w:lang w:val="fr-FR"/>
        </w:rPr>
        <w:t>mécanisme multilatéral mondial</w:t>
      </w:r>
      <w:r>
        <w:rPr>
          <w:rFonts w:eastAsia="Times New Roman" w:cs="Times New Roman"/>
          <w:kern w:val="22"/>
          <w:sz w:val="22"/>
          <w:szCs w:val="24"/>
          <w:lang w:val="fr-FR"/>
        </w:rPr>
        <w:t xml:space="preserve"> de partage des avantages (a</w:t>
      </w:r>
      <w:r w:rsidR="00DE64FA" w:rsidRPr="00E3674F">
        <w:rPr>
          <w:rFonts w:eastAsia="Times New Roman" w:cs="Times New Roman"/>
          <w:kern w:val="22"/>
          <w:sz w:val="22"/>
          <w:szCs w:val="24"/>
          <w:lang w:val="fr-FR"/>
        </w:rPr>
        <w:t>rticle 10</w:t>
      </w:r>
      <w:r>
        <w:rPr>
          <w:rFonts w:eastAsia="Times New Roman" w:cs="Times New Roman"/>
          <w:kern w:val="22"/>
          <w:sz w:val="22"/>
          <w:szCs w:val="24"/>
          <w:lang w:val="fr-FR"/>
        </w:rPr>
        <w:t xml:space="preserve"> du </w:t>
      </w:r>
      <w:r w:rsidRPr="00E3674F">
        <w:rPr>
          <w:rFonts w:eastAsia="Times New Roman" w:cs="Times New Roman"/>
          <w:kern w:val="22"/>
          <w:sz w:val="22"/>
          <w:szCs w:val="24"/>
          <w:lang w:val="fr-FR"/>
        </w:rPr>
        <w:t>Protocole de Nagoya</w:t>
      </w:r>
      <w:r w:rsidR="00DE64FA" w:rsidRPr="00E3674F">
        <w:rPr>
          <w:rFonts w:eastAsia="Times New Roman" w:cs="Times New Roman"/>
          <w:kern w:val="22"/>
          <w:sz w:val="22"/>
          <w:szCs w:val="24"/>
          <w:lang w:val="fr-FR"/>
        </w:rPr>
        <w:t xml:space="preserve">) </w:t>
      </w:r>
      <w:r>
        <w:rPr>
          <w:rFonts w:eastAsia="Times New Roman" w:cs="Times New Roman"/>
          <w:kern w:val="22"/>
          <w:sz w:val="22"/>
          <w:lang w:val="fr-FR"/>
        </w:rPr>
        <w:t>à sa</w:t>
      </w:r>
      <w:r w:rsidR="0007718A" w:rsidRPr="00E3674F">
        <w:rPr>
          <w:rFonts w:eastAsia="Times New Roman" w:cs="Times New Roman"/>
          <w:kern w:val="22"/>
          <w:sz w:val="22"/>
          <w:lang w:val="fr-FR"/>
        </w:rPr>
        <w:t xml:space="preserve"> </w:t>
      </w:r>
      <w:r>
        <w:rPr>
          <w:rFonts w:eastAsia="Times New Roman" w:cs="Times New Roman"/>
          <w:kern w:val="22"/>
          <w:sz w:val="22"/>
          <w:lang w:val="fr-FR"/>
        </w:rPr>
        <w:t>troisième</w:t>
      </w:r>
      <w:r w:rsidR="0007718A" w:rsidRPr="00E3674F">
        <w:rPr>
          <w:rFonts w:eastAsia="Times New Roman" w:cs="Times New Roman"/>
          <w:kern w:val="22"/>
          <w:sz w:val="22"/>
          <w:lang w:val="fr-FR"/>
        </w:rPr>
        <w:t xml:space="preserve"> </w:t>
      </w:r>
      <w:r>
        <w:rPr>
          <w:rFonts w:eastAsia="Times New Roman" w:cs="Times New Roman"/>
          <w:kern w:val="22"/>
          <w:sz w:val="22"/>
          <w:lang w:val="fr-FR"/>
        </w:rPr>
        <w:t>réunion</w:t>
      </w:r>
      <w:r w:rsidR="00552599">
        <w:rPr>
          <w:rFonts w:eastAsia="Times New Roman" w:cs="Times New Roman"/>
          <w:kern w:val="22"/>
          <w:sz w:val="22"/>
          <w:lang w:val="fr-FR"/>
        </w:rPr>
        <w:t>,</w:t>
      </w:r>
      <w:r w:rsidRPr="00E3674F">
        <w:rPr>
          <w:rFonts w:eastAsia="Times New Roman" w:cs="Times New Roman"/>
          <w:kern w:val="22"/>
          <w:sz w:val="22"/>
          <w:lang w:val="fr-FR"/>
        </w:rPr>
        <w:t xml:space="preserve"> et </w:t>
      </w:r>
      <w:r>
        <w:rPr>
          <w:rFonts w:eastAsia="Times New Roman" w:cs="Times New Roman"/>
          <w:kern w:val="22"/>
          <w:sz w:val="22"/>
          <w:lang w:val="fr-FR"/>
        </w:rPr>
        <w:t>a adopté</w:t>
      </w:r>
      <w:r w:rsidR="0007718A" w:rsidRPr="00E3674F">
        <w:rPr>
          <w:rFonts w:eastAsia="Times New Roman" w:cs="Times New Roman"/>
          <w:kern w:val="22"/>
          <w:sz w:val="22"/>
          <w:lang w:val="fr-FR"/>
        </w:rPr>
        <w:t xml:space="preserve"> </w:t>
      </w:r>
      <w:r>
        <w:rPr>
          <w:rFonts w:eastAsia="Times New Roman" w:cs="Times New Roman"/>
          <w:kern w:val="22"/>
          <w:sz w:val="22"/>
          <w:lang w:val="fr-FR"/>
        </w:rPr>
        <w:t>la décision</w:t>
      </w:r>
      <w:r w:rsidR="0007718A" w:rsidRPr="00E3674F">
        <w:rPr>
          <w:rFonts w:eastAsia="Times New Roman" w:cs="Times New Roman"/>
          <w:kern w:val="22"/>
          <w:sz w:val="22"/>
          <w:lang w:val="fr-FR"/>
        </w:rPr>
        <w:t xml:space="preserve"> </w:t>
      </w:r>
      <w:hyperlink r:id="rId14" w:history="1">
        <w:r w:rsidR="00552599">
          <w:rPr>
            <w:rStyle w:val="Hyperlink"/>
            <w:rFonts w:eastAsia="Times New Roman" w:cs="Times New Roman"/>
            <w:kern w:val="22"/>
            <w:sz w:val="22"/>
            <w:lang w:val="fr-FR"/>
          </w:rPr>
          <w:t>NP</w:t>
        </w:r>
        <w:r w:rsidR="0007718A" w:rsidRPr="00E3674F">
          <w:rPr>
            <w:rStyle w:val="Hyperlink"/>
            <w:rFonts w:eastAsia="Times New Roman" w:cs="Times New Roman"/>
            <w:kern w:val="22"/>
            <w:sz w:val="22"/>
            <w:lang w:val="fr-FR"/>
          </w:rPr>
          <w:t>-3/13</w:t>
        </w:r>
      </w:hyperlink>
      <w:r w:rsidR="0007718A" w:rsidRPr="00E3674F">
        <w:rPr>
          <w:rFonts w:eastAsia="Times New Roman" w:cs="Times New Roman"/>
          <w:kern w:val="22"/>
          <w:sz w:val="22"/>
          <w:lang w:val="fr-FR"/>
        </w:rPr>
        <w:t>.</w:t>
      </w:r>
    </w:p>
    <w:p w14:paraId="12AB798F" w14:textId="2F6F2F24" w:rsidR="000F155E" w:rsidRPr="00E3674F" w:rsidRDefault="00E3674F" w:rsidP="008533FE">
      <w:pPr>
        <w:numPr>
          <w:ilvl w:val="0"/>
          <w:numId w:val="36"/>
        </w:numPr>
        <w:snapToGrid w:val="0"/>
        <w:spacing w:before="120" w:after="120"/>
        <w:ind w:left="0" w:firstLine="0"/>
        <w:rPr>
          <w:rFonts w:eastAsia="Times New Roman" w:cs="Times New Roman"/>
          <w:kern w:val="22"/>
          <w:sz w:val="22"/>
          <w:lang w:val="fr-FR"/>
        </w:rPr>
      </w:pPr>
      <w:r>
        <w:rPr>
          <w:rFonts w:eastAsia="Times New Roman" w:cs="Times New Roman"/>
          <w:kern w:val="22"/>
          <w:sz w:val="22"/>
          <w:lang w:val="fr-FR"/>
        </w:rPr>
        <w:t xml:space="preserve">Au </w:t>
      </w:r>
      <w:r w:rsidRPr="00E3674F">
        <w:rPr>
          <w:rFonts w:eastAsia="Times New Roman" w:cs="Times New Roman"/>
          <w:kern w:val="22"/>
          <w:sz w:val="22"/>
          <w:lang w:val="fr-FR"/>
        </w:rPr>
        <w:t>paragraph</w:t>
      </w:r>
      <w:r>
        <w:rPr>
          <w:rFonts w:eastAsia="Times New Roman" w:cs="Times New Roman"/>
          <w:kern w:val="22"/>
          <w:sz w:val="22"/>
          <w:lang w:val="fr-FR"/>
        </w:rPr>
        <w:t>e 5a) de la décision</w:t>
      </w:r>
      <w:r w:rsidR="000F155E" w:rsidRPr="00E3674F">
        <w:rPr>
          <w:rFonts w:eastAsia="Times New Roman" w:cs="Times New Roman"/>
          <w:kern w:val="22"/>
          <w:sz w:val="22"/>
          <w:lang w:val="fr-FR"/>
        </w:rPr>
        <w:t xml:space="preserve"> </w:t>
      </w:r>
      <w:r w:rsidR="00552599">
        <w:rPr>
          <w:rFonts w:eastAsia="Times New Roman" w:cs="Times New Roman"/>
          <w:kern w:val="22"/>
          <w:sz w:val="22"/>
          <w:lang w:val="fr-FR"/>
        </w:rPr>
        <w:t>NP</w:t>
      </w:r>
      <w:r w:rsidR="000F155E" w:rsidRPr="00E3674F">
        <w:rPr>
          <w:rFonts w:eastAsia="Times New Roman" w:cs="Times New Roman"/>
          <w:kern w:val="22"/>
          <w:sz w:val="22"/>
          <w:lang w:val="fr-FR"/>
        </w:rPr>
        <w:t xml:space="preserve">-3/13, </w:t>
      </w:r>
      <w:r>
        <w:rPr>
          <w:rFonts w:eastAsia="Times New Roman" w:cs="Times New Roman"/>
          <w:kern w:val="22"/>
          <w:sz w:val="22"/>
          <w:lang w:val="fr-FR"/>
        </w:rPr>
        <w:t>la Secrétaire exécutive</w:t>
      </w:r>
      <w:r w:rsidR="000F155E" w:rsidRPr="00E3674F">
        <w:rPr>
          <w:rFonts w:eastAsia="Times New Roman" w:cs="Times New Roman"/>
          <w:kern w:val="22"/>
          <w:sz w:val="22"/>
          <w:lang w:val="fr-FR"/>
        </w:rPr>
        <w:t xml:space="preserve"> </w:t>
      </w:r>
      <w:r>
        <w:rPr>
          <w:rFonts w:eastAsia="Times New Roman" w:cs="Times New Roman"/>
          <w:kern w:val="22"/>
          <w:sz w:val="22"/>
          <w:lang w:val="fr-FR"/>
        </w:rPr>
        <w:t>a ét</w:t>
      </w:r>
      <w:r w:rsidR="0022459E">
        <w:rPr>
          <w:rFonts w:eastAsia="Times New Roman" w:cs="Times New Roman"/>
          <w:kern w:val="22"/>
          <w:sz w:val="22"/>
          <w:lang w:val="fr-FR"/>
        </w:rPr>
        <w:t>é priée de commander une étude soumise à un examen par les pairs et visant à i</w:t>
      </w:r>
      <w:r>
        <w:rPr>
          <w:rFonts w:eastAsia="Times New Roman" w:cs="Times New Roman"/>
          <w:kern w:val="22"/>
          <w:sz w:val="22"/>
          <w:lang w:val="fr-FR"/>
        </w:rPr>
        <w:t>dentifier</w:t>
      </w:r>
      <w:r w:rsidR="000F155E" w:rsidRPr="00E3674F">
        <w:rPr>
          <w:rFonts w:eastAsia="Times New Roman" w:cs="Times New Roman"/>
          <w:kern w:val="22"/>
          <w:sz w:val="22"/>
          <w:lang w:val="fr-FR"/>
        </w:rPr>
        <w:t xml:space="preserve"> </w:t>
      </w:r>
      <w:r>
        <w:rPr>
          <w:rFonts w:eastAsia="Times New Roman" w:cs="Times New Roman"/>
          <w:kern w:val="22"/>
          <w:sz w:val="22"/>
          <w:lang w:val="fr-FR"/>
        </w:rPr>
        <w:t>des cas spécifiques</w:t>
      </w:r>
      <w:r w:rsidR="00FB033A">
        <w:rPr>
          <w:rFonts w:eastAsia="Times New Roman" w:cs="Times New Roman"/>
          <w:kern w:val="22"/>
          <w:sz w:val="22"/>
          <w:lang w:val="fr-FR"/>
        </w:rPr>
        <w:t xml:space="preserve"> de</w:t>
      </w:r>
      <w:r w:rsidR="000F155E" w:rsidRPr="00E3674F">
        <w:rPr>
          <w:rFonts w:eastAsia="Times New Roman" w:cs="Times New Roman"/>
          <w:kern w:val="22"/>
          <w:sz w:val="22"/>
          <w:lang w:val="fr-FR"/>
        </w:rPr>
        <w:t xml:space="preserve"> </w:t>
      </w:r>
      <w:r w:rsidRPr="00E3674F">
        <w:rPr>
          <w:rFonts w:eastAsia="Times New Roman" w:cs="Times New Roman"/>
          <w:kern w:val="22"/>
          <w:sz w:val="22"/>
          <w:lang w:val="fr-FR"/>
        </w:rPr>
        <w:t xml:space="preserve">ressources génétiques et </w:t>
      </w:r>
      <w:r w:rsidR="0022459E">
        <w:rPr>
          <w:rFonts w:eastAsia="Times New Roman" w:cs="Times New Roman"/>
          <w:kern w:val="22"/>
          <w:sz w:val="22"/>
          <w:lang w:val="fr-FR"/>
        </w:rPr>
        <w:t xml:space="preserve">de </w:t>
      </w:r>
      <w:r w:rsidRPr="00E3674F">
        <w:rPr>
          <w:rFonts w:eastAsia="Times New Roman" w:cs="Times New Roman"/>
          <w:kern w:val="22"/>
          <w:sz w:val="22"/>
          <w:lang w:val="fr-FR"/>
        </w:rPr>
        <w:t>connaissances traditionnelles</w:t>
      </w:r>
      <w:r w:rsidR="000F155E" w:rsidRPr="00E3674F">
        <w:rPr>
          <w:rFonts w:eastAsia="Times New Roman" w:cs="Times New Roman"/>
          <w:kern w:val="22"/>
          <w:sz w:val="22"/>
          <w:lang w:val="fr-FR"/>
        </w:rPr>
        <w:t xml:space="preserve"> </w:t>
      </w:r>
      <w:r>
        <w:rPr>
          <w:rFonts w:eastAsia="Times New Roman" w:cs="Times New Roman"/>
          <w:kern w:val="22"/>
          <w:sz w:val="22"/>
          <w:lang w:val="fr-FR"/>
        </w:rPr>
        <w:t>associées aux</w:t>
      </w:r>
      <w:r w:rsidR="000F155E" w:rsidRPr="00E3674F">
        <w:rPr>
          <w:rFonts w:eastAsia="Times New Roman" w:cs="Times New Roman"/>
          <w:kern w:val="22"/>
          <w:sz w:val="22"/>
          <w:lang w:val="fr-FR"/>
        </w:rPr>
        <w:t xml:space="preserve"> </w:t>
      </w:r>
      <w:r w:rsidRPr="00E3674F">
        <w:rPr>
          <w:rFonts w:eastAsia="Times New Roman" w:cs="Times New Roman"/>
          <w:kern w:val="22"/>
          <w:sz w:val="22"/>
          <w:lang w:val="fr-FR"/>
        </w:rPr>
        <w:t>ressources génétiques</w:t>
      </w:r>
      <w:r w:rsidR="000F155E" w:rsidRPr="00E3674F">
        <w:rPr>
          <w:rFonts w:eastAsia="Times New Roman" w:cs="Times New Roman"/>
          <w:kern w:val="22"/>
          <w:sz w:val="22"/>
          <w:lang w:val="fr-FR"/>
        </w:rPr>
        <w:t xml:space="preserve"> </w:t>
      </w:r>
      <w:r w:rsidR="00651FB0">
        <w:rPr>
          <w:rFonts w:eastAsia="Times New Roman" w:cs="Times New Roman"/>
          <w:kern w:val="22"/>
          <w:sz w:val="22"/>
          <w:lang w:val="fr-FR"/>
        </w:rPr>
        <w:t>qui se trouvent</w:t>
      </w:r>
      <w:r w:rsidR="00FB033A">
        <w:rPr>
          <w:rFonts w:eastAsia="Times New Roman" w:cs="Times New Roman"/>
          <w:kern w:val="22"/>
          <w:sz w:val="22"/>
          <w:lang w:val="fr-FR"/>
        </w:rPr>
        <w:t xml:space="preserve"> dans</w:t>
      </w:r>
      <w:r w:rsidR="000F155E" w:rsidRPr="00E3674F">
        <w:rPr>
          <w:rFonts w:eastAsia="Times New Roman" w:cs="Times New Roman"/>
          <w:kern w:val="22"/>
          <w:sz w:val="22"/>
          <w:lang w:val="fr-FR"/>
        </w:rPr>
        <w:t xml:space="preserve"> </w:t>
      </w:r>
      <w:r w:rsidR="00FB033A">
        <w:rPr>
          <w:rFonts w:eastAsia="Times New Roman" w:cs="Times New Roman"/>
          <w:kern w:val="22"/>
          <w:sz w:val="22"/>
          <w:lang w:val="fr-FR"/>
        </w:rPr>
        <w:t xml:space="preserve">des </w:t>
      </w:r>
      <w:r w:rsidRPr="00E3674F">
        <w:rPr>
          <w:rFonts w:eastAsia="Times New Roman" w:cs="Times New Roman"/>
          <w:kern w:val="22"/>
          <w:sz w:val="22"/>
          <w:lang w:val="fr-FR"/>
        </w:rPr>
        <w:t>situations transfrontières</w:t>
      </w:r>
      <w:r w:rsidR="000F155E" w:rsidRPr="00E3674F">
        <w:rPr>
          <w:rFonts w:eastAsia="Times New Roman" w:cs="Times New Roman"/>
          <w:kern w:val="22"/>
          <w:sz w:val="22"/>
          <w:lang w:val="fr-FR"/>
        </w:rPr>
        <w:t xml:space="preserve"> o</w:t>
      </w:r>
      <w:r w:rsidR="00FB033A">
        <w:rPr>
          <w:rFonts w:eastAsia="Times New Roman" w:cs="Times New Roman"/>
          <w:kern w:val="22"/>
          <w:sz w:val="22"/>
          <w:lang w:val="fr-FR"/>
        </w:rPr>
        <w:t>u pour lesquel</w:t>
      </w:r>
      <w:r w:rsidR="0022459E">
        <w:rPr>
          <w:rFonts w:eastAsia="Times New Roman" w:cs="Times New Roman"/>
          <w:kern w:val="22"/>
          <w:sz w:val="22"/>
          <w:lang w:val="fr-FR"/>
        </w:rPr>
        <w:t>le</w:t>
      </w:r>
      <w:r w:rsidR="00FB033A">
        <w:rPr>
          <w:rFonts w:eastAsia="Times New Roman" w:cs="Times New Roman"/>
          <w:kern w:val="22"/>
          <w:sz w:val="22"/>
          <w:lang w:val="fr-FR"/>
        </w:rPr>
        <w:t xml:space="preserve">s </w:t>
      </w:r>
      <w:r w:rsidR="007D7761">
        <w:rPr>
          <w:rFonts w:eastAsia="Times New Roman" w:cs="Times New Roman"/>
          <w:kern w:val="22"/>
          <w:sz w:val="22"/>
          <w:lang w:val="fr-FR"/>
        </w:rPr>
        <w:t>il n’est pas possible</w:t>
      </w:r>
      <w:r w:rsidR="000F155E" w:rsidRPr="00E3674F">
        <w:rPr>
          <w:rFonts w:eastAsia="Times New Roman" w:cs="Times New Roman"/>
          <w:kern w:val="22"/>
          <w:sz w:val="22"/>
          <w:lang w:val="fr-FR"/>
        </w:rPr>
        <w:t xml:space="preserve"> </w:t>
      </w:r>
      <w:r w:rsidR="00FB033A">
        <w:rPr>
          <w:rFonts w:eastAsia="Times New Roman" w:cs="Times New Roman"/>
          <w:kern w:val="22"/>
          <w:sz w:val="22"/>
          <w:lang w:val="fr-FR"/>
        </w:rPr>
        <w:t>d’accorder ou d’obtenir un</w:t>
      </w:r>
      <w:r w:rsidR="000F155E" w:rsidRPr="00E3674F">
        <w:rPr>
          <w:rFonts w:eastAsia="Times New Roman" w:cs="Times New Roman"/>
          <w:kern w:val="22"/>
          <w:sz w:val="22"/>
          <w:lang w:val="fr-FR"/>
        </w:rPr>
        <w:t xml:space="preserve"> </w:t>
      </w:r>
      <w:r w:rsidR="007D7761">
        <w:rPr>
          <w:rFonts w:eastAsia="Times New Roman" w:cs="Times New Roman"/>
          <w:kern w:val="22"/>
          <w:sz w:val="22"/>
          <w:lang w:val="fr-FR"/>
        </w:rPr>
        <w:t>consentement préalable donné en connaissance de cause</w:t>
      </w:r>
      <w:r w:rsidR="0007718A" w:rsidRPr="00E3674F">
        <w:rPr>
          <w:rFonts w:eastAsia="Times New Roman" w:cs="Times New Roman"/>
          <w:kern w:val="22"/>
          <w:sz w:val="22"/>
          <w:lang w:val="fr-FR"/>
        </w:rPr>
        <w:t>.</w:t>
      </w:r>
      <w:r w:rsidR="000F155E" w:rsidRPr="00E3674F">
        <w:rPr>
          <w:rFonts w:eastAsia="Times New Roman" w:cs="Times New Roman"/>
          <w:kern w:val="22"/>
          <w:sz w:val="22"/>
          <w:lang w:val="fr-FR"/>
        </w:rPr>
        <w:t xml:space="preserve">  </w:t>
      </w:r>
    </w:p>
    <w:p w14:paraId="6BF9267B" w14:textId="07DE9A42" w:rsidR="000F155E" w:rsidRPr="00FB033A" w:rsidRDefault="0022459E" w:rsidP="000F155E">
      <w:pPr>
        <w:numPr>
          <w:ilvl w:val="0"/>
          <w:numId w:val="36"/>
        </w:numPr>
        <w:snapToGrid w:val="0"/>
        <w:spacing w:before="120" w:after="120"/>
        <w:ind w:left="0" w:firstLine="0"/>
        <w:rPr>
          <w:rFonts w:eastAsia="Times New Roman" w:cs="Times New Roman"/>
          <w:kern w:val="22"/>
          <w:sz w:val="22"/>
          <w:lang w:val="fr-FR"/>
        </w:rPr>
      </w:pPr>
      <w:r>
        <w:rPr>
          <w:rFonts w:eastAsia="Times New Roman" w:cs="Times New Roman"/>
          <w:kern w:val="22"/>
          <w:sz w:val="22"/>
          <w:lang w:val="fr-FR"/>
        </w:rPr>
        <w:t>En réponse à cette demande</w:t>
      </w:r>
      <w:r w:rsidR="00FB033A">
        <w:rPr>
          <w:rFonts w:eastAsia="Times New Roman" w:cs="Times New Roman"/>
          <w:kern w:val="22"/>
          <w:sz w:val="22"/>
          <w:lang w:val="fr-FR"/>
        </w:rPr>
        <w:t>, l</w:t>
      </w:r>
      <w:r w:rsidR="00E3674F" w:rsidRPr="00FB033A">
        <w:rPr>
          <w:rFonts w:eastAsia="Times New Roman" w:cs="Times New Roman"/>
          <w:kern w:val="22"/>
          <w:sz w:val="22"/>
          <w:lang w:val="fr-FR"/>
        </w:rPr>
        <w:t>a Secrétaire exécutive</w:t>
      </w:r>
      <w:r w:rsidR="000F155E" w:rsidRPr="00FB033A">
        <w:rPr>
          <w:rFonts w:eastAsia="Times New Roman" w:cs="Times New Roman"/>
          <w:kern w:val="22"/>
          <w:sz w:val="22"/>
          <w:lang w:val="fr-FR"/>
        </w:rPr>
        <w:t xml:space="preserve"> </w:t>
      </w:r>
      <w:r w:rsidR="00FB033A">
        <w:rPr>
          <w:rFonts w:eastAsia="Times New Roman" w:cs="Times New Roman"/>
          <w:kern w:val="22"/>
          <w:sz w:val="22"/>
          <w:lang w:val="fr-FR"/>
        </w:rPr>
        <w:t>a commandé l’</w:t>
      </w:r>
      <w:r w:rsidR="00E3674F" w:rsidRPr="00FB033A">
        <w:rPr>
          <w:rFonts w:eastAsia="Times New Roman" w:cs="Times New Roman"/>
          <w:kern w:val="22"/>
          <w:sz w:val="22"/>
          <w:lang w:val="fr-FR"/>
        </w:rPr>
        <w:t>étude</w:t>
      </w:r>
      <w:r w:rsidR="00D8084B">
        <w:rPr>
          <w:rFonts w:eastAsia="Times New Roman" w:cs="Times New Roman"/>
          <w:kern w:val="22"/>
          <w:sz w:val="22"/>
          <w:lang w:val="fr-FR"/>
        </w:rPr>
        <w:t xml:space="preserve"> figurant</w:t>
      </w:r>
      <w:r w:rsidR="00FB033A">
        <w:rPr>
          <w:rFonts w:eastAsia="Times New Roman" w:cs="Times New Roman"/>
          <w:kern w:val="22"/>
          <w:sz w:val="22"/>
          <w:lang w:val="fr-FR"/>
        </w:rPr>
        <w:t xml:space="preserve"> dans le présent document. </w:t>
      </w:r>
      <w:r w:rsidR="00FB033A" w:rsidRPr="00FB033A">
        <w:rPr>
          <w:rFonts w:eastAsia="Times New Roman" w:cs="Times New Roman"/>
          <w:kern w:val="22"/>
          <w:sz w:val="22"/>
          <w:lang w:val="fr-FR"/>
        </w:rPr>
        <w:t xml:space="preserve">La réalisation de cette </w:t>
      </w:r>
      <w:r w:rsidR="00E3674F" w:rsidRPr="00FB033A">
        <w:rPr>
          <w:rFonts w:eastAsia="Times New Roman" w:cs="Times New Roman"/>
          <w:kern w:val="22"/>
          <w:sz w:val="22"/>
          <w:lang w:val="fr-FR"/>
        </w:rPr>
        <w:t>étude</w:t>
      </w:r>
      <w:r>
        <w:rPr>
          <w:rFonts w:eastAsia="Times New Roman" w:cs="Times New Roman"/>
          <w:kern w:val="22"/>
          <w:sz w:val="22"/>
          <w:lang w:val="fr-FR"/>
        </w:rPr>
        <w:t xml:space="preserve"> a été</w:t>
      </w:r>
      <w:r w:rsidR="00FB033A">
        <w:rPr>
          <w:rFonts w:eastAsia="Times New Roman" w:cs="Times New Roman"/>
          <w:kern w:val="22"/>
          <w:sz w:val="22"/>
          <w:lang w:val="fr-FR"/>
        </w:rPr>
        <w:t xml:space="preserve"> </w:t>
      </w:r>
      <w:r w:rsidR="007533F3" w:rsidRPr="00FB033A">
        <w:rPr>
          <w:rFonts w:eastAsia="Times New Roman" w:cs="Times New Roman"/>
          <w:kern w:val="22"/>
          <w:sz w:val="22"/>
          <w:lang w:val="fr-FR"/>
        </w:rPr>
        <w:t xml:space="preserve">possible </w:t>
      </w:r>
      <w:r w:rsidR="00FB033A">
        <w:rPr>
          <w:rFonts w:eastAsia="Times New Roman" w:cs="Times New Roman"/>
          <w:kern w:val="22"/>
          <w:sz w:val="22"/>
          <w:lang w:val="fr-FR"/>
        </w:rPr>
        <w:t xml:space="preserve">grâce au généreux soutien financier de l’Afrique du Sud, </w:t>
      </w:r>
      <w:r>
        <w:rPr>
          <w:rFonts w:eastAsia="Times New Roman" w:cs="Times New Roman"/>
          <w:kern w:val="22"/>
          <w:sz w:val="22"/>
          <w:lang w:val="fr-FR"/>
        </w:rPr>
        <w:t xml:space="preserve">de </w:t>
      </w:r>
      <w:r w:rsidR="00FB033A">
        <w:rPr>
          <w:rFonts w:eastAsia="Times New Roman" w:cs="Times New Roman"/>
          <w:kern w:val="22"/>
          <w:sz w:val="22"/>
          <w:lang w:val="fr-FR"/>
        </w:rPr>
        <w:t xml:space="preserve">la Belgique et </w:t>
      </w:r>
      <w:r>
        <w:rPr>
          <w:rFonts w:eastAsia="Times New Roman" w:cs="Times New Roman"/>
          <w:kern w:val="22"/>
          <w:sz w:val="22"/>
          <w:lang w:val="fr-FR"/>
        </w:rPr>
        <w:t xml:space="preserve">de </w:t>
      </w:r>
      <w:r w:rsidR="00FB033A">
        <w:rPr>
          <w:rFonts w:eastAsia="Times New Roman" w:cs="Times New Roman"/>
          <w:kern w:val="22"/>
          <w:sz w:val="22"/>
          <w:lang w:val="fr-FR"/>
        </w:rPr>
        <w:t>l’Union européenne</w:t>
      </w:r>
      <w:r w:rsidR="000F155E" w:rsidRPr="00FB033A">
        <w:rPr>
          <w:rFonts w:eastAsia="Times New Roman" w:cs="Times New Roman"/>
          <w:kern w:val="22"/>
          <w:sz w:val="22"/>
          <w:lang w:val="fr-FR"/>
        </w:rPr>
        <w:t xml:space="preserve">. </w:t>
      </w:r>
    </w:p>
    <w:p w14:paraId="62135F06" w14:textId="2BA4E825" w:rsidR="008533FE" w:rsidRPr="00FB033A" w:rsidRDefault="0022459E" w:rsidP="009D37AC">
      <w:pPr>
        <w:numPr>
          <w:ilvl w:val="0"/>
          <w:numId w:val="36"/>
        </w:numPr>
        <w:snapToGrid w:val="0"/>
        <w:spacing w:before="120" w:after="120"/>
        <w:ind w:left="0" w:firstLine="0"/>
        <w:rPr>
          <w:rFonts w:eastAsia="Times New Roman" w:cs="Times New Roman"/>
          <w:kern w:val="22"/>
          <w:sz w:val="22"/>
          <w:lang w:val="fr-FR"/>
        </w:rPr>
      </w:pPr>
      <w:r>
        <w:rPr>
          <w:rFonts w:eastAsia="Times New Roman" w:cs="Times New Roman"/>
          <w:kern w:val="22"/>
          <w:sz w:val="22"/>
          <w:lang w:val="fr-FR"/>
        </w:rPr>
        <w:t xml:space="preserve">Un avant-projet de cette </w:t>
      </w:r>
      <w:r w:rsidR="00E3674F" w:rsidRPr="00FB033A">
        <w:rPr>
          <w:rFonts w:eastAsia="Times New Roman" w:cs="Times New Roman"/>
          <w:kern w:val="22"/>
          <w:sz w:val="22"/>
          <w:lang w:val="fr-FR"/>
        </w:rPr>
        <w:t>étude</w:t>
      </w:r>
      <w:r w:rsidR="00FB033A">
        <w:rPr>
          <w:rFonts w:eastAsia="Times New Roman" w:cs="Times New Roman"/>
          <w:kern w:val="22"/>
          <w:sz w:val="22"/>
          <w:lang w:val="fr-FR"/>
        </w:rPr>
        <w:t xml:space="preserve"> </w:t>
      </w:r>
      <w:r w:rsidR="00FB033A" w:rsidRPr="00FB033A">
        <w:rPr>
          <w:rFonts w:eastAsia="Times New Roman" w:cs="Times New Roman"/>
          <w:kern w:val="22"/>
          <w:sz w:val="22"/>
          <w:lang w:val="fr-FR"/>
        </w:rPr>
        <w:t>a été mis à disposition</w:t>
      </w:r>
      <w:r w:rsidR="008533FE" w:rsidRPr="00FB033A">
        <w:rPr>
          <w:rFonts w:eastAsia="Times New Roman" w:cs="Times New Roman"/>
          <w:kern w:val="22"/>
          <w:sz w:val="22"/>
          <w:lang w:val="fr-FR"/>
        </w:rPr>
        <w:t xml:space="preserve"> </w:t>
      </w:r>
      <w:r w:rsidR="00FB033A" w:rsidRPr="00FB033A">
        <w:rPr>
          <w:rFonts w:eastAsia="Times New Roman" w:cs="Times New Roman"/>
          <w:kern w:val="22"/>
          <w:sz w:val="22"/>
          <w:lang w:val="fr-FR"/>
        </w:rPr>
        <w:t>en ligne</w:t>
      </w:r>
      <w:r>
        <w:rPr>
          <w:rFonts w:eastAsia="Times New Roman" w:cs="Times New Roman"/>
          <w:kern w:val="22"/>
          <w:sz w:val="22"/>
          <w:lang w:val="fr-FR"/>
        </w:rPr>
        <w:t>,</w:t>
      </w:r>
      <w:r w:rsidR="008533FE" w:rsidRPr="00FB033A">
        <w:rPr>
          <w:rFonts w:eastAsia="Times New Roman" w:cs="Times New Roman"/>
          <w:kern w:val="22"/>
          <w:sz w:val="22"/>
          <w:lang w:val="fr-FR"/>
        </w:rPr>
        <w:t xml:space="preserve"> </w:t>
      </w:r>
      <w:r w:rsidR="00FB033A">
        <w:rPr>
          <w:rFonts w:eastAsia="Times New Roman" w:cs="Times New Roman"/>
          <w:kern w:val="22"/>
          <w:sz w:val="22"/>
          <w:lang w:val="fr-FR"/>
        </w:rPr>
        <w:t>aux fins d’</w:t>
      </w:r>
      <w:r>
        <w:rPr>
          <w:rFonts w:eastAsia="Times New Roman" w:cs="Times New Roman"/>
          <w:kern w:val="22"/>
          <w:sz w:val="22"/>
          <w:lang w:val="fr-FR"/>
        </w:rPr>
        <w:t>un examen par l</w:t>
      </w:r>
      <w:r w:rsidR="00FB033A">
        <w:rPr>
          <w:rFonts w:eastAsia="Times New Roman" w:cs="Times New Roman"/>
          <w:kern w:val="22"/>
          <w:sz w:val="22"/>
          <w:lang w:val="fr-FR"/>
        </w:rPr>
        <w:t>es pairs, du</w:t>
      </w:r>
      <w:r w:rsidR="008533FE" w:rsidRPr="00FB033A">
        <w:rPr>
          <w:rFonts w:eastAsia="Times New Roman" w:cs="Times New Roman"/>
          <w:kern w:val="22"/>
          <w:sz w:val="22"/>
          <w:lang w:val="fr-FR"/>
        </w:rPr>
        <w:t xml:space="preserve"> </w:t>
      </w:r>
      <w:r w:rsidR="00FB033A">
        <w:rPr>
          <w:rFonts w:eastAsia="Times New Roman" w:cs="Times New Roman"/>
          <w:kern w:val="22"/>
          <w:sz w:val="22"/>
          <w:lang w:val="fr-FR"/>
        </w:rPr>
        <w:t>9 mars</w:t>
      </w:r>
      <w:r w:rsidR="000E6D3E" w:rsidRPr="00FB033A">
        <w:rPr>
          <w:rFonts w:eastAsia="Times New Roman" w:cs="Times New Roman"/>
          <w:kern w:val="22"/>
          <w:sz w:val="22"/>
          <w:lang w:val="fr-FR"/>
        </w:rPr>
        <w:t xml:space="preserve"> </w:t>
      </w:r>
      <w:r w:rsidR="00FB033A">
        <w:rPr>
          <w:rFonts w:eastAsia="Times New Roman" w:cs="Times New Roman"/>
          <w:kern w:val="22"/>
          <w:sz w:val="22"/>
          <w:lang w:val="fr-FR"/>
        </w:rPr>
        <w:t>au 6 av</w:t>
      </w:r>
      <w:r w:rsidR="000E6D3E" w:rsidRPr="00FB033A">
        <w:rPr>
          <w:rFonts w:eastAsia="Times New Roman" w:cs="Times New Roman"/>
          <w:kern w:val="22"/>
          <w:sz w:val="22"/>
          <w:lang w:val="fr-FR"/>
        </w:rPr>
        <w:t>ril 2020</w:t>
      </w:r>
      <w:r w:rsidR="008533FE" w:rsidRPr="00FB033A">
        <w:rPr>
          <w:rFonts w:eastAsia="Times New Roman" w:cs="Times New Roman"/>
          <w:kern w:val="22"/>
          <w:sz w:val="22"/>
          <w:lang w:val="fr-FR"/>
        </w:rPr>
        <w:t>.</w:t>
      </w:r>
      <w:r w:rsidR="006A4542">
        <w:rPr>
          <w:rStyle w:val="FootnoteReference"/>
          <w:rFonts w:eastAsia="Times New Roman" w:cs="Times New Roman"/>
          <w:kern w:val="22"/>
          <w:sz w:val="22"/>
          <w:lang w:val="en-GB"/>
        </w:rPr>
        <w:footnoteReference w:id="3"/>
      </w:r>
      <w:r w:rsidR="008533FE" w:rsidRPr="00FB033A">
        <w:rPr>
          <w:rFonts w:eastAsia="Times New Roman" w:cs="Times New Roman"/>
          <w:kern w:val="22"/>
          <w:sz w:val="22"/>
          <w:lang w:val="fr-FR"/>
        </w:rPr>
        <w:t xml:space="preserve"> </w:t>
      </w:r>
      <w:r w:rsidR="00FB033A">
        <w:rPr>
          <w:rFonts w:eastAsia="Times New Roman" w:cs="Times New Roman"/>
          <w:kern w:val="22"/>
          <w:sz w:val="22"/>
          <w:lang w:val="fr-FR"/>
        </w:rPr>
        <w:t>Les</w:t>
      </w:r>
      <w:r w:rsidR="008533FE" w:rsidRPr="00FB033A">
        <w:rPr>
          <w:rFonts w:eastAsia="Times New Roman" w:cs="Times New Roman"/>
          <w:kern w:val="22"/>
          <w:sz w:val="22"/>
          <w:lang w:val="fr-FR"/>
        </w:rPr>
        <w:t xml:space="preserve"> comment</w:t>
      </w:r>
      <w:r>
        <w:rPr>
          <w:rFonts w:eastAsia="Times New Roman" w:cs="Times New Roman"/>
          <w:kern w:val="22"/>
          <w:sz w:val="22"/>
          <w:lang w:val="fr-FR"/>
        </w:rPr>
        <w:t>aires reçus sur cet avant-projet</w:t>
      </w:r>
      <w:r w:rsidR="00FB033A">
        <w:rPr>
          <w:rFonts w:eastAsia="Times New Roman" w:cs="Times New Roman"/>
          <w:kern w:val="22"/>
          <w:sz w:val="22"/>
          <w:lang w:val="fr-FR"/>
        </w:rPr>
        <w:t xml:space="preserve"> </w:t>
      </w:r>
      <w:r>
        <w:rPr>
          <w:rFonts w:eastAsia="Times New Roman" w:cs="Times New Roman"/>
          <w:kern w:val="22"/>
          <w:sz w:val="22"/>
          <w:lang w:val="fr-FR"/>
        </w:rPr>
        <w:t xml:space="preserve">d’étude </w:t>
      </w:r>
      <w:r w:rsidR="00FB033A">
        <w:rPr>
          <w:rFonts w:eastAsia="Times New Roman" w:cs="Times New Roman"/>
          <w:kern w:val="22"/>
          <w:sz w:val="22"/>
          <w:lang w:val="fr-FR"/>
        </w:rPr>
        <w:t xml:space="preserve">ont </w:t>
      </w:r>
      <w:r w:rsidR="00FB033A" w:rsidRPr="00FB033A">
        <w:rPr>
          <w:rFonts w:eastAsia="Times New Roman" w:cs="Times New Roman"/>
          <w:kern w:val="22"/>
          <w:sz w:val="22"/>
          <w:lang w:val="fr-FR"/>
        </w:rPr>
        <w:t>été mis à disposition</w:t>
      </w:r>
      <w:r w:rsidR="008533FE" w:rsidRPr="00FB033A">
        <w:rPr>
          <w:rFonts w:eastAsia="Times New Roman" w:cs="Times New Roman"/>
          <w:kern w:val="22"/>
          <w:sz w:val="22"/>
          <w:lang w:val="fr-FR"/>
        </w:rPr>
        <w:t xml:space="preserve"> </w:t>
      </w:r>
      <w:r w:rsidR="00FB033A" w:rsidRPr="00FB033A">
        <w:rPr>
          <w:rFonts w:eastAsia="Times New Roman" w:cs="Times New Roman"/>
          <w:kern w:val="22"/>
          <w:sz w:val="22"/>
          <w:lang w:val="fr-FR"/>
        </w:rPr>
        <w:t>en ligne</w:t>
      </w:r>
      <w:r w:rsidR="008533FE" w:rsidRPr="00FB033A">
        <w:rPr>
          <w:rFonts w:eastAsia="Times New Roman" w:cs="Times New Roman"/>
          <w:kern w:val="22"/>
          <w:sz w:val="22"/>
          <w:lang w:val="fr-FR"/>
        </w:rPr>
        <w:t>.</w:t>
      </w:r>
      <w:r w:rsidR="006A4542">
        <w:rPr>
          <w:rStyle w:val="FootnoteReference"/>
          <w:rFonts w:eastAsia="Times New Roman" w:cs="Times New Roman"/>
          <w:kern w:val="22"/>
          <w:sz w:val="22"/>
          <w:lang w:val="en-GB"/>
        </w:rPr>
        <w:footnoteReference w:id="4"/>
      </w:r>
      <w:r w:rsidR="008533FE" w:rsidRPr="00FB033A">
        <w:rPr>
          <w:rFonts w:eastAsia="Times New Roman" w:cs="Times New Roman"/>
          <w:kern w:val="22"/>
          <w:sz w:val="22"/>
          <w:lang w:val="fr-FR"/>
        </w:rPr>
        <w:t xml:space="preserve"> </w:t>
      </w:r>
      <w:r w:rsidR="00FB033A" w:rsidRPr="00FB033A">
        <w:rPr>
          <w:rFonts w:eastAsia="Times New Roman" w:cs="Times New Roman"/>
          <w:kern w:val="22"/>
          <w:sz w:val="22"/>
          <w:lang w:val="fr-FR"/>
        </w:rPr>
        <w:t>L’</w:t>
      </w:r>
      <w:r w:rsidR="00E3674F" w:rsidRPr="00FB033A">
        <w:rPr>
          <w:rFonts w:eastAsia="Times New Roman" w:cs="Times New Roman"/>
          <w:kern w:val="22"/>
          <w:sz w:val="22"/>
          <w:lang w:val="fr-FR"/>
        </w:rPr>
        <w:t>étude</w:t>
      </w:r>
      <w:r w:rsidR="00FB033A" w:rsidRPr="00FB033A">
        <w:rPr>
          <w:rFonts w:eastAsia="Times New Roman" w:cs="Times New Roman"/>
          <w:kern w:val="22"/>
          <w:sz w:val="22"/>
          <w:lang w:val="fr-FR"/>
        </w:rPr>
        <w:t xml:space="preserve"> a </w:t>
      </w:r>
      <w:r>
        <w:rPr>
          <w:rFonts w:eastAsia="Times New Roman" w:cs="Times New Roman"/>
          <w:kern w:val="22"/>
          <w:sz w:val="22"/>
          <w:lang w:val="fr-FR"/>
        </w:rPr>
        <w:t xml:space="preserve">ensuite </w:t>
      </w:r>
      <w:r w:rsidR="00FB033A" w:rsidRPr="00FB033A">
        <w:rPr>
          <w:rFonts w:eastAsia="Times New Roman" w:cs="Times New Roman"/>
          <w:kern w:val="22"/>
          <w:sz w:val="22"/>
          <w:lang w:val="fr-FR"/>
        </w:rPr>
        <w:t>été ré</w:t>
      </w:r>
      <w:r w:rsidR="000E6D3E" w:rsidRPr="00FB033A">
        <w:rPr>
          <w:rFonts w:eastAsia="Times New Roman" w:cs="Times New Roman"/>
          <w:kern w:val="22"/>
          <w:sz w:val="22"/>
          <w:lang w:val="fr-FR"/>
        </w:rPr>
        <w:t>vis</w:t>
      </w:r>
      <w:r w:rsidR="00FB033A" w:rsidRPr="00FB033A">
        <w:rPr>
          <w:rFonts w:eastAsia="Times New Roman" w:cs="Times New Roman"/>
          <w:kern w:val="22"/>
          <w:sz w:val="22"/>
          <w:lang w:val="fr-FR"/>
        </w:rPr>
        <w:t>ée à la lumière des</w:t>
      </w:r>
      <w:r w:rsidR="008533FE" w:rsidRPr="00FB033A">
        <w:rPr>
          <w:rFonts w:eastAsia="Times New Roman" w:cs="Times New Roman"/>
          <w:kern w:val="22"/>
          <w:sz w:val="22"/>
          <w:lang w:val="fr-FR"/>
        </w:rPr>
        <w:t xml:space="preserve"> </w:t>
      </w:r>
      <w:r w:rsidR="00FB033A" w:rsidRPr="00FB033A">
        <w:rPr>
          <w:rFonts w:eastAsia="Times New Roman" w:cs="Times New Roman"/>
          <w:kern w:val="22"/>
          <w:sz w:val="22"/>
          <w:lang w:val="fr-FR"/>
        </w:rPr>
        <w:t>commentaires reçus</w:t>
      </w:r>
      <w:r>
        <w:rPr>
          <w:rFonts w:eastAsia="Times New Roman" w:cs="Times New Roman"/>
          <w:kern w:val="22"/>
          <w:sz w:val="22"/>
          <w:lang w:val="fr-FR"/>
        </w:rPr>
        <w:t>, et</w:t>
      </w:r>
      <w:r w:rsidR="00E3674F" w:rsidRPr="00FB033A">
        <w:rPr>
          <w:rFonts w:eastAsia="Times New Roman" w:cs="Times New Roman"/>
          <w:kern w:val="22"/>
          <w:sz w:val="22"/>
          <w:lang w:val="fr-FR"/>
        </w:rPr>
        <w:t xml:space="preserve"> </w:t>
      </w:r>
      <w:r w:rsidR="00FB033A" w:rsidRPr="00FB033A">
        <w:rPr>
          <w:rFonts w:eastAsia="Times New Roman" w:cs="Times New Roman"/>
          <w:kern w:val="22"/>
          <w:sz w:val="22"/>
          <w:lang w:val="fr-FR"/>
        </w:rPr>
        <w:t xml:space="preserve">la </w:t>
      </w:r>
      <w:r w:rsidR="008533FE" w:rsidRPr="00FB033A">
        <w:rPr>
          <w:rFonts w:eastAsia="Times New Roman" w:cs="Times New Roman"/>
          <w:kern w:val="22"/>
          <w:sz w:val="22"/>
          <w:lang w:val="fr-FR"/>
        </w:rPr>
        <w:t>version</w:t>
      </w:r>
      <w:r w:rsidR="00FB033A">
        <w:rPr>
          <w:rFonts w:eastAsia="Times New Roman" w:cs="Times New Roman"/>
          <w:kern w:val="22"/>
          <w:sz w:val="22"/>
          <w:lang w:val="fr-FR"/>
        </w:rPr>
        <w:t xml:space="preserve"> finale est pré</w:t>
      </w:r>
      <w:r w:rsidR="008533FE" w:rsidRPr="00FB033A">
        <w:rPr>
          <w:rFonts w:eastAsia="Times New Roman" w:cs="Times New Roman"/>
          <w:kern w:val="22"/>
          <w:sz w:val="22"/>
          <w:lang w:val="fr-FR"/>
        </w:rPr>
        <w:t>sent</w:t>
      </w:r>
      <w:r>
        <w:rPr>
          <w:rFonts w:eastAsia="Times New Roman" w:cs="Times New Roman"/>
          <w:kern w:val="22"/>
          <w:sz w:val="22"/>
          <w:lang w:val="fr-FR"/>
        </w:rPr>
        <w:t xml:space="preserve">ée ci-dessous, dans le fond et la forme </w:t>
      </w:r>
      <w:r w:rsidR="00FB033A">
        <w:rPr>
          <w:rFonts w:eastAsia="Times New Roman" w:cs="Times New Roman"/>
          <w:kern w:val="22"/>
          <w:sz w:val="22"/>
          <w:lang w:val="fr-FR"/>
        </w:rPr>
        <w:t>reçu</w:t>
      </w:r>
      <w:r>
        <w:rPr>
          <w:rFonts w:eastAsia="Times New Roman" w:cs="Times New Roman"/>
          <w:kern w:val="22"/>
          <w:sz w:val="22"/>
          <w:lang w:val="fr-FR"/>
        </w:rPr>
        <w:t>s</w:t>
      </w:r>
      <w:r w:rsidR="00FB033A">
        <w:rPr>
          <w:rFonts w:eastAsia="Times New Roman" w:cs="Times New Roman"/>
          <w:kern w:val="22"/>
          <w:sz w:val="22"/>
          <w:lang w:val="fr-FR"/>
        </w:rPr>
        <w:t xml:space="preserve"> par le</w:t>
      </w:r>
      <w:r w:rsidR="008533FE" w:rsidRPr="00FB033A">
        <w:rPr>
          <w:rFonts w:eastAsia="Times New Roman" w:cs="Times New Roman"/>
          <w:kern w:val="22"/>
          <w:sz w:val="22"/>
          <w:lang w:val="fr-FR"/>
        </w:rPr>
        <w:t xml:space="preserve"> </w:t>
      </w:r>
      <w:r w:rsidR="00FB033A">
        <w:rPr>
          <w:rFonts w:eastAsia="Times New Roman" w:cs="Times New Roman"/>
          <w:kern w:val="22"/>
          <w:sz w:val="22"/>
          <w:lang w:val="fr-FR"/>
        </w:rPr>
        <w:t>Secrétariat</w:t>
      </w:r>
      <w:r w:rsidR="008533FE" w:rsidRPr="00FB033A">
        <w:rPr>
          <w:rFonts w:eastAsia="Times New Roman" w:cs="Times New Roman"/>
          <w:kern w:val="22"/>
          <w:sz w:val="22"/>
          <w:lang w:val="fr-FR"/>
        </w:rPr>
        <w:t xml:space="preserve">. </w:t>
      </w:r>
    </w:p>
    <w:p w14:paraId="195DBB1C" w14:textId="77777777" w:rsidR="008533FE" w:rsidRPr="00FB033A" w:rsidRDefault="008533FE" w:rsidP="008533FE">
      <w:pPr>
        <w:spacing w:after="120"/>
        <w:jc w:val="center"/>
        <w:rPr>
          <w:rFonts w:eastAsia="Times New Roman" w:cs="Times New Roman"/>
          <w:kern w:val="22"/>
          <w:sz w:val="22"/>
          <w:lang w:val="fr-FR"/>
        </w:rPr>
      </w:pPr>
    </w:p>
    <w:p w14:paraId="6C2C50ED" w14:textId="0BADE499" w:rsidR="008533FE" w:rsidRPr="00FB033A" w:rsidRDefault="00643A7D" w:rsidP="00643A7D">
      <w:pPr>
        <w:spacing w:after="120"/>
        <w:jc w:val="center"/>
        <w:rPr>
          <w:rFonts w:eastAsia="Times New Roman" w:cs="Times New Roman"/>
          <w:kern w:val="22"/>
          <w:sz w:val="22"/>
          <w:lang w:val="fr-FR"/>
        </w:rPr>
      </w:pPr>
      <w:r w:rsidRPr="00FB033A">
        <w:rPr>
          <w:rFonts w:eastAsia="Times New Roman" w:cs="Times New Roman"/>
          <w:kern w:val="22"/>
          <w:sz w:val="22"/>
          <w:lang w:val="fr-FR"/>
        </w:rPr>
        <w:br w:type="page"/>
      </w:r>
    </w:p>
    <w:p w14:paraId="6F8F5C03" w14:textId="78C71451" w:rsidR="0028411F" w:rsidRPr="00D21A8C" w:rsidRDefault="005F1B9B" w:rsidP="005F1B9B">
      <w:pPr>
        <w:pStyle w:val="Heading1"/>
        <w:spacing w:after="240"/>
        <w:rPr>
          <w:sz w:val="22"/>
          <w:szCs w:val="22"/>
          <w:lang w:val="fr-FR"/>
        </w:rPr>
      </w:pPr>
      <w:bookmarkStart w:id="1" w:name="_Toc48914790"/>
      <w:r w:rsidRPr="00D21A8C">
        <w:rPr>
          <w:sz w:val="22"/>
          <w:szCs w:val="22"/>
          <w:lang w:val="fr-FR" w:eastAsia="en-CA"/>
        </w:rPr>
        <w:lastRenderedPageBreak/>
        <w:t>e</w:t>
      </w:r>
      <w:r w:rsidR="00E3674F" w:rsidRPr="00D21A8C">
        <w:rPr>
          <w:sz w:val="22"/>
          <w:szCs w:val="22"/>
          <w:lang w:val="fr-FR" w:eastAsia="en-CA"/>
        </w:rPr>
        <w:t>tude</w:t>
      </w:r>
      <w:r w:rsidR="006271DC" w:rsidRPr="00D21A8C">
        <w:rPr>
          <w:sz w:val="22"/>
          <w:szCs w:val="22"/>
          <w:lang w:val="fr-FR" w:eastAsia="en-CA"/>
        </w:rPr>
        <w:t xml:space="preserve"> </w:t>
      </w:r>
      <w:r w:rsidR="00D8084B" w:rsidRPr="00D21A8C">
        <w:rPr>
          <w:sz w:val="22"/>
          <w:szCs w:val="22"/>
          <w:lang w:val="fr-FR" w:eastAsia="en-CA"/>
        </w:rPr>
        <w:t>visant a</w:t>
      </w:r>
      <w:r w:rsidR="001E6419" w:rsidRPr="00D21A8C">
        <w:rPr>
          <w:sz w:val="22"/>
          <w:szCs w:val="22"/>
          <w:lang w:val="fr-FR" w:eastAsia="en-CA"/>
        </w:rPr>
        <w:t xml:space="preserve"> </w:t>
      </w:r>
      <w:r w:rsidR="00D8084B" w:rsidRPr="00D21A8C">
        <w:rPr>
          <w:sz w:val="22"/>
          <w:szCs w:val="22"/>
          <w:lang w:val="fr-FR" w:eastAsia="en-CA"/>
        </w:rPr>
        <w:t>i</w:t>
      </w:r>
      <w:r w:rsidR="00E3674F" w:rsidRPr="00D21A8C">
        <w:rPr>
          <w:sz w:val="22"/>
          <w:szCs w:val="22"/>
          <w:lang w:val="fr-FR" w:eastAsia="en-CA"/>
        </w:rPr>
        <w:t>dentifier</w:t>
      </w:r>
      <w:r w:rsidR="00910D24" w:rsidRPr="00D21A8C">
        <w:rPr>
          <w:sz w:val="22"/>
          <w:szCs w:val="22"/>
          <w:lang w:val="fr-FR" w:eastAsia="en-CA"/>
        </w:rPr>
        <w:t xml:space="preserve"> </w:t>
      </w:r>
      <w:r w:rsidR="00D8084B" w:rsidRPr="00D21A8C">
        <w:rPr>
          <w:sz w:val="22"/>
          <w:szCs w:val="22"/>
          <w:lang w:val="fr-FR" w:eastAsia="en-CA"/>
        </w:rPr>
        <w:t>d</w:t>
      </w:r>
      <w:r w:rsidR="00E3674F" w:rsidRPr="00D21A8C">
        <w:rPr>
          <w:sz w:val="22"/>
          <w:szCs w:val="22"/>
          <w:lang w:val="fr-FR" w:eastAsia="en-CA"/>
        </w:rPr>
        <w:t>es cas spécifiques</w:t>
      </w:r>
      <w:r w:rsidR="0020703A" w:rsidRPr="00D21A8C">
        <w:rPr>
          <w:sz w:val="22"/>
          <w:szCs w:val="22"/>
          <w:lang w:val="fr-FR" w:eastAsia="en-CA"/>
        </w:rPr>
        <w:t xml:space="preserve"> de</w:t>
      </w:r>
      <w:r w:rsidR="00910D24" w:rsidRPr="00D21A8C">
        <w:rPr>
          <w:sz w:val="22"/>
          <w:szCs w:val="22"/>
          <w:lang w:val="fr-FR" w:eastAsia="en-CA"/>
        </w:rPr>
        <w:t xml:space="preserve"> </w:t>
      </w:r>
      <w:r w:rsidR="00D8084B" w:rsidRPr="00D21A8C">
        <w:rPr>
          <w:sz w:val="22"/>
          <w:szCs w:val="22"/>
          <w:lang w:val="fr-FR" w:eastAsia="en-CA"/>
        </w:rPr>
        <w:t>r</w:t>
      </w:r>
      <w:r w:rsidR="00E3674F" w:rsidRPr="00D21A8C">
        <w:rPr>
          <w:sz w:val="22"/>
          <w:szCs w:val="22"/>
          <w:lang w:val="fr-FR" w:eastAsia="en-CA"/>
        </w:rPr>
        <w:t xml:space="preserve">essources génétiques et </w:t>
      </w:r>
      <w:r w:rsidR="00755B2D" w:rsidRPr="00D21A8C">
        <w:rPr>
          <w:sz w:val="22"/>
          <w:szCs w:val="22"/>
          <w:lang w:val="fr-FR" w:eastAsia="en-CA"/>
        </w:rPr>
        <w:t>de</w:t>
      </w:r>
      <w:r w:rsidR="001E6419" w:rsidRPr="00D21A8C">
        <w:rPr>
          <w:sz w:val="22"/>
          <w:szCs w:val="22"/>
          <w:lang w:val="fr-FR" w:eastAsia="en-CA"/>
        </w:rPr>
        <w:t xml:space="preserve"> </w:t>
      </w:r>
      <w:r w:rsidR="00D8084B" w:rsidRPr="00D21A8C">
        <w:rPr>
          <w:sz w:val="22"/>
          <w:szCs w:val="22"/>
          <w:lang w:val="fr-FR" w:eastAsia="en-CA"/>
        </w:rPr>
        <w:t>c</w:t>
      </w:r>
      <w:r w:rsidR="00E3674F" w:rsidRPr="00D21A8C">
        <w:rPr>
          <w:sz w:val="22"/>
          <w:szCs w:val="22"/>
          <w:lang w:val="fr-FR" w:eastAsia="en-CA"/>
        </w:rPr>
        <w:t>onnaissances traditionnelles</w:t>
      </w:r>
      <w:r w:rsidR="00910D24" w:rsidRPr="00D21A8C">
        <w:rPr>
          <w:sz w:val="22"/>
          <w:szCs w:val="22"/>
          <w:lang w:val="fr-FR" w:eastAsia="en-CA"/>
        </w:rPr>
        <w:t xml:space="preserve"> </w:t>
      </w:r>
      <w:r w:rsidR="00D8084B" w:rsidRPr="00D21A8C">
        <w:rPr>
          <w:sz w:val="22"/>
          <w:szCs w:val="22"/>
          <w:lang w:val="fr-FR" w:eastAsia="en-CA"/>
        </w:rPr>
        <w:t>a</w:t>
      </w:r>
      <w:r w:rsidR="00E3674F" w:rsidRPr="00D21A8C">
        <w:rPr>
          <w:sz w:val="22"/>
          <w:szCs w:val="22"/>
          <w:lang w:val="fr-FR" w:eastAsia="en-CA"/>
        </w:rPr>
        <w:t>ssociées aux</w:t>
      </w:r>
      <w:r w:rsidR="00910D24" w:rsidRPr="00D21A8C">
        <w:rPr>
          <w:sz w:val="22"/>
          <w:szCs w:val="22"/>
          <w:lang w:val="fr-FR" w:eastAsia="en-CA"/>
        </w:rPr>
        <w:t xml:space="preserve"> </w:t>
      </w:r>
      <w:r w:rsidR="00D8084B" w:rsidRPr="00D21A8C">
        <w:rPr>
          <w:sz w:val="22"/>
          <w:szCs w:val="22"/>
          <w:lang w:val="fr-FR" w:eastAsia="en-CA"/>
        </w:rPr>
        <w:t>r</w:t>
      </w:r>
      <w:r w:rsidR="00E3674F" w:rsidRPr="00D21A8C">
        <w:rPr>
          <w:sz w:val="22"/>
          <w:szCs w:val="22"/>
          <w:lang w:val="fr-FR" w:eastAsia="en-CA"/>
        </w:rPr>
        <w:t>essources génétiques</w:t>
      </w:r>
      <w:r w:rsidR="00910D24" w:rsidRPr="00D21A8C">
        <w:rPr>
          <w:sz w:val="22"/>
          <w:szCs w:val="22"/>
          <w:lang w:val="fr-FR" w:eastAsia="en-CA"/>
        </w:rPr>
        <w:t xml:space="preserve"> </w:t>
      </w:r>
      <w:r w:rsidR="00651FB0" w:rsidRPr="00D21A8C">
        <w:rPr>
          <w:sz w:val="22"/>
          <w:szCs w:val="22"/>
          <w:lang w:val="fr-FR" w:eastAsia="en-CA"/>
        </w:rPr>
        <w:t>qui se trouvent</w:t>
      </w:r>
      <w:r w:rsidR="00FB033A" w:rsidRPr="00D21A8C">
        <w:rPr>
          <w:sz w:val="22"/>
          <w:szCs w:val="22"/>
          <w:lang w:val="fr-FR" w:eastAsia="en-CA"/>
        </w:rPr>
        <w:t xml:space="preserve"> dans</w:t>
      </w:r>
      <w:r w:rsidR="00910D24" w:rsidRPr="00D21A8C">
        <w:rPr>
          <w:sz w:val="22"/>
          <w:szCs w:val="22"/>
          <w:lang w:val="fr-FR" w:eastAsia="en-CA"/>
        </w:rPr>
        <w:t xml:space="preserve"> </w:t>
      </w:r>
      <w:r w:rsidR="0020703A" w:rsidRPr="00D21A8C">
        <w:rPr>
          <w:sz w:val="22"/>
          <w:szCs w:val="22"/>
          <w:lang w:val="fr-FR" w:eastAsia="en-CA"/>
        </w:rPr>
        <w:t xml:space="preserve">des </w:t>
      </w:r>
      <w:r w:rsidR="00D8084B" w:rsidRPr="00D21A8C">
        <w:rPr>
          <w:sz w:val="22"/>
          <w:szCs w:val="22"/>
          <w:lang w:val="fr-FR" w:eastAsia="en-CA"/>
        </w:rPr>
        <w:t>s</w:t>
      </w:r>
      <w:r w:rsidR="00E3674F" w:rsidRPr="00D21A8C">
        <w:rPr>
          <w:sz w:val="22"/>
          <w:szCs w:val="22"/>
          <w:lang w:val="fr-FR" w:eastAsia="en-CA"/>
        </w:rPr>
        <w:t>ituations transfrontières</w:t>
      </w:r>
      <w:r w:rsidR="00910D24" w:rsidRPr="00D21A8C">
        <w:rPr>
          <w:sz w:val="22"/>
          <w:szCs w:val="22"/>
          <w:lang w:val="fr-FR" w:eastAsia="en-CA"/>
        </w:rPr>
        <w:t xml:space="preserve"> </w:t>
      </w:r>
      <w:r w:rsidR="0020703A" w:rsidRPr="00D21A8C">
        <w:rPr>
          <w:sz w:val="22"/>
          <w:szCs w:val="22"/>
          <w:lang w:val="fr-FR" w:eastAsia="en-CA"/>
        </w:rPr>
        <w:t>ou pour lesquel</w:t>
      </w:r>
      <w:r w:rsidR="001E6419" w:rsidRPr="00D21A8C">
        <w:rPr>
          <w:sz w:val="22"/>
          <w:szCs w:val="22"/>
          <w:lang w:val="fr-FR" w:eastAsia="en-CA"/>
        </w:rPr>
        <w:t>le</w:t>
      </w:r>
      <w:r w:rsidR="0020703A" w:rsidRPr="00D21A8C">
        <w:rPr>
          <w:sz w:val="22"/>
          <w:szCs w:val="22"/>
          <w:lang w:val="fr-FR" w:eastAsia="en-CA"/>
        </w:rPr>
        <w:t xml:space="preserve">s </w:t>
      </w:r>
      <w:r w:rsidR="007D7761" w:rsidRPr="00D21A8C">
        <w:rPr>
          <w:sz w:val="22"/>
          <w:szCs w:val="22"/>
          <w:lang w:val="fr-FR" w:eastAsia="en-CA"/>
        </w:rPr>
        <w:t>il n’est pas possible</w:t>
      </w:r>
      <w:r w:rsidR="00910D24" w:rsidRPr="00D21A8C">
        <w:rPr>
          <w:sz w:val="22"/>
          <w:szCs w:val="22"/>
          <w:lang w:val="fr-FR" w:eastAsia="en-CA"/>
        </w:rPr>
        <w:t xml:space="preserve"> </w:t>
      </w:r>
      <w:r w:rsidR="00FB033A" w:rsidRPr="00D21A8C">
        <w:rPr>
          <w:sz w:val="22"/>
          <w:szCs w:val="22"/>
          <w:lang w:val="fr-FR" w:eastAsia="en-CA"/>
        </w:rPr>
        <w:t>d’accorder ou d’obtenir un</w:t>
      </w:r>
      <w:r w:rsidR="00910D24" w:rsidRPr="00D21A8C">
        <w:rPr>
          <w:sz w:val="22"/>
          <w:szCs w:val="22"/>
          <w:lang w:val="fr-FR" w:eastAsia="en-CA"/>
        </w:rPr>
        <w:t xml:space="preserve"> </w:t>
      </w:r>
      <w:r w:rsidR="00D8084B" w:rsidRPr="00D21A8C">
        <w:rPr>
          <w:sz w:val="22"/>
          <w:szCs w:val="22"/>
          <w:lang w:val="fr-FR" w:eastAsia="en-CA"/>
        </w:rPr>
        <w:t>c</w:t>
      </w:r>
      <w:r w:rsidR="007D7761" w:rsidRPr="00D21A8C">
        <w:rPr>
          <w:sz w:val="22"/>
          <w:szCs w:val="22"/>
          <w:lang w:val="fr-FR" w:eastAsia="en-CA"/>
        </w:rPr>
        <w:t>onsentement préalable donné en connaissance de cause</w:t>
      </w:r>
      <w:bookmarkEnd w:id="1"/>
    </w:p>
    <w:p w14:paraId="00BD260D" w14:textId="5277BF76" w:rsidR="0028411F" w:rsidRPr="00E3674F" w:rsidRDefault="003B1070" w:rsidP="0028411F">
      <w:pPr>
        <w:rPr>
          <w:rFonts w:cs="Times New Roman"/>
          <w:kern w:val="22"/>
          <w:sz w:val="22"/>
          <w:lang w:val="fr-FR"/>
        </w:rPr>
      </w:pPr>
      <w:r>
        <w:rPr>
          <w:rFonts w:cs="Times New Roman"/>
          <w:kern w:val="22"/>
          <w:sz w:val="22"/>
          <w:lang w:val="fr-FR"/>
        </w:rPr>
        <w:t xml:space="preserve">Comme demandé dans </w:t>
      </w:r>
      <w:r w:rsidR="00E3674F">
        <w:rPr>
          <w:rFonts w:cs="Times New Roman"/>
          <w:kern w:val="22"/>
          <w:sz w:val="22"/>
          <w:lang w:val="fr-FR"/>
        </w:rPr>
        <w:t>la décision</w:t>
      </w:r>
      <w:r w:rsidR="0028411F" w:rsidRPr="00E3674F">
        <w:rPr>
          <w:rFonts w:cs="Times New Roman"/>
          <w:kern w:val="22"/>
          <w:sz w:val="22"/>
          <w:lang w:val="fr-FR"/>
        </w:rPr>
        <w:t xml:space="preserve"> </w:t>
      </w:r>
      <w:r w:rsidR="00552599">
        <w:rPr>
          <w:rFonts w:cs="Times New Roman"/>
          <w:kern w:val="22"/>
          <w:sz w:val="22"/>
          <w:lang w:val="fr-FR"/>
        </w:rPr>
        <w:t>NP</w:t>
      </w:r>
      <w:r w:rsidR="004E54B6" w:rsidRPr="00E3674F">
        <w:rPr>
          <w:rFonts w:cs="Times New Roman"/>
          <w:kern w:val="22"/>
          <w:sz w:val="22"/>
          <w:lang w:val="fr-FR"/>
        </w:rPr>
        <w:t>-</w:t>
      </w:r>
      <w:r w:rsidR="0028411F" w:rsidRPr="00E3674F">
        <w:rPr>
          <w:rFonts w:cs="Times New Roman"/>
          <w:kern w:val="22"/>
          <w:sz w:val="22"/>
          <w:lang w:val="fr-FR"/>
        </w:rPr>
        <w:t>3/13 (</w:t>
      </w:r>
      <w:r w:rsidR="0020703A">
        <w:rPr>
          <w:rFonts w:cs="Times New Roman"/>
          <w:kern w:val="22"/>
          <w:sz w:val="22"/>
          <w:lang w:val="fr-FR"/>
        </w:rPr>
        <w:t>paragraphe 5</w:t>
      </w:r>
      <w:r w:rsidR="0061559A" w:rsidRPr="00E3674F">
        <w:rPr>
          <w:rFonts w:cs="Times New Roman"/>
          <w:kern w:val="22"/>
          <w:sz w:val="22"/>
          <w:lang w:val="fr-FR"/>
        </w:rPr>
        <w:t>a</w:t>
      </w:r>
      <w:r w:rsidR="0028411F" w:rsidRPr="00E3674F">
        <w:rPr>
          <w:rFonts w:cs="Times New Roman"/>
          <w:kern w:val="22"/>
          <w:sz w:val="22"/>
          <w:lang w:val="fr-FR"/>
        </w:rPr>
        <w:t xml:space="preserve">)) </w:t>
      </w:r>
      <w:r w:rsidR="001E6419">
        <w:rPr>
          <w:rFonts w:cs="Times New Roman"/>
          <w:kern w:val="22"/>
          <w:sz w:val="22"/>
          <w:lang w:val="fr-FR"/>
        </w:rPr>
        <w:t>de</w:t>
      </w:r>
      <w:r w:rsidR="0020703A">
        <w:rPr>
          <w:rFonts w:cs="Times New Roman"/>
          <w:kern w:val="22"/>
          <w:sz w:val="22"/>
          <w:lang w:val="fr-FR"/>
        </w:rPr>
        <w:t xml:space="preserve"> la</w:t>
      </w:r>
      <w:r w:rsidR="0028411F" w:rsidRPr="00E3674F">
        <w:rPr>
          <w:rFonts w:cs="Times New Roman"/>
          <w:kern w:val="22"/>
          <w:sz w:val="22"/>
          <w:lang w:val="fr-FR"/>
        </w:rPr>
        <w:t xml:space="preserve"> </w:t>
      </w:r>
      <w:r w:rsidR="00E3674F" w:rsidRPr="00E3674F">
        <w:rPr>
          <w:rFonts w:cs="Times New Roman"/>
          <w:kern w:val="22"/>
          <w:sz w:val="22"/>
          <w:lang w:val="fr-FR"/>
        </w:rPr>
        <w:t>troisième</w:t>
      </w:r>
      <w:r w:rsidR="0028411F" w:rsidRPr="00E3674F">
        <w:rPr>
          <w:rFonts w:cs="Times New Roman"/>
          <w:kern w:val="22"/>
          <w:sz w:val="22"/>
          <w:lang w:val="fr-FR"/>
        </w:rPr>
        <w:t xml:space="preserve"> </w:t>
      </w:r>
      <w:r w:rsidR="00E3674F" w:rsidRPr="00E3674F">
        <w:rPr>
          <w:rFonts w:cs="Times New Roman"/>
          <w:kern w:val="22"/>
          <w:sz w:val="22"/>
          <w:lang w:val="fr-FR"/>
        </w:rPr>
        <w:t>réunion</w:t>
      </w:r>
      <w:r w:rsidR="0028411F" w:rsidRPr="00E3674F">
        <w:rPr>
          <w:rFonts w:cs="Times New Roman"/>
          <w:kern w:val="22"/>
          <w:sz w:val="22"/>
          <w:lang w:val="fr-FR"/>
        </w:rPr>
        <w:t xml:space="preserve"> </w:t>
      </w:r>
      <w:r w:rsidR="0020703A">
        <w:rPr>
          <w:rFonts w:cs="Times New Roman"/>
          <w:kern w:val="22"/>
          <w:sz w:val="22"/>
          <w:lang w:val="fr-FR"/>
        </w:rPr>
        <w:t>de la</w:t>
      </w:r>
      <w:r w:rsidR="00E3674F" w:rsidRPr="00E3674F">
        <w:rPr>
          <w:rFonts w:cs="Times New Roman"/>
          <w:kern w:val="22"/>
          <w:sz w:val="22"/>
          <w:lang w:val="fr-FR"/>
        </w:rPr>
        <w:t xml:space="preserve"> Conférence des Parties</w:t>
      </w:r>
      <w:r w:rsidR="0028411F" w:rsidRPr="00E3674F">
        <w:rPr>
          <w:rFonts w:cs="Times New Roman"/>
          <w:kern w:val="22"/>
          <w:sz w:val="22"/>
          <w:lang w:val="fr-FR"/>
        </w:rPr>
        <w:t xml:space="preserve"> </w:t>
      </w:r>
      <w:r w:rsidR="0020703A">
        <w:rPr>
          <w:rFonts w:cs="Times New Roman"/>
          <w:kern w:val="22"/>
          <w:sz w:val="22"/>
          <w:lang w:val="fr-FR"/>
        </w:rPr>
        <w:t>à la Conv</w:t>
      </w:r>
      <w:r w:rsidR="0028411F" w:rsidRPr="00E3674F">
        <w:rPr>
          <w:rFonts w:cs="Times New Roman"/>
          <w:kern w:val="22"/>
          <w:sz w:val="22"/>
          <w:lang w:val="fr-FR"/>
        </w:rPr>
        <w:t xml:space="preserve">ention </w:t>
      </w:r>
      <w:r w:rsidR="0020703A">
        <w:rPr>
          <w:rFonts w:cs="Times New Roman"/>
          <w:kern w:val="22"/>
          <w:sz w:val="22"/>
          <w:lang w:val="fr-FR"/>
        </w:rPr>
        <w:t>sur la diversité biologique</w:t>
      </w:r>
      <w:r w:rsidR="0028411F" w:rsidRPr="00E3674F">
        <w:rPr>
          <w:rFonts w:cs="Times New Roman"/>
          <w:kern w:val="22"/>
          <w:sz w:val="22"/>
          <w:lang w:val="fr-FR"/>
        </w:rPr>
        <w:t xml:space="preserve"> </w:t>
      </w:r>
      <w:r w:rsidR="00E3674F" w:rsidRPr="00E3674F">
        <w:rPr>
          <w:rFonts w:cs="Times New Roman"/>
          <w:kern w:val="22"/>
          <w:sz w:val="22"/>
          <w:lang w:val="fr-FR"/>
        </w:rPr>
        <w:t>siégeant en tant que réunion des Parties</w:t>
      </w:r>
      <w:r w:rsidR="0028411F" w:rsidRPr="00E3674F">
        <w:rPr>
          <w:rFonts w:cs="Times New Roman"/>
          <w:kern w:val="22"/>
          <w:sz w:val="22"/>
          <w:lang w:val="fr-FR"/>
        </w:rPr>
        <w:t xml:space="preserve"> </w:t>
      </w:r>
      <w:r w:rsidR="00E3674F" w:rsidRPr="00E3674F">
        <w:rPr>
          <w:rFonts w:cs="Times New Roman"/>
          <w:kern w:val="22"/>
          <w:sz w:val="22"/>
          <w:lang w:val="fr-FR"/>
        </w:rPr>
        <w:t>au Protocole de Nagoya</w:t>
      </w:r>
      <w:r w:rsidR="005F1B9B">
        <w:rPr>
          <w:rFonts w:cs="Times New Roman"/>
          <w:kern w:val="22"/>
          <w:sz w:val="22"/>
          <w:lang w:val="fr-FR"/>
        </w:rPr>
        <w:t>.</w:t>
      </w:r>
    </w:p>
    <w:p w14:paraId="505CBCA4" w14:textId="196DC68E" w:rsidR="0028411F" w:rsidRPr="002364AB" w:rsidRDefault="00EC7CA6" w:rsidP="00F43F79">
      <w:pPr>
        <w:jc w:val="center"/>
        <w:rPr>
          <w:rFonts w:cs="Times New Roman"/>
          <w:kern w:val="22"/>
          <w:sz w:val="22"/>
          <w:lang w:val="en-GB"/>
        </w:rPr>
      </w:pPr>
      <w:r w:rsidRPr="002364AB">
        <w:rPr>
          <w:rFonts w:cs="Times New Roman"/>
          <w:kern w:val="22"/>
          <w:sz w:val="22"/>
          <w:lang w:val="en-GB"/>
        </w:rPr>
        <w:t>1</w:t>
      </w:r>
      <w:r w:rsidR="00BF2A7F" w:rsidRPr="002364AB">
        <w:rPr>
          <w:rFonts w:cs="Times New Roman"/>
          <w:kern w:val="22"/>
          <w:sz w:val="22"/>
          <w:lang w:val="en-GB"/>
        </w:rPr>
        <w:t>5</w:t>
      </w:r>
      <w:r w:rsidR="0001332F" w:rsidRPr="002364AB">
        <w:rPr>
          <w:rFonts w:cs="Times New Roman"/>
          <w:kern w:val="22"/>
          <w:sz w:val="22"/>
          <w:lang w:val="en-GB"/>
        </w:rPr>
        <w:t xml:space="preserve"> </w:t>
      </w:r>
      <w:r w:rsidR="0020703A">
        <w:rPr>
          <w:rFonts w:cs="Times New Roman"/>
          <w:kern w:val="22"/>
          <w:sz w:val="22"/>
          <w:lang w:val="en-GB"/>
        </w:rPr>
        <w:t xml:space="preserve">juin </w:t>
      </w:r>
      <w:r w:rsidR="0028411F" w:rsidRPr="002364AB">
        <w:rPr>
          <w:rFonts w:cs="Times New Roman"/>
          <w:kern w:val="22"/>
          <w:sz w:val="22"/>
          <w:lang w:val="en-GB"/>
        </w:rPr>
        <w:t>2020</w:t>
      </w:r>
    </w:p>
    <w:p w14:paraId="70603FF3" w14:textId="7A9248DC" w:rsidR="0028411F" w:rsidRPr="002364AB" w:rsidRDefault="0028411F" w:rsidP="00E600C8">
      <w:pPr>
        <w:jc w:val="center"/>
        <w:rPr>
          <w:rFonts w:cs="Times New Roman"/>
          <w:kern w:val="22"/>
          <w:sz w:val="22"/>
          <w:lang w:val="en-GB"/>
        </w:rPr>
      </w:pPr>
      <w:r w:rsidRPr="002364AB">
        <w:rPr>
          <w:rFonts w:cs="Times New Roman"/>
          <w:kern w:val="22"/>
          <w:sz w:val="22"/>
          <w:lang w:val="en-GB"/>
        </w:rPr>
        <w:t>Margo Bagley</w:t>
      </w:r>
      <w:r w:rsidRPr="002364AB">
        <w:rPr>
          <w:rStyle w:val="FootnoteReference"/>
          <w:kern w:val="22"/>
          <w:sz w:val="22"/>
          <w:lang w:val="en-GB"/>
        </w:rPr>
        <w:footnoteReference w:id="5"/>
      </w:r>
      <w:r w:rsidR="00E3674F">
        <w:rPr>
          <w:rFonts w:cs="Times New Roman"/>
          <w:kern w:val="22"/>
          <w:sz w:val="22"/>
          <w:lang w:val="en-GB"/>
        </w:rPr>
        <w:t xml:space="preserve"> et </w:t>
      </w:r>
      <w:r w:rsidRPr="002364AB">
        <w:rPr>
          <w:rFonts w:cs="Times New Roman"/>
          <w:kern w:val="22"/>
          <w:sz w:val="22"/>
          <w:lang w:val="en-GB"/>
        </w:rPr>
        <w:t>Frederic Perron-Welch</w:t>
      </w:r>
      <w:r w:rsidRPr="002364AB">
        <w:rPr>
          <w:rStyle w:val="FootnoteReference"/>
          <w:kern w:val="22"/>
          <w:sz w:val="22"/>
          <w:lang w:val="en-GB"/>
        </w:rPr>
        <w:footnoteReference w:id="6"/>
      </w:r>
    </w:p>
    <w:p w14:paraId="4711BA5D" w14:textId="01487E20" w:rsidR="00DF5419" w:rsidRPr="00E709D5" w:rsidRDefault="001E7182" w:rsidP="00DF5419">
      <w:pPr>
        <w:pBdr>
          <w:top w:val="single" w:sz="18" w:space="1" w:color="auto"/>
          <w:left w:val="single" w:sz="18" w:space="1" w:color="auto"/>
          <w:bottom w:val="single" w:sz="18" w:space="1" w:color="auto"/>
          <w:right w:val="single" w:sz="18" w:space="1" w:color="auto"/>
          <w:between w:val="nil"/>
        </w:pBdr>
        <w:spacing w:after="120"/>
        <w:jc w:val="center"/>
        <w:rPr>
          <w:rFonts w:eastAsia="Times New Roman" w:cs="Times New Roman"/>
          <w:b/>
          <w:bCs/>
          <w:iCs/>
          <w:kern w:val="22"/>
          <w:sz w:val="22"/>
          <w:lang w:val="fr-FR" w:eastAsia="en-CA"/>
        </w:rPr>
      </w:pPr>
      <w:r w:rsidRPr="00E709D5">
        <w:rPr>
          <w:rFonts w:eastAsia="Times New Roman" w:cs="Times New Roman"/>
          <w:b/>
          <w:bCs/>
          <w:iCs/>
          <w:kern w:val="22"/>
          <w:sz w:val="22"/>
          <w:lang w:val="fr-FR" w:eastAsia="en-CA"/>
        </w:rPr>
        <w:t>Note</w:t>
      </w:r>
      <w:r w:rsidR="001E6419" w:rsidRPr="00E709D5">
        <w:rPr>
          <w:rFonts w:eastAsia="Times New Roman" w:cs="Times New Roman"/>
          <w:b/>
          <w:bCs/>
          <w:iCs/>
          <w:kern w:val="22"/>
          <w:sz w:val="22"/>
          <w:lang w:val="fr-FR" w:eastAsia="en-CA"/>
        </w:rPr>
        <w:t xml:space="preserve"> explicative</w:t>
      </w:r>
    </w:p>
    <w:p w14:paraId="0E274FA4" w14:textId="08616FFD" w:rsidR="00DF5419" w:rsidRPr="00367430" w:rsidRDefault="00367430" w:rsidP="00DF5419">
      <w:pPr>
        <w:pBdr>
          <w:top w:val="single" w:sz="18" w:space="1" w:color="auto"/>
          <w:left w:val="single" w:sz="18" w:space="1" w:color="auto"/>
          <w:bottom w:val="single" w:sz="18" w:space="1" w:color="auto"/>
          <w:right w:val="single" w:sz="18" w:space="1" w:color="auto"/>
          <w:between w:val="nil"/>
        </w:pBdr>
        <w:spacing w:after="120"/>
        <w:rPr>
          <w:rFonts w:eastAsia="Times New Roman" w:cs="Times New Roman"/>
          <w:kern w:val="22"/>
          <w:sz w:val="22"/>
          <w:lang w:val="fr-FR" w:eastAsia="en-CA"/>
        </w:rPr>
      </w:pPr>
      <w:r w:rsidRPr="00367430">
        <w:rPr>
          <w:rFonts w:eastAsia="Times New Roman" w:cs="Times New Roman"/>
          <w:kern w:val="22"/>
          <w:sz w:val="22"/>
          <w:lang w:val="fr-FR" w:eastAsia="en-CA"/>
        </w:rPr>
        <w:t>La présente</w:t>
      </w:r>
      <w:r w:rsidR="00DF5419" w:rsidRPr="00367430">
        <w:rPr>
          <w:rFonts w:eastAsia="Times New Roman" w:cs="Times New Roman"/>
          <w:kern w:val="22"/>
          <w:sz w:val="22"/>
          <w:lang w:val="fr-FR" w:eastAsia="en-CA"/>
        </w:rPr>
        <w:t xml:space="preserve"> </w:t>
      </w:r>
      <w:r w:rsidR="00E3674F" w:rsidRPr="00367430">
        <w:rPr>
          <w:rFonts w:eastAsia="Times New Roman" w:cs="Times New Roman"/>
          <w:kern w:val="22"/>
          <w:sz w:val="22"/>
          <w:lang w:val="fr-FR" w:eastAsia="en-CA"/>
        </w:rPr>
        <w:t>étude</w:t>
      </w:r>
      <w:r w:rsidR="009A60A2">
        <w:rPr>
          <w:rFonts w:eastAsia="Times New Roman" w:cs="Times New Roman"/>
          <w:kern w:val="22"/>
          <w:sz w:val="22"/>
          <w:lang w:val="fr-FR" w:eastAsia="en-CA"/>
        </w:rPr>
        <w:t xml:space="preserve"> retient</w:t>
      </w:r>
      <w:r w:rsidRPr="00367430">
        <w:rPr>
          <w:rFonts w:eastAsia="Times New Roman" w:cs="Times New Roman"/>
          <w:kern w:val="22"/>
          <w:sz w:val="22"/>
          <w:lang w:val="fr-FR" w:eastAsia="en-CA"/>
        </w:rPr>
        <w:t xml:space="preserve"> une</w:t>
      </w:r>
      <w:r w:rsidR="00DF5419" w:rsidRPr="00367430">
        <w:rPr>
          <w:rFonts w:eastAsia="Times New Roman" w:cs="Times New Roman"/>
          <w:kern w:val="22"/>
          <w:sz w:val="22"/>
          <w:lang w:val="fr-FR" w:eastAsia="en-CA"/>
        </w:rPr>
        <w:t xml:space="preserve"> </w:t>
      </w:r>
      <w:r w:rsidR="001A200E" w:rsidRPr="00367430">
        <w:rPr>
          <w:rFonts w:eastAsia="Times New Roman" w:cs="Times New Roman"/>
          <w:kern w:val="22"/>
          <w:sz w:val="22"/>
          <w:lang w:val="fr-FR" w:eastAsia="en-CA"/>
        </w:rPr>
        <w:t>approche inclusive</w:t>
      </w:r>
      <w:r w:rsidR="00DF5419" w:rsidRPr="00367430">
        <w:rPr>
          <w:rFonts w:eastAsia="Times New Roman" w:cs="Times New Roman"/>
          <w:kern w:val="22"/>
          <w:sz w:val="22"/>
          <w:lang w:val="fr-FR" w:eastAsia="en-CA"/>
        </w:rPr>
        <w:t xml:space="preserve"> </w:t>
      </w:r>
      <w:r w:rsidR="009A60A2">
        <w:rPr>
          <w:rFonts w:eastAsia="Times New Roman" w:cs="Times New Roman"/>
          <w:kern w:val="22"/>
          <w:sz w:val="22"/>
          <w:lang w:val="fr-FR" w:eastAsia="en-CA"/>
        </w:rPr>
        <w:t>concernant</w:t>
      </w:r>
      <w:r w:rsidRPr="00367430">
        <w:rPr>
          <w:rFonts w:eastAsia="Times New Roman" w:cs="Times New Roman"/>
          <w:kern w:val="22"/>
          <w:sz w:val="22"/>
          <w:lang w:val="fr-FR" w:eastAsia="en-CA"/>
        </w:rPr>
        <w:t xml:space="preserve"> l’étendue des questions liées à l’</w:t>
      </w:r>
      <w:r w:rsidR="00FD73A5" w:rsidRPr="00367430">
        <w:rPr>
          <w:rFonts w:eastAsia="Times New Roman" w:cs="Times New Roman"/>
          <w:kern w:val="22"/>
          <w:sz w:val="22"/>
          <w:lang w:val="fr-FR" w:eastAsia="en-CA"/>
        </w:rPr>
        <w:t>article</w:t>
      </w:r>
      <w:r w:rsidR="00DF5419" w:rsidRPr="00367430">
        <w:rPr>
          <w:rFonts w:eastAsia="Times New Roman" w:cs="Times New Roman"/>
          <w:kern w:val="22"/>
          <w:sz w:val="22"/>
          <w:lang w:val="fr-FR" w:eastAsia="en-CA"/>
        </w:rPr>
        <w:t xml:space="preserve"> 10</w:t>
      </w:r>
      <w:r w:rsidR="009A60A2">
        <w:rPr>
          <w:rFonts w:eastAsia="Times New Roman" w:cs="Times New Roman"/>
          <w:kern w:val="22"/>
          <w:sz w:val="22"/>
          <w:lang w:val="fr-FR" w:eastAsia="en-CA"/>
        </w:rPr>
        <w:t xml:space="preserve"> du Protocole</w:t>
      </w:r>
      <w:r w:rsidR="00DF5419" w:rsidRPr="00367430">
        <w:rPr>
          <w:rFonts w:eastAsia="Times New Roman" w:cs="Times New Roman"/>
          <w:kern w:val="22"/>
          <w:sz w:val="22"/>
          <w:lang w:val="fr-FR" w:eastAsia="en-CA"/>
        </w:rPr>
        <w:t>,</w:t>
      </w:r>
      <w:r w:rsidR="00D6232E" w:rsidRPr="00367430">
        <w:rPr>
          <w:rFonts w:eastAsia="Times New Roman" w:cs="Times New Roman"/>
          <w:kern w:val="22"/>
          <w:sz w:val="22"/>
          <w:lang w:val="fr-FR" w:eastAsia="en-CA"/>
        </w:rPr>
        <w:t xml:space="preserve"> </w:t>
      </w:r>
      <w:r w:rsidR="009A60A2">
        <w:rPr>
          <w:rFonts w:eastAsia="Times New Roman" w:cs="Times New Roman"/>
          <w:kern w:val="22"/>
          <w:sz w:val="22"/>
          <w:lang w:val="fr-FR" w:eastAsia="en-CA"/>
        </w:rPr>
        <w:t>en vue</w:t>
      </w:r>
      <w:r w:rsidRPr="00367430">
        <w:rPr>
          <w:rFonts w:eastAsia="Times New Roman" w:cs="Times New Roman"/>
          <w:kern w:val="22"/>
          <w:sz w:val="22"/>
          <w:lang w:val="fr-FR" w:eastAsia="en-CA"/>
        </w:rPr>
        <w:t xml:space="preserve"> de fournir des </w:t>
      </w:r>
      <w:r w:rsidR="00DF5419" w:rsidRPr="00367430">
        <w:rPr>
          <w:rFonts w:eastAsia="Times New Roman" w:cs="Times New Roman"/>
          <w:kern w:val="22"/>
          <w:sz w:val="22"/>
          <w:lang w:val="fr-FR" w:eastAsia="en-CA"/>
        </w:rPr>
        <w:t>information</w:t>
      </w:r>
      <w:r>
        <w:rPr>
          <w:rFonts w:eastAsia="Times New Roman" w:cs="Times New Roman"/>
          <w:kern w:val="22"/>
          <w:sz w:val="22"/>
          <w:lang w:val="fr-FR" w:eastAsia="en-CA"/>
        </w:rPr>
        <w:t xml:space="preserve">s sur un large éventail de </w:t>
      </w:r>
      <w:r w:rsidR="00D04EC6" w:rsidRPr="00367430">
        <w:rPr>
          <w:rFonts w:eastAsia="Times New Roman" w:cs="Times New Roman"/>
          <w:kern w:val="22"/>
          <w:sz w:val="22"/>
          <w:lang w:val="fr-FR" w:eastAsia="en-CA"/>
        </w:rPr>
        <w:t>cas</w:t>
      </w:r>
      <w:r w:rsidR="009A60A2">
        <w:rPr>
          <w:rFonts w:eastAsia="Times New Roman" w:cs="Times New Roman"/>
          <w:kern w:val="22"/>
          <w:sz w:val="22"/>
          <w:lang w:val="fr-FR" w:eastAsia="en-CA"/>
        </w:rPr>
        <w:t xml:space="preserve"> possibles pour </w:t>
      </w:r>
      <w:r>
        <w:rPr>
          <w:rFonts w:eastAsia="Times New Roman" w:cs="Times New Roman"/>
          <w:kern w:val="22"/>
          <w:sz w:val="22"/>
          <w:lang w:val="fr-FR" w:eastAsia="en-CA"/>
        </w:rPr>
        <w:t xml:space="preserve">faciliter les débats menés par les </w:t>
      </w:r>
      <w:r w:rsidR="00DF5419" w:rsidRPr="00367430">
        <w:rPr>
          <w:rFonts w:eastAsia="Times New Roman" w:cs="Times New Roman"/>
          <w:kern w:val="22"/>
          <w:sz w:val="22"/>
          <w:lang w:val="fr-FR" w:eastAsia="en-CA"/>
        </w:rPr>
        <w:t xml:space="preserve">Parties. </w:t>
      </w:r>
      <w:r w:rsidRPr="00367430">
        <w:rPr>
          <w:rFonts w:eastAsia="Times New Roman" w:cs="Times New Roman"/>
          <w:kern w:val="22"/>
          <w:sz w:val="22"/>
          <w:lang w:val="fr-FR" w:eastAsia="en-CA"/>
        </w:rPr>
        <w:t>Pour ce faire, les</w:t>
      </w:r>
      <w:r w:rsidR="00DF5419" w:rsidRPr="00367430">
        <w:rPr>
          <w:rFonts w:eastAsia="Times New Roman" w:cs="Times New Roman"/>
          <w:kern w:val="22"/>
          <w:sz w:val="22"/>
          <w:lang w:val="fr-FR" w:eastAsia="en-CA"/>
        </w:rPr>
        <w:t xml:space="preserve"> </w:t>
      </w:r>
      <w:r w:rsidR="00934A20" w:rsidRPr="00367430">
        <w:rPr>
          <w:rFonts w:eastAsia="Times New Roman" w:cs="Times New Roman"/>
          <w:kern w:val="22"/>
          <w:sz w:val="22"/>
          <w:lang w:val="fr-FR" w:eastAsia="en-CA"/>
        </w:rPr>
        <w:t>auteurs</w:t>
      </w:r>
      <w:r w:rsidR="00DF5419" w:rsidRPr="00367430">
        <w:rPr>
          <w:rFonts w:eastAsia="Times New Roman" w:cs="Times New Roman"/>
          <w:kern w:val="22"/>
          <w:sz w:val="22"/>
          <w:lang w:val="fr-FR" w:eastAsia="en-CA"/>
        </w:rPr>
        <w:t xml:space="preserve"> </w:t>
      </w:r>
      <w:r w:rsidRPr="00367430">
        <w:rPr>
          <w:rFonts w:eastAsia="Times New Roman" w:cs="Times New Roman"/>
          <w:kern w:val="22"/>
          <w:sz w:val="22"/>
          <w:lang w:val="fr-FR" w:eastAsia="en-CA"/>
        </w:rPr>
        <w:t xml:space="preserve">ne prennent pas </w:t>
      </w:r>
      <w:r w:rsidR="00DF5419" w:rsidRPr="00367430">
        <w:rPr>
          <w:rFonts w:eastAsia="Times New Roman" w:cs="Times New Roman"/>
          <w:kern w:val="22"/>
          <w:sz w:val="22"/>
          <w:lang w:val="fr-FR" w:eastAsia="en-CA"/>
        </w:rPr>
        <w:t xml:space="preserve">position </w:t>
      </w:r>
      <w:r w:rsidR="009A60A2">
        <w:rPr>
          <w:rFonts w:eastAsia="Times New Roman" w:cs="Times New Roman"/>
          <w:kern w:val="22"/>
          <w:sz w:val="22"/>
          <w:lang w:val="fr-FR" w:eastAsia="en-CA"/>
        </w:rPr>
        <w:t>sur un règlement</w:t>
      </w:r>
      <w:r w:rsidR="00DF5419" w:rsidRPr="00367430">
        <w:rPr>
          <w:rFonts w:eastAsia="Times New Roman" w:cs="Times New Roman"/>
          <w:kern w:val="22"/>
          <w:sz w:val="22"/>
          <w:lang w:val="fr-FR" w:eastAsia="en-CA"/>
        </w:rPr>
        <w:t xml:space="preserve"> </w:t>
      </w:r>
      <w:r w:rsidR="009A60A2">
        <w:rPr>
          <w:rFonts w:eastAsia="Times New Roman" w:cs="Times New Roman"/>
          <w:kern w:val="22"/>
          <w:sz w:val="22"/>
          <w:lang w:val="fr-FR" w:eastAsia="en-CA"/>
        </w:rPr>
        <w:t>définitif des questions liées au</w:t>
      </w:r>
      <w:r>
        <w:rPr>
          <w:rFonts w:eastAsia="Times New Roman" w:cs="Times New Roman"/>
          <w:kern w:val="22"/>
          <w:sz w:val="22"/>
          <w:lang w:val="fr-FR" w:eastAsia="en-CA"/>
        </w:rPr>
        <w:t xml:space="preserve"> </w:t>
      </w:r>
      <w:r w:rsidR="008F38B0" w:rsidRPr="00367430">
        <w:rPr>
          <w:rFonts w:eastAsia="Times New Roman" w:cs="Times New Roman"/>
          <w:kern w:val="22"/>
          <w:sz w:val="22"/>
          <w:lang w:val="fr-FR" w:eastAsia="en-CA"/>
        </w:rPr>
        <w:t>champ d’application</w:t>
      </w:r>
      <w:r w:rsidR="009A60A2">
        <w:rPr>
          <w:rFonts w:eastAsia="Times New Roman" w:cs="Times New Roman"/>
          <w:kern w:val="22"/>
          <w:sz w:val="22"/>
          <w:lang w:val="fr-FR" w:eastAsia="en-CA"/>
        </w:rPr>
        <w:t xml:space="preserve"> de l’article 10, ni sur le caractère approprié</w:t>
      </w:r>
      <w:r>
        <w:rPr>
          <w:rFonts w:eastAsia="Times New Roman" w:cs="Times New Roman"/>
          <w:kern w:val="22"/>
          <w:sz w:val="22"/>
          <w:lang w:val="fr-FR" w:eastAsia="en-CA"/>
        </w:rPr>
        <w:t xml:space="preserve"> ou la nécessité d’un </w:t>
      </w:r>
      <w:r w:rsidR="001A200E" w:rsidRPr="00367430">
        <w:rPr>
          <w:rFonts w:eastAsia="Times New Roman" w:cs="Times New Roman"/>
          <w:kern w:val="22"/>
          <w:sz w:val="22"/>
          <w:lang w:val="fr-FR" w:eastAsia="en-CA"/>
        </w:rPr>
        <w:t>mécanisme multilatéral mondial</w:t>
      </w:r>
      <w:r w:rsidR="00E3674F" w:rsidRPr="00367430">
        <w:rPr>
          <w:rFonts w:eastAsia="Times New Roman" w:cs="Times New Roman"/>
          <w:kern w:val="22"/>
          <w:sz w:val="22"/>
          <w:lang w:val="fr-FR" w:eastAsia="en-CA"/>
        </w:rPr>
        <w:t xml:space="preserve"> de partage des avantages</w:t>
      </w:r>
      <w:r w:rsidR="00DF5419" w:rsidRPr="00367430">
        <w:rPr>
          <w:rFonts w:eastAsia="Times New Roman" w:cs="Times New Roman"/>
          <w:kern w:val="22"/>
          <w:sz w:val="22"/>
          <w:lang w:val="fr-FR" w:eastAsia="en-CA"/>
        </w:rPr>
        <w:t xml:space="preserve"> </w:t>
      </w:r>
      <w:r w:rsidR="009A60A2">
        <w:rPr>
          <w:rFonts w:eastAsia="Times New Roman" w:cs="Times New Roman"/>
          <w:kern w:val="22"/>
          <w:sz w:val="22"/>
          <w:lang w:val="fr-FR" w:eastAsia="en-CA"/>
        </w:rPr>
        <w:t>pour</w:t>
      </w:r>
      <w:r>
        <w:rPr>
          <w:rFonts w:eastAsia="Times New Roman" w:cs="Times New Roman"/>
          <w:kern w:val="22"/>
          <w:sz w:val="22"/>
          <w:lang w:val="fr-FR" w:eastAsia="en-CA"/>
        </w:rPr>
        <w:t xml:space="preserve"> n’importe quel </w:t>
      </w:r>
      <w:r w:rsidR="00D04EC6" w:rsidRPr="00367430">
        <w:rPr>
          <w:rFonts w:eastAsia="Times New Roman" w:cs="Times New Roman"/>
          <w:kern w:val="22"/>
          <w:sz w:val="22"/>
          <w:lang w:val="fr-FR" w:eastAsia="en-CA"/>
        </w:rPr>
        <w:t>cas</w:t>
      </w:r>
      <w:r w:rsidR="009A60A2">
        <w:rPr>
          <w:rFonts w:eastAsia="Times New Roman" w:cs="Times New Roman"/>
          <w:kern w:val="22"/>
          <w:sz w:val="22"/>
          <w:lang w:val="fr-FR" w:eastAsia="en-CA"/>
        </w:rPr>
        <w:t xml:space="preserve"> décrit dans la présente </w:t>
      </w:r>
      <w:r>
        <w:rPr>
          <w:rFonts w:eastAsia="Times New Roman" w:cs="Times New Roman"/>
          <w:kern w:val="22"/>
          <w:sz w:val="22"/>
          <w:lang w:val="fr-FR" w:eastAsia="en-CA"/>
        </w:rPr>
        <w:t>étude</w:t>
      </w:r>
      <w:r w:rsidR="00DF5419" w:rsidRPr="00367430">
        <w:rPr>
          <w:rFonts w:eastAsia="Times New Roman" w:cs="Times New Roman"/>
          <w:kern w:val="22"/>
          <w:sz w:val="22"/>
          <w:lang w:val="fr-FR" w:eastAsia="en-CA"/>
        </w:rPr>
        <w:t xml:space="preserve">. </w:t>
      </w:r>
      <w:r w:rsidRPr="00367430">
        <w:rPr>
          <w:rFonts w:eastAsia="Times New Roman" w:cs="Times New Roman"/>
          <w:kern w:val="22"/>
          <w:sz w:val="22"/>
          <w:lang w:val="fr-FR" w:eastAsia="en-CA"/>
        </w:rPr>
        <w:t>Celle-ci ne cherche pas à favoriser</w:t>
      </w:r>
      <w:r w:rsidR="009A60A2">
        <w:rPr>
          <w:rFonts w:eastAsia="Times New Roman" w:cs="Times New Roman"/>
          <w:kern w:val="22"/>
          <w:sz w:val="22"/>
          <w:lang w:val="fr-FR" w:eastAsia="en-CA"/>
        </w:rPr>
        <w:t xml:space="preserve"> un point de vue particulier et ne vise</w:t>
      </w:r>
      <w:r>
        <w:rPr>
          <w:rFonts w:eastAsia="Times New Roman" w:cs="Times New Roman"/>
          <w:kern w:val="22"/>
          <w:sz w:val="22"/>
          <w:lang w:val="fr-FR" w:eastAsia="en-CA"/>
        </w:rPr>
        <w:t xml:space="preserve"> pas non plus à remettre en cause l’</w:t>
      </w:r>
      <w:r w:rsidR="001A200E" w:rsidRPr="00367430">
        <w:rPr>
          <w:rFonts w:eastAsia="Times New Roman" w:cs="Times New Roman"/>
          <w:kern w:val="22"/>
          <w:sz w:val="22"/>
          <w:lang w:val="fr-FR" w:eastAsia="en-CA"/>
        </w:rPr>
        <w:t>approche bilatérale</w:t>
      </w:r>
      <w:r w:rsidR="00DF5419" w:rsidRPr="00367430">
        <w:rPr>
          <w:rFonts w:eastAsia="Times New Roman" w:cs="Times New Roman"/>
          <w:kern w:val="22"/>
          <w:sz w:val="22"/>
          <w:lang w:val="fr-FR" w:eastAsia="en-CA"/>
        </w:rPr>
        <w:t xml:space="preserve"> </w:t>
      </w:r>
      <w:r>
        <w:rPr>
          <w:rFonts w:eastAsia="Times New Roman" w:cs="Times New Roman"/>
          <w:kern w:val="22"/>
          <w:sz w:val="22"/>
          <w:lang w:val="fr-FR" w:eastAsia="en-CA"/>
        </w:rPr>
        <w:t xml:space="preserve">sur laquelle se fondent la </w:t>
      </w:r>
      <w:r w:rsidR="00DF5419" w:rsidRPr="00367430">
        <w:rPr>
          <w:rFonts w:eastAsia="Times New Roman" w:cs="Times New Roman"/>
          <w:kern w:val="22"/>
          <w:sz w:val="22"/>
          <w:lang w:val="fr-FR" w:eastAsia="en-CA"/>
        </w:rPr>
        <w:t>C</w:t>
      </w:r>
      <w:r w:rsidR="00144BBF" w:rsidRPr="00367430">
        <w:rPr>
          <w:rFonts w:eastAsia="Times New Roman" w:cs="Times New Roman"/>
          <w:kern w:val="22"/>
          <w:sz w:val="22"/>
          <w:lang w:val="fr-FR" w:eastAsia="en-CA"/>
        </w:rPr>
        <w:t xml:space="preserve">onvention </w:t>
      </w:r>
      <w:r w:rsidR="0020703A" w:rsidRPr="00367430">
        <w:rPr>
          <w:rFonts w:eastAsia="Times New Roman" w:cs="Times New Roman"/>
          <w:kern w:val="22"/>
          <w:sz w:val="22"/>
          <w:lang w:val="fr-FR" w:eastAsia="en-CA"/>
        </w:rPr>
        <w:t>sur la diversité biologique</w:t>
      </w:r>
      <w:r w:rsidR="00E3674F" w:rsidRPr="00367430">
        <w:rPr>
          <w:rFonts w:eastAsia="Times New Roman" w:cs="Times New Roman"/>
          <w:kern w:val="22"/>
          <w:sz w:val="22"/>
          <w:lang w:val="fr-FR" w:eastAsia="en-CA"/>
        </w:rPr>
        <w:t xml:space="preserve"> et </w:t>
      </w:r>
      <w:r>
        <w:rPr>
          <w:rFonts w:eastAsia="Times New Roman" w:cs="Times New Roman"/>
          <w:kern w:val="22"/>
          <w:sz w:val="22"/>
          <w:lang w:val="fr-FR" w:eastAsia="en-CA"/>
        </w:rPr>
        <w:t>l</w:t>
      </w:r>
      <w:r w:rsidR="00E3674F" w:rsidRPr="00367430">
        <w:rPr>
          <w:rFonts w:eastAsia="Times New Roman" w:cs="Times New Roman"/>
          <w:kern w:val="22"/>
          <w:sz w:val="22"/>
          <w:lang w:val="fr-FR" w:eastAsia="en-CA"/>
        </w:rPr>
        <w:t>e Protocole de Nagoya</w:t>
      </w:r>
      <w:r w:rsidR="00DF5419" w:rsidRPr="00367430">
        <w:rPr>
          <w:rFonts w:eastAsia="Times New Roman" w:cs="Times New Roman"/>
          <w:kern w:val="22"/>
          <w:sz w:val="22"/>
          <w:lang w:val="fr-FR" w:eastAsia="en-CA"/>
        </w:rPr>
        <w:t>.</w:t>
      </w:r>
    </w:p>
    <w:p w14:paraId="1526EF7E" w14:textId="1B0602AF" w:rsidR="00DF5419" w:rsidRPr="008735FC" w:rsidRDefault="00367430" w:rsidP="00DF5419">
      <w:pPr>
        <w:pBdr>
          <w:top w:val="single" w:sz="18" w:space="1" w:color="auto"/>
          <w:left w:val="single" w:sz="18" w:space="1" w:color="auto"/>
          <w:bottom w:val="single" w:sz="18" w:space="1" w:color="auto"/>
          <w:right w:val="single" w:sz="18" w:space="1" w:color="auto"/>
          <w:between w:val="nil"/>
        </w:pBdr>
        <w:spacing w:after="120"/>
        <w:rPr>
          <w:rFonts w:eastAsia="Times New Roman" w:cs="Times New Roman"/>
          <w:kern w:val="22"/>
          <w:sz w:val="22"/>
          <w:lang w:val="fr-FR" w:eastAsia="en-CA"/>
        </w:rPr>
      </w:pPr>
      <w:r>
        <w:rPr>
          <w:rFonts w:eastAsia="Times New Roman" w:cs="Times New Roman"/>
          <w:kern w:val="22"/>
          <w:sz w:val="22"/>
          <w:lang w:val="fr-FR" w:eastAsia="en-CA"/>
        </w:rPr>
        <w:t xml:space="preserve">Les auteurs reconnaissent que les </w:t>
      </w:r>
      <w:r w:rsidR="00DF5419" w:rsidRPr="000D5072">
        <w:rPr>
          <w:rFonts w:eastAsia="Times New Roman" w:cs="Times New Roman"/>
          <w:kern w:val="22"/>
          <w:sz w:val="22"/>
          <w:lang w:val="fr-FR" w:eastAsia="en-CA"/>
        </w:rPr>
        <w:t xml:space="preserve">Parties </w:t>
      </w:r>
      <w:r>
        <w:rPr>
          <w:rFonts w:eastAsia="Times New Roman" w:cs="Times New Roman"/>
          <w:kern w:val="22"/>
          <w:sz w:val="22"/>
          <w:lang w:val="fr-FR" w:eastAsia="en-CA"/>
        </w:rPr>
        <w:t>ont des points de vue divergents sur différentes</w:t>
      </w:r>
      <w:r w:rsidR="00DF5419" w:rsidRPr="000D5072">
        <w:rPr>
          <w:rFonts w:eastAsia="Times New Roman" w:cs="Times New Roman"/>
          <w:kern w:val="22"/>
          <w:sz w:val="22"/>
          <w:lang w:val="fr-FR" w:eastAsia="en-CA"/>
        </w:rPr>
        <w:t xml:space="preserve"> </w:t>
      </w:r>
      <w:r>
        <w:rPr>
          <w:rFonts w:eastAsia="Times New Roman" w:cs="Times New Roman"/>
          <w:kern w:val="22"/>
          <w:sz w:val="22"/>
          <w:lang w:val="fr-FR" w:eastAsia="en-CA"/>
        </w:rPr>
        <w:t>question</w:t>
      </w:r>
      <w:r w:rsidR="00DF5419" w:rsidRPr="000D5072">
        <w:rPr>
          <w:rFonts w:eastAsia="Times New Roman" w:cs="Times New Roman"/>
          <w:kern w:val="22"/>
          <w:sz w:val="22"/>
          <w:lang w:val="fr-FR" w:eastAsia="en-CA"/>
        </w:rPr>
        <w:t>s</w:t>
      </w:r>
      <w:r w:rsidR="00144BBF" w:rsidRPr="000D5072">
        <w:rPr>
          <w:rFonts w:eastAsia="Times New Roman" w:cs="Times New Roman"/>
          <w:kern w:val="22"/>
          <w:sz w:val="22"/>
          <w:lang w:val="fr-FR" w:eastAsia="en-CA"/>
        </w:rPr>
        <w:t>,</w:t>
      </w:r>
      <w:r w:rsidR="009A60A2">
        <w:rPr>
          <w:rFonts w:eastAsia="Times New Roman" w:cs="Times New Roman"/>
          <w:kern w:val="22"/>
          <w:sz w:val="22"/>
          <w:lang w:val="fr-FR" w:eastAsia="en-CA"/>
        </w:rPr>
        <w:t xml:space="preserve"> telles que</w:t>
      </w:r>
      <w:r>
        <w:rPr>
          <w:rFonts w:eastAsia="Times New Roman" w:cs="Times New Roman"/>
          <w:kern w:val="22"/>
          <w:sz w:val="22"/>
          <w:lang w:val="fr-FR" w:eastAsia="en-CA"/>
        </w:rPr>
        <w:t xml:space="preserve"> le</w:t>
      </w:r>
      <w:r w:rsidR="00DF5419" w:rsidRPr="000D5072">
        <w:rPr>
          <w:rFonts w:eastAsia="Times New Roman" w:cs="Times New Roman"/>
          <w:kern w:val="22"/>
          <w:sz w:val="22"/>
          <w:lang w:val="fr-FR" w:eastAsia="en-CA"/>
        </w:rPr>
        <w:t xml:space="preserve"> </w:t>
      </w:r>
      <w:r w:rsidR="008F38B0">
        <w:rPr>
          <w:rFonts w:eastAsia="Times New Roman" w:cs="Times New Roman"/>
          <w:kern w:val="22"/>
          <w:sz w:val="22"/>
          <w:lang w:val="fr-FR" w:eastAsia="en-CA"/>
        </w:rPr>
        <w:t xml:space="preserve">champ d’application </w:t>
      </w:r>
      <w:r>
        <w:rPr>
          <w:rFonts w:eastAsia="Times New Roman" w:cs="Times New Roman"/>
          <w:kern w:val="22"/>
          <w:sz w:val="22"/>
          <w:lang w:val="fr-FR" w:eastAsia="en-CA"/>
        </w:rPr>
        <w:t xml:space="preserve">de l’article 10 </w:t>
      </w:r>
      <w:r w:rsidR="008F38B0">
        <w:rPr>
          <w:rFonts w:eastAsia="Times New Roman" w:cs="Times New Roman"/>
          <w:kern w:val="22"/>
          <w:sz w:val="22"/>
          <w:lang w:val="fr-FR" w:eastAsia="en-CA"/>
        </w:rPr>
        <w:t>dans le temps</w:t>
      </w:r>
      <w:r w:rsidR="00DF5419" w:rsidRPr="000D5072">
        <w:rPr>
          <w:rFonts w:eastAsia="Times New Roman" w:cs="Times New Roman"/>
          <w:kern w:val="22"/>
          <w:sz w:val="22"/>
          <w:lang w:val="fr-FR" w:eastAsia="en-CA"/>
        </w:rPr>
        <w:t xml:space="preserve"> (</w:t>
      </w:r>
      <w:r w:rsidR="009A60A2">
        <w:rPr>
          <w:rFonts w:eastAsia="Times New Roman" w:cs="Times New Roman"/>
          <w:kern w:val="22"/>
          <w:sz w:val="22"/>
          <w:lang w:val="fr-FR" w:eastAsia="en-CA"/>
        </w:rPr>
        <w:t xml:space="preserve">s’applique-t-il par exemple </w:t>
      </w:r>
      <w:r>
        <w:rPr>
          <w:rFonts w:eastAsia="Times New Roman" w:cs="Times New Roman"/>
          <w:kern w:val="22"/>
          <w:sz w:val="22"/>
          <w:lang w:val="fr-FR" w:eastAsia="en-CA"/>
        </w:rPr>
        <w:t>aux</w:t>
      </w:r>
      <w:r w:rsidR="00DF5419" w:rsidRPr="000D5072">
        <w:rPr>
          <w:rFonts w:eastAsia="Times New Roman" w:cs="Times New Roman"/>
          <w:kern w:val="22"/>
          <w:sz w:val="22"/>
          <w:lang w:val="fr-FR" w:eastAsia="en-CA"/>
        </w:rPr>
        <w:t xml:space="preserve"> </w:t>
      </w:r>
      <w:r w:rsidR="00E3674F" w:rsidRPr="000D5072">
        <w:rPr>
          <w:rFonts w:eastAsia="Times New Roman" w:cs="Times New Roman"/>
          <w:kern w:val="22"/>
          <w:sz w:val="22"/>
          <w:lang w:val="fr-FR" w:eastAsia="en-CA"/>
        </w:rPr>
        <w:t xml:space="preserve">ressources génétiques et </w:t>
      </w:r>
      <w:r w:rsidR="009A60A2">
        <w:rPr>
          <w:rFonts w:eastAsia="Times New Roman" w:cs="Times New Roman"/>
          <w:kern w:val="22"/>
          <w:sz w:val="22"/>
          <w:lang w:val="fr-FR" w:eastAsia="en-CA"/>
        </w:rPr>
        <w:t xml:space="preserve">aux </w:t>
      </w:r>
      <w:r w:rsidR="00E3674F" w:rsidRPr="000D5072">
        <w:rPr>
          <w:rFonts w:eastAsia="Times New Roman" w:cs="Times New Roman"/>
          <w:kern w:val="22"/>
          <w:sz w:val="22"/>
          <w:lang w:val="fr-FR" w:eastAsia="en-CA"/>
        </w:rPr>
        <w:t>connaissances traditionnelles</w:t>
      </w:r>
      <w:r w:rsidR="00DF5419" w:rsidRPr="000D5072">
        <w:rPr>
          <w:rFonts w:eastAsia="Times New Roman" w:cs="Times New Roman"/>
          <w:kern w:val="22"/>
          <w:sz w:val="22"/>
          <w:lang w:val="fr-FR" w:eastAsia="en-CA"/>
        </w:rPr>
        <w:t xml:space="preserve"> </w:t>
      </w:r>
      <w:r w:rsidR="00E3674F" w:rsidRPr="000D5072">
        <w:rPr>
          <w:rFonts w:eastAsia="Times New Roman" w:cs="Times New Roman"/>
          <w:kern w:val="22"/>
          <w:sz w:val="22"/>
          <w:lang w:val="fr-FR" w:eastAsia="en-CA"/>
        </w:rPr>
        <w:t>associées aux</w:t>
      </w:r>
      <w:r w:rsidR="00DF5419" w:rsidRPr="000D5072">
        <w:rPr>
          <w:rFonts w:eastAsia="Times New Roman" w:cs="Times New Roman"/>
          <w:kern w:val="22"/>
          <w:sz w:val="22"/>
          <w:lang w:val="fr-FR" w:eastAsia="en-CA"/>
        </w:rPr>
        <w:t xml:space="preserve"> </w:t>
      </w:r>
      <w:r w:rsidR="00E3674F" w:rsidRPr="000D5072">
        <w:rPr>
          <w:rFonts w:eastAsia="Times New Roman" w:cs="Times New Roman"/>
          <w:kern w:val="22"/>
          <w:sz w:val="22"/>
          <w:lang w:val="fr-FR" w:eastAsia="en-CA"/>
        </w:rPr>
        <w:t>ressources génétiques</w:t>
      </w:r>
      <w:r>
        <w:rPr>
          <w:rFonts w:eastAsia="Times New Roman" w:cs="Times New Roman"/>
          <w:kern w:val="22"/>
          <w:sz w:val="22"/>
          <w:lang w:val="fr-FR" w:eastAsia="en-CA"/>
        </w:rPr>
        <w:t xml:space="preserve"> do</w:t>
      </w:r>
      <w:r w:rsidR="009A60A2">
        <w:rPr>
          <w:rFonts w:eastAsia="Times New Roman" w:cs="Times New Roman"/>
          <w:kern w:val="22"/>
          <w:sz w:val="22"/>
          <w:lang w:val="fr-FR" w:eastAsia="en-CA"/>
        </w:rPr>
        <w:t>nt l’accès physique a été réalisé</w:t>
      </w:r>
      <w:r>
        <w:rPr>
          <w:rFonts w:eastAsia="Times New Roman" w:cs="Times New Roman"/>
          <w:kern w:val="22"/>
          <w:sz w:val="22"/>
          <w:lang w:val="fr-FR" w:eastAsia="en-CA"/>
        </w:rPr>
        <w:t xml:space="preserve"> avant </w:t>
      </w:r>
      <w:r w:rsidR="00202126" w:rsidRPr="000D5072">
        <w:rPr>
          <w:rFonts w:eastAsia="Times New Roman" w:cs="Times New Roman"/>
          <w:kern w:val="22"/>
          <w:sz w:val="22"/>
          <w:lang w:val="fr-FR" w:eastAsia="en-CA"/>
        </w:rPr>
        <w:t>l’entrée en vigueur</w:t>
      </w:r>
      <w:r w:rsidR="009A60A2">
        <w:rPr>
          <w:rFonts w:eastAsia="Times New Roman" w:cs="Times New Roman"/>
          <w:kern w:val="22"/>
          <w:sz w:val="22"/>
          <w:lang w:val="fr-FR" w:eastAsia="en-CA"/>
        </w:rPr>
        <w:t xml:space="preserve"> du Protocole</w:t>
      </w:r>
      <w:r>
        <w:rPr>
          <w:rFonts w:eastAsia="Times New Roman" w:cs="Times New Roman"/>
          <w:kern w:val="22"/>
          <w:sz w:val="22"/>
          <w:lang w:val="fr-FR" w:eastAsia="en-CA"/>
        </w:rPr>
        <w:t>, mais qui font l’objet d’une</w:t>
      </w:r>
      <w:r w:rsidR="00DF5419" w:rsidRPr="000D5072">
        <w:rPr>
          <w:rFonts w:eastAsia="Times New Roman" w:cs="Times New Roman"/>
          <w:kern w:val="22"/>
          <w:sz w:val="22"/>
          <w:lang w:val="fr-FR" w:eastAsia="en-CA"/>
        </w:rPr>
        <w:t xml:space="preserve"> </w:t>
      </w:r>
      <w:r>
        <w:rPr>
          <w:rFonts w:eastAsia="Times New Roman" w:cs="Times New Roman"/>
          <w:kern w:val="22"/>
          <w:sz w:val="22"/>
          <w:lang w:val="fr-FR" w:eastAsia="en-CA"/>
        </w:rPr>
        <w:t>nouvelle utilisation</w:t>
      </w:r>
      <w:r w:rsidR="009A60A2">
        <w:rPr>
          <w:rFonts w:eastAsia="Times New Roman" w:cs="Times New Roman"/>
          <w:kern w:val="22"/>
          <w:sz w:val="22"/>
          <w:lang w:val="fr-FR" w:eastAsia="en-CA"/>
        </w:rPr>
        <w:t> ?</w:t>
      </w:r>
      <w:r w:rsidR="00DF5419" w:rsidRPr="000D5072">
        <w:rPr>
          <w:rFonts w:eastAsia="Times New Roman" w:cs="Times New Roman"/>
          <w:kern w:val="22"/>
          <w:sz w:val="22"/>
          <w:lang w:val="fr-FR" w:eastAsia="en-CA"/>
        </w:rPr>
        <w:t>)</w:t>
      </w:r>
      <w:r w:rsidR="00144BBF" w:rsidRPr="000D5072">
        <w:rPr>
          <w:rFonts w:eastAsia="Times New Roman" w:cs="Times New Roman"/>
          <w:kern w:val="22"/>
          <w:sz w:val="22"/>
          <w:lang w:val="fr-FR" w:eastAsia="en-CA"/>
        </w:rPr>
        <w:t>,</w:t>
      </w:r>
      <w:r w:rsidR="009A60A2">
        <w:rPr>
          <w:rFonts w:eastAsia="Times New Roman" w:cs="Times New Roman"/>
          <w:kern w:val="22"/>
          <w:sz w:val="22"/>
          <w:lang w:val="fr-FR" w:eastAsia="en-CA"/>
        </w:rPr>
        <w:t xml:space="preserve"> ou</w:t>
      </w:r>
      <w:r w:rsidR="00E3674F" w:rsidRPr="000D5072">
        <w:rPr>
          <w:rFonts w:eastAsia="Times New Roman" w:cs="Times New Roman"/>
          <w:kern w:val="22"/>
          <w:sz w:val="22"/>
          <w:lang w:val="fr-FR" w:eastAsia="en-CA"/>
        </w:rPr>
        <w:t xml:space="preserve"> </w:t>
      </w:r>
      <w:r>
        <w:rPr>
          <w:rFonts w:eastAsia="Times New Roman" w:cs="Times New Roman"/>
          <w:kern w:val="22"/>
          <w:sz w:val="22"/>
          <w:lang w:val="fr-FR" w:eastAsia="en-CA"/>
        </w:rPr>
        <w:t xml:space="preserve">le </w:t>
      </w:r>
      <w:r w:rsidR="008F38B0">
        <w:rPr>
          <w:rFonts w:eastAsia="Times New Roman" w:cs="Times New Roman"/>
          <w:kern w:val="22"/>
          <w:sz w:val="22"/>
          <w:lang w:val="fr-FR" w:eastAsia="en-CA"/>
        </w:rPr>
        <w:t>champ d’application</w:t>
      </w:r>
      <w:r w:rsidR="00DF5419" w:rsidRPr="000D5072">
        <w:rPr>
          <w:rFonts w:eastAsia="Times New Roman" w:cs="Times New Roman"/>
          <w:kern w:val="22"/>
          <w:sz w:val="22"/>
          <w:lang w:val="fr-FR" w:eastAsia="en-CA"/>
        </w:rPr>
        <w:t xml:space="preserve"> </w:t>
      </w:r>
      <w:r w:rsidR="009A60A2">
        <w:rPr>
          <w:rFonts w:eastAsia="Times New Roman" w:cs="Times New Roman"/>
          <w:kern w:val="22"/>
          <w:sz w:val="22"/>
          <w:lang w:val="fr-FR" w:eastAsia="en-CA"/>
        </w:rPr>
        <w:t>des dispositions</w:t>
      </w:r>
      <w:r>
        <w:rPr>
          <w:rFonts w:eastAsia="Times New Roman" w:cs="Times New Roman"/>
          <w:kern w:val="22"/>
          <w:sz w:val="22"/>
          <w:lang w:val="fr-FR" w:eastAsia="en-CA"/>
        </w:rPr>
        <w:t xml:space="preserve"> de l’article 10 </w:t>
      </w:r>
      <w:r w:rsidR="00DF5419" w:rsidRPr="000D5072">
        <w:rPr>
          <w:rFonts w:eastAsia="Times New Roman" w:cs="Times New Roman"/>
          <w:kern w:val="22"/>
          <w:sz w:val="22"/>
          <w:lang w:val="fr-FR" w:eastAsia="en-CA"/>
        </w:rPr>
        <w:t>(</w:t>
      </w:r>
      <w:r w:rsidR="009A60A2">
        <w:rPr>
          <w:rFonts w:eastAsia="Times New Roman" w:cs="Times New Roman"/>
          <w:kern w:val="22"/>
          <w:sz w:val="22"/>
          <w:lang w:val="fr-FR" w:eastAsia="en-CA"/>
        </w:rPr>
        <w:t>s’applique-t-il</w:t>
      </w:r>
      <w:r>
        <w:rPr>
          <w:rFonts w:eastAsia="Times New Roman" w:cs="Times New Roman"/>
          <w:kern w:val="22"/>
          <w:sz w:val="22"/>
          <w:lang w:val="fr-FR" w:eastAsia="en-CA"/>
        </w:rPr>
        <w:t xml:space="preserve"> </w:t>
      </w:r>
      <w:r w:rsidR="000D5072" w:rsidRPr="000D5072">
        <w:rPr>
          <w:rFonts w:eastAsia="Times New Roman" w:cs="Times New Roman"/>
          <w:kern w:val="22"/>
          <w:sz w:val="22"/>
          <w:lang w:val="fr-FR" w:eastAsia="en-CA"/>
        </w:rPr>
        <w:t>par exemple</w:t>
      </w:r>
      <w:r w:rsidR="009A60A2">
        <w:rPr>
          <w:rFonts w:eastAsia="Times New Roman" w:cs="Times New Roman"/>
          <w:kern w:val="22"/>
          <w:sz w:val="22"/>
          <w:lang w:val="fr-FR" w:eastAsia="en-CA"/>
        </w:rPr>
        <w:t xml:space="preserve"> à</w:t>
      </w:r>
      <w:r>
        <w:rPr>
          <w:rFonts w:eastAsia="Times New Roman" w:cs="Times New Roman"/>
          <w:kern w:val="22"/>
          <w:sz w:val="22"/>
          <w:lang w:val="fr-FR" w:eastAsia="en-CA"/>
        </w:rPr>
        <w:t xml:space="preserve"> </w:t>
      </w:r>
      <w:r w:rsidR="00952746" w:rsidRPr="000D5072">
        <w:rPr>
          <w:rFonts w:eastAsia="Times New Roman" w:cs="Times New Roman"/>
          <w:kern w:val="22"/>
          <w:sz w:val="22"/>
          <w:lang w:val="fr-FR" w:eastAsia="en-CA"/>
        </w:rPr>
        <w:t>‘</w:t>
      </w:r>
      <w:r w:rsidR="00BC5F0A">
        <w:rPr>
          <w:rFonts w:eastAsia="Times New Roman" w:cs="Times New Roman"/>
          <w:kern w:val="22"/>
          <w:sz w:val="22"/>
          <w:lang w:val="fr-FR" w:eastAsia="en-CA"/>
        </w:rPr>
        <w:t>l’information de séquençage</w:t>
      </w:r>
      <w:r w:rsidR="00142D5A">
        <w:rPr>
          <w:rFonts w:eastAsia="Times New Roman" w:cs="Times New Roman"/>
          <w:kern w:val="22"/>
          <w:sz w:val="22"/>
          <w:lang w:val="fr-FR" w:eastAsia="en-CA"/>
        </w:rPr>
        <w:t xml:space="preserve"> numérique</w:t>
      </w:r>
      <w:r w:rsidR="00952746" w:rsidRPr="000D5072">
        <w:rPr>
          <w:rFonts w:eastAsia="Times New Roman" w:cs="Times New Roman"/>
          <w:kern w:val="22"/>
          <w:sz w:val="22"/>
          <w:lang w:val="fr-FR" w:eastAsia="en-CA"/>
        </w:rPr>
        <w:t>’</w:t>
      </w:r>
      <w:r w:rsidR="009D00A7" w:rsidRPr="000D5072">
        <w:rPr>
          <w:rFonts w:eastAsia="Times New Roman" w:cs="Times New Roman"/>
          <w:kern w:val="22"/>
          <w:sz w:val="22"/>
          <w:lang w:val="fr-FR" w:eastAsia="en-CA"/>
        </w:rPr>
        <w:t xml:space="preserve">, </w:t>
      </w:r>
      <w:r w:rsidR="009A60A2">
        <w:rPr>
          <w:rFonts w:eastAsia="Times New Roman" w:cs="Times New Roman"/>
          <w:kern w:val="22"/>
          <w:sz w:val="22"/>
          <w:lang w:val="fr-FR" w:eastAsia="en-CA"/>
        </w:rPr>
        <w:t>aux</w:t>
      </w:r>
      <w:r>
        <w:rPr>
          <w:rFonts w:eastAsia="Times New Roman" w:cs="Times New Roman"/>
          <w:kern w:val="22"/>
          <w:sz w:val="22"/>
          <w:lang w:val="fr-FR" w:eastAsia="en-CA"/>
        </w:rPr>
        <w:t xml:space="preserve"> </w:t>
      </w:r>
      <w:r w:rsidR="00FC7EA5" w:rsidRPr="00D8084B">
        <w:rPr>
          <w:rFonts w:eastAsia="Times New Roman" w:cs="Times New Roman"/>
          <w:kern w:val="22"/>
          <w:sz w:val="22"/>
          <w:lang w:val="fr-FR" w:eastAsia="en-CA"/>
        </w:rPr>
        <w:t>collections</w:t>
      </w:r>
      <w:r w:rsidR="00FC7EA5" w:rsidRPr="000D5072">
        <w:rPr>
          <w:rFonts w:eastAsia="Times New Roman" w:cs="Times New Roman"/>
          <w:i/>
          <w:kern w:val="22"/>
          <w:sz w:val="22"/>
          <w:lang w:val="fr-FR" w:eastAsia="en-CA"/>
        </w:rPr>
        <w:t xml:space="preserve"> ex situ</w:t>
      </w:r>
      <w:r w:rsidR="009A60A2">
        <w:rPr>
          <w:rFonts w:eastAsia="Times New Roman" w:cs="Times New Roman"/>
          <w:kern w:val="22"/>
          <w:sz w:val="22"/>
          <w:lang w:val="fr-FR" w:eastAsia="en-CA"/>
        </w:rPr>
        <w:t>, ou aux</w:t>
      </w:r>
      <w:r w:rsidR="00E3674F" w:rsidRPr="000D5072">
        <w:rPr>
          <w:rFonts w:eastAsia="Times New Roman" w:cs="Times New Roman"/>
          <w:kern w:val="22"/>
          <w:sz w:val="22"/>
          <w:lang w:val="fr-FR" w:eastAsia="en-CA"/>
        </w:rPr>
        <w:t xml:space="preserve"> </w:t>
      </w:r>
      <w:r>
        <w:rPr>
          <w:rFonts w:eastAsia="Times New Roman" w:cs="Times New Roman"/>
          <w:kern w:val="22"/>
          <w:sz w:val="22"/>
          <w:lang w:val="fr-FR" w:eastAsia="en-CA"/>
        </w:rPr>
        <w:t>connaissances traditionnelles accessibles au public</w:t>
      </w:r>
      <w:r w:rsidR="009A60A2">
        <w:rPr>
          <w:rFonts w:eastAsia="Times New Roman" w:cs="Times New Roman"/>
          <w:kern w:val="22"/>
          <w:sz w:val="22"/>
          <w:lang w:val="fr-FR" w:eastAsia="en-CA"/>
        </w:rPr>
        <w:t> ?</w:t>
      </w:r>
      <w:r w:rsidR="00DF5419" w:rsidRPr="000D5072">
        <w:rPr>
          <w:rFonts w:eastAsia="Times New Roman" w:cs="Times New Roman"/>
          <w:kern w:val="22"/>
          <w:sz w:val="22"/>
          <w:lang w:val="fr-FR" w:eastAsia="en-CA"/>
        </w:rPr>
        <w:t xml:space="preserve">). </w:t>
      </w:r>
      <w:r w:rsidR="008735FC" w:rsidRPr="008735FC">
        <w:rPr>
          <w:rFonts w:eastAsia="Times New Roman" w:cs="Times New Roman"/>
          <w:kern w:val="22"/>
          <w:sz w:val="22"/>
          <w:lang w:val="fr-FR" w:eastAsia="en-CA"/>
        </w:rPr>
        <w:t>L’</w:t>
      </w:r>
      <w:r w:rsidR="001A200E" w:rsidRPr="008735FC">
        <w:rPr>
          <w:rFonts w:eastAsia="Times New Roman" w:cs="Times New Roman"/>
          <w:kern w:val="22"/>
          <w:sz w:val="22"/>
          <w:lang w:val="fr-FR" w:eastAsia="en-CA"/>
        </w:rPr>
        <w:t>approche</w:t>
      </w:r>
      <w:r w:rsidR="00DF5419" w:rsidRPr="008735FC">
        <w:rPr>
          <w:rFonts w:eastAsia="Times New Roman" w:cs="Times New Roman"/>
          <w:kern w:val="22"/>
          <w:sz w:val="22"/>
          <w:lang w:val="fr-FR" w:eastAsia="en-CA"/>
        </w:rPr>
        <w:t xml:space="preserve"> </w:t>
      </w:r>
      <w:r w:rsidR="008735FC" w:rsidRPr="008735FC">
        <w:rPr>
          <w:rFonts w:eastAsia="Times New Roman" w:cs="Times New Roman"/>
          <w:kern w:val="22"/>
          <w:sz w:val="22"/>
          <w:lang w:val="fr-FR" w:eastAsia="en-CA"/>
        </w:rPr>
        <w:t xml:space="preserve">retenue dans la présente </w:t>
      </w:r>
      <w:r w:rsidR="00E3674F" w:rsidRPr="008735FC">
        <w:rPr>
          <w:rFonts w:eastAsia="Times New Roman" w:cs="Times New Roman"/>
          <w:kern w:val="22"/>
          <w:sz w:val="22"/>
          <w:lang w:val="fr-FR" w:eastAsia="en-CA"/>
        </w:rPr>
        <w:t>étude</w:t>
      </w:r>
      <w:r w:rsidR="009A60A2">
        <w:rPr>
          <w:rFonts w:eastAsia="Times New Roman" w:cs="Times New Roman"/>
          <w:kern w:val="22"/>
          <w:sz w:val="22"/>
          <w:lang w:val="fr-FR" w:eastAsia="en-CA"/>
        </w:rPr>
        <w:t xml:space="preserve"> évite</w:t>
      </w:r>
      <w:r w:rsidR="008735FC" w:rsidRPr="008735FC">
        <w:rPr>
          <w:rFonts w:eastAsia="Times New Roman" w:cs="Times New Roman"/>
          <w:kern w:val="22"/>
          <w:sz w:val="22"/>
          <w:lang w:val="fr-FR" w:eastAsia="en-CA"/>
        </w:rPr>
        <w:t xml:space="preserve"> d’anticiper sur le résu</w:t>
      </w:r>
      <w:r w:rsidR="009A60A2">
        <w:rPr>
          <w:rFonts w:eastAsia="Times New Roman" w:cs="Times New Roman"/>
          <w:kern w:val="22"/>
          <w:sz w:val="22"/>
          <w:lang w:val="fr-FR" w:eastAsia="en-CA"/>
        </w:rPr>
        <w:t>ltat des débats menés par</w:t>
      </w:r>
      <w:r w:rsidR="008735FC">
        <w:rPr>
          <w:rFonts w:eastAsia="Times New Roman" w:cs="Times New Roman"/>
          <w:kern w:val="22"/>
          <w:sz w:val="22"/>
          <w:lang w:val="fr-FR" w:eastAsia="en-CA"/>
        </w:rPr>
        <w:t xml:space="preserve"> les Parties sur les</w:t>
      </w:r>
      <w:r w:rsidR="00DF5419" w:rsidRPr="008735FC">
        <w:rPr>
          <w:rFonts w:eastAsia="Times New Roman" w:cs="Times New Roman"/>
          <w:kern w:val="22"/>
          <w:sz w:val="22"/>
          <w:lang w:val="fr-FR" w:eastAsia="en-CA"/>
        </w:rPr>
        <w:t xml:space="preserve"> </w:t>
      </w:r>
      <w:r w:rsidRPr="008735FC">
        <w:rPr>
          <w:rFonts w:eastAsia="Times New Roman" w:cs="Times New Roman"/>
          <w:kern w:val="22"/>
          <w:sz w:val="22"/>
          <w:lang w:val="fr-FR" w:eastAsia="en-CA"/>
        </w:rPr>
        <w:t>question</w:t>
      </w:r>
      <w:r w:rsidR="00DF5419" w:rsidRPr="008735FC">
        <w:rPr>
          <w:rFonts w:eastAsia="Times New Roman" w:cs="Times New Roman"/>
          <w:kern w:val="22"/>
          <w:sz w:val="22"/>
          <w:lang w:val="fr-FR" w:eastAsia="en-CA"/>
        </w:rPr>
        <w:t xml:space="preserve">s </w:t>
      </w:r>
      <w:r w:rsidR="009A60A2">
        <w:rPr>
          <w:rFonts w:eastAsia="Times New Roman" w:cs="Times New Roman"/>
          <w:kern w:val="22"/>
          <w:sz w:val="22"/>
          <w:lang w:val="fr-FR" w:eastAsia="en-CA"/>
        </w:rPr>
        <w:t xml:space="preserve">pour lesquelles elles </w:t>
      </w:r>
      <w:r w:rsidR="008735FC">
        <w:rPr>
          <w:rFonts w:eastAsia="Times New Roman" w:cs="Times New Roman"/>
          <w:kern w:val="22"/>
          <w:sz w:val="22"/>
          <w:lang w:val="fr-FR" w:eastAsia="en-CA"/>
        </w:rPr>
        <w:t xml:space="preserve">ne sont pas </w:t>
      </w:r>
      <w:r w:rsidR="009A60A2">
        <w:rPr>
          <w:rFonts w:eastAsia="Times New Roman" w:cs="Times New Roman"/>
          <w:kern w:val="22"/>
          <w:sz w:val="22"/>
          <w:lang w:val="fr-FR" w:eastAsia="en-CA"/>
        </w:rPr>
        <w:t xml:space="preserve">encore </w:t>
      </w:r>
      <w:r w:rsidR="008735FC">
        <w:rPr>
          <w:rFonts w:eastAsia="Times New Roman" w:cs="Times New Roman"/>
          <w:kern w:val="22"/>
          <w:sz w:val="22"/>
          <w:lang w:val="fr-FR" w:eastAsia="en-CA"/>
        </w:rPr>
        <w:t>parvenues à un consensus</w:t>
      </w:r>
      <w:r w:rsidR="00DF5419" w:rsidRPr="008735FC">
        <w:rPr>
          <w:rFonts w:eastAsia="Times New Roman" w:cs="Times New Roman"/>
          <w:kern w:val="22"/>
          <w:sz w:val="22"/>
          <w:lang w:val="fr-FR" w:eastAsia="en-CA"/>
        </w:rPr>
        <w:t xml:space="preserve">. </w:t>
      </w:r>
      <w:r w:rsidR="008735FC">
        <w:rPr>
          <w:rFonts w:eastAsia="Times New Roman" w:cs="Times New Roman"/>
          <w:kern w:val="22"/>
          <w:sz w:val="22"/>
          <w:lang w:val="fr-FR" w:eastAsia="en-CA"/>
        </w:rPr>
        <w:t xml:space="preserve">Les </w:t>
      </w:r>
      <w:r w:rsidR="00DF5419" w:rsidRPr="008735FC">
        <w:rPr>
          <w:rFonts w:eastAsia="Times New Roman" w:cs="Times New Roman"/>
          <w:kern w:val="22"/>
          <w:sz w:val="22"/>
          <w:lang w:val="fr-FR" w:eastAsia="en-CA"/>
        </w:rPr>
        <w:t xml:space="preserve">Parties </w:t>
      </w:r>
      <w:r w:rsidR="008735FC">
        <w:rPr>
          <w:rFonts w:eastAsia="Times New Roman" w:cs="Times New Roman"/>
          <w:kern w:val="22"/>
          <w:sz w:val="22"/>
          <w:lang w:val="fr-FR" w:eastAsia="en-CA"/>
        </w:rPr>
        <w:t xml:space="preserve">devront décider si </w:t>
      </w:r>
      <w:r w:rsidR="009A60A2">
        <w:rPr>
          <w:rFonts w:eastAsia="Times New Roman" w:cs="Times New Roman"/>
          <w:kern w:val="22"/>
          <w:sz w:val="22"/>
          <w:lang w:val="fr-FR" w:eastAsia="en-CA"/>
        </w:rPr>
        <w:t>l’</w:t>
      </w:r>
      <w:r w:rsidR="008735FC">
        <w:rPr>
          <w:rFonts w:eastAsia="Times New Roman" w:cs="Times New Roman"/>
          <w:kern w:val="22"/>
          <w:sz w:val="22"/>
          <w:lang w:val="fr-FR" w:eastAsia="en-CA"/>
        </w:rPr>
        <w:t xml:space="preserve">une ou l’autre catégorie de </w:t>
      </w:r>
      <w:r w:rsidR="00D04EC6" w:rsidRPr="008735FC">
        <w:rPr>
          <w:rFonts w:eastAsia="Times New Roman" w:cs="Times New Roman"/>
          <w:kern w:val="22"/>
          <w:sz w:val="22"/>
          <w:lang w:val="fr-FR" w:eastAsia="en-CA"/>
        </w:rPr>
        <w:t>cas</w:t>
      </w:r>
      <w:r w:rsidR="008735FC">
        <w:rPr>
          <w:rFonts w:eastAsia="Times New Roman" w:cs="Times New Roman"/>
          <w:kern w:val="22"/>
          <w:sz w:val="22"/>
          <w:lang w:val="fr-FR" w:eastAsia="en-CA"/>
        </w:rPr>
        <w:t xml:space="preserve"> présentés ci-dessous impliquent de devoir mettre en place un </w:t>
      </w:r>
      <w:r w:rsidR="001A200E" w:rsidRPr="008735FC">
        <w:rPr>
          <w:rFonts w:eastAsia="Times New Roman" w:cs="Times New Roman"/>
          <w:kern w:val="22"/>
          <w:sz w:val="22"/>
          <w:lang w:val="fr-FR" w:eastAsia="en-CA"/>
        </w:rPr>
        <w:t>mécanisme multilatéral mondial</w:t>
      </w:r>
      <w:r w:rsidR="00E3674F" w:rsidRPr="008735FC">
        <w:rPr>
          <w:rFonts w:eastAsia="Times New Roman" w:cs="Times New Roman"/>
          <w:kern w:val="22"/>
          <w:sz w:val="22"/>
          <w:lang w:val="fr-FR" w:eastAsia="en-CA"/>
        </w:rPr>
        <w:t xml:space="preserve"> de partage des avantages</w:t>
      </w:r>
      <w:r w:rsidR="00DF5419" w:rsidRPr="008735FC">
        <w:rPr>
          <w:rFonts w:eastAsia="Times New Roman" w:cs="Times New Roman"/>
          <w:kern w:val="22"/>
          <w:sz w:val="22"/>
          <w:lang w:val="fr-FR" w:eastAsia="en-CA"/>
        </w:rPr>
        <w:t xml:space="preserve">. </w:t>
      </w:r>
    </w:p>
    <w:p w14:paraId="11BE6EFF" w14:textId="6D9F26F4" w:rsidR="00DF5419" w:rsidRPr="008735FC" w:rsidRDefault="00367430" w:rsidP="00DF5419">
      <w:pPr>
        <w:pBdr>
          <w:top w:val="single" w:sz="18" w:space="1" w:color="auto"/>
          <w:left w:val="single" w:sz="18" w:space="1" w:color="auto"/>
          <w:bottom w:val="single" w:sz="18" w:space="1" w:color="auto"/>
          <w:right w:val="single" w:sz="18" w:space="1" w:color="auto"/>
          <w:between w:val="nil"/>
        </w:pBdr>
        <w:spacing w:after="120"/>
        <w:rPr>
          <w:rFonts w:eastAsia="Times New Roman" w:cs="Times New Roman"/>
          <w:kern w:val="22"/>
          <w:sz w:val="22"/>
          <w:lang w:val="fr-FR" w:eastAsia="en-CA"/>
        </w:rPr>
      </w:pPr>
      <w:r w:rsidRPr="008735FC">
        <w:rPr>
          <w:rFonts w:eastAsia="Times New Roman" w:cs="Times New Roman"/>
          <w:kern w:val="22"/>
          <w:sz w:val="22"/>
          <w:lang w:val="fr-FR" w:eastAsia="en-CA"/>
        </w:rPr>
        <w:t>Les auteurs</w:t>
      </w:r>
      <w:r w:rsidR="009A60A2">
        <w:rPr>
          <w:rFonts w:eastAsia="Times New Roman" w:cs="Times New Roman"/>
          <w:kern w:val="22"/>
          <w:sz w:val="22"/>
          <w:lang w:val="fr-FR" w:eastAsia="en-CA"/>
        </w:rPr>
        <w:t xml:space="preserve"> prennent note également du</w:t>
      </w:r>
      <w:r w:rsidR="008735FC" w:rsidRPr="008735FC">
        <w:rPr>
          <w:rFonts w:eastAsia="Times New Roman" w:cs="Times New Roman"/>
          <w:kern w:val="22"/>
          <w:sz w:val="22"/>
          <w:lang w:val="fr-FR" w:eastAsia="en-CA"/>
        </w:rPr>
        <w:t xml:space="preserve"> caractère pertinent de l’</w:t>
      </w:r>
      <w:r w:rsidR="00FD73A5" w:rsidRPr="008735FC">
        <w:rPr>
          <w:rFonts w:eastAsia="Times New Roman" w:cs="Times New Roman"/>
          <w:kern w:val="22"/>
          <w:sz w:val="22"/>
          <w:lang w:val="fr-FR" w:eastAsia="en-CA"/>
        </w:rPr>
        <w:t>article</w:t>
      </w:r>
      <w:r w:rsidR="00DF5419" w:rsidRPr="008735FC">
        <w:rPr>
          <w:rFonts w:eastAsia="Times New Roman" w:cs="Times New Roman"/>
          <w:kern w:val="22"/>
          <w:sz w:val="22"/>
          <w:lang w:val="fr-FR" w:eastAsia="en-CA"/>
        </w:rPr>
        <w:t xml:space="preserve"> 11 </w:t>
      </w:r>
      <w:r w:rsidR="00770AB8" w:rsidRPr="008735FC">
        <w:rPr>
          <w:rFonts w:eastAsia="Times New Roman" w:cs="Times New Roman"/>
          <w:kern w:val="22"/>
          <w:sz w:val="22"/>
          <w:lang w:val="fr-FR" w:eastAsia="en-CA"/>
        </w:rPr>
        <w:t>du Pro</w:t>
      </w:r>
      <w:r w:rsidR="00E3674F" w:rsidRPr="008735FC">
        <w:rPr>
          <w:rFonts w:eastAsia="Times New Roman" w:cs="Times New Roman"/>
          <w:kern w:val="22"/>
          <w:sz w:val="22"/>
          <w:lang w:val="fr-FR" w:eastAsia="en-CA"/>
        </w:rPr>
        <w:t>tocole de Nagoya</w:t>
      </w:r>
      <w:r w:rsidR="00DF5419" w:rsidRPr="008735FC">
        <w:rPr>
          <w:rFonts w:eastAsia="Times New Roman" w:cs="Times New Roman"/>
          <w:kern w:val="22"/>
          <w:sz w:val="22"/>
          <w:lang w:val="fr-FR" w:eastAsia="en-CA"/>
        </w:rPr>
        <w:t xml:space="preserve">, </w:t>
      </w:r>
      <w:r w:rsidR="008735FC">
        <w:rPr>
          <w:rFonts w:eastAsia="Times New Roman" w:cs="Times New Roman"/>
          <w:kern w:val="22"/>
          <w:sz w:val="22"/>
          <w:lang w:val="fr-FR" w:eastAsia="en-CA"/>
        </w:rPr>
        <w:t xml:space="preserve">en reconnaissant que le rapport de </w:t>
      </w:r>
      <w:r w:rsidR="009A60A2">
        <w:rPr>
          <w:rFonts w:eastAsia="Times New Roman" w:cs="Times New Roman"/>
          <w:kern w:val="22"/>
          <w:sz w:val="22"/>
          <w:lang w:val="fr-FR" w:eastAsia="en-CA"/>
        </w:rPr>
        <w:t xml:space="preserve">2016 de </w:t>
      </w:r>
      <w:r w:rsidR="008735FC">
        <w:rPr>
          <w:rFonts w:eastAsia="Times New Roman" w:cs="Times New Roman"/>
          <w:kern w:val="22"/>
          <w:sz w:val="22"/>
          <w:lang w:val="fr-FR" w:eastAsia="en-CA"/>
        </w:rPr>
        <w:t>la r</w:t>
      </w:r>
      <w:r w:rsidR="001A200E" w:rsidRPr="008735FC">
        <w:rPr>
          <w:rFonts w:eastAsia="Times New Roman" w:cs="Times New Roman"/>
          <w:kern w:val="22"/>
          <w:sz w:val="22"/>
          <w:lang w:val="fr-FR" w:eastAsia="en-CA"/>
        </w:rPr>
        <w:t>éunion du groupe d’experts</w:t>
      </w:r>
      <w:r w:rsidR="003C5CB6" w:rsidRPr="008735FC">
        <w:rPr>
          <w:rFonts w:eastAsia="Times New Roman" w:cs="Times New Roman"/>
          <w:kern w:val="22"/>
          <w:sz w:val="22"/>
          <w:lang w:val="fr-FR" w:eastAsia="en-CA"/>
        </w:rPr>
        <w:t xml:space="preserve"> </w:t>
      </w:r>
      <w:r w:rsidR="00E15AC0" w:rsidRPr="008735FC">
        <w:rPr>
          <w:rFonts w:eastAsia="Times New Roman" w:cs="Times New Roman"/>
          <w:kern w:val="22"/>
          <w:sz w:val="22"/>
          <w:lang w:val="fr-FR" w:eastAsia="en-CA"/>
        </w:rPr>
        <w:t>sur l’article</w:t>
      </w:r>
      <w:r w:rsidR="003C5CB6" w:rsidRPr="008735FC">
        <w:rPr>
          <w:rFonts w:eastAsia="Times New Roman" w:cs="Times New Roman"/>
          <w:kern w:val="22"/>
          <w:sz w:val="22"/>
          <w:lang w:val="fr-FR" w:eastAsia="en-CA"/>
        </w:rPr>
        <w:t xml:space="preserve"> 10 </w:t>
      </w:r>
      <w:r w:rsidR="008735FC">
        <w:rPr>
          <w:rFonts w:eastAsia="Times New Roman" w:cs="Times New Roman"/>
          <w:kern w:val="22"/>
          <w:sz w:val="22"/>
          <w:lang w:val="fr-FR" w:eastAsia="en-CA"/>
        </w:rPr>
        <w:t>a conclu que l’</w:t>
      </w:r>
      <w:r w:rsidR="00FD73A5" w:rsidRPr="008735FC">
        <w:rPr>
          <w:rFonts w:eastAsia="Times New Roman" w:cs="Times New Roman"/>
          <w:kern w:val="22"/>
          <w:sz w:val="22"/>
          <w:lang w:val="fr-FR" w:eastAsia="en-CA"/>
        </w:rPr>
        <w:t>article</w:t>
      </w:r>
      <w:r w:rsidR="008735FC">
        <w:rPr>
          <w:rFonts w:eastAsia="Times New Roman" w:cs="Times New Roman"/>
          <w:kern w:val="22"/>
          <w:sz w:val="22"/>
          <w:lang w:val="fr-FR" w:eastAsia="en-CA"/>
        </w:rPr>
        <w:t> </w:t>
      </w:r>
      <w:r w:rsidR="00DF5419" w:rsidRPr="008735FC">
        <w:rPr>
          <w:rFonts w:eastAsia="Times New Roman" w:cs="Times New Roman"/>
          <w:kern w:val="22"/>
          <w:sz w:val="22"/>
          <w:lang w:val="fr-FR" w:eastAsia="en-CA"/>
        </w:rPr>
        <w:t xml:space="preserve">11 </w:t>
      </w:r>
      <w:r w:rsidR="009A60A2">
        <w:rPr>
          <w:rFonts w:eastAsia="Times New Roman" w:cs="Times New Roman"/>
          <w:kern w:val="22"/>
          <w:sz w:val="22"/>
          <w:lang w:val="fr-FR" w:eastAsia="en-CA"/>
        </w:rPr>
        <w:t>était suffisant pour gérer</w:t>
      </w:r>
      <w:r w:rsidR="00DF5419" w:rsidRPr="008735FC">
        <w:rPr>
          <w:rFonts w:eastAsia="Times New Roman" w:cs="Times New Roman"/>
          <w:kern w:val="22"/>
          <w:sz w:val="22"/>
          <w:lang w:val="fr-FR" w:eastAsia="en-CA"/>
        </w:rPr>
        <w:t xml:space="preserve"> “</w:t>
      </w:r>
      <w:r w:rsidR="008735FC">
        <w:rPr>
          <w:rFonts w:eastAsia="Times New Roman" w:cs="Times New Roman"/>
          <w:kern w:val="22"/>
          <w:sz w:val="22"/>
          <w:lang w:val="fr-FR" w:eastAsia="en-CA"/>
        </w:rPr>
        <w:t xml:space="preserve">les </w:t>
      </w:r>
      <w:r w:rsidR="00E3674F" w:rsidRPr="008735FC">
        <w:rPr>
          <w:rFonts w:eastAsia="Times New Roman" w:cs="Times New Roman"/>
          <w:kern w:val="22"/>
          <w:sz w:val="22"/>
          <w:lang w:val="fr-FR" w:eastAsia="en-CA"/>
        </w:rPr>
        <w:t>ressources génétiques</w:t>
      </w:r>
      <w:r w:rsidR="008735FC">
        <w:rPr>
          <w:rFonts w:eastAsia="Times New Roman" w:cs="Times New Roman"/>
          <w:kern w:val="22"/>
          <w:sz w:val="22"/>
          <w:lang w:val="fr-FR" w:eastAsia="en-CA"/>
        </w:rPr>
        <w:t xml:space="preserve"> </w:t>
      </w:r>
      <w:r w:rsidR="009A60A2">
        <w:rPr>
          <w:rFonts w:eastAsia="Times New Roman" w:cs="Times New Roman"/>
          <w:kern w:val="22"/>
          <w:sz w:val="22"/>
          <w:lang w:val="fr-FR" w:eastAsia="en-CA"/>
        </w:rPr>
        <w:t>qui se trouvent</w:t>
      </w:r>
      <w:r w:rsidR="00DF5419" w:rsidRPr="008735FC">
        <w:rPr>
          <w:rFonts w:eastAsia="Times New Roman" w:cs="Times New Roman"/>
          <w:kern w:val="22"/>
          <w:sz w:val="22"/>
          <w:lang w:val="fr-FR" w:eastAsia="en-CA"/>
        </w:rPr>
        <w:t xml:space="preserve"> </w:t>
      </w:r>
      <w:r w:rsidR="00DF5419" w:rsidRPr="008735FC">
        <w:rPr>
          <w:rFonts w:eastAsia="Times New Roman" w:cs="Times New Roman"/>
          <w:i/>
          <w:kern w:val="22"/>
          <w:sz w:val="22"/>
          <w:lang w:val="fr-FR" w:eastAsia="en-CA"/>
        </w:rPr>
        <w:t>in situ</w:t>
      </w:r>
      <w:r w:rsidR="00DF5419" w:rsidRPr="008735FC">
        <w:rPr>
          <w:rFonts w:eastAsia="Times New Roman" w:cs="Times New Roman"/>
          <w:kern w:val="22"/>
          <w:sz w:val="22"/>
          <w:lang w:val="fr-FR" w:eastAsia="en-CA"/>
        </w:rPr>
        <w:t xml:space="preserve"> </w:t>
      </w:r>
      <w:r w:rsidR="008735FC">
        <w:rPr>
          <w:rFonts w:eastAsia="Times New Roman" w:cs="Times New Roman"/>
          <w:kern w:val="22"/>
          <w:sz w:val="22"/>
          <w:lang w:val="fr-FR" w:eastAsia="en-CA"/>
        </w:rPr>
        <w:t xml:space="preserve">dans plus d’une </w:t>
      </w:r>
      <w:r w:rsidR="001A200E" w:rsidRPr="008735FC">
        <w:rPr>
          <w:rFonts w:eastAsia="Times New Roman" w:cs="Times New Roman"/>
          <w:kern w:val="22"/>
          <w:sz w:val="22"/>
          <w:lang w:val="fr-FR" w:eastAsia="en-CA"/>
        </w:rPr>
        <w:t>Partie</w:t>
      </w:r>
      <w:r w:rsidR="009A60A2">
        <w:rPr>
          <w:rFonts w:eastAsia="Times New Roman" w:cs="Times New Roman"/>
          <w:kern w:val="22"/>
          <w:sz w:val="22"/>
          <w:lang w:val="fr-FR" w:eastAsia="en-CA"/>
        </w:rPr>
        <w:t>,</w:t>
      </w:r>
      <w:r w:rsidR="00E3674F" w:rsidRPr="008735FC">
        <w:rPr>
          <w:rFonts w:eastAsia="Times New Roman" w:cs="Times New Roman"/>
          <w:kern w:val="22"/>
          <w:sz w:val="22"/>
          <w:lang w:val="fr-FR" w:eastAsia="en-CA"/>
        </w:rPr>
        <w:t xml:space="preserve"> et </w:t>
      </w:r>
      <w:r w:rsidR="008735FC">
        <w:rPr>
          <w:rFonts w:eastAsia="Times New Roman" w:cs="Times New Roman"/>
          <w:kern w:val="22"/>
          <w:sz w:val="22"/>
          <w:lang w:val="fr-FR" w:eastAsia="en-CA"/>
        </w:rPr>
        <w:t xml:space="preserve">les </w:t>
      </w:r>
      <w:r w:rsidR="00E3674F" w:rsidRPr="008735FC">
        <w:rPr>
          <w:rFonts w:eastAsia="Times New Roman" w:cs="Times New Roman"/>
          <w:kern w:val="22"/>
          <w:sz w:val="22"/>
          <w:lang w:val="fr-FR" w:eastAsia="en-CA"/>
        </w:rPr>
        <w:t>connaissances traditionnelles</w:t>
      </w:r>
      <w:r w:rsidR="00DF5419" w:rsidRPr="008735FC">
        <w:rPr>
          <w:rFonts w:eastAsia="Times New Roman" w:cs="Times New Roman"/>
          <w:kern w:val="22"/>
          <w:sz w:val="22"/>
          <w:lang w:val="fr-FR" w:eastAsia="en-CA"/>
        </w:rPr>
        <w:t xml:space="preserve"> </w:t>
      </w:r>
      <w:r w:rsidR="00E3674F" w:rsidRPr="008735FC">
        <w:rPr>
          <w:rFonts w:eastAsia="Times New Roman" w:cs="Times New Roman"/>
          <w:kern w:val="22"/>
          <w:sz w:val="22"/>
          <w:lang w:val="fr-FR" w:eastAsia="en-CA"/>
        </w:rPr>
        <w:t>associées aux</w:t>
      </w:r>
      <w:r w:rsidR="00DF5419" w:rsidRPr="008735FC">
        <w:rPr>
          <w:rFonts w:eastAsia="Times New Roman" w:cs="Times New Roman"/>
          <w:kern w:val="22"/>
          <w:sz w:val="22"/>
          <w:lang w:val="fr-FR" w:eastAsia="en-CA"/>
        </w:rPr>
        <w:t xml:space="preserve"> </w:t>
      </w:r>
      <w:r w:rsidR="00E3674F" w:rsidRPr="008735FC">
        <w:rPr>
          <w:rFonts w:eastAsia="Times New Roman" w:cs="Times New Roman"/>
          <w:kern w:val="22"/>
          <w:sz w:val="22"/>
          <w:lang w:val="fr-FR" w:eastAsia="en-CA"/>
        </w:rPr>
        <w:t>ressources génétiques</w:t>
      </w:r>
      <w:r w:rsidR="00DF5419" w:rsidRPr="008735FC">
        <w:rPr>
          <w:rFonts w:eastAsia="Times New Roman" w:cs="Times New Roman"/>
          <w:kern w:val="22"/>
          <w:sz w:val="22"/>
          <w:lang w:val="fr-FR" w:eastAsia="en-CA"/>
        </w:rPr>
        <w:t xml:space="preserve"> </w:t>
      </w:r>
      <w:r w:rsidR="008735FC">
        <w:rPr>
          <w:rFonts w:eastAsia="Times New Roman" w:cs="Times New Roman"/>
          <w:kern w:val="22"/>
          <w:sz w:val="22"/>
          <w:lang w:val="fr-FR" w:eastAsia="en-CA"/>
        </w:rPr>
        <w:t xml:space="preserve">lorsqu’elles sont partagées par une ou plusieurs communautés autochtones et locales dans </w:t>
      </w:r>
      <w:r w:rsidR="00AB6A02" w:rsidRPr="008735FC">
        <w:rPr>
          <w:rFonts w:eastAsia="Times New Roman" w:cs="Times New Roman"/>
          <w:kern w:val="22"/>
          <w:sz w:val="22"/>
          <w:lang w:val="fr-FR" w:eastAsia="en-CA"/>
        </w:rPr>
        <w:t>plusieurs</w:t>
      </w:r>
      <w:r w:rsidR="00DF5419" w:rsidRPr="008735FC">
        <w:rPr>
          <w:rFonts w:eastAsia="Times New Roman" w:cs="Times New Roman"/>
          <w:kern w:val="22"/>
          <w:sz w:val="22"/>
          <w:lang w:val="fr-FR" w:eastAsia="en-CA"/>
        </w:rPr>
        <w:t xml:space="preserve"> Parties”</w:t>
      </w:r>
      <w:r w:rsidR="00667D8F" w:rsidRPr="008735FC">
        <w:rPr>
          <w:rFonts w:eastAsia="Times New Roman" w:cs="Times New Roman"/>
          <w:kern w:val="22"/>
          <w:sz w:val="22"/>
          <w:lang w:val="fr-FR" w:eastAsia="en-CA"/>
        </w:rPr>
        <w:t xml:space="preserve">. </w:t>
      </w:r>
      <w:r w:rsidR="00D6232E" w:rsidRPr="008735FC">
        <w:rPr>
          <w:rFonts w:eastAsia="Times New Roman" w:cs="Times New Roman"/>
          <w:kern w:val="22"/>
          <w:sz w:val="22"/>
          <w:lang w:val="fr-FR" w:eastAsia="en-CA"/>
        </w:rPr>
        <w:t>Cependant</w:t>
      </w:r>
      <w:r w:rsidR="008735FC" w:rsidRPr="008735FC">
        <w:rPr>
          <w:rFonts w:eastAsia="Times New Roman" w:cs="Times New Roman"/>
          <w:kern w:val="22"/>
          <w:sz w:val="22"/>
          <w:lang w:val="fr-FR" w:eastAsia="en-CA"/>
        </w:rPr>
        <w:t>, le rapport du</w:t>
      </w:r>
      <w:r w:rsidR="001A200E" w:rsidRPr="008735FC">
        <w:rPr>
          <w:rFonts w:eastAsia="Times New Roman" w:cs="Times New Roman"/>
          <w:kern w:val="22"/>
          <w:sz w:val="22"/>
          <w:lang w:val="fr-FR" w:eastAsia="en-CA"/>
        </w:rPr>
        <w:t xml:space="preserve"> groupe d’experts</w:t>
      </w:r>
      <w:r w:rsidR="005B7A92" w:rsidRPr="008735FC">
        <w:rPr>
          <w:rFonts w:eastAsia="Times New Roman" w:cs="Times New Roman"/>
          <w:kern w:val="22"/>
          <w:sz w:val="22"/>
          <w:lang w:val="fr-FR" w:eastAsia="en-CA"/>
        </w:rPr>
        <w:t xml:space="preserve"> </w:t>
      </w:r>
      <w:r w:rsidR="009A60A2">
        <w:rPr>
          <w:rFonts w:eastAsia="Times New Roman" w:cs="Times New Roman"/>
          <w:kern w:val="22"/>
          <w:sz w:val="22"/>
          <w:lang w:val="fr-FR" w:eastAsia="en-CA"/>
        </w:rPr>
        <w:t xml:space="preserve">a </w:t>
      </w:r>
      <w:r w:rsidR="008735FC" w:rsidRPr="008735FC">
        <w:rPr>
          <w:rFonts w:eastAsia="Times New Roman" w:cs="Times New Roman"/>
          <w:kern w:val="22"/>
          <w:sz w:val="22"/>
          <w:lang w:val="fr-FR" w:eastAsia="en-CA"/>
        </w:rPr>
        <w:t xml:space="preserve">constaté </w:t>
      </w:r>
      <w:r w:rsidR="009A60A2">
        <w:rPr>
          <w:rFonts w:eastAsia="Times New Roman" w:cs="Times New Roman"/>
          <w:kern w:val="22"/>
          <w:sz w:val="22"/>
          <w:lang w:val="fr-FR" w:eastAsia="en-CA"/>
        </w:rPr>
        <w:t xml:space="preserve">également </w:t>
      </w:r>
      <w:r w:rsidR="008735FC" w:rsidRPr="008735FC">
        <w:rPr>
          <w:rFonts w:eastAsia="Times New Roman" w:cs="Times New Roman"/>
          <w:kern w:val="22"/>
          <w:sz w:val="22"/>
          <w:lang w:val="fr-FR" w:eastAsia="en-CA"/>
        </w:rPr>
        <w:t>que l’</w:t>
      </w:r>
      <w:r w:rsidR="008735FC">
        <w:rPr>
          <w:rFonts w:eastAsia="Times New Roman" w:cs="Times New Roman"/>
          <w:kern w:val="22"/>
          <w:sz w:val="22"/>
          <w:lang w:val="fr-FR" w:eastAsia="en-CA"/>
        </w:rPr>
        <w:t>expé</w:t>
      </w:r>
      <w:r w:rsidR="00DF5419" w:rsidRPr="008735FC">
        <w:rPr>
          <w:rFonts w:eastAsia="Times New Roman" w:cs="Times New Roman"/>
          <w:kern w:val="22"/>
          <w:sz w:val="22"/>
          <w:lang w:val="fr-FR" w:eastAsia="en-CA"/>
        </w:rPr>
        <w:t>rience</w:t>
      </w:r>
      <w:r w:rsidR="008735FC">
        <w:rPr>
          <w:rFonts w:eastAsia="Times New Roman" w:cs="Times New Roman"/>
          <w:kern w:val="22"/>
          <w:sz w:val="22"/>
          <w:lang w:val="fr-FR" w:eastAsia="en-CA"/>
        </w:rPr>
        <w:t xml:space="preserve"> acquise </w:t>
      </w:r>
      <w:r w:rsidR="009A60A2">
        <w:rPr>
          <w:rFonts w:eastAsia="Times New Roman" w:cs="Times New Roman"/>
          <w:kern w:val="22"/>
          <w:sz w:val="22"/>
          <w:lang w:val="fr-FR" w:eastAsia="en-CA"/>
        </w:rPr>
        <w:t xml:space="preserve">par les Parties </w:t>
      </w:r>
      <w:r w:rsidR="008735FC">
        <w:rPr>
          <w:rFonts w:eastAsia="Times New Roman" w:cs="Times New Roman"/>
          <w:kern w:val="22"/>
          <w:sz w:val="22"/>
          <w:lang w:val="fr-FR" w:eastAsia="en-CA"/>
        </w:rPr>
        <w:t>dans l’application de l’</w:t>
      </w:r>
      <w:r w:rsidR="00FD73A5" w:rsidRPr="008735FC">
        <w:rPr>
          <w:rFonts w:eastAsia="Times New Roman" w:cs="Times New Roman"/>
          <w:kern w:val="22"/>
          <w:sz w:val="22"/>
          <w:lang w:val="fr-FR" w:eastAsia="en-CA"/>
        </w:rPr>
        <w:t>article</w:t>
      </w:r>
      <w:r w:rsidR="00DF5419" w:rsidRPr="008735FC">
        <w:rPr>
          <w:rFonts w:eastAsia="Times New Roman" w:cs="Times New Roman"/>
          <w:kern w:val="22"/>
          <w:sz w:val="22"/>
          <w:lang w:val="fr-FR" w:eastAsia="en-CA"/>
        </w:rPr>
        <w:t xml:space="preserve"> 11 </w:t>
      </w:r>
      <w:r w:rsidR="008735FC">
        <w:rPr>
          <w:rFonts w:eastAsia="Times New Roman" w:cs="Times New Roman"/>
          <w:kern w:val="22"/>
          <w:sz w:val="22"/>
          <w:lang w:val="fr-FR" w:eastAsia="en-CA"/>
        </w:rPr>
        <w:t xml:space="preserve">restait limitée. </w:t>
      </w:r>
      <w:r w:rsidR="008735FC" w:rsidRPr="008735FC">
        <w:rPr>
          <w:rFonts w:eastAsia="Times New Roman" w:cs="Times New Roman"/>
          <w:kern w:val="22"/>
          <w:sz w:val="22"/>
          <w:lang w:val="fr-FR" w:eastAsia="en-CA"/>
        </w:rPr>
        <w:t>En conséquence</w:t>
      </w:r>
      <w:r w:rsidR="00DF5419" w:rsidRPr="008735FC">
        <w:rPr>
          <w:rFonts w:eastAsia="Times New Roman" w:cs="Times New Roman"/>
          <w:kern w:val="22"/>
          <w:sz w:val="22"/>
          <w:lang w:val="fr-FR" w:eastAsia="en-CA"/>
        </w:rPr>
        <w:t xml:space="preserve">, </w:t>
      </w:r>
      <w:r w:rsidR="009A60A2">
        <w:rPr>
          <w:rFonts w:eastAsia="Times New Roman" w:cs="Times New Roman"/>
          <w:kern w:val="22"/>
          <w:sz w:val="22"/>
          <w:lang w:val="fr-FR" w:eastAsia="en-CA"/>
        </w:rPr>
        <w:t xml:space="preserve">afin </w:t>
      </w:r>
      <w:r w:rsidR="008735FC" w:rsidRPr="008735FC">
        <w:rPr>
          <w:rFonts w:eastAsia="Times New Roman" w:cs="Times New Roman"/>
          <w:kern w:val="22"/>
          <w:sz w:val="22"/>
          <w:lang w:val="fr-FR" w:eastAsia="en-CA"/>
        </w:rPr>
        <w:t xml:space="preserve">de fournir </w:t>
      </w:r>
      <w:r w:rsidR="009A60A2">
        <w:rPr>
          <w:rFonts w:eastAsia="Times New Roman" w:cs="Times New Roman"/>
          <w:kern w:val="22"/>
          <w:sz w:val="22"/>
          <w:lang w:val="fr-FR" w:eastAsia="en-CA"/>
        </w:rPr>
        <w:t xml:space="preserve">le plus large éventail </w:t>
      </w:r>
      <w:r w:rsidR="008735FC" w:rsidRPr="008735FC">
        <w:rPr>
          <w:rFonts w:eastAsia="Times New Roman" w:cs="Times New Roman"/>
          <w:kern w:val="22"/>
          <w:sz w:val="22"/>
          <w:lang w:val="fr-FR" w:eastAsia="en-CA"/>
        </w:rPr>
        <w:t xml:space="preserve">de cas possibles aux fins d’examen par les Parties </w:t>
      </w:r>
      <w:r w:rsidR="009A60A2">
        <w:rPr>
          <w:rFonts w:eastAsia="Times New Roman" w:cs="Times New Roman"/>
          <w:kern w:val="22"/>
          <w:sz w:val="22"/>
          <w:lang w:val="fr-FR" w:eastAsia="en-CA"/>
        </w:rPr>
        <w:t xml:space="preserve">au titre </w:t>
      </w:r>
      <w:r w:rsidR="00B90EF3" w:rsidRPr="008735FC">
        <w:rPr>
          <w:rFonts w:eastAsia="Times New Roman" w:cs="Times New Roman"/>
          <w:kern w:val="22"/>
          <w:sz w:val="22"/>
          <w:lang w:val="fr-FR" w:eastAsia="en-CA"/>
        </w:rPr>
        <w:t>de l’article</w:t>
      </w:r>
      <w:r w:rsidR="00DF5419" w:rsidRPr="008735FC">
        <w:rPr>
          <w:rFonts w:eastAsia="Times New Roman" w:cs="Times New Roman"/>
          <w:kern w:val="22"/>
          <w:sz w:val="22"/>
          <w:lang w:val="fr-FR" w:eastAsia="en-CA"/>
        </w:rPr>
        <w:t xml:space="preserve"> 10</w:t>
      </w:r>
      <w:r w:rsidR="009A60A2">
        <w:rPr>
          <w:rFonts w:eastAsia="Times New Roman" w:cs="Times New Roman"/>
          <w:kern w:val="22"/>
          <w:sz w:val="22"/>
          <w:lang w:val="fr-FR" w:eastAsia="en-CA"/>
        </w:rPr>
        <w:t xml:space="preserve"> du Protocole</w:t>
      </w:r>
      <w:r w:rsidR="008735FC">
        <w:rPr>
          <w:rFonts w:eastAsia="Times New Roman" w:cs="Times New Roman"/>
          <w:kern w:val="22"/>
          <w:sz w:val="22"/>
          <w:lang w:val="fr-FR" w:eastAsia="en-CA"/>
        </w:rPr>
        <w:t>, l’</w:t>
      </w:r>
      <w:r w:rsidR="00E3674F" w:rsidRPr="008735FC">
        <w:rPr>
          <w:rFonts w:eastAsia="Times New Roman" w:cs="Times New Roman"/>
          <w:kern w:val="22"/>
          <w:sz w:val="22"/>
          <w:lang w:val="fr-FR" w:eastAsia="en-CA"/>
        </w:rPr>
        <w:t>étude</w:t>
      </w:r>
      <w:r w:rsidR="008735FC">
        <w:rPr>
          <w:rFonts w:eastAsia="Times New Roman" w:cs="Times New Roman"/>
          <w:kern w:val="22"/>
          <w:sz w:val="22"/>
          <w:lang w:val="fr-FR" w:eastAsia="en-CA"/>
        </w:rPr>
        <w:t xml:space="preserve"> inclut certains </w:t>
      </w:r>
      <w:r w:rsidR="00D04EC6" w:rsidRPr="008735FC">
        <w:rPr>
          <w:rFonts w:eastAsia="Times New Roman" w:cs="Times New Roman"/>
          <w:kern w:val="22"/>
          <w:sz w:val="22"/>
          <w:lang w:val="fr-FR" w:eastAsia="en-CA"/>
        </w:rPr>
        <w:t>cas</w:t>
      </w:r>
      <w:r w:rsidR="009A60A2">
        <w:rPr>
          <w:rFonts w:eastAsia="Times New Roman" w:cs="Times New Roman"/>
          <w:kern w:val="22"/>
          <w:sz w:val="22"/>
          <w:lang w:val="fr-FR" w:eastAsia="en-CA"/>
        </w:rPr>
        <w:t xml:space="preserve"> qui pourraient </w:t>
      </w:r>
      <w:r w:rsidR="008735FC">
        <w:rPr>
          <w:rFonts w:eastAsia="Times New Roman" w:cs="Times New Roman"/>
          <w:kern w:val="22"/>
          <w:sz w:val="22"/>
          <w:lang w:val="fr-FR" w:eastAsia="en-CA"/>
        </w:rPr>
        <w:t xml:space="preserve">être traités dans le cadre de </w:t>
      </w:r>
      <w:r w:rsidR="00B90EF3" w:rsidRPr="008735FC">
        <w:rPr>
          <w:rFonts w:eastAsia="Times New Roman" w:cs="Times New Roman"/>
          <w:kern w:val="22"/>
          <w:sz w:val="22"/>
          <w:lang w:val="fr-FR" w:eastAsia="en-CA"/>
        </w:rPr>
        <w:t>l’article</w:t>
      </w:r>
      <w:r w:rsidR="00DF5419" w:rsidRPr="008735FC">
        <w:rPr>
          <w:rFonts w:eastAsia="Times New Roman" w:cs="Times New Roman"/>
          <w:kern w:val="22"/>
          <w:sz w:val="22"/>
          <w:lang w:val="fr-FR" w:eastAsia="en-CA"/>
        </w:rPr>
        <w:t xml:space="preserve"> 11</w:t>
      </w:r>
      <w:r w:rsidR="009A60A2">
        <w:rPr>
          <w:rFonts w:eastAsia="Times New Roman" w:cs="Times New Roman"/>
          <w:kern w:val="22"/>
          <w:sz w:val="22"/>
          <w:lang w:val="fr-FR" w:eastAsia="en-CA"/>
        </w:rPr>
        <w:t xml:space="preserve"> également</w:t>
      </w:r>
      <w:r w:rsidR="00DF5419" w:rsidRPr="008735FC">
        <w:rPr>
          <w:rFonts w:eastAsia="Times New Roman" w:cs="Times New Roman"/>
          <w:kern w:val="22"/>
          <w:sz w:val="22"/>
          <w:lang w:val="fr-FR" w:eastAsia="en-CA"/>
        </w:rPr>
        <w:t>.</w:t>
      </w:r>
    </w:p>
    <w:p w14:paraId="21D1F84C" w14:textId="25D0158F" w:rsidR="00136AAE" w:rsidRPr="0028742E" w:rsidRDefault="007C07D7" w:rsidP="00A2063C">
      <w:pPr>
        <w:pBdr>
          <w:top w:val="single" w:sz="18" w:space="1" w:color="auto"/>
          <w:left w:val="single" w:sz="18" w:space="1" w:color="auto"/>
          <w:bottom w:val="single" w:sz="18" w:space="1" w:color="auto"/>
          <w:right w:val="single" w:sz="18" w:space="1" w:color="auto"/>
          <w:between w:val="nil"/>
        </w:pBdr>
        <w:spacing w:before="120" w:after="120"/>
        <w:rPr>
          <w:rFonts w:eastAsia="Times New Roman" w:cs="Times New Roman"/>
          <w:kern w:val="22"/>
          <w:sz w:val="22"/>
          <w:lang w:val="fr-FR" w:eastAsia="en-CA"/>
        </w:rPr>
      </w:pPr>
      <w:bookmarkStart w:id="2" w:name="_Hlk39401242"/>
      <w:r>
        <w:rPr>
          <w:rFonts w:eastAsia="Times New Roman" w:cs="Times New Roman"/>
          <w:kern w:val="22"/>
          <w:sz w:val="22"/>
          <w:lang w:val="fr-FR" w:eastAsia="en-CA"/>
        </w:rPr>
        <w:t>Pour réaliser</w:t>
      </w:r>
      <w:r w:rsidR="008735FC">
        <w:rPr>
          <w:rFonts w:eastAsia="Times New Roman" w:cs="Times New Roman"/>
          <w:kern w:val="22"/>
          <w:sz w:val="22"/>
          <w:lang w:val="fr-FR" w:eastAsia="en-CA"/>
        </w:rPr>
        <w:t xml:space="preserve"> cette </w:t>
      </w:r>
      <w:r w:rsidR="00E3674F" w:rsidRPr="008735FC">
        <w:rPr>
          <w:rFonts w:eastAsia="Times New Roman" w:cs="Times New Roman"/>
          <w:kern w:val="22"/>
          <w:sz w:val="22"/>
          <w:lang w:val="fr-FR" w:eastAsia="en-CA"/>
        </w:rPr>
        <w:t>étude</w:t>
      </w:r>
      <w:r w:rsidR="00DF5419" w:rsidRPr="008735FC">
        <w:rPr>
          <w:rFonts w:eastAsia="Times New Roman" w:cs="Times New Roman"/>
          <w:kern w:val="22"/>
          <w:sz w:val="22"/>
          <w:lang w:val="fr-FR" w:eastAsia="en-CA"/>
        </w:rPr>
        <w:t xml:space="preserve">, </w:t>
      </w:r>
      <w:r w:rsidR="00367430" w:rsidRPr="008735FC">
        <w:rPr>
          <w:rFonts w:eastAsia="Times New Roman" w:cs="Times New Roman"/>
          <w:kern w:val="22"/>
          <w:sz w:val="22"/>
          <w:lang w:val="fr-FR" w:eastAsia="en-CA"/>
        </w:rPr>
        <w:t>les auteurs</w:t>
      </w:r>
      <w:r w:rsidR="00DF5419" w:rsidRPr="008735FC">
        <w:rPr>
          <w:rFonts w:eastAsia="Times New Roman" w:cs="Times New Roman"/>
          <w:kern w:val="22"/>
          <w:sz w:val="22"/>
          <w:lang w:val="fr-FR" w:eastAsia="en-CA"/>
        </w:rPr>
        <w:t xml:space="preserve"> </w:t>
      </w:r>
      <w:r w:rsidR="008735FC">
        <w:rPr>
          <w:rFonts w:eastAsia="Times New Roman" w:cs="Times New Roman"/>
          <w:kern w:val="22"/>
          <w:sz w:val="22"/>
          <w:lang w:val="fr-FR" w:eastAsia="en-CA"/>
        </w:rPr>
        <w:t>ont interpré</w:t>
      </w:r>
      <w:r w:rsidR="00D8317B">
        <w:rPr>
          <w:rFonts w:eastAsia="Times New Roman" w:cs="Times New Roman"/>
          <w:kern w:val="22"/>
          <w:sz w:val="22"/>
          <w:lang w:val="fr-FR" w:eastAsia="en-CA"/>
        </w:rPr>
        <w:t>té la</w:t>
      </w:r>
      <w:r w:rsidR="00DF5419" w:rsidRPr="008735FC">
        <w:rPr>
          <w:rFonts w:eastAsia="Times New Roman" w:cs="Times New Roman"/>
          <w:kern w:val="22"/>
          <w:sz w:val="22"/>
          <w:lang w:val="fr-FR" w:eastAsia="en-CA"/>
        </w:rPr>
        <w:t xml:space="preserve"> </w:t>
      </w:r>
      <w:r w:rsidR="008735FC">
        <w:rPr>
          <w:rFonts w:eastAsia="Times New Roman" w:cs="Times New Roman"/>
          <w:kern w:val="22"/>
          <w:sz w:val="22"/>
          <w:lang w:val="fr-FR" w:eastAsia="en-CA"/>
        </w:rPr>
        <w:t xml:space="preserve">demande </w:t>
      </w:r>
      <w:r w:rsidR="00D8317B">
        <w:rPr>
          <w:rFonts w:eastAsia="Times New Roman" w:cs="Times New Roman"/>
          <w:kern w:val="22"/>
          <w:sz w:val="22"/>
          <w:lang w:val="fr-FR" w:eastAsia="en-CA"/>
        </w:rPr>
        <w:t>faite d’</w:t>
      </w:r>
      <w:r w:rsidR="00E3674F" w:rsidRPr="008735FC">
        <w:rPr>
          <w:rFonts w:eastAsia="Times New Roman" w:cs="Times New Roman"/>
          <w:kern w:val="22"/>
          <w:sz w:val="22"/>
          <w:lang w:val="fr-FR" w:eastAsia="en-CA"/>
        </w:rPr>
        <w:t>identifier</w:t>
      </w:r>
      <w:r w:rsidR="00DF5419" w:rsidRPr="008735FC">
        <w:rPr>
          <w:rFonts w:eastAsia="Times New Roman" w:cs="Times New Roman"/>
          <w:kern w:val="22"/>
          <w:sz w:val="22"/>
          <w:lang w:val="fr-FR" w:eastAsia="en-CA"/>
        </w:rPr>
        <w:t xml:space="preserve"> </w:t>
      </w:r>
      <w:r w:rsidR="00952746" w:rsidRPr="008735FC">
        <w:rPr>
          <w:rFonts w:eastAsia="Times New Roman" w:cs="Times New Roman"/>
          <w:kern w:val="22"/>
          <w:sz w:val="22"/>
          <w:lang w:val="fr-FR" w:eastAsia="en-CA"/>
        </w:rPr>
        <w:t>‘</w:t>
      </w:r>
      <w:r w:rsidR="00E3674F" w:rsidRPr="008735FC">
        <w:rPr>
          <w:rFonts w:eastAsia="Times New Roman" w:cs="Times New Roman"/>
          <w:kern w:val="22"/>
          <w:sz w:val="22"/>
          <w:lang w:val="fr-FR" w:eastAsia="en-CA"/>
        </w:rPr>
        <w:t>des cas spécifiques</w:t>
      </w:r>
      <w:r w:rsidR="00952746" w:rsidRPr="008735FC">
        <w:rPr>
          <w:rFonts w:eastAsia="Times New Roman" w:cs="Times New Roman"/>
          <w:kern w:val="22"/>
          <w:sz w:val="22"/>
          <w:lang w:val="fr-FR" w:eastAsia="en-CA"/>
        </w:rPr>
        <w:t>’</w:t>
      </w:r>
      <w:r w:rsidR="00DF5419" w:rsidRPr="008735FC">
        <w:rPr>
          <w:rFonts w:eastAsia="Times New Roman" w:cs="Times New Roman"/>
          <w:kern w:val="22"/>
          <w:sz w:val="22"/>
          <w:lang w:val="fr-FR" w:eastAsia="en-CA"/>
        </w:rPr>
        <w:t xml:space="preserve"> </w:t>
      </w:r>
      <w:r w:rsidR="00D8317B">
        <w:rPr>
          <w:rFonts w:eastAsia="Times New Roman" w:cs="Times New Roman"/>
          <w:kern w:val="22"/>
          <w:sz w:val="22"/>
          <w:lang w:val="fr-FR" w:eastAsia="en-CA"/>
        </w:rPr>
        <w:t>susceptibles d’entrer</w:t>
      </w:r>
      <w:r w:rsidR="00934A20" w:rsidRPr="008735FC">
        <w:rPr>
          <w:rFonts w:eastAsia="Times New Roman" w:cs="Times New Roman"/>
          <w:kern w:val="22"/>
          <w:sz w:val="22"/>
          <w:lang w:val="fr-FR" w:eastAsia="en-CA"/>
        </w:rPr>
        <w:t xml:space="preserve"> dans le champ d’application</w:t>
      </w:r>
      <w:r w:rsidR="00D8317B">
        <w:rPr>
          <w:rFonts w:eastAsia="Times New Roman" w:cs="Times New Roman"/>
          <w:kern w:val="22"/>
          <w:sz w:val="22"/>
          <w:lang w:val="fr-FR" w:eastAsia="en-CA"/>
        </w:rPr>
        <w:t xml:space="preserve"> de l’</w:t>
      </w:r>
      <w:r w:rsidR="00FD73A5" w:rsidRPr="008735FC">
        <w:rPr>
          <w:rFonts w:eastAsia="Times New Roman" w:cs="Times New Roman"/>
          <w:kern w:val="22"/>
          <w:sz w:val="22"/>
          <w:lang w:val="fr-FR" w:eastAsia="en-CA"/>
        </w:rPr>
        <w:t>article</w:t>
      </w:r>
      <w:r w:rsidR="00DF5419" w:rsidRPr="008735FC">
        <w:rPr>
          <w:rFonts w:eastAsia="Times New Roman" w:cs="Times New Roman"/>
          <w:kern w:val="22"/>
          <w:sz w:val="22"/>
          <w:lang w:val="fr-FR" w:eastAsia="en-CA"/>
        </w:rPr>
        <w:t xml:space="preserve"> 10</w:t>
      </w:r>
      <w:r>
        <w:rPr>
          <w:rFonts w:eastAsia="Times New Roman" w:cs="Times New Roman"/>
          <w:kern w:val="22"/>
          <w:sz w:val="22"/>
          <w:lang w:val="fr-FR" w:eastAsia="en-CA"/>
        </w:rPr>
        <w:t xml:space="preserve"> du Protocole</w:t>
      </w:r>
      <w:r w:rsidR="00DF5419" w:rsidRPr="008735FC">
        <w:rPr>
          <w:rFonts w:eastAsia="Times New Roman" w:cs="Times New Roman"/>
          <w:kern w:val="22"/>
          <w:sz w:val="22"/>
          <w:lang w:val="fr-FR" w:eastAsia="en-CA"/>
        </w:rPr>
        <w:t xml:space="preserve"> </w:t>
      </w:r>
      <w:r w:rsidR="00D8317B">
        <w:rPr>
          <w:rFonts w:eastAsia="Times New Roman" w:cs="Times New Roman"/>
          <w:kern w:val="22"/>
          <w:sz w:val="22"/>
          <w:lang w:val="fr-FR" w:eastAsia="en-CA"/>
        </w:rPr>
        <w:t xml:space="preserve">comme signifiant une </w:t>
      </w:r>
      <w:r w:rsidR="008735FC">
        <w:rPr>
          <w:rFonts w:eastAsia="Times New Roman" w:cs="Times New Roman"/>
          <w:kern w:val="22"/>
          <w:sz w:val="22"/>
          <w:lang w:val="fr-FR" w:eastAsia="en-CA"/>
        </w:rPr>
        <w:t xml:space="preserve">demande </w:t>
      </w:r>
      <w:r w:rsidR="00D8317B">
        <w:rPr>
          <w:rFonts w:eastAsia="Times New Roman" w:cs="Times New Roman"/>
          <w:kern w:val="22"/>
          <w:sz w:val="22"/>
          <w:lang w:val="fr-FR" w:eastAsia="en-CA"/>
        </w:rPr>
        <w:t>d’</w:t>
      </w:r>
      <w:r w:rsidR="00E3674F" w:rsidRPr="008735FC">
        <w:rPr>
          <w:rFonts w:eastAsia="Times New Roman" w:cs="Times New Roman"/>
          <w:kern w:val="22"/>
          <w:sz w:val="22"/>
          <w:lang w:val="fr-FR" w:eastAsia="en-CA"/>
        </w:rPr>
        <w:t>identifier</w:t>
      </w:r>
      <w:r w:rsidR="00DF5419" w:rsidRPr="008735FC">
        <w:rPr>
          <w:rFonts w:eastAsia="Times New Roman" w:cs="Times New Roman"/>
          <w:kern w:val="22"/>
          <w:sz w:val="22"/>
          <w:lang w:val="fr-FR" w:eastAsia="en-CA"/>
        </w:rPr>
        <w:t xml:space="preserve"> </w:t>
      </w:r>
      <w:r w:rsidR="00D8317B">
        <w:rPr>
          <w:rFonts w:eastAsia="Times New Roman" w:cs="Times New Roman"/>
          <w:kern w:val="22"/>
          <w:sz w:val="22"/>
          <w:lang w:val="fr-FR" w:eastAsia="en-CA"/>
        </w:rPr>
        <w:t>des catégories distinctes de</w:t>
      </w:r>
      <w:r w:rsidR="00A033F8" w:rsidRPr="008735FC">
        <w:rPr>
          <w:rFonts w:eastAsia="Times New Roman" w:cs="Times New Roman"/>
          <w:kern w:val="22"/>
          <w:sz w:val="22"/>
          <w:lang w:val="fr-FR" w:eastAsia="en-CA"/>
        </w:rPr>
        <w:t xml:space="preserve"> </w:t>
      </w:r>
      <w:r w:rsidR="00D04EC6" w:rsidRPr="008735FC">
        <w:rPr>
          <w:rFonts w:eastAsia="Times New Roman" w:cs="Times New Roman"/>
          <w:kern w:val="22"/>
          <w:sz w:val="22"/>
          <w:lang w:val="fr-FR" w:eastAsia="en-CA"/>
        </w:rPr>
        <w:t>cas</w:t>
      </w:r>
      <w:r>
        <w:rPr>
          <w:rFonts w:eastAsia="Times New Roman" w:cs="Times New Roman"/>
          <w:kern w:val="22"/>
          <w:sz w:val="22"/>
          <w:lang w:val="fr-FR" w:eastAsia="en-CA"/>
        </w:rPr>
        <w:t xml:space="preserve">, plutôt que </w:t>
      </w:r>
      <w:r w:rsidR="00D8317B">
        <w:rPr>
          <w:rFonts w:eastAsia="Times New Roman" w:cs="Times New Roman"/>
          <w:kern w:val="22"/>
          <w:sz w:val="22"/>
          <w:lang w:val="fr-FR" w:eastAsia="en-CA"/>
        </w:rPr>
        <w:t xml:space="preserve">des </w:t>
      </w:r>
      <w:r w:rsidR="009D43F1" w:rsidRPr="008735FC">
        <w:rPr>
          <w:rFonts w:eastAsia="Times New Roman" w:cs="Times New Roman"/>
          <w:kern w:val="22"/>
          <w:sz w:val="22"/>
          <w:lang w:val="fr-FR" w:eastAsia="en-CA"/>
        </w:rPr>
        <w:t>exemple</w:t>
      </w:r>
      <w:r>
        <w:rPr>
          <w:rFonts w:eastAsia="Times New Roman" w:cs="Times New Roman"/>
          <w:kern w:val="22"/>
          <w:sz w:val="22"/>
          <w:lang w:val="fr-FR" w:eastAsia="en-CA"/>
        </w:rPr>
        <w:t>s</w:t>
      </w:r>
      <w:r w:rsidR="00C51702">
        <w:rPr>
          <w:rFonts w:eastAsia="Times New Roman" w:cs="Times New Roman"/>
          <w:kern w:val="22"/>
          <w:sz w:val="22"/>
          <w:lang w:val="fr-FR" w:eastAsia="en-CA"/>
        </w:rPr>
        <w:t xml:space="preserve"> de cas</w:t>
      </w:r>
      <w:r>
        <w:rPr>
          <w:rFonts w:eastAsia="Times New Roman" w:cs="Times New Roman"/>
          <w:kern w:val="22"/>
          <w:sz w:val="22"/>
          <w:lang w:val="fr-FR" w:eastAsia="en-CA"/>
        </w:rPr>
        <w:t xml:space="preserve"> individuels</w:t>
      </w:r>
      <w:r w:rsidR="00D8317B">
        <w:rPr>
          <w:rFonts w:eastAsia="Times New Roman" w:cs="Times New Roman"/>
          <w:kern w:val="22"/>
          <w:sz w:val="22"/>
          <w:lang w:val="fr-FR" w:eastAsia="en-CA"/>
        </w:rPr>
        <w:t>.</w:t>
      </w:r>
      <w:r w:rsidR="00DF5419" w:rsidRPr="008735FC">
        <w:rPr>
          <w:rFonts w:eastAsia="Times New Roman" w:cs="Times New Roman"/>
          <w:kern w:val="22"/>
          <w:sz w:val="22"/>
          <w:lang w:val="fr-FR" w:eastAsia="en-CA"/>
        </w:rPr>
        <w:t xml:space="preserve"> </w:t>
      </w:r>
      <w:r w:rsidR="00D8317B">
        <w:rPr>
          <w:rFonts w:eastAsia="Times New Roman" w:cs="Times New Roman"/>
          <w:kern w:val="22"/>
          <w:sz w:val="22"/>
          <w:lang w:val="fr-FR" w:eastAsia="en-CA"/>
        </w:rPr>
        <w:t xml:space="preserve">Ainsi, les </w:t>
      </w:r>
      <w:r w:rsidR="00D04EC6" w:rsidRPr="00D8317B">
        <w:rPr>
          <w:rFonts w:eastAsia="Times New Roman" w:cs="Times New Roman"/>
          <w:kern w:val="22"/>
          <w:sz w:val="22"/>
          <w:lang w:val="fr-FR" w:eastAsia="en-CA"/>
        </w:rPr>
        <w:t>cas</w:t>
      </w:r>
      <w:r w:rsidR="00DF5419" w:rsidRPr="00D8317B">
        <w:rPr>
          <w:rFonts w:eastAsia="Times New Roman" w:cs="Times New Roman"/>
          <w:kern w:val="22"/>
          <w:sz w:val="22"/>
          <w:lang w:val="fr-FR" w:eastAsia="en-CA"/>
        </w:rPr>
        <w:t xml:space="preserve"> </w:t>
      </w:r>
      <w:r w:rsidR="00D8317B">
        <w:rPr>
          <w:rFonts w:eastAsia="Times New Roman" w:cs="Times New Roman"/>
          <w:kern w:val="22"/>
          <w:sz w:val="22"/>
          <w:lang w:val="fr-FR" w:eastAsia="en-CA"/>
        </w:rPr>
        <w:t>pr</w:t>
      </w:r>
      <w:r>
        <w:rPr>
          <w:rFonts w:eastAsia="Times New Roman" w:cs="Times New Roman"/>
          <w:kern w:val="22"/>
          <w:sz w:val="22"/>
          <w:lang w:val="fr-FR" w:eastAsia="en-CA"/>
        </w:rPr>
        <w:t>ése</w:t>
      </w:r>
      <w:r w:rsidR="00C51702">
        <w:rPr>
          <w:rFonts w:eastAsia="Times New Roman" w:cs="Times New Roman"/>
          <w:kern w:val="22"/>
          <w:sz w:val="22"/>
          <w:lang w:val="fr-FR" w:eastAsia="en-CA"/>
        </w:rPr>
        <w:t>ntés ci-dessous visent à être illustratifs</w:t>
      </w:r>
      <w:r w:rsidR="00D8317B">
        <w:rPr>
          <w:rFonts w:eastAsia="Times New Roman" w:cs="Times New Roman"/>
          <w:kern w:val="22"/>
          <w:sz w:val="22"/>
          <w:lang w:val="fr-FR" w:eastAsia="en-CA"/>
        </w:rPr>
        <w:t>, plut</w:t>
      </w:r>
      <w:r w:rsidR="00C51702">
        <w:rPr>
          <w:rFonts w:eastAsia="Times New Roman" w:cs="Times New Roman"/>
          <w:kern w:val="22"/>
          <w:sz w:val="22"/>
          <w:lang w:val="fr-FR" w:eastAsia="en-CA"/>
        </w:rPr>
        <w:t xml:space="preserve">ôt que </w:t>
      </w:r>
      <w:r>
        <w:rPr>
          <w:rFonts w:eastAsia="Times New Roman" w:cs="Times New Roman"/>
          <w:kern w:val="22"/>
          <w:sz w:val="22"/>
          <w:lang w:val="fr-FR" w:eastAsia="en-CA"/>
        </w:rPr>
        <w:t>des</w:t>
      </w:r>
      <w:r w:rsidR="00C51702">
        <w:rPr>
          <w:rFonts w:eastAsia="Times New Roman" w:cs="Times New Roman"/>
          <w:kern w:val="22"/>
          <w:sz w:val="22"/>
          <w:lang w:val="fr-FR" w:eastAsia="en-CA"/>
        </w:rPr>
        <w:t xml:space="preserve"> exemples spécifiques</w:t>
      </w:r>
      <w:r w:rsidR="0028742E">
        <w:rPr>
          <w:rFonts w:eastAsia="Times New Roman" w:cs="Times New Roman"/>
          <w:kern w:val="22"/>
          <w:sz w:val="22"/>
          <w:lang w:val="fr-FR" w:eastAsia="en-CA"/>
        </w:rPr>
        <w:t xml:space="preserve"> </w:t>
      </w:r>
      <w:r w:rsidR="00D6232E" w:rsidRPr="00D8317B">
        <w:rPr>
          <w:rFonts w:eastAsia="Times New Roman" w:cs="Times New Roman"/>
          <w:kern w:val="22"/>
          <w:sz w:val="22"/>
          <w:lang w:val="fr-FR" w:eastAsia="en-CA"/>
        </w:rPr>
        <w:t>de ressources</w:t>
      </w:r>
      <w:r w:rsidR="00E3674F" w:rsidRPr="00D8317B">
        <w:rPr>
          <w:rFonts w:eastAsia="Times New Roman" w:cs="Times New Roman"/>
          <w:kern w:val="22"/>
          <w:sz w:val="22"/>
          <w:lang w:val="fr-FR" w:eastAsia="en-CA"/>
        </w:rPr>
        <w:t xml:space="preserve"> génétiques</w:t>
      </w:r>
      <w:r w:rsidR="0028742E">
        <w:rPr>
          <w:rFonts w:eastAsia="Times New Roman" w:cs="Times New Roman"/>
          <w:kern w:val="22"/>
          <w:sz w:val="22"/>
          <w:lang w:val="fr-FR" w:eastAsia="en-CA"/>
        </w:rPr>
        <w:t xml:space="preserve"> ou </w:t>
      </w:r>
      <w:r>
        <w:rPr>
          <w:rFonts w:eastAsia="Times New Roman" w:cs="Times New Roman"/>
          <w:kern w:val="22"/>
          <w:sz w:val="22"/>
          <w:lang w:val="fr-FR" w:eastAsia="en-CA"/>
        </w:rPr>
        <w:t xml:space="preserve">de </w:t>
      </w:r>
      <w:r w:rsidR="00E3674F" w:rsidRPr="00D8317B">
        <w:rPr>
          <w:rFonts w:eastAsia="Times New Roman" w:cs="Times New Roman"/>
          <w:kern w:val="22"/>
          <w:sz w:val="22"/>
          <w:lang w:val="fr-FR" w:eastAsia="en-CA"/>
        </w:rPr>
        <w:t>connaissances traditionnelles</w:t>
      </w:r>
      <w:r w:rsidR="0028742E">
        <w:rPr>
          <w:rFonts w:eastAsia="Times New Roman" w:cs="Times New Roman"/>
          <w:kern w:val="22"/>
          <w:sz w:val="22"/>
          <w:lang w:val="fr-FR" w:eastAsia="en-CA"/>
        </w:rPr>
        <w:t xml:space="preserve"> qui</w:t>
      </w:r>
      <w:r w:rsidR="00DF5419" w:rsidRPr="00D8317B">
        <w:rPr>
          <w:rFonts w:eastAsia="Times New Roman" w:cs="Times New Roman"/>
          <w:kern w:val="22"/>
          <w:sz w:val="22"/>
          <w:lang w:val="fr-FR" w:eastAsia="en-CA"/>
        </w:rPr>
        <w:t xml:space="preserve"> </w:t>
      </w:r>
      <w:r w:rsidR="00934A20" w:rsidRPr="00D8317B">
        <w:rPr>
          <w:rFonts w:eastAsia="Times New Roman" w:cs="Times New Roman"/>
          <w:kern w:val="22"/>
          <w:sz w:val="22"/>
          <w:lang w:val="fr-FR" w:eastAsia="en-CA"/>
        </w:rPr>
        <w:t>entrent dans le champ d’application</w:t>
      </w:r>
      <w:r w:rsidR="00DF5419" w:rsidRPr="00D8317B">
        <w:rPr>
          <w:rFonts w:eastAsia="Times New Roman" w:cs="Times New Roman"/>
          <w:kern w:val="22"/>
          <w:sz w:val="22"/>
          <w:lang w:val="fr-FR" w:eastAsia="en-CA"/>
        </w:rPr>
        <w:t xml:space="preserve"> </w:t>
      </w:r>
      <w:r w:rsidR="0028742E">
        <w:rPr>
          <w:rFonts w:eastAsia="Times New Roman" w:cs="Times New Roman"/>
          <w:kern w:val="22"/>
          <w:sz w:val="22"/>
          <w:lang w:val="fr-FR" w:eastAsia="en-CA"/>
        </w:rPr>
        <w:t>de l’article</w:t>
      </w:r>
      <w:r w:rsidR="00786FC2" w:rsidRPr="00D8317B">
        <w:rPr>
          <w:rFonts w:eastAsia="Times New Roman" w:cs="Times New Roman"/>
          <w:kern w:val="22"/>
          <w:sz w:val="22"/>
          <w:lang w:val="fr-FR" w:eastAsia="en-CA"/>
        </w:rPr>
        <w:t> </w:t>
      </w:r>
      <w:r w:rsidR="00DF5419" w:rsidRPr="00D8317B">
        <w:rPr>
          <w:rFonts w:eastAsia="Times New Roman" w:cs="Times New Roman"/>
          <w:kern w:val="22"/>
          <w:sz w:val="22"/>
          <w:lang w:val="fr-FR" w:eastAsia="en-CA"/>
        </w:rPr>
        <w:t xml:space="preserve">10.  </w:t>
      </w:r>
      <w:r w:rsidR="001A200E" w:rsidRPr="0028742E">
        <w:rPr>
          <w:rFonts w:eastAsia="Times New Roman" w:cs="Times New Roman"/>
          <w:kern w:val="22"/>
          <w:sz w:val="22"/>
          <w:lang w:val="fr-FR" w:eastAsia="en-CA"/>
        </w:rPr>
        <w:t>D’autre part</w:t>
      </w:r>
      <w:r w:rsidR="0078605E" w:rsidRPr="0028742E">
        <w:rPr>
          <w:rFonts w:eastAsia="Times New Roman" w:cs="Times New Roman"/>
          <w:kern w:val="22"/>
          <w:sz w:val="22"/>
          <w:lang w:val="fr-FR" w:eastAsia="en-CA"/>
        </w:rPr>
        <w:t>,</w:t>
      </w:r>
      <w:r w:rsidR="0078605E" w:rsidRPr="0028742E" w:rsidDel="0078605E">
        <w:rPr>
          <w:rFonts w:eastAsia="Times New Roman" w:cs="Times New Roman"/>
          <w:kern w:val="22"/>
          <w:sz w:val="22"/>
          <w:lang w:val="fr-FR" w:eastAsia="en-CA"/>
        </w:rPr>
        <w:t xml:space="preserve"> </w:t>
      </w:r>
      <w:r w:rsidR="00C879A0">
        <w:rPr>
          <w:rFonts w:eastAsia="Times New Roman" w:cs="Times New Roman"/>
          <w:kern w:val="22"/>
          <w:sz w:val="22"/>
          <w:lang w:val="fr-FR" w:eastAsia="en-CA"/>
        </w:rPr>
        <w:t>conformément à l’</w:t>
      </w:r>
      <w:r w:rsidR="001A200E" w:rsidRPr="0028742E">
        <w:rPr>
          <w:rFonts w:eastAsia="Times New Roman" w:cs="Times New Roman"/>
          <w:kern w:val="22"/>
          <w:sz w:val="22"/>
          <w:lang w:val="fr-FR" w:eastAsia="en-CA"/>
        </w:rPr>
        <w:t>approche inclusive</w:t>
      </w:r>
      <w:r w:rsidR="0078605E" w:rsidRPr="0028742E">
        <w:rPr>
          <w:rFonts w:eastAsia="Times New Roman" w:cs="Times New Roman"/>
          <w:kern w:val="22"/>
          <w:sz w:val="22"/>
          <w:lang w:val="fr-FR" w:eastAsia="en-CA"/>
        </w:rPr>
        <w:t xml:space="preserve"> </w:t>
      </w:r>
      <w:r w:rsidR="0028742E" w:rsidRPr="0028742E">
        <w:rPr>
          <w:rFonts w:eastAsia="Times New Roman" w:cs="Times New Roman"/>
          <w:kern w:val="22"/>
          <w:sz w:val="22"/>
          <w:lang w:val="fr-FR" w:eastAsia="en-CA"/>
        </w:rPr>
        <w:t xml:space="preserve">retenue pour cette </w:t>
      </w:r>
      <w:r w:rsidR="00E3674F" w:rsidRPr="0028742E">
        <w:rPr>
          <w:rFonts w:eastAsia="Times New Roman" w:cs="Times New Roman"/>
          <w:kern w:val="22"/>
          <w:sz w:val="22"/>
          <w:lang w:val="fr-FR" w:eastAsia="en-CA"/>
        </w:rPr>
        <w:t>étude</w:t>
      </w:r>
      <w:r w:rsidR="00F15FDB" w:rsidRPr="0028742E">
        <w:rPr>
          <w:rFonts w:eastAsia="Times New Roman" w:cs="Times New Roman"/>
          <w:kern w:val="22"/>
          <w:sz w:val="22"/>
          <w:lang w:val="fr-FR" w:eastAsia="en-CA"/>
        </w:rPr>
        <w:t xml:space="preserve">, </w:t>
      </w:r>
      <w:r w:rsidR="00367430" w:rsidRPr="0028742E">
        <w:rPr>
          <w:rFonts w:eastAsia="Times New Roman" w:cs="Times New Roman"/>
          <w:kern w:val="22"/>
          <w:sz w:val="22"/>
          <w:lang w:val="fr-FR" w:eastAsia="en-CA"/>
        </w:rPr>
        <w:t>les auteurs</w:t>
      </w:r>
      <w:r w:rsidR="0078605E" w:rsidRPr="0028742E">
        <w:rPr>
          <w:rFonts w:eastAsia="Times New Roman" w:cs="Times New Roman"/>
          <w:kern w:val="22"/>
          <w:sz w:val="22"/>
          <w:lang w:val="fr-FR" w:eastAsia="en-CA"/>
        </w:rPr>
        <w:t xml:space="preserve"> </w:t>
      </w:r>
      <w:r w:rsidR="0028742E">
        <w:rPr>
          <w:rFonts w:eastAsia="Times New Roman" w:cs="Times New Roman"/>
          <w:kern w:val="22"/>
          <w:sz w:val="22"/>
          <w:lang w:val="fr-FR" w:eastAsia="en-CA"/>
        </w:rPr>
        <w:t xml:space="preserve">ont choisi d’utiliser </w:t>
      </w:r>
      <w:r w:rsidR="0028742E">
        <w:rPr>
          <w:rFonts w:eastAsia="Times New Roman" w:cs="Times New Roman"/>
          <w:kern w:val="22"/>
          <w:sz w:val="22"/>
          <w:lang w:val="fr-FR" w:eastAsia="en-CA"/>
        </w:rPr>
        <w:lastRenderedPageBreak/>
        <w:t>une définition du terme</w:t>
      </w:r>
      <w:r w:rsidR="00967A5C" w:rsidRPr="0028742E">
        <w:rPr>
          <w:rFonts w:eastAsia="Times New Roman" w:cs="Times New Roman"/>
          <w:kern w:val="22"/>
          <w:sz w:val="22"/>
          <w:lang w:val="fr-FR" w:eastAsia="en-CA"/>
        </w:rPr>
        <w:t xml:space="preserve"> </w:t>
      </w:r>
      <w:r w:rsidR="00952746" w:rsidRPr="0028742E">
        <w:rPr>
          <w:rFonts w:eastAsia="Times New Roman" w:cs="Times New Roman"/>
          <w:kern w:val="22"/>
          <w:sz w:val="22"/>
          <w:lang w:val="fr-FR" w:eastAsia="en-CA"/>
        </w:rPr>
        <w:t>‘</w:t>
      </w:r>
      <w:r w:rsidR="0028742E">
        <w:rPr>
          <w:rFonts w:eastAsia="Times New Roman" w:cs="Times New Roman"/>
          <w:kern w:val="22"/>
          <w:sz w:val="22"/>
          <w:lang w:val="fr-FR" w:eastAsia="en-CA"/>
        </w:rPr>
        <w:t>im</w:t>
      </w:r>
      <w:r w:rsidR="00967A5C" w:rsidRPr="0028742E">
        <w:rPr>
          <w:rFonts w:eastAsia="Times New Roman" w:cs="Times New Roman"/>
          <w:kern w:val="22"/>
          <w:sz w:val="22"/>
          <w:lang w:val="fr-FR" w:eastAsia="en-CA"/>
        </w:rPr>
        <w:t>possible</w:t>
      </w:r>
      <w:r w:rsidR="00952746" w:rsidRPr="0028742E">
        <w:rPr>
          <w:rFonts w:eastAsia="Times New Roman" w:cs="Times New Roman"/>
          <w:kern w:val="22"/>
          <w:sz w:val="22"/>
          <w:lang w:val="fr-FR" w:eastAsia="en-CA"/>
        </w:rPr>
        <w:t>’</w:t>
      </w:r>
      <w:r w:rsidR="00967A5C" w:rsidRPr="0028742E">
        <w:rPr>
          <w:rFonts w:eastAsia="Times New Roman" w:cs="Times New Roman"/>
          <w:kern w:val="22"/>
          <w:sz w:val="22"/>
          <w:lang w:val="fr-FR" w:eastAsia="en-CA"/>
        </w:rPr>
        <w:t xml:space="preserve"> </w:t>
      </w:r>
      <w:r w:rsidR="00C879A0">
        <w:rPr>
          <w:rFonts w:eastAsia="Times New Roman" w:cs="Times New Roman"/>
          <w:kern w:val="22"/>
          <w:sz w:val="22"/>
          <w:lang w:val="fr-FR" w:eastAsia="en-CA"/>
        </w:rPr>
        <w:t>comme inclua</w:t>
      </w:r>
      <w:r w:rsidR="00C51702">
        <w:rPr>
          <w:rFonts w:eastAsia="Times New Roman" w:cs="Times New Roman"/>
          <w:kern w:val="22"/>
          <w:sz w:val="22"/>
          <w:lang w:val="fr-FR" w:eastAsia="en-CA"/>
        </w:rPr>
        <w:t>nt</w:t>
      </w:r>
      <w:r w:rsidR="0028742E">
        <w:rPr>
          <w:rFonts w:eastAsia="Times New Roman" w:cs="Times New Roman"/>
          <w:kern w:val="22"/>
          <w:sz w:val="22"/>
          <w:lang w:val="fr-FR" w:eastAsia="en-CA"/>
        </w:rPr>
        <w:t xml:space="preserve"> à la fois une</w:t>
      </w:r>
      <w:r w:rsidR="00967A5C" w:rsidRPr="0028742E">
        <w:rPr>
          <w:rFonts w:eastAsia="Times New Roman" w:cs="Times New Roman"/>
          <w:kern w:val="22"/>
          <w:sz w:val="22"/>
          <w:lang w:val="fr-FR" w:eastAsia="en-CA"/>
        </w:rPr>
        <w:t xml:space="preserve"> </w:t>
      </w:r>
      <w:r w:rsidR="0028742E">
        <w:rPr>
          <w:rFonts w:eastAsia="Times New Roman" w:cs="Times New Roman"/>
          <w:kern w:val="22"/>
          <w:sz w:val="22"/>
          <w:lang w:val="fr-FR" w:eastAsia="en-CA"/>
        </w:rPr>
        <w:t>impossibilité factuelle absolue</w:t>
      </w:r>
      <w:r w:rsidR="00E3674F" w:rsidRPr="0028742E">
        <w:rPr>
          <w:rFonts w:eastAsia="Times New Roman" w:cs="Times New Roman"/>
          <w:kern w:val="22"/>
          <w:sz w:val="22"/>
          <w:lang w:val="fr-FR" w:eastAsia="en-CA"/>
        </w:rPr>
        <w:t xml:space="preserve"> et </w:t>
      </w:r>
      <w:r w:rsidR="0028742E">
        <w:rPr>
          <w:rFonts w:eastAsia="Times New Roman" w:cs="Times New Roman"/>
          <w:kern w:val="22"/>
          <w:sz w:val="22"/>
          <w:lang w:val="fr-FR" w:eastAsia="en-CA"/>
        </w:rPr>
        <w:t>une impossibilité fonctionnelle</w:t>
      </w:r>
      <w:r w:rsidR="0078605E" w:rsidRPr="0028742E">
        <w:rPr>
          <w:rFonts w:eastAsia="Times New Roman" w:cs="Times New Roman"/>
          <w:kern w:val="22"/>
          <w:sz w:val="22"/>
          <w:lang w:val="fr-FR" w:eastAsia="en-CA"/>
        </w:rPr>
        <w:t>.</w:t>
      </w:r>
    </w:p>
    <w:bookmarkEnd w:id="2"/>
    <w:p w14:paraId="596AD339" w14:textId="2CF325F5" w:rsidR="001D0E49" w:rsidRPr="0028742E" w:rsidRDefault="0028742E" w:rsidP="00A2063C">
      <w:pPr>
        <w:pBdr>
          <w:top w:val="single" w:sz="18" w:space="1" w:color="auto"/>
          <w:left w:val="single" w:sz="18" w:space="1" w:color="auto"/>
          <w:bottom w:val="single" w:sz="18" w:space="1" w:color="auto"/>
          <w:right w:val="single" w:sz="18" w:space="1" w:color="auto"/>
          <w:between w:val="nil"/>
        </w:pBdr>
        <w:spacing w:before="120" w:after="120"/>
        <w:rPr>
          <w:rFonts w:eastAsia="Times New Roman" w:cs="Times New Roman"/>
          <w:kern w:val="22"/>
          <w:sz w:val="22"/>
          <w:lang w:val="fr-FR" w:eastAsia="en-CA"/>
        </w:rPr>
      </w:pPr>
      <w:r w:rsidRPr="0028742E">
        <w:rPr>
          <w:rFonts w:eastAsia="Times New Roman" w:cs="Times New Roman"/>
          <w:kern w:val="22"/>
          <w:sz w:val="22"/>
          <w:lang w:val="fr-FR" w:eastAsia="en-CA"/>
        </w:rPr>
        <w:t>Nonobstant</w:t>
      </w:r>
      <w:r>
        <w:rPr>
          <w:rFonts w:eastAsia="Times New Roman" w:cs="Times New Roman"/>
          <w:kern w:val="22"/>
          <w:sz w:val="22"/>
          <w:lang w:val="fr-FR" w:eastAsia="en-CA"/>
        </w:rPr>
        <w:t xml:space="preserve"> l’</w:t>
      </w:r>
      <w:r w:rsidR="001A200E" w:rsidRPr="0028742E">
        <w:rPr>
          <w:rFonts w:eastAsia="Times New Roman" w:cs="Times New Roman"/>
          <w:kern w:val="22"/>
          <w:sz w:val="22"/>
          <w:lang w:val="fr-FR" w:eastAsia="en-CA"/>
        </w:rPr>
        <w:t>approche inclusive</w:t>
      </w:r>
      <w:r>
        <w:rPr>
          <w:rFonts w:eastAsia="Times New Roman" w:cs="Times New Roman"/>
          <w:kern w:val="22"/>
          <w:sz w:val="22"/>
          <w:lang w:val="fr-FR" w:eastAsia="en-CA"/>
        </w:rPr>
        <w:t xml:space="preserve"> retenue</w:t>
      </w:r>
      <w:r w:rsidR="001D0E49" w:rsidRPr="0028742E">
        <w:rPr>
          <w:rFonts w:eastAsia="Times New Roman" w:cs="Times New Roman"/>
          <w:kern w:val="22"/>
          <w:sz w:val="22"/>
          <w:lang w:val="fr-FR" w:eastAsia="en-CA"/>
        </w:rPr>
        <w:t xml:space="preserve">, </w:t>
      </w:r>
      <w:r w:rsidR="00367430" w:rsidRPr="0028742E">
        <w:rPr>
          <w:rFonts w:eastAsia="Times New Roman" w:cs="Times New Roman"/>
          <w:kern w:val="22"/>
          <w:sz w:val="22"/>
          <w:lang w:val="fr-FR" w:eastAsia="en-CA"/>
        </w:rPr>
        <w:t>les a</w:t>
      </w:r>
      <w:r>
        <w:rPr>
          <w:rFonts w:eastAsia="Times New Roman" w:cs="Times New Roman"/>
          <w:kern w:val="22"/>
          <w:sz w:val="22"/>
          <w:lang w:val="fr-FR" w:eastAsia="en-CA"/>
        </w:rPr>
        <w:t>uteurs</w:t>
      </w:r>
      <w:r w:rsidR="001D0E49" w:rsidRPr="0028742E">
        <w:rPr>
          <w:rFonts w:eastAsia="Times New Roman" w:cs="Times New Roman"/>
          <w:kern w:val="22"/>
          <w:sz w:val="22"/>
          <w:lang w:val="fr-FR" w:eastAsia="en-CA"/>
        </w:rPr>
        <w:t xml:space="preserve"> </w:t>
      </w:r>
      <w:r>
        <w:rPr>
          <w:rFonts w:eastAsia="Times New Roman" w:cs="Times New Roman"/>
          <w:kern w:val="22"/>
          <w:sz w:val="22"/>
          <w:lang w:val="fr-FR" w:eastAsia="en-CA"/>
        </w:rPr>
        <w:t>reconnaissent que les</w:t>
      </w:r>
      <w:r w:rsidR="001D0E49" w:rsidRPr="0028742E">
        <w:rPr>
          <w:rFonts w:eastAsia="Times New Roman" w:cs="Times New Roman"/>
          <w:kern w:val="22"/>
          <w:sz w:val="22"/>
          <w:lang w:val="fr-FR" w:eastAsia="en-CA"/>
        </w:rPr>
        <w:t xml:space="preserve"> </w:t>
      </w:r>
      <w:r w:rsidR="00934A20" w:rsidRPr="0028742E">
        <w:rPr>
          <w:rFonts w:eastAsia="Times New Roman" w:cs="Times New Roman"/>
          <w:kern w:val="22"/>
          <w:sz w:val="22"/>
          <w:lang w:val="fr-FR" w:eastAsia="en-CA"/>
        </w:rPr>
        <w:t>Etats</w:t>
      </w:r>
      <w:r w:rsidR="001D0E49" w:rsidRPr="0028742E">
        <w:rPr>
          <w:rFonts w:eastAsia="Times New Roman" w:cs="Times New Roman"/>
          <w:kern w:val="22"/>
          <w:sz w:val="22"/>
          <w:lang w:val="fr-FR" w:eastAsia="en-CA"/>
        </w:rPr>
        <w:t xml:space="preserve"> </w:t>
      </w:r>
      <w:r w:rsidR="00C51702">
        <w:rPr>
          <w:rFonts w:eastAsia="Times New Roman" w:cs="Times New Roman"/>
          <w:kern w:val="22"/>
          <w:sz w:val="22"/>
          <w:lang w:val="fr-FR" w:eastAsia="en-CA"/>
        </w:rPr>
        <w:t>disposent d’</w:t>
      </w:r>
      <w:r>
        <w:rPr>
          <w:rFonts w:eastAsia="Times New Roman" w:cs="Times New Roman"/>
          <w:kern w:val="22"/>
          <w:sz w:val="22"/>
          <w:lang w:val="fr-FR" w:eastAsia="en-CA"/>
        </w:rPr>
        <w:t>une aut</w:t>
      </w:r>
      <w:r w:rsidR="00C51702">
        <w:rPr>
          <w:rFonts w:eastAsia="Times New Roman" w:cs="Times New Roman"/>
          <w:kern w:val="22"/>
          <w:sz w:val="22"/>
          <w:lang w:val="fr-FR" w:eastAsia="en-CA"/>
        </w:rPr>
        <w:t>orité souveraine pour décider de</w:t>
      </w:r>
      <w:r>
        <w:rPr>
          <w:rFonts w:eastAsia="Times New Roman" w:cs="Times New Roman"/>
          <w:kern w:val="22"/>
          <w:sz w:val="22"/>
          <w:lang w:val="fr-FR" w:eastAsia="en-CA"/>
        </w:rPr>
        <w:t xml:space="preserve"> </w:t>
      </w:r>
      <w:r w:rsidR="00C51702">
        <w:rPr>
          <w:rFonts w:eastAsia="Times New Roman" w:cs="Times New Roman"/>
          <w:kern w:val="22"/>
          <w:sz w:val="22"/>
          <w:lang w:val="fr-FR" w:eastAsia="en-CA"/>
        </w:rPr>
        <w:t>l’accès à leurs</w:t>
      </w:r>
      <w:r w:rsidR="001D0E49" w:rsidRPr="0028742E">
        <w:rPr>
          <w:rFonts w:eastAsia="Times New Roman" w:cs="Times New Roman"/>
          <w:kern w:val="22"/>
          <w:sz w:val="22"/>
          <w:lang w:val="fr-FR" w:eastAsia="en-CA"/>
        </w:rPr>
        <w:t xml:space="preserve"> </w:t>
      </w:r>
      <w:r w:rsidR="00E3674F" w:rsidRPr="0028742E">
        <w:rPr>
          <w:rFonts w:eastAsia="Times New Roman" w:cs="Times New Roman"/>
          <w:kern w:val="22"/>
          <w:sz w:val="22"/>
          <w:lang w:val="fr-FR" w:eastAsia="en-CA"/>
        </w:rPr>
        <w:t>ressources génétiques</w:t>
      </w:r>
      <w:r w:rsidR="00C51702">
        <w:rPr>
          <w:rFonts w:eastAsia="Times New Roman" w:cs="Times New Roman"/>
          <w:kern w:val="22"/>
          <w:sz w:val="22"/>
          <w:lang w:val="fr-FR" w:eastAsia="en-CA"/>
        </w:rPr>
        <w:t xml:space="preserve"> au moyen de</w:t>
      </w:r>
      <w:r w:rsidR="001D0E49" w:rsidRPr="0028742E">
        <w:rPr>
          <w:rFonts w:eastAsia="Times New Roman" w:cs="Times New Roman"/>
          <w:kern w:val="22"/>
          <w:sz w:val="22"/>
          <w:lang w:val="fr-FR" w:eastAsia="en-CA"/>
        </w:rPr>
        <w:t xml:space="preserve"> </w:t>
      </w:r>
      <w:r w:rsidR="00934A20" w:rsidRPr="0028742E">
        <w:rPr>
          <w:rFonts w:eastAsia="Times New Roman" w:cs="Times New Roman"/>
          <w:kern w:val="22"/>
          <w:sz w:val="22"/>
          <w:lang w:val="fr-FR" w:eastAsia="en-CA"/>
        </w:rPr>
        <w:t>mesures législatives, réglementaires ou administratives</w:t>
      </w:r>
      <w:r w:rsidR="001D0E49" w:rsidRPr="0028742E">
        <w:rPr>
          <w:rFonts w:eastAsia="Times New Roman" w:cs="Times New Roman"/>
          <w:kern w:val="22"/>
          <w:sz w:val="22"/>
          <w:lang w:val="fr-FR" w:eastAsia="en-CA"/>
        </w:rPr>
        <w:t xml:space="preserve">. </w:t>
      </w:r>
      <w:r w:rsidR="008735FC" w:rsidRPr="0028742E">
        <w:rPr>
          <w:rFonts w:eastAsia="Times New Roman" w:cs="Times New Roman"/>
          <w:kern w:val="22"/>
          <w:sz w:val="22"/>
          <w:lang w:val="fr-FR" w:eastAsia="en-CA"/>
        </w:rPr>
        <w:t>En conséquence</w:t>
      </w:r>
      <w:r w:rsidR="001D0E49" w:rsidRPr="0028742E">
        <w:rPr>
          <w:rFonts w:eastAsia="Times New Roman" w:cs="Times New Roman"/>
          <w:kern w:val="22"/>
          <w:sz w:val="22"/>
          <w:lang w:val="fr-FR" w:eastAsia="en-CA"/>
        </w:rPr>
        <w:t xml:space="preserve">, </w:t>
      </w:r>
      <w:r w:rsidR="00367430" w:rsidRPr="0028742E">
        <w:rPr>
          <w:rFonts w:eastAsia="Times New Roman" w:cs="Times New Roman"/>
          <w:kern w:val="22"/>
          <w:sz w:val="22"/>
          <w:lang w:val="fr-FR" w:eastAsia="en-CA"/>
        </w:rPr>
        <w:t>les auteurs</w:t>
      </w:r>
      <w:r w:rsidR="001D0E49" w:rsidRPr="0028742E">
        <w:rPr>
          <w:rFonts w:eastAsia="Times New Roman" w:cs="Times New Roman"/>
          <w:kern w:val="22"/>
          <w:sz w:val="22"/>
          <w:lang w:val="fr-FR" w:eastAsia="en-CA"/>
        </w:rPr>
        <w:t xml:space="preserve"> </w:t>
      </w:r>
      <w:r w:rsidR="00C51702">
        <w:rPr>
          <w:rFonts w:eastAsia="Times New Roman" w:cs="Times New Roman"/>
          <w:kern w:val="22"/>
          <w:sz w:val="22"/>
          <w:lang w:val="fr-FR" w:eastAsia="en-CA"/>
        </w:rPr>
        <w:t>ne visent pas à ce que</w:t>
      </w:r>
      <w:r w:rsidRPr="0028742E">
        <w:rPr>
          <w:rFonts w:eastAsia="Times New Roman" w:cs="Times New Roman"/>
          <w:kern w:val="22"/>
          <w:sz w:val="22"/>
          <w:lang w:val="fr-FR" w:eastAsia="en-CA"/>
        </w:rPr>
        <w:t xml:space="preserve"> cette </w:t>
      </w:r>
      <w:r w:rsidR="001A200E" w:rsidRPr="0028742E">
        <w:rPr>
          <w:rFonts w:eastAsia="Times New Roman" w:cs="Times New Roman"/>
          <w:kern w:val="22"/>
          <w:sz w:val="22"/>
          <w:lang w:val="fr-FR" w:eastAsia="en-CA"/>
        </w:rPr>
        <w:t>approche inclusive</w:t>
      </w:r>
      <w:r>
        <w:rPr>
          <w:rFonts w:eastAsia="Times New Roman" w:cs="Times New Roman"/>
          <w:kern w:val="22"/>
          <w:sz w:val="22"/>
          <w:lang w:val="fr-FR" w:eastAsia="en-CA"/>
        </w:rPr>
        <w:t xml:space="preserve"> suggère qu’un </w:t>
      </w:r>
      <w:r w:rsidR="00E3674F" w:rsidRPr="0028742E">
        <w:rPr>
          <w:rFonts w:eastAsia="Times New Roman" w:cs="Times New Roman"/>
          <w:kern w:val="22"/>
          <w:sz w:val="22"/>
          <w:lang w:val="fr-FR" w:eastAsia="en-CA"/>
        </w:rPr>
        <w:t>mécanisme</w:t>
      </w:r>
      <w:r w:rsidR="00C51702">
        <w:rPr>
          <w:rFonts w:eastAsia="Times New Roman" w:cs="Times New Roman"/>
          <w:kern w:val="22"/>
          <w:sz w:val="22"/>
          <w:lang w:val="fr-FR" w:eastAsia="en-CA"/>
        </w:rPr>
        <w:t xml:space="preserve"> multilatéral mondial</w:t>
      </w:r>
      <w:r>
        <w:rPr>
          <w:rFonts w:eastAsia="Times New Roman" w:cs="Times New Roman"/>
          <w:kern w:val="22"/>
          <w:sz w:val="22"/>
          <w:lang w:val="fr-FR" w:eastAsia="en-CA"/>
        </w:rPr>
        <w:t xml:space="preserve"> </w:t>
      </w:r>
      <w:r w:rsidR="00C51702">
        <w:rPr>
          <w:rFonts w:eastAsia="Times New Roman" w:cs="Times New Roman"/>
          <w:kern w:val="22"/>
          <w:sz w:val="22"/>
          <w:lang w:val="fr-FR" w:eastAsia="en-CA"/>
        </w:rPr>
        <w:t xml:space="preserve">soit nécessaire </w:t>
      </w:r>
      <w:r>
        <w:rPr>
          <w:rFonts w:eastAsia="Times New Roman" w:cs="Times New Roman"/>
          <w:kern w:val="22"/>
          <w:sz w:val="22"/>
          <w:lang w:val="fr-FR" w:eastAsia="en-CA"/>
        </w:rPr>
        <w:t xml:space="preserve">dans les </w:t>
      </w:r>
      <w:r w:rsidR="00D04EC6" w:rsidRPr="0028742E">
        <w:rPr>
          <w:rFonts w:eastAsia="Times New Roman" w:cs="Times New Roman"/>
          <w:kern w:val="22"/>
          <w:sz w:val="22"/>
          <w:lang w:val="fr-FR" w:eastAsia="en-CA"/>
        </w:rPr>
        <w:t>cas</w:t>
      </w:r>
      <w:r>
        <w:rPr>
          <w:rFonts w:eastAsia="Times New Roman" w:cs="Times New Roman"/>
          <w:kern w:val="22"/>
          <w:sz w:val="22"/>
          <w:lang w:val="fr-FR" w:eastAsia="en-CA"/>
        </w:rPr>
        <w:t xml:space="preserve"> où</w:t>
      </w:r>
      <w:r w:rsidR="00C51702">
        <w:rPr>
          <w:rFonts w:eastAsia="Times New Roman" w:cs="Times New Roman"/>
          <w:kern w:val="22"/>
          <w:sz w:val="22"/>
          <w:lang w:val="fr-FR" w:eastAsia="en-CA"/>
        </w:rPr>
        <w:t> :</w:t>
      </w:r>
      <w:r w:rsidR="001D0E49" w:rsidRPr="0028742E">
        <w:rPr>
          <w:rFonts w:eastAsia="Times New Roman" w:cs="Times New Roman"/>
          <w:kern w:val="22"/>
          <w:sz w:val="22"/>
          <w:lang w:val="fr-FR" w:eastAsia="en-CA"/>
        </w:rPr>
        <w:t xml:space="preserve"> 1) </w:t>
      </w:r>
      <w:r w:rsidR="007D7761">
        <w:rPr>
          <w:rFonts w:eastAsia="Times New Roman" w:cs="Times New Roman"/>
          <w:kern w:val="22"/>
          <w:sz w:val="22"/>
          <w:lang w:val="fr-FR" w:eastAsia="en-CA"/>
        </w:rPr>
        <w:t>il n’est pas possible</w:t>
      </w:r>
      <w:r w:rsidR="001D0E49" w:rsidRPr="0028742E">
        <w:rPr>
          <w:rFonts w:eastAsia="Times New Roman" w:cs="Times New Roman"/>
          <w:kern w:val="22"/>
          <w:sz w:val="22"/>
          <w:lang w:val="fr-FR" w:eastAsia="en-CA"/>
        </w:rPr>
        <w:t xml:space="preserve"> </w:t>
      </w:r>
      <w:r w:rsidR="00FB033A" w:rsidRPr="0028742E">
        <w:rPr>
          <w:rFonts w:eastAsia="Times New Roman" w:cs="Times New Roman"/>
          <w:kern w:val="22"/>
          <w:sz w:val="22"/>
          <w:lang w:val="fr-FR" w:eastAsia="en-CA"/>
        </w:rPr>
        <w:t xml:space="preserve">d’accorder ou </w:t>
      </w:r>
      <w:r w:rsidR="000E3236" w:rsidRPr="0028742E">
        <w:rPr>
          <w:rFonts w:eastAsia="Times New Roman" w:cs="Times New Roman"/>
          <w:kern w:val="22"/>
          <w:sz w:val="22"/>
          <w:lang w:val="fr-FR" w:eastAsia="en-CA"/>
        </w:rPr>
        <w:t xml:space="preserve">d’obtenir un </w:t>
      </w:r>
      <w:r w:rsidR="007D7761">
        <w:rPr>
          <w:rFonts w:eastAsia="Times New Roman" w:cs="Times New Roman"/>
          <w:kern w:val="22"/>
          <w:sz w:val="22"/>
          <w:lang w:val="fr-FR" w:eastAsia="en-CA"/>
        </w:rPr>
        <w:t>consentement préalable donné en connaissance de cause</w:t>
      </w:r>
      <w:r w:rsidR="00C879A0">
        <w:rPr>
          <w:rFonts w:eastAsia="Times New Roman" w:cs="Times New Roman"/>
          <w:kern w:val="22"/>
          <w:sz w:val="22"/>
          <w:lang w:val="fr-FR" w:eastAsia="en-CA"/>
        </w:rPr>
        <w:t>, lorsqu’un</w:t>
      </w:r>
      <w:r>
        <w:rPr>
          <w:rFonts w:eastAsia="Times New Roman" w:cs="Times New Roman"/>
          <w:kern w:val="22"/>
          <w:sz w:val="22"/>
          <w:lang w:val="fr-FR" w:eastAsia="en-CA"/>
        </w:rPr>
        <w:t xml:space="preserve"> Etat </w:t>
      </w:r>
      <w:r w:rsidR="00C879A0">
        <w:rPr>
          <w:rFonts w:eastAsia="Times New Roman" w:cs="Times New Roman"/>
          <w:kern w:val="22"/>
          <w:sz w:val="22"/>
          <w:lang w:val="fr-FR" w:eastAsia="en-CA"/>
        </w:rPr>
        <w:t xml:space="preserve">décide </w:t>
      </w:r>
      <w:r>
        <w:rPr>
          <w:rFonts w:eastAsia="Times New Roman" w:cs="Times New Roman"/>
          <w:kern w:val="22"/>
          <w:sz w:val="22"/>
          <w:lang w:val="fr-FR" w:eastAsia="en-CA"/>
        </w:rPr>
        <w:t xml:space="preserve">de ne pas exiger un </w:t>
      </w:r>
      <w:r w:rsidR="007D7761">
        <w:rPr>
          <w:rFonts w:eastAsia="Times New Roman" w:cs="Times New Roman"/>
          <w:kern w:val="22"/>
          <w:sz w:val="22"/>
          <w:lang w:val="fr-FR" w:eastAsia="en-CA"/>
        </w:rPr>
        <w:t>consentement préalable donné en connaissance de cause</w:t>
      </w:r>
      <w:r w:rsidR="00C879A0">
        <w:rPr>
          <w:rFonts w:eastAsia="Times New Roman" w:cs="Times New Roman"/>
          <w:kern w:val="22"/>
          <w:sz w:val="22"/>
          <w:lang w:val="fr-FR" w:eastAsia="en-CA"/>
        </w:rPr>
        <w:t> ;</w:t>
      </w:r>
      <w:r w:rsidRPr="0028742E">
        <w:rPr>
          <w:rFonts w:eastAsia="Times New Roman" w:cs="Times New Roman"/>
          <w:kern w:val="22"/>
          <w:sz w:val="22"/>
          <w:lang w:val="fr-FR" w:eastAsia="en-CA"/>
        </w:rPr>
        <w:t xml:space="preserve"> ou </w:t>
      </w:r>
      <w:r>
        <w:rPr>
          <w:rFonts w:eastAsia="Times New Roman" w:cs="Times New Roman"/>
          <w:kern w:val="22"/>
          <w:sz w:val="22"/>
          <w:lang w:val="fr-FR" w:eastAsia="en-CA"/>
        </w:rPr>
        <w:t>2) lorsqu’un</w:t>
      </w:r>
      <w:r w:rsidR="001D0E49" w:rsidRPr="0028742E">
        <w:rPr>
          <w:rFonts w:eastAsia="Times New Roman" w:cs="Times New Roman"/>
          <w:kern w:val="22"/>
          <w:sz w:val="22"/>
          <w:lang w:val="fr-FR" w:eastAsia="en-CA"/>
        </w:rPr>
        <w:t xml:space="preserve"> </w:t>
      </w:r>
      <w:r w:rsidR="00C51702">
        <w:rPr>
          <w:rFonts w:eastAsia="Times New Roman" w:cs="Times New Roman"/>
          <w:kern w:val="22"/>
          <w:sz w:val="22"/>
          <w:lang w:val="fr-FR" w:eastAsia="en-CA"/>
        </w:rPr>
        <w:t xml:space="preserve">Etat </w:t>
      </w:r>
      <w:r w:rsidR="00C879A0">
        <w:rPr>
          <w:rFonts w:eastAsia="Times New Roman" w:cs="Times New Roman"/>
          <w:kern w:val="22"/>
          <w:sz w:val="22"/>
          <w:lang w:val="fr-FR" w:eastAsia="en-CA"/>
        </w:rPr>
        <w:t>est en train d’élaborer</w:t>
      </w:r>
      <w:r w:rsidR="00C51702">
        <w:rPr>
          <w:rFonts w:eastAsia="Times New Roman" w:cs="Times New Roman"/>
          <w:kern w:val="22"/>
          <w:sz w:val="22"/>
          <w:lang w:val="fr-FR" w:eastAsia="en-CA"/>
        </w:rPr>
        <w:t xml:space="preserve"> </w:t>
      </w:r>
      <w:r>
        <w:rPr>
          <w:rFonts w:eastAsia="Times New Roman" w:cs="Times New Roman"/>
          <w:kern w:val="22"/>
          <w:sz w:val="22"/>
          <w:lang w:val="fr-FR" w:eastAsia="en-CA"/>
        </w:rPr>
        <w:t xml:space="preserve">des mesures sur </w:t>
      </w:r>
      <w:r w:rsidR="00E3674F" w:rsidRPr="0028742E">
        <w:rPr>
          <w:rFonts w:eastAsia="Times New Roman" w:cs="Times New Roman"/>
          <w:kern w:val="22"/>
          <w:sz w:val="22"/>
          <w:lang w:val="fr-FR" w:eastAsia="en-CA"/>
        </w:rPr>
        <w:t>l’accès et le partage des avantages</w:t>
      </w:r>
      <w:r w:rsidR="001D0E49" w:rsidRPr="0028742E">
        <w:rPr>
          <w:rFonts w:eastAsia="Times New Roman" w:cs="Times New Roman"/>
          <w:kern w:val="22"/>
          <w:sz w:val="22"/>
          <w:lang w:val="fr-FR" w:eastAsia="en-CA"/>
        </w:rPr>
        <w:t>.</w:t>
      </w:r>
    </w:p>
    <w:sdt>
      <w:sdtPr>
        <w:rPr>
          <w:rFonts w:eastAsiaTheme="minorHAnsi" w:cstheme="minorBidi"/>
          <w:b w:val="0"/>
          <w:smallCaps w:val="0"/>
          <w:kern w:val="22"/>
          <w:sz w:val="22"/>
          <w:szCs w:val="22"/>
          <w:lang w:val="en-GB"/>
        </w:rPr>
        <w:id w:val="908112833"/>
        <w:docPartObj>
          <w:docPartGallery w:val="Table of Contents"/>
          <w:docPartUnique/>
        </w:docPartObj>
      </w:sdtPr>
      <w:sdtEndPr>
        <w:rPr>
          <w:bCs/>
          <w:noProof/>
        </w:rPr>
      </w:sdtEndPr>
      <w:sdtContent>
        <w:p w14:paraId="4A45CC58" w14:textId="72BD1A44" w:rsidR="00AC44F7" w:rsidRPr="00AC44F7" w:rsidRDefault="00AC44F7" w:rsidP="00AC44F7">
          <w:pPr>
            <w:pStyle w:val="TOCHeading"/>
            <w:rPr>
              <w:rFonts w:eastAsiaTheme="minorHAnsi" w:cstheme="minorBidi"/>
              <w:b w:val="0"/>
              <w:smallCaps w:val="0"/>
              <w:kern w:val="22"/>
              <w:sz w:val="22"/>
              <w:szCs w:val="22"/>
              <w:lang w:val="en-GB"/>
            </w:rPr>
          </w:pPr>
          <w:r>
            <w:rPr>
              <w:rFonts w:eastAsiaTheme="minorHAnsi" w:cstheme="minorBidi"/>
              <w:b w:val="0"/>
              <w:smallCaps w:val="0"/>
              <w:kern w:val="22"/>
              <w:sz w:val="22"/>
              <w:szCs w:val="22"/>
              <w:lang w:val="en-GB"/>
            </w:rPr>
            <w:br w:type="page"/>
          </w:r>
        </w:p>
        <w:p w14:paraId="3209A452" w14:textId="7FB12783" w:rsidR="004971A6" w:rsidRDefault="00D6232E" w:rsidP="00B80668">
          <w:pPr>
            <w:pStyle w:val="TOCHeading"/>
            <w:rPr>
              <w:kern w:val="22"/>
              <w:sz w:val="22"/>
              <w:szCs w:val="22"/>
              <w:lang w:val="en-GB"/>
            </w:rPr>
          </w:pPr>
          <w:r>
            <w:rPr>
              <w:kern w:val="22"/>
              <w:sz w:val="22"/>
              <w:szCs w:val="22"/>
              <w:lang w:val="en-GB"/>
            </w:rPr>
            <w:lastRenderedPageBreak/>
            <w:t xml:space="preserve"> </w:t>
          </w:r>
        </w:p>
        <w:p w14:paraId="35D6C517" w14:textId="36F1A2A6" w:rsidR="0019195C" w:rsidRPr="002364AB" w:rsidRDefault="00D6232E" w:rsidP="00B80668">
          <w:pPr>
            <w:pStyle w:val="TOCHeading"/>
            <w:rPr>
              <w:kern w:val="22"/>
              <w:sz w:val="22"/>
              <w:szCs w:val="22"/>
              <w:lang w:val="en-GB"/>
            </w:rPr>
          </w:pPr>
          <w:r>
            <w:rPr>
              <w:kern w:val="22"/>
              <w:sz w:val="22"/>
              <w:szCs w:val="22"/>
              <w:lang w:val="en-GB"/>
            </w:rPr>
            <w:t>table</w:t>
          </w:r>
          <w:r w:rsidR="00770AB8">
            <w:rPr>
              <w:kern w:val="22"/>
              <w:sz w:val="22"/>
              <w:szCs w:val="22"/>
              <w:lang w:val="en-GB"/>
            </w:rPr>
            <w:t xml:space="preserve"> </w:t>
          </w:r>
          <w:r w:rsidR="00934A20">
            <w:rPr>
              <w:kern w:val="22"/>
              <w:sz w:val="22"/>
              <w:szCs w:val="22"/>
              <w:lang w:val="en-GB"/>
            </w:rPr>
            <w:t>des matieres</w:t>
          </w:r>
        </w:p>
        <w:p w14:paraId="39FE9AE6" w14:textId="3B1A1658" w:rsidR="00AC44F7" w:rsidRDefault="0019195C">
          <w:pPr>
            <w:pStyle w:val="TOC1"/>
            <w:rPr>
              <w:rFonts w:asciiTheme="minorHAnsi" w:eastAsiaTheme="minorEastAsia" w:hAnsiTheme="minorHAnsi"/>
              <w:noProof/>
              <w:sz w:val="22"/>
              <w:lang w:val="fr-FR" w:eastAsia="fr-FR"/>
            </w:rPr>
          </w:pPr>
          <w:r w:rsidRPr="002364AB">
            <w:rPr>
              <w:rFonts w:cs="Times New Roman"/>
              <w:kern w:val="22"/>
              <w:sz w:val="22"/>
              <w:lang w:val="en-GB"/>
            </w:rPr>
            <w:fldChar w:fldCharType="begin"/>
          </w:r>
          <w:r w:rsidRPr="002364AB">
            <w:rPr>
              <w:rFonts w:cs="Times New Roman"/>
              <w:kern w:val="22"/>
              <w:sz w:val="22"/>
              <w:lang w:val="en-GB"/>
            </w:rPr>
            <w:instrText xml:space="preserve"> TOC \o "1-3" \h \z \u </w:instrText>
          </w:r>
          <w:r w:rsidRPr="002364AB">
            <w:rPr>
              <w:rFonts w:cs="Times New Roman"/>
              <w:kern w:val="22"/>
              <w:sz w:val="22"/>
              <w:lang w:val="en-GB"/>
            </w:rPr>
            <w:fldChar w:fldCharType="separate"/>
          </w:r>
        </w:p>
        <w:p w14:paraId="77893F92" w14:textId="7A355245" w:rsidR="00AC44F7" w:rsidRDefault="008A77A6">
          <w:pPr>
            <w:pStyle w:val="TOC1"/>
            <w:rPr>
              <w:rFonts w:asciiTheme="minorHAnsi" w:eastAsiaTheme="minorEastAsia" w:hAnsiTheme="minorHAnsi"/>
              <w:noProof/>
              <w:sz w:val="22"/>
              <w:lang w:val="fr-FR" w:eastAsia="fr-FR"/>
            </w:rPr>
          </w:pPr>
          <w:hyperlink w:anchor="_Toc48914791" w:history="1">
            <w:r w:rsidR="00AC44F7">
              <w:rPr>
                <w:rStyle w:val="Hyperlink"/>
                <w:noProof/>
                <w:kern w:val="22"/>
                <w:lang w:val="fr-FR"/>
              </w:rPr>
              <w:t>Synthè</w:t>
            </w:r>
            <w:r w:rsidR="00AC44F7" w:rsidRPr="00D5297E">
              <w:rPr>
                <w:rStyle w:val="Hyperlink"/>
                <w:noProof/>
                <w:kern w:val="22"/>
                <w:lang w:val="fr-FR"/>
              </w:rPr>
              <w:t>se analytique</w:t>
            </w:r>
            <w:r w:rsidR="00AC44F7">
              <w:rPr>
                <w:noProof/>
                <w:webHidden/>
              </w:rPr>
              <w:tab/>
            </w:r>
            <w:r w:rsidR="00AC44F7">
              <w:rPr>
                <w:noProof/>
                <w:webHidden/>
              </w:rPr>
              <w:fldChar w:fldCharType="begin"/>
            </w:r>
            <w:r w:rsidR="00AC44F7">
              <w:rPr>
                <w:noProof/>
                <w:webHidden/>
              </w:rPr>
              <w:instrText xml:space="preserve"> PAGEREF _Toc48914791 \h </w:instrText>
            </w:r>
            <w:r w:rsidR="00AC44F7">
              <w:rPr>
                <w:noProof/>
                <w:webHidden/>
              </w:rPr>
            </w:r>
            <w:r w:rsidR="00AC44F7">
              <w:rPr>
                <w:noProof/>
                <w:webHidden/>
              </w:rPr>
              <w:fldChar w:fldCharType="separate"/>
            </w:r>
            <w:r w:rsidR="00AC44F7">
              <w:rPr>
                <w:noProof/>
                <w:webHidden/>
              </w:rPr>
              <w:t>6</w:t>
            </w:r>
            <w:r w:rsidR="00AC44F7">
              <w:rPr>
                <w:noProof/>
                <w:webHidden/>
              </w:rPr>
              <w:fldChar w:fldCharType="end"/>
            </w:r>
          </w:hyperlink>
        </w:p>
        <w:p w14:paraId="6758B1F5" w14:textId="77777777" w:rsidR="00AC44F7" w:rsidRDefault="008A77A6">
          <w:pPr>
            <w:pStyle w:val="TOC1"/>
            <w:rPr>
              <w:rFonts w:asciiTheme="minorHAnsi" w:eastAsiaTheme="minorEastAsia" w:hAnsiTheme="minorHAnsi"/>
              <w:noProof/>
              <w:sz w:val="22"/>
              <w:lang w:val="fr-FR" w:eastAsia="fr-FR"/>
            </w:rPr>
          </w:pPr>
          <w:hyperlink w:anchor="_Toc48914792" w:history="1">
            <w:r w:rsidR="00AC44F7" w:rsidRPr="00D5297E">
              <w:rPr>
                <w:rStyle w:val="Hyperlink"/>
                <w:noProof/>
                <w:kern w:val="22"/>
                <w:lang w:val="en-GB"/>
              </w:rPr>
              <w:t>1.</w:t>
            </w:r>
            <w:r w:rsidR="00AC44F7">
              <w:rPr>
                <w:rFonts w:asciiTheme="minorHAnsi" w:eastAsiaTheme="minorEastAsia" w:hAnsiTheme="minorHAnsi"/>
                <w:noProof/>
                <w:sz w:val="22"/>
                <w:lang w:val="fr-FR" w:eastAsia="fr-FR"/>
              </w:rPr>
              <w:tab/>
            </w:r>
            <w:r w:rsidR="00AC44F7" w:rsidRPr="00D5297E">
              <w:rPr>
                <w:rStyle w:val="Hyperlink"/>
                <w:noProof/>
                <w:kern w:val="22"/>
                <w:lang w:val="en-GB"/>
              </w:rPr>
              <w:t>Introduction</w:t>
            </w:r>
            <w:r w:rsidR="00AC44F7">
              <w:rPr>
                <w:noProof/>
                <w:webHidden/>
              </w:rPr>
              <w:tab/>
            </w:r>
            <w:r w:rsidR="00AC44F7">
              <w:rPr>
                <w:noProof/>
                <w:webHidden/>
              </w:rPr>
              <w:fldChar w:fldCharType="begin"/>
            </w:r>
            <w:r w:rsidR="00AC44F7">
              <w:rPr>
                <w:noProof/>
                <w:webHidden/>
              </w:rPr>
              <w:instrText xml:space="preserve"> PAGEREF _Toc48914792 \h </w:instrText>
            </w:r>
            <w:r w:rsidR="00AC44F7">
              <w:rPr>
                <w:noProof/>
                <w:webHidden/>
              </w:rPr>
            </w:r>
            <w:r w:rsidR="00AC44F7">
              <w:rPr>
                <w:noProof/>
                <w:webHidden/>
              </w:rPr>
              <w:fldChar w:fldCharType="separate"/>
            </w:r>
            <w:r w:rsidR="00AC44F7">
              <w:rPr>
                <w:noProof/>
                <w:webHidden/>
              </w:rPr>
              <w:t>12</w:t>
            </w:r>
            <w:r w:rsidR="00AC44F7">
              <w:rPr>
                <w:noProof/>
                <w:webHidden/>
              </w:rPr>
              <w:fldChar w:fldCharType="end"/>
            </w:r>
          </w:hyperlink>
        </w:p>
        <w:p w14:paraId="50AFEFD3" w14:textId="471C6890" w:rsidR="00AC44F7" w:rsidRDefault="008A77A6">
          <w:pPr>
            <w:pStyle w:val="TOC1"/>
            <w:rPr>
              <w:rFonts w:asciiTheme="minorHAnsi" w:eastAsiaTheme="minorEastAsia" w:hAnsiTheme="minorHAnsi"/>
              <w:noProof/>
              <w:sz w:val="22"/>
              <w:lang w:val="fr-FR" w:eastAsia="fr-FR"/>
            </w:rPr>
          </w:pPr>
          <w:hyperlink w:anchor="_Toc48914793" w:history="1">
            <w:r w:rsidR="00AC44F7" w:rsidRPr="00D5297E">
              <w:rPr>
                <w:rStyle w:val="Hyperlink"/>
                <w:noProof/>
                <w:kern w:val="22"/>
                <w:lang w:val="fr-FR"/>
              </w:rPr>
              <w:t>2.</w:t>
            </w:r>
            <w:r w:rsidR="00D65EBE">
              <w:rPr>
                <w:rFonts w:asciiTheme="minorHAnsi" w:eastAsiaTheme="minorEastAsia" w:hAnsiTheme="minorHAnsi"/>
                <w:noProof/>
                <w:sz w:val="22"/>
                <w:lang w:val="fr-FR" w:eastAsia="fr-FR"/>
              </w:rPr>
              <w:t xml:space="preserve">  </w:t>
            </w:r>
            <w:r w:rsidR="00D65EBE">
              <w:rPr>
                <w:rStyle w:val="Hyperlink"/>
                <w:noProof/>
                <w:kern w:val="22"/>
                <w:lang w:val="fr-FR"/>
              </w:rPr>
              <w:t>Ca</w:t>
            </w:r>
            <w:r w:rsidR="00AC44F7" w:rsidRPr="00D5297E">
              <w:rPr>
                <w:rStyle w:val="Hyperlink"/>
                <w:noProof/>
                <w:kern w:val="22"/>
                <w:lang w:val="fr-FR"/>
              </w:rPr>
              <w:t>s</w:t>
            </w:r>
            <w:r w:rsidR="00AC44F7">
              <w:rPr>
                <w:rStyle w:val="Hyperlink"/>
                <w:noProof/>
                <w:kern w:val="22"/>
                <w:lang w:val="fr-FR"/>
              </w:rPr>
              <w:t xml:space="preserve"> </w:t>
            </w:r>
            <w:r w:rsidR="00AC44F7" w:rsidRPr="00D5297E">
              <w:rPr>
                <w:rStyle w:val="Hyperlink"/>
                <w:noProof/>
                <w:kern w:val="22"/>
                <w:lang w:val="fr-FR"/>
              </w:rPr>
              <w:t>spécifiques de ressources génétiques qui se trouvent dans des situations transfrontières</w:t>
            </w:r>
            <w:r w:rsidR="00AC44F7">
              <w:rPr>
                <w:noProof/>
                <w:webHidden/>
              </w:rPr>
              <w:tab/>
            </w:r>
            <w:r w:rsidR="00AC44F7">
              <w:rPr>
                <w:noProof/>
                <w:webHidden/>
              </w:rPr>
              <w:fldChar w:fldCharType="begin"/>
            </w:r>
            <w:r w:rsidR="00AC44F7">
              <w:rPr>
                <w:noProof/>
                <w:webHidden/>
              </w:rPr>
              <w:instrText xml:space="preserve"> PAGEREF _Toc48914793 \h </w:instrText>
            </w:r>
            <w:r w:rsidR="00AC44F7">
              <w:rPr>
                <w:noProof/>
                <w:webHidden/>
              </w:rPr>
            </w:r>
            <w:r w:rsidR="00AC44F7">
              <w:rPr>
                <w:noProof/>
                <w:webHidden/>
              </w:rPr>
              <w:fldChar w:fldCharType="separate"/>
            </w:r>
            <w:r w:rsidR="00AC44F7">
              <w:rPr>
                <w:noProof/>
                <w:webHidden/>
              </w:rPr>
              <w:t>17</w:t>
            </w:r>
            <w:r w:rsidR="00AC44F7">
              <w:rPr>
                <w:noProof/>
                <w:webHidden/>
              </w:rPr>
              <w:fldChar w:fldCharType="end"/>
            </w:r>
          </w:hyperlink>
        </w:p>
        <w:p w14:paraId="08905A1B" w14:textId="77777777" w:rsidR="00AC44F7" w:rsidRDefault="008A77A6">
          <w:pPr>
            <w:pStyle w:val="TOC2"/>
            <w:rPr>
              <w:rFonts w:asciiTheme="minorHAnsi" w:eastAsiaTheme="minorEastAsia" w:hAnsiTheme="minorHAnsi"/>
              <w:noProof/>
              <w:sz w:val="22"/>
              <w:lang w:val="fr-FR" w:eastAsia="fr-FR"/>
            </w:rPr>
          </w:pPr>
          <w:hyperlink w:anchor="_Toc48914794" w:history="1">
            <w:r w:rsidR="00AC44F7" w:rsidRPr="00D5297E">
              <w:rPr>
                <w:rStyle w:val="Hyperlink"/>
                <w:noProof/>
                <w:kern w:val="22"/>
                <w:lang w:val="fr-FR"/>
              </w:rPr>
              <w:t>2.1.</w:t>
            </w:r>
            <w:r w:rsidR="00AC44F7">
              <w:rPr>
                <w:rFonts w:asciiTheme="minorHAnsi" w:eastAsiaTheme="minorEastAsia" w:hAnsiTheme="minorHAnsi"/>
                <w:noProof/>
                <w:sz w:val="22"/>
                <w:lang w:val="fr-FR" w:eastAsia="fr-FR"/>
              </w:rPr>
              <w:tab/>
            </w:r>
            <w:r w:rsidR="00AC44F7" w:rsidRPr="00D5297E">
              <w:rPr>
                <w:rStyle w:val="Hyperlink"/>
                <w:noProof/>
                <w:kern w:val="22"/>
                <w:lang w:val="fr-FR"/>
              </w:rPr>
              <w:t>Écosystèmes et habitats/espèces partagés entre plusieurs juridictions nationales</w:t>
            </w:r>
            <w:r w:rsidR="00AC44F7">
              <w:rPr>
                <w:noProof/>
                <w:webHidden/>
              </w:rPr>
              <w:tab/>
            </w:r>
            <w:r w:rsidR="00AC44F7">
              <w:rPr>
                <w:noProof/>
                <w:webHidden/>
              </w:rPr>
              <w:fldChar w:fldCharType="begin"/>
            </w:r>
            <w:r w:rsidR="00AC44F7">
              <w:rPr>
                <w:noProof/>
                <w:webHidden/>
              </w:rPr>
              <w:instrText xml:space="preserve"> PAGEREF _Toc48914794 \h </w:instrText>
            </w:r>
            <w:r w:rsidR="00AC44F7">
              <w:rPr>
                <w:noProof/>
                <w:webHidden/>
              </w:rPr>
            </w:r>
            <w:r w:rsidR="00AC44F7">
              <w:rPr>
                <w:noProof/>
                <w:webHidden/>
              </w:rPr>
              <w:fldChar w:fldCharType="separate"/>
            </w:r>
            <w:r w:rsidR="00AC44F7">
              <w:rPr>
                <w:noProof/>
                <w:webHidden/>
              </w:rPr>
              <w:t>18</w:t>
            </w:r>
            <w:r w:rsidR="00AC44F7">
              <w:rPr>
                <w:noProof/>
                <w:webHidden/>
              </w:rPr>
              <w:fldChar w:fldCharType="end"/>
            </w:r>
          </w:hyperlink>
        </w:p>
        <w:p w14:paraId="24DD793B" w14:textId="77777777" w:rsidR="00AC44F7" w:rsidRDefault="008A77A6">
          <w:pPr>
            <w:pStyle w:val="TOC2"/>
            <w:rPr>
              <w:rFonts w:asciiTheme="minorHAnsi" w:eastAsiaTheme="minorEastAsia" w:hAnsiTheme="minorHAnsi"/>
              <w:noProof/>
              <w:sz w:val="22"/>
              <w:lang w:val="fr-FR" w:eastAsia="fr-FR"/>
            </w:rPr>
          </w:pPr>
          <w:hyperlink w:anchor="_Toc48914795" w:history="1">
            <w:r w:rsidR="00AC44F7" w:rsidRPr="00D5297E">
              <w:rPr>
                <w:rStyle w:val="Hyperlink"/>
                <w:noProof/>
                <w:kern w:val="22"/>
                <w:lang w:val="en-GB"/>
              </w:rPr>
              <w:t>2.2.</w:t>
            </w:r>
            <w:r w:rsidR="00AC44F7">
              <w:rPr>
                <w:rFonts w:asciiTheme="minorHAnsi" w:eastAsiaTheme="minorEastAsia" w:hAnsiTheme="minorHAnsi"/>
                <w:noProof/>
                <w:sz w:val="22"/>
                <w:lang w:val="fr-FR" w:eastAsia="fr-FR"/>
              </w:rPr>
              <w:tab/>
            </w:r>
            <w:r w:rsidR="00AC44F7" w:rsidRPr="00D5297E">
              <w:rPr>
                <w:rStyle w:val="Hyperlink"/>
                <w:noProof/>
                <w:kern w:val="22"/>
                <w:lang w:val="en-GB"/>
              </w:rPr>
              <w:t>Espèces migratrices</w:t>
            </w:r>
            <w:r w:rsidR="00AC44F7">
              <w:rPr>
                <w:noProof/>
                <w:webHidden/>
              </w:rPr>
              <w:tab/>
            </w:r>
            <w:r w:rsidR="00AC44F7">
              <w:rPr>
                <w:noProof/>
                <w:webHidden/>
              </w:rPr>
              <w:fldChar w:fldCharType="begin"/>
            </w:r>
            <w:r w:rsidR="00AC44F7">
              <w:rPr>
                <w:noProof/>
                <w:webHidden/>
              </w:rPr>
              <w:instrText xml:space="preserve"> PAGEREF _Toc48914795 \h </w:instrText>
            </w:r>
            <w:r w:rsidR="00AC44F7">
              <w:rPr>
                <w:noProof/>
                <w:webHidden/>
              </w:rPr>
            </w:r>
            <w:r w:rsidR="00AC44F7">
              <w:rPr>
                <w:noProof/>
                <w:webHidden/>
              </w:rPr>
              <w:fldChar w:fldCharType="separate"/>
            </w:r>
            <w:r w:rsidR="00AC44F7">
              <w:rPr>
                <w:noProof/>
                <w:webHidden/>
              </w:rPr>
              <w:t>19</w:t>
            </w:r>
            <w:r w:rsidR="00AC44F7">
              <w:rPr>
                <w:noProof/>
                <w:webHidden/>
              </w:rPr>
              <w:fldChar w:fldCharType="end"/>
            </w:r>
          </w:hyperlink>
        </w:p>
        <w:p w14:paraId="5F80817B" w14:textId="77777777" w:rsidR="00AC44F7" w:rsidRDefault="008A77A6">
          <w:pPr>
            <w:pStyle w:val="TOC2"/>
            <w:rPr>
              <w:rFonts w:asciiTheme="minorHAnsi" w:eastAsiaTheme="minorEastAsia" w:hAnsiTheme="minorHAnsi"/>
              <w:noProof/>
              <w:sz w:val="22"/>
              <w:lang w:val="fr-FR" w:eastAsia="fr-FR"/>
            </w:rPr>
          </w:pPr>
          <w:hyperlink w:anchor="_Toc48914796" w:history="1">
            <w:r w:rsidR="00AC44F7" w:rsidRPr="00D5297E">
              <w:rPr>
                <w:rStyle w:val="Hyperlink"/>
                <w:noProof/>
                <w:kern w:val="22"/>
                <w:lang w:val="fr-FR"/>
              </w:rPr>
              <w:t>2.3.</w:t>
            </w:r>
            <w:r w:rsidR="00AC44F7">
              <w:rPr>
                <w:rFonts w:asciiTheme="minorHAnsi" w:eastAsiaTheme="minorEastAsia" w:hAnsiTheme="minorHAnsi"/>
                <w:noProof/>
                <w:sz w:val="22"/>
                <w:lang w:val="fr-FR" w:eastAsia="fr-FR"/>
              </w:rPr>
              <w:tab/>
            </w:r>
            <w:r w:rsidR="00AC44F7" w:rsidRPr="00D5297E">
              <w:rPr>
                <w:rStyle w:val="Hyperlink"/>
                <w:noProof/>
                <w:kern w:val="22"/>
                <w:lang w:val="fr-FR"/>
              </w:rPr>
              <w:t>Zones situées au-delà des limites de la juridiction nationale</w:t>
            </w:r>
            <w:r w:rsidR="00AC44F7">
              <w:rPr>
                <w:noProof/>
                <w:webHidden/>
              </w:rPr>
              <w:tab/>
            </w:r>
            <w:r w:rsidR="00AC44F7">
              <w:rPr>
                <w:noProof/>
                <w:webHidden/>
              </w:rPr>
              <w:fldChar w:fldCharType="begin"/>
            </w:r>
            <w:r w:rsidR="00AC44F7">
              <w:rPr>
                <w:noProof/>
                <w:webHidden/>
              </w:rPr>
              <w:instrText xml:space="preserve"> PAGEREF _Toc48914796 \h </w:instrText>
            </w:r>
            <w:r w:rsidR="00AC44F7">
              <w:rPr>
                <w:noProof/>
                <w:webHidden/>
              </w:rPr>
            </w:r>
            <w:r w:rsidR="00AC44F7">
              <w:rPr>
                <w:noProof/>
                <w:webHidden/>
              </w:rPr>
              <w:fldChar w:fldCharType="separate"/>
            </w:r>
            <w:r w:rsidR="00AC44F7">
              <w:rPr>
                <w:noProof/>
                <w:webHidden/>
              </w:rPr>
              <w:t>21</w:t>
            </w:r>
            <w:r w:rsidR="00AC44F7">
              <w:rPr>
                <w:noProof/>
                <w:webHidden/>
              </w:rPr>
              <w:fldChar w:fldCharType="end"/>
            </w:r>
          </w:hyperlink>
        </w:p>
        <w:p w14:paraId="5FF43C99" w14:textId="1004AE9C" w:rsidR="00AC44F7" w:rsidRDefault="008A77A6">
          <w:pPr>
            <w:pStyle w:val="TOC1"/>
            <w:rPr>
              <w:rFonts w:asciiTheme="minorHAnsi" w:eastAsiaTheme="minorEastAsia" w:hAnsiTheme="minorHAnsi"/>
              <w:noProof/>
              <w:sz w:val="22"/>
              <w:lang w:val="fr-FR" w:eastAsia="fr-FR"/>
            </w:rPr>
          </w:pPr>
          <w:hyperlink w:anchor="_Toc48914797" w:history="1">
            <w:r w:rsidR="00AC44F7" w:rsidRPr="00D5297E">
              <w:rPr>
                <w:rStyle w:val="Hyperlink"/>
                <w:noProof/>
                <w:kern w:val="22"/>
                <w:lang w:val="fr-FR"/>
              </w:rPr>
              <w:t>3.</w:t>
            </w:r>
            <w:r w:rsidR="00AC44F7">
              <w:rPr>
                <w:rFonts w:asciiTheme="minorHAnsi" w:eastAsiaTheme="minorEastAsia" w:hAnsiTheme="minorHAnsi"/>
                <w:noProof/>
                <w:sz w:val="22"/>
                <w:lang w:val="fr-FR" w:eastAsia="fr-FR"/>
              </w:rPr>
              <w:tab/>
            </w:r>
            <w:r w:rsidR="00AC44F7">
              <w:rPr>
                <w:rStyle w:val="Hyperlink"/>
                <w:noProof/>
                <w:kern w:val="22"/>
                <w:lang w:val="fr-FR"/>
              </w:rPr>
              <w:t>C</w:t>
            </w:r>
            <w:r w:rsidR="00AC44F7" w:rsidRPr="00D5297E">
              <w:rPr>
                <w:rStyle w:val="Hyperlink"/>
                <w:noProof/>
                <w:kern w:val="22"/>
                <w:lang w:val="fr-FR"/>
              </w:rPr>
              <w:t>as spécifiques de ressources génétiques pour lesquelles il n’est pas possible d’accorder ou d’obtenir un consentement préalable donné en connaissance de cause</w:t>
            </w:r>
            <w:r w:rsidR="00AC44F7">
              <w:rPr>
                <w:noProof/>
                <w:webHidden/>
              </w:rPr>
              <w:tab/>
            </w:r>
            <w:r w:rsidR="00AC44F7">
              <w:rPr>
                <w:noProof/>
                <w:webHidden/>
              </w:rPr>
              <w:fldChar w:fldCharType="begin"/>
            </w:r>
            <w:r w:rsidR="00AC44F7">
              <w:rPr>
                <w:noProof/>
                <w:webHidden/>
              </w:rPr>
              <w:instrText xml:space="preserve"> PAGEREF _Toc48914797 \h </w:instrText>
            </w:r>
            <w:r w:rsidR="00AC44F7">
              <w:rPr>
                <w:noProof/>
                <w:webHidden/>
              </w:rPr>
            </w:r>
            <w:r w:rsidR="00AC44F7">
              <w:rPr>
                <w:noProof/>
                <w:webHidden/>
              </w:rPr>
              <w:fldChar w:fldCharType="separate"/>
            </w:r>
            <w:r w:rsidR="00AC44F7">
              <w:rPr>
                <w:noProof/>
                <w:webHidden/>
              </w:rPr>
              <w:t>22</w:t>
            </w:r>
            <w:r w:rsidR="00AC44F7">
              <w:rPr>
                <w:noProof/>
                <w:webHidden/>
              </w:rPr>
              <w:fldChar w:fldCharType="end"/>
            </w:r>
          </w:hyperlink>
        </w:p>
        <w:p w14:paraId="37C5AF85" w14:textId="77777777" w:rsidR="00AC44F7" w:rsidRDefault="008A77A6">
          <w:pPr>
            <w:pStyle w:val="TOC2"/>
            <w:rPr>
              <w:rFonts w:asciiTheme="minorHAnsi" w:eastAsiaTheme="minorEastAsia" w:hAnsiTheme="minorHAnsi"/>
              <w:noProof/>
              <w:sz w:val="22"/>
              <w:lang w:val="fr-FR" w:eastAsia="fr-FR"/>
            </w:rPr>
          </w:pPr>
          <w:hyperlink w:anchor="_Toc48914798" w:history="1">
            <w:r w:rsidR="00AC44F7" w:rsidRPr="00D5297E">
              <w:rPr>
                <w:rStyle w:val="Hyperlink"/>
                <w:noProof/>
                <w:kern w:val="22"/>
                <w:lang w:val="fr-FR"/>
              </w:rPr>
              <w:t>3.1.</w:t>
            </w:r>
            <w:r w:rsidR="00AC44F7">
              <w:rPr>
                <w:rFonts w:asciiTheme="minorHAnsi" w:eastAsiaTheme="minorEastAsia" w:hAnsiTheme="minorHAnsi"/>
                <w:noProof/>
                <w:sz w:val="22"/>
                <w:lang w:val="fr-FR" w:eastAsia="fr-FR"/>
              </w:rPr>
              <w:tab/>
            </w:r>
            <w:r w:rsidR="00AC44F7" w:rsidRPr="00D5297E">
              <w:rPr>
                <w:rStyle w:val="Hyperlink"/>
                <w:noProof/>
                <w:kern w:val="22"/>
                <w:lang w:val="fr-FR"/>
              </w:rPr>
              <w:t>Ressources génétiques dont on ne peut déterminer la provenance dans des collections</w:t>
            </w:r>
            <w:r w:rsidR="00AC44F7" w:rsidRPr="00D5297E">
              <w:rPr>
                <w:rStyle w:val="Hyperlink"/>
                <w:i/>
                <w:iCs/>
                <w:noProof/>
                <w:kern w:val="22"/>
                <w:lang w:val="fr-FR"/>
              </w:rPr>
              <w:t xml:space="preserve"> ex situ</w:t>
            </w:r>
            <w:r w:rsidR="00AC44F7">
              <w:rPr>
                <w:noProof/>
                <w:webHidden/>
              </w:rPr>
              <w:tab/>
            </w:r>
            <w:r w:rsidR="00AC44F7">
              <w:rPr>
                <w:noProof/>
                <w:webHidden/>
              </w:rPr>
              <w:fldChar w:fldCharType="begin"/>
            </w:r>
            <w:r w:rsidR="00AC44F7">
              <w:rPr>
                <w:noProof/>
                <w:webHidden/>
              </w:rPr>
              <w:instrText xml:space="preserve"> PAGEREF _Toc48914798 \h </w:instrText>
            </w:r>
            <w:r w:rsidR="00AC44F7">
              <w:rPr>
                <w:noProof/>
                <w:webHidden/>
              </w:rPr>
            </w:r>
            <w:r w:rsidR="00AC44F7">
              <w:rPr>
                <w:noProof/>
                <w:webHidden/>
              </w:rPr>
              <w:fldChar w:fldCharType="separate"/>
            </w:r>
            <w:r w:rsidR="00AC44F7">
              <w:rPr>
                <w:noProof/>
                <w:webHidden/>
              </w:rPr>
              <w:t>22</w:t>
            </w:r>
            <w:r w:rsidR="00AC44F7">
              <w:rPr>
                <w:noProof/>
                <w:webHidden/>
              </w:rPr>
              <w:fldChar w:fldCharType="end"/>
            </w:r>
          </w:hyperlink>
        </w:p>
        <w:p w14:paraId="35EB5769" w14:textId="29E774FB" w:rsidR="00AC44F7" w:rsidRDefault="008A77A6">
          <w:pPr>
            <w:pStyle w:val="TOC2"/>
            <w:rPr>
              <w:rFonts w:asciiTheme="minorHAnsi" w:eastAsiaTheme="minorEastAsia" w:hAnsiTheme="minorHAnsi"/>
              <w:noProof/>
              <w:sz w:val="22"/>
              <w:lang w:val="fr-FR" w:eastAsia="fr-FR"/>
            </w:rPr>
          </w:pPr>
          <w:hyperlink w:anchor="_Toc48914799" w:history="1">
            <w:r w:rsidR="00AC44F7" w:rsidRPr="00D5297E">
              <w:rPr>
                <w:rStyle w:val="Hyperlink"/>
                <w:noProof/>
                <w:kern w:val="22"/>
                <w:lang w:val="fr-FR"/>
              </w:rPr>
              <w:t>3.2.</w:t>
            </w:r>
            <w:r w:rsidR="00AC44F7">
              <w:rPr>
                <w:rFonts w:asciiTheme="minorHAnsi" w:eastAsiaTheme="minorEastAsia" w:hAnsiTheme="minorHAnsi"/>
                <w:noProof/>
                <w:sz w:val="22"/>
                <w:lang w:val="fr-FR" w:eastAsia="fr-FR"/>
              </w:rPr>
              <w:tab/>
            </w:r>
            <w:r w:rsidR="00AC44F7" w:rsidRPr="00D5297E">
              <w:rPr>
                <w:rStyle w:val="Hyperlink"/>
                <w:noProof/>
                <w:kern w:val="22"/>
                <w:lang w:val="fr-FR"/>
              </w:rPr>
              <w:t>Utilisation et sélection d’échantil</w:t>
            </w:r>
            <w:r w:rsidR="00AC44F7">
              <w:rPr>
                <w:rStyle w:val="Hyperlink"/>
                <w:noProof/>
                <w:kern w:val="22"/>
                <w:lang w:val="fr-FR"/>
              </w:rPr>
              <w:t xml:space="preserve">lons </w:t>
            </w:r>
            <w:r w:rsidR="000F20E1">
              <w:rPr>
                <w:rStyle w:val="Hyperlink"/>
                <w:noProof/>
                <w:kern w:val="22"/>
                <w:lang w:val="fr-FR"/>
              </w:rPr>
              <w:t>différents géographiquement</w:t>
            </w:r>
            <w:r w:rsidR="00AC44F7" w:rsidRPr="00D5297E">
              <w:rPr>
                <w:rStyle w:val="Hyperlink"/>
                <w:noProof/>
                <w:kern w:val="22"/>
                <w:lang w:val="fr-FR"/>
              </w:rPr>
              <w:t xml:space="preserve"> </w:t>
            </w:r>
            <w:r w:rsidR="000F20E1">
              <w:rPr>
                <w:rStyle w:val="Hyperlink"/>
                <w:noProof/>
                <w:kern w:val="22"/>
                <w:lang w:val="fr-FR"/>
              </w:rPr>
              <w:t>provenant de différentes régions et pays</w:t>
            </w:r>
            <w:r w:rsidR="00AC44F7">
              <w:rPr>
                <w:noProof/>
                <w:webHidden/>
              </w:rPr>
              <w:tab/>
            </w:r>
            <w:r w:rsidR="00AC44F7">
              <w:rPr>
                <w:noProof/>
                <w:webHidden/>
              </w:rPr>
              <w:fldChar w:fldCharType="begin"/>
            </w:r>
            <w:r w:rsidR="00AC44F7">
              <w:rPr>
                <w:noProof/>
                <w:webHidden/>
              </w:rPr>
              <w:instrText xml:space="preserve"> PAGEREF _Toc48914799 \h </w:instrText>
            </w:r>
            <w:r w:rsidR="00AC44F7">
              <w:rPr>
                <w:noProof/>
                <w:webHidden/>
              </w:rPr>
            </w:r>
            <w:r w:rsidR="00AC44F7">
              <w:rPr>
                <w:noProof/>
                <w:webHidden/>
              </w:rPr>
              <w:fldChar w:fldCharType="separate"/>
            </w:r>
            <w:r w:rsidR="00AC44F7">
              <w:rPr>
                <w:noProof/>
                <w:webHidden/>
              </w:rPr>
              <w:t>28</w:t>
            </w:r>
            <w:r w:rsidR="00AC44F7">
              <w:rPr>
                <w:noProof/>
                <w:webHidden/>
              </w:rPr>
              <w:fldChar w:fldCharType="end"/>
            </w:r>
          </w:hyperlink>
        </w:p>
        <w:p w14:paraId="208525AC" w14:textId="77777777" w:rsidR="00AC44F7" w:rsidRDefault="008A77A6">
          <w:pPr>
            <w:pStyle w:val="TOC2"/>
            <w:rPr>
              <w:rFonts w:asciiTheme="minorHAnsi" w:eastAsiaTheme="minorEastAsia" w:hAnsiTheme="minorHAnsi"/>
              <w:noProof/>
              <w:sz w:val="22"/>
              <w:lang w:val="fr-FR" w:eastAsia="fr-FR"/>
            </w:rPr>
          </w:pPr>
          <w:hyperlink w:anchor="_Toc48914800" w:history="1">
            <w:r w:rsidR="00AC44F7" w:rsidRPr="00D5297E">
              <w:rPr>
                <w:rStyle w:val="Hyperlink"/>
                <w:noProof/>
                <w:kern w:val="22"/>
                <w:lang w:val="fr-FR"/>
              </w:rPr>
              <w:t>3.3.</w:t>
            </w:r>
            <w:r w:rsidR="00AC44F7">
              <w:rPr>
                <w:rFonts w:asciiTheme="minorHAnsi" w:eastAsiaTheme="minorEastAsia" w:hAnsiTheme="minorHAnsi"/>
                <w:noProof/>
                <w:sz w:val="22"/>
                <w:lang w:val="fr-FR" w:eastAsia="fr-FR"/>
              </w:rPr>
              <w:tab/>
            </w:r>
            <w:r w:rsidR="00AC44F7" w:rsidRPr="00D5297E">
              <w:rPr>
                <w:rStyle w:val="Hyperlink"/>
                <w:noProof/>
                <w:kern w:val="22"/>
                <w:lang w:val="fr-FR"/>
              </w:rPr>
              <w:t>Information de séquençage numérique (DSI)</w:t>
            </w:r>
            <w:r w:rsidR="00AC44F7">
              <w:rPr>
                <w:noProof/>
                <w:webHidden/>
              </w:rPr>
              <w:tab/>
            </w:r>
            <w:r w:rsidR="00AC44F7">
              <w:rPr>
                <w:noProof/>
                <w:webHidden/>
              </w:rPr>
              <w:fldChar w:fldCharType="begin"/>
            </w:r>
            <w:r w:rsidR="00AC44F7">
              <w:rPr>
                <w:noProof/>
                <w:webHidden/>
              </w:rPr>
              <w:instrText xml:space="preserve"> PAGEREF _Toc48914800 \h </w:instrText>
            </w:r>
            <w:r w:rsidR="00AC44F7">
              <w:rPr>
                <w:noProof/>
                <w:webHidden/>
              </w:rPr>
            </w:r>
            <w:r w:rsidR="00AC44F7">
              <w:rPr>
                <w:noProof/>
                <w:webHidden/>
              </w:rPr>
              <w:fldChar w:fldCharType="separate"/>
            </w:r>
            <w:r w:rsidR="00AC44F7">
              <w:rPr>
                <w:noProof/>
                <w:webHidden/>
              </w:rPr>
              <w:t>28</w:t>
            </w:r>
            <w:r w:rsidR="00AC44F7">
              <w:rPr>
                <w:noProof/>
                <w:webHidden/>
              </w:rPr>
              <w:fldChar w:fldCharType="end"/>
            </w:r>
          </w:hyperlink>
        </w:p>
        <w:p w14:paraId="2F02F8C0" w14:textId="77777777" w:rsidR="00AC44F7" w:rsidRDefault="008A77A6">
          <w:pPr>
            <w:pStyle w:val="TOC3"/>
            <w:rPr>
              <w:rFonts w:asciiTheme="minorHAnsi" w:eastAsiaTheme="minorEastAsia" w:hAnsiTheme="minorHAnsi"/>
              <w:noProof/>
              <w:sz w:val="22"/>
              <w:lang w:val="fr-FR" w:eastAsia="fr-FR"/>
            </w:rPr>
          </w:pPr>
          <w:hyperlink w:anchor="_Toc48914801" w:history="1">
            <w:r w:rsidR="00AC44F7" w:rsidRPr="00D5297E">
              <w:rPr>
                <w:rStyle w:val="Hyperlink"/>
                <w:noProof/>
                <w:kern w:val="22"/>
                <w:lang w:val="fr-FR"/>
              </w:rPr>
              <w:t>3.3.1.</w:t>
            </w:r>
            <w:r w:rsidR="00AC44F7">
              <w:rPr>
                <w:rFonts w:asciiTheme="minorHAnsi" w:eastAsiaTheme="minorEastAsia" w:hAnsiTheme="minorHAnsi"/>
                <w:noProof/>
                <w:sz w:val="22"/>
                <w:lang w:val="fr-FR" w:eastAsia="fr-FR"/>
              </w:rPr>
              <w:tab/>
            </w:r>
            <w:r w:rsidR="00AC44F7" w:rsidRPr="00D5297E">
              <w:rPr>
                <w:rStyle w:val="Hyperlink"/>
                <w:noProof/>
                <w:kern w:val="22"/>
                <w:lang w:val="fr-FR"/>
              </w:rPr>
              <w:t>Cas dans lesquels aucun accès physique n’est nécessaire pour utiliser l’information génétique</w:t>
            </w:r>
            <w:r w:rsidR="00AC44F7">
              <w:rPr>
                <w:noProof/>
                <w:webHidden/>
              </w:rPr>
              <w:tab/>
            </w:r>
            <w:r w:rsidR="00AC44F7">
              <w:rPr>
                <w:noProof/>
                <w:webHidden/>
              </w:rPr>
              <w:fldChar w:fldCharType="begin"/>
            </w:r>
            <w:r w:rsidR="00AC44F7">
              <w:rPr>
                <w:noProof/>
                <w:webHidden/>
              </w:rPr>
              <w:instrText xml:space="preserve"> PAGEREF _Toc48914801 \h </w:instrText>
            </w:r>
            <w:r w:rsidR="00AC44F7">
              <w:rPr>
                <w:noProof/>
                <w:webHidden/>
              </w:rPr>
            </w:r>
            <w:r w:rsidR="00AC44F7">
              <w:rPr>
                <w:noProof/>
                <w:webHidden/>
              </w:rPr>
              <w:fldChar w:fldCharType="separate"/>
            </w:r>
            <w:r w:rsidR="00AC44F7">
              <w:rPr>
                <w:noProof/>
                <w:webHidden/>
              </w:rPr>
              <w:t>30</w:t>
            </w:r>
            <w:r w:rsidR="00AC44F7">
              <w:rPr>
                <w:noProof/>
                <w:webHidden/>
              </w:rPr>
              <w:fldChar w:fldCharType="end"/>
            </w:r>
          </w:hyperlink>
        </w:p>
        <w:p w14:paraId="200D993F" w14:textId="77777777" w:rsidR="00AC44F7" w:rsidRDefault="008A77A6">
          <w:pPr>
            <w:pStyle w:val="TOC3"/>
            <w:rPr>
              <w:rFonts w:asciiTheme="minorHAnsi" w:eastAsiaTheme="minorEastAsia" w:hAnsiTheme="minorHAnsi"/>
              <w:noProof/>
              <w:sz w:val="22"/>
              <w:lang w:val="fr-FR" w:eastAsia="fr-FR"/>
            </w:rPr>
          </w:pPr>
          <w:hyperlink w:anchor="_Toc48914802" w:history="1">
            <w:r w:rsidR="00AC44F7" w:rsidRPr="00D5297E">
              <w:rPr>
                <w:rStyle w:val="Hyperlink"/>
                <w:noProof/>
                <w:kern w:val="22"/>
                <w:lang w:val="fr-FR"/>
              </w:rPr>
              <w:t>3.3.2.</w:t>
            </w:r>
            <w:r w:rsidR="00AC44F7">
              <w:rPr>
                <w:rFonts w:asciiTheme="minorHAnsi" w:eastAsiaTheme="minorEastAsia" w:hAnsiTheme="minorHAnsi"/>
                <w:noProof/>
                <w:sz w:val="22"/>
                <w:lang w:val="fr-FR" w:eastAsia="fr-FR"/>
              </w:rPr>
              <w:tab/>
            </w:r>
            <w:r w:rsidR="00AC44F7" w:rsidRPr="00D5297E">
              <w:rPr>
                <w:rStyle w:val="Hyperlink"/>
                <w:noProof/>
                <w:kern w:val="22"/>
                <w:lang w:val="fr-FR"/>
              </w:rPr>
              <w:t>Utilisation de composés génétiques provenant de multiples organismes</w:t>
            </w:r>
            <w:r w:rsidR="00AC44F7">
              <w:rPr>
                <w:noProof/>
                <w:webHidden/>
              </w:rPr>
              <w:tab/>
            </w:r>
            <w:r w:rsidR="00AC44F7">
              <w:rPr>
                <w:noProof/>
                <w:webHidden/>
              </w:rPr>
              <w:fldChar w:fldCharType="begin"/>
            </w:r>
            <w:r w:rsidR="00AC44F7">
              <w:rPr>
                <w:noProof/>
                <w:webHidden/>
              </w:rPr>
              <w:instrText xml:space="preserve"> PAGEREF _Toc48914802 \h </w:instrText>
            </w:r>
            <w:r w:rsidR="00AC44F7">
              <w:rPr>
                <w:noProof/>
                <w:webHidden/>
              </w:rPr>
            </w:r>
            <w:r w:rsidR="00AC44F7">
              <w:rPr>
                <w:noProof/>
                <w:webHidden/>
              </w:rPr>
              <w:fldChar w:fldCharType="separate"/>
            </w:r>
            <w:r w:rsidR="00AC44F7">
              <w:rPr>
                <w:noProof/>
                <w:webHidden/>
              </w:rPr>
              <w:t>35</w:t>
            </w:r>
            <w:r w:rsidR="00AC44F7">
              <w:rPr>
                <w:noProof/>
                <w:webHidden/>
              </w:rPr>
              <w:fldChar w:fldCharType="end"/>
            </w:r>
          </w:hyperlink>
        </w:p>
        <w:p w14:paraId="44BCC1E8" w14:textId="153D64B3" w:rsidR="00AC44F7" w:rsidRDefault="008A77A6">
          <w:pPr>
            <w:pStyle w:val="TOC1"/>
            <w:rPr>
              <w:rFonts w:asciiTheme="minorHAnsi" w:eastAsiaTheme="minorEastAsia" w:hAnsiTheme="minorHAnsi"/>
              <w:noProof/>
              <w:sz w:val="22"/>
              <w:lang w:val="fr-FR" w:eastAsia="fr-FR"/>
            </w:rPr>
          </w:pPr>
          <w:hyperlink w:anchor="_Toc48914803" w:history="1">
            <w:r w:rsidR="00AC44F7" w:rsidRPr="00D5297E">
              <w:rPr>
                <w:rStyle w:val="Hyperlink"/>
                <w:noProof/>
                <w:kern w:val="22"/>
                <w:lang w:val="fr-FR"/>
              </w:rPr>
              <w:t>4.</w:t>
            </w:r>
            <w:r w:rsidR="00AC44F7">
              <w:rPr>
                <w:rFonts w:asciiTheme="minorHAnsi" w:eastAsiaTheme="minorEastAsia" w:hAnsiTheme="minorHAnsi"/>
                <w:noProof/>
                <w:sz w:val="22"/>
                <w:lang w:val="fr-FR" w:eastAsia="fr-FR"/>
              </w:rPr>
              <w:tab/>
            </w:r>
            <w:r w:rsidR="00AC44F7">
              <w:rPr>
                <w:rStyle w:val="Hyperlink"/>
                <w:noProof/>
                <w:kern w:val="22"/>
                <w:lang w:val="fr-FR"/>
              </w:rPr>
              <w:t>Cas spécifiques de connaissances traditionnelles associées aux r</w:t>
            </w:r>
            <w:r w:rsidR="00AC44F7" w:rsidRPr="00D5297E">
              <w:rPr>
                <w:rStyle w:val="Hyperlink"/>
                <w:noProof/>
                <w:kern w:val="22"/>
                <w:lang w:val="fr-FR"/>
              </w:rPr>
              <w:t>essources génétiques qui se trouvent dans des situations transfrontières ou pour lesquelles il n’est pas possible d’accorder ou d’obtenir un consentement préalable donné en connaissance de cause</w:t>
            </w:r>
            <w:r w:rsidR="00AC44F7">
              <w:rPr>
                <w:noProof/>
                <w:webHidden/>
              </w:rPr>
              <w:tab/>
            </w:r>
            <w:r w:rsidR="00AC44F7">
              <w:rPr>
                <w:noProof/>
                <w:webHidden/>
              </w:rPr>
              <w:fldChar w:fldCharType="begin"/>
            </w:r>
            <w:r w:rsidR="00AC44F7">
              <w:rPr>
                <w:noProof/>
                <w:webHidden/>
              </w:rPr>
              <w:instrText xml:space="preserve"> PAGEREF _Toc48914803 \h </w:instrText>
            </w:r>
            <w:r w:rsidR="00AC44F7">
              <w:rPr>
                <w:noProof/>
                <w:webHidden/>
              </w:rPr>
            </w:r>
            <w:r w:rsidR="00AC44F7">
              <w:rPr>
                <w:noProof/>
                <w:webHidden/>
              </w:rPr>
              <w:fldChar w:fldCharType="separate"/>
            </w:r>
            <w:r w:rsidR="00AC44F7">
              <w:rPr>
                <w:noProof/>
                <w:webHidden/>
              </w:rPr>
              <w:t>39</w:t>
            </w:r>
            <w:r w:rsidR="00AC44F7">
              <w:rPr>
                <w:noProof/>
                <w:webHidden/>
              </w:rPr>
              <w:fldChar w:fldCharType="end"/>
            </w:r>
          </w:hyperlink>
        </w:p>
        <w:p w14:paraId="1867A7B7" w14:textId="77777777" w:rsidR="00AC44F7" w:rsidRDefault="008A77A6">
          <w:pPr>
            <w:pStyle w:val="TOC2"/>
            <w:rPr>
              <w:rFonts w:asciiTheme="minorHAnsi" w:eastAsiaTheme="minorEastAsia" w:hAnsiTheme="minorHAnsi"/>
              <w:noProof/>
              <w:sz w:val="22"/>
              <w:lang w:val="fr-FR" w:eastAsia="fr-FR"/>
            </w:rPr>
          </w:pPr>
          <w:hyperlink w:anchor="_Toc48914804" w:history="1">
            <w:r w:rsidR="00AC44F7" w:rsidRPr="00D5297E">
              <w:rPr>
                <w:rStyle w:val="Hyperlink"/>
                <w:noProof/>
                <w:kern w:val="22"/>
                <w:lang w:val="fr-FR"/>
              </w:rPr>
              <w:t>4.1.</w:t>
            </w:r>
            <w:r w:rsidR="00AC44F7">
              <w:rPr>
                <w:rFonts w:asciiTheme="minorHAnsi" w:eastAsiaTheme="minorEastAsia" w:hAnsiTheme="minorHAnsi"/>
                <w:noProof/>
                <w:sz w:val="22"/>
                <w:lang w:val="fr-FR" w:eastAsia="fr-FR"/>
              </w:rPr>
              <w:tab/>
            </w:r>
            <w:r w:rsidR="00AC44F7" w:rsidRPr="00D5297E">
              <w:rPr>
                <w:rStyle w:val="Hyperlink"/>
                <w:noProof/>
                <w:kern w:val="22"/>
                <w:lang w:val="fr-FR"/>
              </w:rPr>
              <w:t>Connaissances traditionnelles détenues par des peuples autochtones et communautés locales situés dans plusieurs juridictions nationales</w:t>
            </w:r>
            <w:r w:rsidR="00AC44F7">
              <w:rPr>
                <w:noProof/>
                <w:webHidden/>
              </w:rPr>
              <w:tab/>
            </w:r>
            <w:r w:rsidR="00AC44F7">
              <w:rPr>
                <w:noProof/>
                <w:webHidden/>
              </w:rPr>
              <w:fldChar w:fldCharType="begin"/>
            </w:r>
            <w:r w:rsidR="00AC44F7">
              <w:rPr>
                <w:noProof/>
                <w:webHidden/>
              </w:rPr>
              <w:instrText xml:space="preserve"> PAGEREF _Toc48914804 \h </w:instrText>
            </w:r>
            <w:r w:rsidR="00AC44F7">
              <w:rPr>
                <w:noProof/>
                <w:webHidden/>
              </w:rPr>
            </w:r>
            <w:r w:rsidR="00AC44F7">
              <w:rPr>
                <w:noProof/>
                <w:webHidden/>
              </w:rPr>
              <w:fldChar w:fldCharType="separate"/>
            </w:r>
            <w:r w:rsidR="00AC44F7">
              <w:rPr>
                <w:noProof/>
                <w:webHidden/>
              </w:rPr>
              <w:t>39</w:t>
            </w:r>
            <w:r w:rsidR="00AC44F7">
              <w:rPr>
                <w:noProof/>
                <w:webHidden/>
              </w:rPr>
              <w:fldChar w:fldCharType="end"/>
            </w:r>
          </w:hyperlink>
        </w:p>
        <w:p w14:paraId="5B99E76D" w14:textId="332FE3AB" w:rsidR="00AC44F7" w:rsidRDefault="008A77A6">
          <w:pPr>
            <w:pStyle w:val="TOC2"/>
            <w:rPr>
              <w:rFonts w:asciiTheme="minorHAnsi" w:eastAsiaTheme="minorEastAsia" w:hAnsiTheme="minorHAnsi"/>
              <w:noProof/>
              <w:sz w:val="22"/>
              <w:lang w:val="fr-FR" w:eastAsia="fr-FR"/>
            </w:rPr>
          </w:pPr>
          <w:hyperlink w:anchor="_Toc48914805" w:history="1">
            <w:r w:rsidR="00AC44F7" w:rsidRPr="00D5297E">
              <w:rPr>
                <w:rStyle w:val="Hyperlink"/>
                <w:noProof/>
                <w:kern w:val="22"/>
                <w:lang w:val="fr-FR"/>
              </w:rPr>
              <w:t>4.2.</w:t>
            </w:r>
            <w:r w:rsidR="00AC44F7">
              <w:rPr>
                <w:rFonts w:asciiTheme="minorHAnsi" w:eastAsiaTheme="minorEastAsia" w:hAnsiTheme="minorHAnsi"/>
                <w:noProof/>
                <w:sz w:val="22"/>
                <w:lang w:val="fr-FR" w:eastAsia="fr-FR"/>
              </w:rPr>
              <w:tab/>
            </w:r>
            <w:r w:rsidR="00AC44F7" w:rsidRPr="00D5297E">
              <w:rPr>
                <w:rStyle w:val="Hyperlink"/>
                <w:noProof/>
                <w:kern w:val="22"/>
                <w:lang w:val="fr-FR"/>
              </w:rPr>
              <w:t>Connaissances tradit</w:t>
            </w:r>
            <w:r w:rsidR="00D65EBE">
              <w:rPr>
                <w:rStyle w:val="Hyperlink"/>
                <w:noProof/>
                <w:kern w:val="22"/>
                <w:lang w:val="fr-FR"/>
              </w:rPr>
              <w:t xml:space="preserve">ionnelles </w:t>
            </w:r>
            <w:r w:rsidR="00FA6E68">
              <w:rPr>
                <w:rStyle w:val="Hyperlink"/>
                <w:noProof/>
                <w:kern w:val="22"/>
                <w:lang w:val="fr-FR"/>
              </w:rPr>
              <w:t xml:space="preserve">associées aux </w:t>
            </w:r>
            <w:r w:rsidR="00AC44F7" w:rsidRPr="00D5297E">
              <w:rPr>
                <w:rStyle w:val="Hyperlink"/>
                <w:noProof/>
                <w:kern w:val="22"/>
                <w:lang w:val="fr-FR"/>
              </w:rPr>
              <w:t>ressources génétiques</w:t>
            </w:r>
            <w:r w:rsidR="00D65EBE">
              <w:rPr>
                <w:rStyle w:val="Hyperlink"/>
                <w:noProof/>
                <w:kern w:val="22"/>
                <w:lang w:val="fr-FR"/>
              </w:rPr>
              <w:t xml:space="preserve"> accessibles au public</w:t>
            </w:r>
            <w:r w:rsidR="00AC44F7">
              <w:rPr>
                <w:noProof/>
                <w:webHidden/>
              </w:rPr>
              <w:tab/>
            </w:r>
            <w:r w:rsidR="00AC44F7">
              <w:rPr>
                <w:noProof/>
                <w:webHidden/>
              </w:rPr>
              <w:fldChar w:fldCharType="begin"/>
            </w:r>
            <w:r w:rsidR="00AC44F7">
              <w:rPr>
                <w:noProof/>
                <w:webHidden/>
              </w:rPr>
              <w:instrText xml:space="preserve"> PAGEREF _Toc48914805 \h </w:instrText>
            </w:r>
            <w:r w:rsidR="00AC44F7">
              <w:rPr>
                <w:noProof/>
                <w:webHidden/>
              </w:rPr>
            </w:r>
            <w:r w:rsidR="00AC44F7">
              <w:rPr>
                <w:noProof/>
                <w:webHidden/>
              </w:rPr>
              <w:fldChar w:fldCharType="separate"/>
            </w:r>
            <w:r w:rsidR="00AC44F7">
              <w:rPr>
                <w:noProof/>
                <w:webHidden/>
              </w:rPr>
              <w:t>42</w:t>
            </w:r>
            <w:r w:rsidR="00AC44F7">
              <w:rPr>
                <w:noProof/>
                <w:webHidden/>
              </w:rPr>
              <w:fldChar w:fldCharType="end"/>
            </w:r>
          </w:hyperlink>
        </w:p>
        <w:p w14:paraId="3A503988" w14:textId="166E9DC0" w:rsidR="00AC44F7" w:rsidRDefault="008A77A6">
          <w:pPr>
            <w:pStyle w:val="TOC2"/>
            <w:rPr>
              <w:rFonts w:asciiTheme="minorHAnsi" w:eastAsiaTheme="minorEastAsia" w:hAnsiTheme="minorHAnsi"/>
              <w:noProof/>
              <w:sz w:val="22"/>
              <w:lang w:val="fr-FR" w:eastAsia="fr-FR"/>
            </w:rPr>
          </w:pPr>
          <w:hyperlink w:anchor="_Toc48914806" w:history="1">
            <w:r w:rsidR="00AC44F7" w:rsidRPr="00D5297E">
              <w:rPr>
                <w:rStyle w:val="Hyperlink"/>
                <w:noProof/>
                <w:kern w:val="22"/>
                <w:lang w:val="fr-FR"/>
              </w:rPr>
              <w:t>4.3.</w:t>
            </w:r>
            <w:r w:rsidR="00AC44F7">
              <w:rPr>
                <w:rFonts w:asciiTheme="minorHAnsi" w:eastAsiaTheme="minorEastAsia" w:hAnsiTheme="minorHAnsi"/>
                <w:noProof/>
                <w:sz w:val="22"/>
                <w:lang w:val="fr-FR" w:eastAsia="fr-FR"/>
              </w:rPr>
              <w:tab/>
            </w:r>
            <w:r w:rsidR="00AC44F7" w:rsidRPr="00D5297E">
              <w:rPr>
                <w:rStyle w:val="Hyperlink"/>
                <w:noProof/>
                <w:kern w:val="22"/>
                <w:lang w:val="fr-FR"/>
              </w:rPr>
              <w:t xml:space="preserve">Connaissances </w:t>
            </w:r>
            <w:r w:rsidR="00FA6E68">
              <w:rPr>
                <w:rStyle w:val="Hyperlink"/>
                <w:noProof/>
                <w:kern w:val="22"/>
                <w:lang w:val="fr-FR"/>
              </w:rPr>
              <w:t xml:space="preserve">traditionnelles associées aux </w:t>
            </w:r>
            <w:r w:rsidR="00AC44F7" w:rsidRPr="00D5297E">
              <w:rPr>
                <w:rStyle w:val="Hyperlink"/>
                <w:noProof/>
                <w:kern w:val="22"/>
                <w:lang w:val="fr-FR"/>
              </w:rPr>
              <w:t>ressources génétiques dont on ne peut déterminer l’origine dans des collections</w:t>
            </w:r>
            <w:r w:rsidR="00AC44F7" w:rsidRPr="00D5297E">
              <w:rPr>
                <w:rStyle w:val="Hyperlink"/>
                <w:i/>
                <w:noProof/>
                <w:kern w:val="22"/>
                <w:lang w:val="fr-FR"/>
              </w:rPr>
              <w:t xml:space="preserve"> ex situ</w:t>
            </w:r>
            <w:r w:rsidR="00AC44F7">
              <w:rPr>
                <w:noProof/>
                <w:webHidden/>
              </w:rPr>
              <w:tab/>
            </w:r>
            <w:r w:rsidR="00AC44F7">
              <w:rPr>
                <w:noProof/>
                <w:webHidden/>
              </w:rPr>
              <w:fldChar w:fldCharType="begin"/>
            </w:r>
            <w:r w:rsidR="00AC44F7">
              <w:rPr>
                <w:noProof/>
                <w:webHidden/>
              </w:rPr>
              <w:instrText xml:space="preserve"> PAGEREF _Toc48914806 \h </w:instrText>
            </w:r>
            <w:r w:rsidR="00AC44F7">
              <w:rPr>
                <w:noProof/>
                <w:webHidden/>
              </w:rPr>
            </w:r>
            <w:r w:rsidR="00AC44F7">
              <w:rPr>
                <w:noProof/>
                <w:webHidden/>
              </w:rPr>
              <w:fldChar w:fldCharType="separate"/>
            </w:r>
            <w:r w:rsidR="00AC44F7">
              <w:rPr>
                <w:noProof/>
                <w:webHidden/>
              </w:rPr>
              <w:t>44</w:t>
            </w:r>
            <w:r w:rsidR="00AC44F7">
              <w:rPr>
                <w:noProof/>
                <w:webHidden/>
              </w:rPr>
              <w:fldChar w:fldCharType="end"/>
            </w:r>
          </w:hyperlink>
        </w:p>
        <w:p w14:paraId="32BBF6B1" w14:textId="77777777" w:rsidR="00AC44F7" w:rsidRDefault="008A77A6">
          <w:pPr>
            <w:pStyle w:val="TOC1"/>
            <w:rPr>
              <w:rFonts w:asciiTheme="minorHAnsi" w:eastAsiaTheme="minorEastAsia" w:hAnsiTheme="minorHAnsi"/>
              <w:noProof/>
              <w:sz w:val="22"/>
              <w:lang w:val="fr-FR" w:eastAsia="fr-FR"/>
            </w:rPr>
          </w:pPr>
          <w:hyperlink w:anchor="_Toc48914807" w:history="1">
            <w:r w:rsidR="00AC44F7" w:rsidRPr="00D5297E">
              <w:rPr>
                <w:rStyle w:val="Hyperlink"/>
                <w:noProof/>
                <w:kern w:val="22"/>
                <w:lang w:val="en-GB"/>
              </w:rPr>
              <w:t>5.</w:t>
            </w:r>
            <w:r w:rsidR="00AC44F7">
              <w:rPr>
                <w:rFonts w:asciiTheme="minorHAnsi" w:eastAsiaTheme="minorEastAsia" w:hAnsiTheme="minorHAnsi"/>
                <w:noProof/>
                <w:sz w:val="22"/>
                <w:lang w:val="fr-FR" w:eastAsia="fr-FR"/>
              </w:rPr>
              <w:tab/>
            </w:r>
            <w:r w:rsidR="00AC44F7" w:rsidRPr="00D5297E">
              <w:rPr>
                <w:rStyle w:val="Hyperlink"/>
                <w:noProof/>
                <w:kern w:val="22"/>
                <w:lang w:val="en-GB"/>
              </w:rPr>
              <w:t>Conclusions</w:t>
            </w:r>
            <w:r w:rsidR="00AC44F7">
              <w:rPr>
                <w:noProof/>
                <w:webHidden/>
              </w:rPr>
              <w:tab/>
            </w:r>
            <w:r w:rsidR="00AC44F7">
              <w:rPr>
                <w:noProof/>
                <w:webHidden/>
              </w:rPr>
              <w:fldChar w:fldCharType="begin"/>
            </w:r>
            <w:r w:rsidR="00AC44F7">
              <w:rPr>
                <w:noProof/>
                <w:webHidden/>
              </w:rPr>
              <w:instrText xml:space="preserve"> PAGEREF _Toc48914807 \h </w:instrText>
            </w:r>
            <w:r w:rsidR="00AC44F7">
              <w:rPr>
                <w:noProof/>
                <w:webHidden/>
              </w:rPr>
            </w:r>
            <w:r w:rsidR="00AC44F7">
              <w:rPr>
                <w:noProof/>
                <w:webHidden/>
              </w:rPr>
              <w:fldChar w:fldCharType="separate"/>
            </w:r>
            <w:r w:rsidR="00AC44F7">
              <w:rPr>
                <w:noProof/>
                <w:webHidden/>
              </w:rPr>
              <w:t>45</w:t>
            </w:r>
            <w:r w:rsidR="00AC44F7">
              <w:rPr>
                <w:noProof/>
                <w:webHidden/>
              </w:rPr>
              <w:fldChar w:fldCharType="end"/>
            </w:r>
          </w:hyperlink>
        </w:p>
        <w:p w14:paraId="6FF3A76F" w14:textId="71C37FE7" w:rsidR="00AC44F7" w:rsidRDefault="008A77A6">
          <w:pPr>
            <w:pStyle w:val="TOC1"/>
            <w:rPr>
              <w:rFonts w:asciiTheme="minorHAnsi" w:eastAsiaTheme="minorEastAsia" w:hAnsiTheme="minorHAnsi"/>
              <w:noProof/>
              <w:sz w:val="22"/>
              <w:lang w:val="fr-FR" w:eastAsia="fr-FR"/>
            </w:rPr>
          </w:pPr>
          <w:hyperlink w:anchor="_Toc48914808" w:history="1">
            <w:r w:rsidR="00AC44F7">
              <w:rPr>
                <w:rStyle w:val="Hyperlink"/>
                <w:noProof/>
                <w:kern w:val="22"/>
                <w:lang w:val="fr-FR"/>
              </w:rPr>
              <w:t>R</w:t>
            </w:r>
            <w:r w:rsidR="00AC44F7" w:rsidRPr="00D5297E">
              <w:rPr>
                <w:rStyle w:val="Hyperlink"/>
                <w:noProof/>
                <w:kern w:val="22"/>
                <w:lang w:val="fr-FR"/>
              </w:rPr>
              <w:t>emerciements</w:t>
            </w:r>
            <w:r w:rsidR="00AC44F7">
              <w:rPr>
                <w:noProof/>
                <w:webHidden/>
              </w:rPr>
              <w:tab/>
            </w:r>
            <w:r w:rsidR="00AC44F7">
              <w:rPr>
                <w:noProof/>
                <w:webHidden/>
              </w:rPr>
              <w:fldChar w:fldCharType="begin"/>
            </w:r>
            <w:r w:rsidR="00AC44F7">
              <w:rPr>
                <w:noProof/>
                <w:webHidden/>
              </w:rPr>
              <w:instrText xml:space="preserve"> PAGEREF _Toc48914808 \h </w:instrText>
            </w:r>
            <w:r w:rsidR="00AC44F7">
              <w:rPr>
                <w:noProof/>
                <w:webHidden/>
              </w:rPr>
            </w:r>
            <w:r w:rsidR="00AC44F7">
              <w:rPr>
                <w:noProof/>
                <w:webHidden/>
              </w:rPr>
              <w:fldChar w:fldCharType="separate"/>
            </w:r>
            <w:r w:rsidR="00AC44F7">
              <w:rPr>
                <w:noProof/>
                <w:webHidden/>
              </w:rPr>
              <w:t>45</w:t>
            </w:r>
            <w:r w:rsidR="00AC44F7">
              <w:rPr>
                <w:noProof/>
                <w:webHidden/>
              </w:rPr>
              <w:fldChar w:fldCharType="end"/>
            </w:r>
          </w:hyperlink>
        </w:p>
        <w:p w14:paraId="716B43EF" w14:textId="75BA4C81" w:rsidR="00AC44F7" w:rsidRDefault="008A77A6">
          <w:pPr>
            <w:pStyle w:val="TOC1"/>
            <w:rPr>
              <w:rFonts w:asciiTheme="minorHAnsi" w:eastAsiaTheme="minorEastAsia" w:hAnsiTheme="minorHAnsi"/>
              <w:noProof/>
              <w:sz w:val="22"/>
              <w:lang w:val="fr-FR" w:eastAsia="fr-FR"/>
            </w:rPr>
          </w:pPr>
          <w:hyperlink w:anchor="_Toc48914809" w:history="1">
            <w:r w:rsidR="00AC44F7" w:rsidRPr="00D5297E">
              <w:rPr>
                <w:rStyle w:val="Hyperlink"/>
                <w:noProof/>
                <w:kern w:val="22"/>
                <w:lang w:val="fr-FR"/>
              </w:rPr>
              <w:t>Annexe A</w:t>
            </w:r>
            <w:r w:rsidR="00AC44F7">
              <w:rPr>
                <w:rStyle w:val="Hyperlink"/>
                <w:noProof/>
                <w:kern w:val="22"/>
                <w:lang w:val="fr-FR"/>
              </w:rPr>
              <w:t>: Liste des personnes interviewé</w:t>
            </w:r>
            <w:r w:rsidR="00AC44F7" w:rsidRPr="00D5297E">
              <w:rPr>
                <w:rStyle w:val="Hyperlink"/>
                <w:noProof/>
                <w:kern w:val="22"/>
                <w:lang w:val="fr-FR"/>
              </w:rPr>
              <w:t>es</w:t>
            </w:r>
            <w:r w:rsidR="00AC44F7">
              <w:rPr>
                <w:noProof/>
                <w:webHidden/>
              </w:rPr>
              <w:tab/>
            </w:r>
            <w:r w:rsidR="00AC44F7">
              <w:rPr>
                <w:noProof/>
                <w:webHidden/>
              </w:rPr>
              <w:fldChar w:fldCharType="begin"/>
            </w:r>
            <w:r w:rsidR="00AC44F7">
              <w:rPr>
                <w:noProof/>
                <w:webHidden/>
              </w:rPr>
              <w:instrText xml:space="preserve"> PAGEREF _Toc48914809 \h </w:instrText>
            </w:r>
            <w:r w:rsidR="00AC44F7">
              <w:rPr>
                <w:noProof/>
                <w:webHidden/>
              </w:rPr>
            </w:r>
            <w:r w:rsidR="00AC44F7">
              <w:rPr>
                <w:noProof/>
                <w:webHidden/>
              </w:rPr>
              <w:fldChar w:fldCharType="separate"/>
            </w:r>
            <w:r w:rsidR="00AC44F7">
              <w:rPr>
                <w:noProof/>
                <w:webHidden/>
              </w:rPr>
              <w:t>46</w:t>
            </w:r>
            <w:r w:rsidR="00AC44F7">
              <w:rPr>
                <w:noProof/>
                <w:webHidden/>
              </w:rPr>
              <w:fldChar w:fldCharType="end"/>
            </w:r>
          </w:hyperlink>
        </w:p>
        <w:p w14:paraId="36B9CB04" w14:textId="531A245B" w:rsidR="00F1101C" w:rsidRPr="002364AB" w:rsidRDefault="0019195C" w:rsidP="00F1101C">
          <w:pPr>
            <w:rPr>
              <w:bCs/>
              <w:noProof/>
              <w:kern w:val="22"/>
              <w:sz w:val="22"/>
              <w:lang w:val="en-GB"/>
            </w:rPr>
          </w:pPr>
          <w:r w:rsidRPr="002364AB">
            <w:rPr>
              <w:rFonts w:cs="Times New Roman"/>
              <w:kern w:val="22"/>
              <w:sz w:val="22"/>
              <w:lang w:val="en-GB"/>
            </w:rPr>
            <w:fldChar w:fldCharType="end"/>
          </w:r>
        </w:p>
      </w:sdtContent>
    </w:sdt>
    <w:p w14:paraId="04146CB5" w14:textId="77777777" w:rsidR="00F1101C" w:rsidRPr="002364AB" w:rsidRDefault="00F1101C">
      <w:pPr>
        <w:spacing w:line="259" w:lineRule="auto"/>
        <w:jc w:val="left"/>
        <w:rPr>
          <w:rFonts w:eastAsia="Times New Roman" w:cs="Times New Roman"/>
          <w:b/>
          <w:kern w:val="22"/>
          <w:sz w:val="22"/>
          <w:lang w:val="en-GB" w:eastAsia="en-CA"/>
        </w:rPr>
      </w:pPr>
      <w:r w:rsidRPr="002364AB">
        <w:rPr>
          <w:rFonts w:eastAsia="Times New Roman" w:cs="Times New Roman"/>
          <w:b/>
          <w:kern w:val="22"/>
          <w:sz w:val="22"/>
          <w:lang w:val="en-GB" w:eastAsia="en-CA"/>
        </w:rPr>
        <w:br w:type="page"/>
      </w:r>
    </w:p>
    <w:p w14:paraId="43FB2B3A" w14:textId="77777777" w:rsidR="005F1B9B" w:rsidRDefault="005F1B9B" w:rsidP="003C2C8E">
      <w:pPr>
        <w:spacing w:after="120"/>
        <w:rPr>
          <w:rFonts w:eastAsia="Times New Roman" w:cs="Times New Roman"/>
          <w:b/>
          <w:kern w:val="22"/>
          <w:sz w:val="22"/>
          <w:lang w:val="fr-FR" w:eastAsia="en-CA"/>
        </w:rPr>
      </w:pPr>
    </w:p>
    <w:p w14:paraId="7024C38A" w14:textId="514FCA95" w:rsidR="003C2C8E" w:rsidRPr="00B46D70" w:rsidRDefault="00A71176" w:rsidP="003C2C8E">
      <w:pPr>
        <w:spacing w:after="120"/>
        <w:rPr>
          <w:rFonts w:eastAsia="Times New Roman" w:cs="Times New Roman"/>
          <w:kern w:val="22"/>
          <w:sz w:val="22"/>
          <w:lang w:val="fr-FR" w:eastAsia="en-CA"/>
        </w:rPr>
      </w:pPr>
      <w:r>
        <w:rPr>
          <w:rFonts w:eastAsia="Times New Roman" w:cs="Times New Roman"/>
          <w:b/>
          <w:kern w:val="22"/>
          <w:sz w:val="22"/>
          <w:lang w:val="fr-FR" w:eastAsia="en-CA"/>
        </w:rPr>
        <w:t xml:space="preserve">Liste des </w:t>
      </w:r>
      <w:r w:rsidR="00B46D70" w:rsidRPr="00B46D70">
        <w:rPr>
          <w:rFonts w:eastAsia="Times New Roman" w:cs="Times New Roman"/>
          <w:b/>
          <w:kern w:val="22"/>
          <w:sz w:val="22"/>
          <w:lang w:val="fr-FR" w:eastAsia="en-CA"/>
        </w:rPr>
        <w:t>a</w:t>
      </w:r>
      <w:r w:rsidR="003C2C8E" w:rsidRPr="00B46D70">
        <w:rPr>
          <w:rFonts w:eastAsia="Times New Roman" w:cs="Times New Roman"/>
          <w:b/>
          <w:kern w:val="22"/>
          <w:sz w:val="22"/>
          <w:lang w:val="fr-FR" w:eastAsia="en-CA"/>
        </w:rPr>
        <w:t>cronym</w:t>
      </w:r>
      <w:r w:rsidR="00B46D70" w:rsidRPr="00B46D70">
        <w:rPr>
          <w:rFonts w:eastAsia="Times New Roman" w:cs="Times New Roman"/>
          <w:b/>
          <w:kern w:val="22"/>
          <w:sz w:val="22"/>
          <w:lang w:val="fr-FR" w:eastAsia="en-CA"/>
        </w:rPr>
        <w:t>e</w:t>
      </w:r>
      <w:r w:rsidR="003C2C8E" w:rsidRPr="00B46D70">
        <w:rPr>
          <w:rFonts w:eastAsia="Times New Roman" w:cs="Times New Roman"/>
          <w:b/>
          <w:kern w:val="22"/>
          <w:sz w:val="22"/>
          <w:lang w:val="fr-FR" w:eastAsia="en-CA"/>
        </w:rPr>
        <w:t>s</w:t>
      </w:r>
      <w:r w:rsidR="003B1070">
        <w:rPr>
          <w:rFonts w:eastAsia="Times New Roman" w:cs="Times New Roman"/>
          <w:b/>
          <w:kern w:val="22"/>
          <w:sz w:val="22"/>
          <w:lang w:val="fr-FR" w:eastAsia="en-CA"/>
        </w:rPr>
        <w:t xml:space="preserve"> (en anglais ou en français)</w:t>
      </w:r>
    </w:p>
    <w:p w14:paraId="379D27B1" w14:textId="77777777" w:rsidR="00BD327D" w:rsidRPr="00E3674F" w:rsidRDefault="00BD327D" w:rsidP="003C2C8E">
      <w:pPr>
        <w:spacing w:after="0"/>
        <w:rPr>
          <w:rFonts w:eastAsia="Times New Roman" w:cs="Times New Roman"/>
          <w:kern w:val="22"/>
          <w:sz w:val="20"/>
          <w:szCs w:val="20"/>
          <w:lang w:val="fr-FR" w:eastAsia="en-CA"/>
        </w:rPr>
      </w:pPr>
      <w:r w:rsidRPr="00E3674F">
        <w:rPr>
          <w:rFonts w:eastAsia="Times New Roman" w:cs="Times New Roman"/>
          <w:kern w:val="22"/>
          <w:sz w:val="20"/>
          <w:szCs w:val="20"/>
          <w:lang w:val="fr-FR" w:eastAsia="en-CA"/>
        </w:rPr>
        <w:t>ABS</w:t>
      </w:r>
      <w:r w:rsidRPr="00E3674F">
        <w:rPr>
          <w:rFonts w:eastAsia="Times New Roman" w:cs="Times New Roman"/>
          <w:kern w:val="22"/>
          <w:sz w:val="20"/>
          <w:szCs w:val="20"/>
          <w:lang w:val="fr-FR" w:eastAsia="en-CA"/>
        </w:rPr>
        <w:tab/>
      </w:r>
      <w:r w:rsidRPr="00E3674F">
        <w:rPr>
          <w:rFonts w:eastAsia="Times New Roman" w:cs="Times New Roman"/>
          <w:kern w:val="22"/>
          <w:sz w:val="20"/>
          <w:szCs w:val="20"/>
          <w:lang w:val="fr-FR" w:eastAsia="en-CA"/>
        </w:rPr>
        <w:tab/>
      </w:r>
      <w:r>
        <w:rPr>
          <w:rFonts w:eastAsia="Times New Roman" w:cs="Times New Roman"/>
          <w:kern w:val="22"/>
          <w:sz w:val="20"/>
          <w:szCs w:val="20"/>
          <w:lang w:val="fr-FR" w:eastAsia="en-CA"/>
        </w:rPr>
        <w:t>Accès et</w:t>
      </w:r>
      <w:r w:rsidRPr="00E3674F">
        <w:rPr>
          <w:rFonts w:eastAsia="Times New Roman" w:cs="Times New Roman"/>
          <w:kern w:val="22"/>
          <w:sz w:val="20"/>
          <w:szCs w:val="20"/>
          <w:lang w:val="fr-FR" w:eastAsia="en-CA"/>
        </w:rPr>
        <w:t xml:space="preserve"> partage des avantages</w:t>
      </w:r>
    </w:p>
    <w:p w14:paraId="23088479" w14:textId="77777777" w:rsidR="00BD327D" w:rsidRPr="00E3674F" w:rsidRDefault="00BD327D" w:rsidP="003C2C8E">
      <w:pPr>
        <w:spacing w:after="0"/>
        <w:rPr>
          <w:rFonts w:eastAsia="Times New Roman" w:cs="Times New Roman"/>
          <w:kern w:val="22"/>
          <w:sz w:val="20"/>
          <w:szCs w:val="20"/>
          <w:lang w:val="fr-FR" w:eastAsia="en-CA"/>
        </w:rPr>
      </w:pPr>
      <w:r w:rsidRPr="00E3674F">
        <w:rPr>
          <w:rFonts w:eastAsia="Times New Roman" w:cs="Times New Roman"/>
          <w:kern w:val="22"/>
          <w:sz w:val="20"/>
          <w:szCs w:val="20"/>
          <w:lang w:val="fr-FR" w:eastAsia="en-CA"/>
        </w:rPr>
        <w:t>ABSCH</w:t>
      </w:r>
      <w:r w:rsidRPr="00E3674F">
        <w:rPr>
          <w:rFonts w:eastAsia="Times New Roman" w:cs="Times New Roman"/>
          <w:kern w:val="22"/>
          <w:sz w:val="20"/>
          <w:szCs w:val="20"/>
          <w:lang w:val="fr-FR" w:eastAsia="en-CA"/>
        </w:rPr>
        <w:tab/>
      </w:r>
      <w:r w:rsidRPr="00E3674F">
        <w:rPr>
          <w:rFonts w:eastAsia="Times New Roman" w:cs="Times New Roman"/>
          <w:kern w:val="22"/>
          <w:sz w:val="20"/>
          <w:szCs w:val="20"/>
          <w:lang w:val="fr-FR" w:eastAsia="en-CA"/>
        </w:rPr>
        <w:tab/>
      </w:r>
      <w:r>
        <w:rPr>
          <w:rFonts w:eastAsia="Times New Roman" w:cs="Times New Roman"/>
          <w:kern w:val="22"/>
          <w:sz w:val="20"/>
          <w:szCs w:val="20"/>
          <w:lang w:val="fr-FR" w:eastAsia="en-CA"/>
        </w:rPr>
        <w:t>Centre d’échange sur l’accès et le partage des avantages</w:t>
      </w:r>
    </w:p>
    <w:p w14:paraId="18CEE143" w14:textId="77777777" w:rsidR="00BD327D" w:rsidRPr="00E3674F" w:rsidRDefault="00BD327D" w:rsidP="003C2C8E">
      <w:pPr>
        <w:spacing w:after="0"/>
        <w:rPr>
          <w:rFonts w:eastAsia="Times New Roman" w:cs="Times New Roman"/>
          <w:kern w:val="22"/>
          <w:sz w:val="20"/>
          <w:szCs w:val="20"/>
          <w:lang w:val="fr-FR" w:eastAsia="en-CA"/>
        </w:rPr>
      </w:pPr>
      <w:r>
        <w:rPr>
          <w:rFonts w:eastAsia="Times New Roman" w:cs="Times New Roman"/>
          <w:kern w:val="22"/>
          <w:sz w:val="20"/>
          <w:szCs w:val="20"/>
          <w:lang w:val="fr-FR" w:eastAsia="en-CA"/>
        </w:rPr>
        <w:t>ADN</w:t>
      </w:r>
      <w:r>
        <w:rPr>
          <w:rFonts w:eastAsia="Times New Roman" w:cs="Times New Roman"/>
          <w:kern w:val="22"/>
          <w:sz w:val="20"/>
          <w:szCs w:val="20"/>
          <w:lang w:val="fr-FR" w:eastAsia="en-CA"/>
        </w:rPr>
        <w:tab/>
      </w:r>
      <w:r>
        <w:rPr>
          <w:rFonts w:eastAsia="Times New Roman" w:cs="Times New Roman"/>
          <w:kern w:val="22"/>
          <w:sz w:val="20"/>
          <w:szCs w:val="20"/>
          <w:lang w:val="fr-FR" w:eastAsia="en-CA"/>
        </w:rPr>
        <w:tab/>
        <w:t>Acide désoxyribonucléique</w:t>
      </w:r>
    </w:p>
    <w:p w14:paraId="53A48FDF" w14:textId="77777777" w:rsidR="00BD327D" w:rsidRPr="00B46D70" w:rsidRDefault="00BD327D" w:rsidP="003C2C8E">
      <w:pPr>
        <w:spacing w:after="0"/>
        <w:rPr>
          <w:rFonts w:eastAsia="Times New Roman" w:cs="Times New Roman"/>
          <w:kern w:val="22"/>
          <w:sz w:val="20"/>
          <w:szCs w:val="20"/>
          <w:lang w:val="fr-FR" w:eastAsia="en-CA"/>
        </w:rPr>
      </w:pPr>
      <w:r>
        <w:rPr>
          <w:rFonts w:eastAsia="Times New Roman" w:cs="Times New Roman"/>
          <w:kern w:val="22"/>
          <w:sz w:val="20"/>
          <w:szCs w:val="20"/>
          <w:lang w:val="fr-FR" w:eastAsia="en-CA"/>
        </w:rPr>
        <w:t>AHTEG</w:t>
      </w:r>
      <w:r w:rsidRPr="00B46D70">
        <w:rPr>
          <w:rFonts w:eastAsia="Times New Roman" w:cs="Times New Roman"/>
          <w:kern w:val="22"/>
          <w:sz w:val="20"/>
          <w:szCs w:val="20"/>
          <w:lang w:val="fr-FR" w:eastAsia="en-CA"/>
        </w:rPr>
        <w:tab/>
      </w:r>
      <w:r w:rsidRPr="00B46D70">
        <w:rPr>
          <w:rFonts w:eastAsia="Times New Roman" w:cs="Times New Roman"/>
          <w:kern w:val="22"/>
          <w:sz w:val="20"/>
          <w:szCs w:val="20"/>
          <w:lang w:val="fr-FR" w:eastAsia="en-CA"/>
        </w:rPr>
        <w:tab/>
      </w:r>
      <w:r>
        <w:rPr>
          <w:rFonts w:eastAsia="Times New Roman" w:cs="Times New Roman"/>
          <w:kern w:val="22"/>
          <w:sz w:val="20"/>
          <w:szCs w:val="20"/>
          <w:lang w:val="fr-FR" w:eastAsia="en-CA"/>
        </w:rPr>
        <w:t>Groupe spécial d’experts techniques</w:t>
      </w:r>
    </w:p>
    <w:p w14:paraId="6B303141" w14:textId="77777777" w:rsidR="00BD327D" w:rsidRPr="00770AB8" w:rsidRDefault="00BD327D" w:rsidP="003C2C8E">
      <w:pPr>
        <w:spacing w:after="0"/>
        <w:rPr>
          <w:rFonts w:eastAsia="Times New Roman" w:cs="Times New Roman"/>
          <w:kern w:val="22"/>
          <w:sz w:val="20"/>
          <w:szCs w:val="20"/>
          <w:lang w:val="fr-FR" w:eastAsia="en-CA"/>
        </w:rPr>
      </w:pPr>
      <w:r>
        <w:rPr>
          <w:rFonts w:eastAsia="Times New Roman" w:cs="Times New Roman"/>
          <w:kern w:val="22"/>
          <w:sz w:val="20"/>
          <w:szCs w:val="20"/>
          <w:lang w:val="fr-FR" w:eastAsia="en-CA"/>
        </w:rPr>
        <w:t>ARN</w:t>
      </w:r>
      <w:r>
        <w:rPr>
          <w:rFonts w:eastAsia="Times New Roman" w:cs="Times New Roman"/>
          <w:kern w:val="22"/>
          <w:sz w:val="20"/>
          <w:szCs w:val="20"/>
          <w:lang w:val="fr-FR" w:eastAsia="en-CA"/>
        </w:rPr>
        <w:tab/>
      </w:r>
      <w:r>
        <w:rPr>
          <w:rFonts w:eastAsia="Times New Roman" w:cs="Times New Roman"/>
          <w:kern w:val="22"/>
          <w:sz w:val="20"/>
          <w:szCs w:val="20"/>
          <w:lang w:val="fr-FR" w:eastAsia="en-CA"/>
        </w:rPr>
        <w:tab/>
        <w:t>Acide ribonucléique</w:t>
      </w:r>
      <w:r w:rsidRPr="00770AB8">
        <w:rPr>
          <w:rFonts w:eastAsia="Times New Roman" w:cs="Times New Roman"/>
          <w:kern w:val="22"/>
          <w:sz w:val="20"/>
          <w:szCs w:val="20"/>
          <w:lang w:val="fr-FR" w:eastAsia="en-CA"/>
        </w:rPr>
        <w:t xml:space="preserve"> </w:t>
      </w:r>
    </w:p>
    <w:p w14:paraId="32DE8340" w14:textId="77777777" w:rsidR="00BD327D" w:rsidRPr="00B46D70" w:rsidRDefault="00BD327D" w:rsidP="003C2C8E">
      <w:pPr>
        <w:spacing w:after="0"/>
        <w:rPr>
          <w:rFonts w:eastAsia="Times New Roman" w:cs="Times New Roman"/>
          <w:kern w:val="22"/>
          <w:sz w:val="20"/>
          <w:szCs w:val="20"/>
          <w:lang w:val="fr-FR" w:eastAsia="en-CA"/>
        </w:rPr>
      </w:pPr>
      <w:r w:rsidRPr="00B46D70">
        <w:rPr>
          <w:rFonts w:eastAsia="Times New Roman" w:cs="Times New Roman"/>
          <w:kern w:val="22"/>
          <w:sz w:val="20"/>
          <w:szCs w:val="20"/>
          <w:lang w:val="fr-FR" w:eastAsia="en-CA"/>
        </w:rPr>
        <w:t>BBNJ</w:t>
      </w:r>
      <w:r w:rsidRPr="00B46D70">
        <w:rPr>
          <w:rFonts w:eastAsia="Times New Roman" w:cs="Times New Roman"/>
          <w:kern w:val="22"/>
          <w:sz w:val="20"/>
          <w:szCs w:val="20"/>
          <w:lang w:val="fr-FR" w:eastAsia="en-CA"/>
        </w:rPr>
        <w:tab/>
      </w:r>
      <w:r w:rsidRPr="00B46D70">
        <w:rPr>
          <w:rFonts w:eastAsia="Times New Roman" w:cs="Times New Roman"/>
          <w:kern w:val="22"/>
          <w:sz w:val="20"/>
          <w:szCs w:val="20"/>
          <w:lang w:val="fr-FR" w:eastAsia="en-CA"/>
        </w:rPr>
        <w:tab/>
      </w:r>
      <w:r>
        <w:rPr>
          <w:rFonts w:eastAsia="Times New Roman" w:cs="Times New Roman"/>
          <w:kern w:val="22"/>
          <w:sz w:val="20"/>
          <w:szCs w:val="20"/>
          <w:lang w:val="fr-FR" w:eastAsia="en-CA"/>
        </w:rPr>
        <w:t>Biodiversité</w:t>
      </w:r>
      <w:r w:rsidRPr="00B46D70">
        <w:rPr>
          <w:rFonts w:eastAsia="Times New Roman" w:cs="Times New Roman"/>
          <w:kern w:val="22"/>
          <w:sz w:val="20"/>
          <w:szCs w:val="20"/>
          <w:lang w:val="fr-FR" w:eastAsia="en-CA"/>
        </w:rPr>
        <w:t xml:space="preserve"> </w:t>
      </w:r>
      <w:r>
        <w:rPr>
          <w:rFonts w:eastAsia="Times New Roman" w:cs="Times New Roman"/>
          <w:kern w:val="22"/>
          <w:sz w:val="20"/>
          <w:szCs w:val="20"/>
          <w:lang w:val="fr-FR" w:eastAsia="en-CA"/>
        </w:rPr>
        <w:t>située au-delà des limites de la juridiction nationale</w:t>
      </w:r>
    </w:p>
    <w:p w14:paraId="1D5DF2D0" w14:textId="77777777" w:rsidR="00BD327D" w:rsidRPr="00BD327D" w:rsidRDefault="00BD327D" w:rsidP="003C2C8E">
      <w:pPr>
        <w:spacing w:after="0"/>
        <w:rPr>
          <w:rFonts w:eastAsia="Times New Roman" w:cs="Times New Roman"/>
          <w:kern w:val="22"/>
          <w:sz w:val="20"/>
          <w:szCs w:val="20"/>
          <w:lang w:val="en-AU" w:eastAsia="en-CA"/>
        </w:rPr>
      </w:pPr>
      <w:r w:rsidRPr="00BD327D">
        <w:rPr>
          <w:rFonts w:eastAsia="Times New Roman" w:cs="Times New Roman"/>
          <w:kern w:val="22"/>
          <w:sz w:val="20"/>
          <w:szCs w:val="20"/>
          <w:lang w:val="en-AU" w:eastAsia="en-CA"/>
        </w:rPr>
        <w:t>BGCI</w:t>
      </w:r>
      <w:r w:rsidRPr="00BD327D">
        <w:rPr>
          <w:rFonts w:eastAsia="Times New Roman" w:cs="Times New Roman"/>
          <w:kern w:val="22"/>
          <w:sz w:val="20"/>
          <w:szCs w:val="20"/>
          <w:lang w:val="en-AU" w:eastAsia="en-CA"/>
        </w:rPr>
        <w:tab/>
      </w:r>
      <w:r w:rsidRPr="00BD327D">
        <w:rPr>
          <w:rFonts w:eastAsia="Times New Roman" w:cs="Times New Roman"/>
          <w:kern w:val="22"/>
          <w:sz w:val="20"/>
          <w:szCs w:val="20"/>
          <w:lang w:val="en-AU" w:eastAsia="en-CA"/>
        </w:rPr>
        <w:tab/>
        <w:t>Botanic Gardens Conservation International</w:t>
      </w:r>
    </w:p>
    <w:p w14:paraId="3838D0C2" w14:textId="77777777" w:rsidR="00BD327D" w:rsidRPr="002364AB" w:rsidRDefault="00BD327D" w:rsidP="003C2C8E">
      <w:pPr>
        <w:spacing w:after="0"/>
        <w:rPr>
          <w:rFonts w:eastAsia="Times New Roman" w:cs="Times New Roman"/>
          <w:kern w:val="22"/>
          <w:sz w:val="20"/>
          <w:szCs w:val="20"/>
          <w:lang w:val="en-GB" w:eastAsia="en-CA"/>
        </w:rPr>
      </w:pPr>
      <w:r w:rsidRPr="002364AB">
        <w:rPr>
          <w:rFonts w:eastAsia="Times New Roman" w:cs="Times New Roman"/>
          <w:kern w:val="22"/>
          <w:sz w:val="20"/>
          <w:szCs w:val="20"/>
          <w:lang w:val="en-GB" w:eastAsia="en-CA"/>
        </w:rPr>
        <w:t>BLAST</w:t>
      </w:r>
      <w:r w:rsidRPr="002364AB">
        <w:rPr>
          <w:rFonts w:eastAsia="Times New Roman" w:cs="Times New Roman"/>
          <w:kern w:val="22"/>
          <w:sz w:val="20"/>
          <w:szCs w:val="20"/>
          <w:lang w:val="en-GB" w:eastAsia="en-CA"/>
        </w:rPr>
        <w:tab/>
      </w:r>
      <w:r w:rsidRPr="002364AB">
        <w:rPr>
          <w:rFonts w:eastAsia="Times New Roman" w:cs="Times New Roman"/>
          <w:kern w:val="22"/>
          <w:sz w:val="20"/>
          <w:szCs w:val="20"/>
          <w:lang w:val="en-GB" w:eastAsia="en-CA"/>
        </w:rPr>
        <w:tab/>
        <w:t>Basic Local Alignment Search Tool</w:t>
      </w:r>
    </w:p>
    <w:p w14:paraId="76AD68FB" w14:textId="77777777" w:rsidR="00BD327D" w:rsidRPr="00BD327D" w:rsidRDefault="00BD327D" w:rsidP="003C2C8E">
      <w:pPr>
        <w:spacing w:after="0"/>
        <w:rPr>
          <w:rFonts w:eastAsia="Times New Roman" w:cs="Times New Roman"/>
          <w:kern w:val="22"/>
          <w:sz w:val="20"/>
          <w:szCs w:val="20"/>
          <w:lang w:val="en-AU" w:eastAsia="en-CA"/>
        </w:rPr>
      </w:pPr>
      <w:r w:rsidRPr="00BD327D">
        <w:rPr>
          <w:rFonts w:eastAsia="Times New Roman" w:cs="Times New Roman"/>
          <w:kern w:val="22"/>
          <w:sz w:val="20"/>
          <w:szCs w:val="20"/>
          <w:lang w:val="en-AU" w:eastAsia="en-CA"/>
        </w:rPr>
        <w:t xml:space="preserve">BNITM </w:t>
      </w:r>
      <w:r w:rsidRPr="00BD327D">
        <w:rPr>
          <w:rFonts w:eastAsia="Times New Roman" w:cs="Times New Roman"/>
          <w:kern w:val="22"/>
          <w:sz w:val="20"/>
          <w:szCs w:val="20"/>
          <w:lang w:val="en-AU" w:eastAsia="en-CA"/>
        </w:rPr>
        <w:tab/>
      </w:r>
      <w:r w:rsidRPr="00BD327D">
        <w:rPr>
          <w:rFonts w:eastAsia="Times New Roman" w:cs="Times New Roman"/>
          <w:kern w:val="22"/>
          <w:sz w:val="20"/>
          <w:szCs w:val="20"/>
          <w:lang w:val="en-AU" w:eastAsia="en-CA"/>
        </w:rPr>
        <w:tab/>
        <w:t>Bernard Nocht Institute for Tropical Medicine</w:t>
      </w:r>
    </w:p>
    <w:p w14:paraId="75A16276" w14:textId="64A25AAB" w:rsidR="00BD327D" w:rsidRPr="00E3674F" w:rsidRDefault="00BD327D" w:rsidP="003C2C8E">
      <w:pPr>
        <w:spacing w:after="0"/>
        <w:rPr>
          <w:rFonts w:eastAsia="Times New Roman" w:cs="Times New Roman"/>
          <w:kern w:val="22"/>
          <w:sz w:val="20"/>
          <w:szCs w:val="20"/>
          <w:lang w:val="fr-FR" w:eastAsia="en-CA"/>
        </w:rPr>
      </w:pPr>
      <w:r w:rsidRPr="00E3674F">
        <w:rPr>
          <w:rFonts w:eastAsia="Times New Roman" w:cs="Times New Roman"/>
          <w:kern w:val="22"/>
          <w:sz w:val="20"/>
          <w:szCs w:val="20"/>
          <w:lang w:val="fr-FR" w:eastAsia="en-CA"/>
        </w:rPr>
        <w:t>CABI</w:t>
      </w:r>
      <w:r w:rsidRPr="00E3674F">
        <w:rPr>
          <w:rFonts w:eastAsia="Times New Roman" w:cs="Times New Roman"/>
          <w:kern w:val="22"/>
          <w:sz w:val="20"/>
          <w:szCs w:val="20"/>
          <w:lang w:val="fr-FR" w:eastAsia="en-CA"/>
        </w:rPr>
        <w:tab/>
      </w:r>
      <w:r w:rsidRPr="00E3674F">
        <w:rPr>
          <w:rFonts w:eastAsia="Times New Roman" w:cs="Times New Roman"/>
          <w:kern w:val="22"/>
          <w:sz w:val="20"/>
          <w:szCs w:val="20"/>
          <w:lang w:val="fr-FR" w:eastAsia="en-CA"/>
        </w:rPr>
        <w:tab/>
        <w:t>Centre for</w:t>
      </w:r>
      <w:r w:rsidR="00A71176">
        <w:rPr>
          <w:rFonts w:eastAsia="Times New Roman" w:cs="Times New Roman"/>
          <w:kern w:val="22"/>
          <w:sz w:val="20"/>
          <w:szCs w:val="20"/>
          <w:lang w:val="fr-FR" w:eastAsia="en-CA"/>
        </w:rPr>
        <w:t xml:space="preserve"> Agriculture and </w:t>
      </w:r>
      <w:r w:rsidRPr="00E3674F">
        <w:rPr>
          <w:rFonts w:eastAsia="Times New Roman" w:cs="Times New Roman"/>
          <w:kern w:val="22"/>
          <w:sz w:val="20"/>
          <w:szCs w:val="20"/>
          <w:lang w:val="fr-FR" w:eastAsia="en-CA"/>
        </w:rPr>
        <w:t>Bioscience International</w:t>
      </w:r>
    </w:p>
    <w:p w14:paraId="4B4B3DAE" w14:textId="77777777" w:rsidR="00BD327D" w:rsidRPr="0020703A" w:rsidRDefault="00BD327D" w:rsidP="003C2C8E">
      <w:pPr>
        <w:spacing w:after="0"/>
        <w:rPr>
          <w:rFonts w:eastAsia="Times New Roman" w:cs="Times New Roman"/>
          <w:kern w:val="22"/>
          <w:sz w:val="20"/>
          <w:szCs w:val="20"/>
          <w:lang w:val="fr-FR" w:eastAsia="en-CA"/>
        </w:rPr>
      </w:pPr>
      <w:r w:rsidRPr="0020703A">
        <w:rPr>
          <w:rFonts w:eastAsia="Times New Roman" w:cs="Times New Roman"/>
          <w:kern w:val="22"/>
          <w:sz w:val="20"/>
          <w:szCs w:val="20"/>
          <w:lang w:val="fr-FR" w:eastAsia="en-CA"/>
        </w:rPr>
        <w:t>CBD</w:t>
      </w:r>
      <w:r w:rsidRPr="0020703A">
        <w:rPr>
          <w:rFonts w:eastAsia="Times New Roman" w:cs="Times New Roman"/>
          <w:kern w:val="22"/>
          <w:sz w:val="20"/>
          <w:szCs w:val="20"/>
          <w:lang w:val="fr-FR" w:eastAsia="en-CA"/>
        </w:rPr>
        <w:tab/>
      </w:r>
      <w:r w:rsidRPr="0020703A">
        <w:rPr>
          <w:rFonts w:eastAsia="Times New Roman" w:cs="Times New Roman"/>
          <w:kern w:val="22"/>
          <w:sz w:val="20"/>
          <w:szCs w:val="20"/>
          <w:lang w:val="fr-FR" w:eastAsia="en-CA"/>
        </w:rPr>
        <w:tab/>
        <w:t>Convention sur la diversité biologique</w:t>
      </w:r>
    </w:p>
    <w:p w14:paraId="208A1CF2" w14:textId="12D08DCB" w:rsidR="00BD327D" w:rsidRPr="00BD7BF3" w:rsidRDefault="00BD327D" w:rsidP="003C2C8E">
      <w:pPr>
        <w:spacing w:after="0"/>
        <w:rPr>
          <w:rFonts w:eastAsia="Times New Roman" w:cs="Times New Roman"/>
          <w:kern w:val="22"/>
          <w:sz w:val="20"/>
          <w:szCs w:val="20"/>
          <w:lang w:val="fr-FR" w:eastAsia="en-CA"/>
        </w:rPr>
      </w:pPr>
      <w:r>
        <w:rPr>
          <w:rFonts w:eastAsia="Times New Roman" w:cs="Times New Roman"/>
          <w:kern w:val="22"/>
          <w:sz w:val="20"/>
          <w:szCs w:val="20"/>
          <w:lang w:val="fr-FR" w:eastAsia="en-CA"/>
        </w:rPr>
        <w:t>CCI</w:t>
      </w:r>
      <w:r>
        <w:rPr>
          <w:rFonts w:eastAsia="Times New Roman" w:cs="Times New Roman"/>
          <w:kern w:val="22"/>
          <w:sz w:val="20"/>
          <w:szCs w:val="20"/>
          <w:lang w:val="fr-FR" w:eastAsia="en-CA"/>
        </w:rPr>
        <w:tab/>
      </w:r>
      <w:r>
        <w:rPr>
          <w:rFonts w:eastAsia="Times New Roman" w:cs="Times New Roman"/>
          <w:kern w:val="22"/>
          <w:sz w:val="20"/>
          <w:szCs w:val="20"/>
          <w:lang w:val="fr-FR" w:eastAsia="en-CA"/>
        </w:rPr>
        <w:tab/>
      </w:r>
      <w:r w:rsidR="00BD0571">
        <w:rPr>
          <w:rFonts w:eastAsia="Times New Roman" w:cs="Times New Roman"/>
          <w:kern w:val="22"/>
          <w:sz w:val="20"/>
          <w:szCs w:val="20"/>
          <w:lang w:val="fr-FR" w:eastAsia="en-CA"/>
        </w:rPr>
        <w:t>Chambre de commerce internationale</w:t>
      </w:r>
    </w:p>
    <w:p w14:paraId="6D85367E" w14:textId="77777777" w:rsidR="00BD327D" w:rsidRPr="00BD327D" w:rsidRDefault="00BD327D" w:rsidP="003C2C8E">
      <w:pPr>
        <w:spacing w:after="0"/>
        <w:rPr>
          <w:rFonts w:eastAsia="Times New Roman" w:cs="Times New Roman"/>
          <w:kern w:val="22"/>
          <w:sz w:val="20"/>
          <w:szCs w:val="20"/>
          <w:lang w:val="fr-FR" w:eastAsia="en-CA"/>
        </w:rPr>
      </w:pPr>
      <w:r w:rsidRPr="00BD327D">
        <w:rPr>
          <w:rFonts w:eastAsia="Times New Roman" w:cs="Times New Roman"/>
          <w:kern w:val="22"/>
          <w:sz w:val="20"/>
          <w:szCs w:val="20"/>
          <w:lang w:val="fr-FR" w:eastAsia="en-CA"/>
        </w:rPr>
        <w:t>CETAF</w:t>
      </w:r>
      <w:r w:rsidRPr="00BD327D">
        <w:rPr>
          <w:rFonts w:eastAsia="Times New Roman" w:cs="Times New Roman"/>
          <w:kern w:val="22"/>
          <w:sz w:val="20"/>
          <w:szCs w:val="20"/>
          <w:lang w:val="fr-FR" w:eastAsia="en-CA"/>
        </w:rPr>
        <w:tab/>
      </w:r>
      <w:r w:rsidRPr="00BD327D">
        <w:rPr>
          <w:rFonts w:eastAsia="Times New Roman" w:cs="Times New Roman"/>
          <w:kern w:val="22"/>
          <w:sz w:val="20"/>
          <w:szCs w:val="20"/>
          <w:lang w:val="fr-FR" w:eastAsia="en-CA"/>
        </w:rPr>
        <w:tab/>
        <w:t>Consortium d’institutions taxonomiques européennes</w:t>
      </w:r>
    </w:p>
    <w:p w14:paraId="2A888406" w14:textId="77777777" w:rsidR="00BD327D" w:rsidRPr="008B1F01" w:rsidRDefault="00BD327D" w:rsidP="003C2C8E">
      <w:pPr>
        <w:spacing w:after="0"/>
        <w:rPr>
          <w:rFonts w:eastAsia="Times New Roman" w:cs="Times New Roman"/>
          <w:kern w:val="22"/>
          <w:sz w:val="20"/>
          <w:szCs w:val="20"/>
          <w:lang w:val="fr-FR" w:eastAsia="en-CA"/>
        </w:rPr>
      </w:pPr>
      <w:r w:rsidRPr="008B1F01">
        <w:rPr>
          <w:rFonts w:eastAsia="Times New Roman" w:cs="Times New Roman"/>
          <w:kern w:val="22"/>
          <w:sz w:val="20"/>
          <w:szCs w:val="20"/>
          <w:lang w:val="fr-FR" w:eastAsia="en-CA"/>
        </w:rPr>
        <w:t>CMS</w:t>
      </w:r>
      <w:r w:rsidRPr="008B1F01">
        <w:rPr>
          <w:rFonts w:eastAsia="Times New Roman" w:cs="Times New Roman"/>
          <w:kern w:val="22"/>
          <w:sz w:val="20"/>
          <w:szCs w:val="20"/>
          <w:lang w:val="fr-FR" w:eastAsia="en-CA"/>
        </w:rPr>
        <w:tab/>
      </w:r>
      <w:r w:rsidRPr="008B1F01">
        <w:rPr>
          <w:rFonts w:eastAsia="Times New Roman" w:cs="Times New Roman"/>
          <w:kern w:val="22"/>
          <w:sz w:val="20"/>
          <w:szCs w:val="20"/>
          <w:lang w:val="fr-FR" w:eastAsia="en-CA"/>
        </w:rPr>
        <w:tab/>
        <w:t xml:space="preserve">Convention </w:t>
      </w:r>
      <w:r>
        <w:rPr>
          <w:rFonts w:eastAsia="Times New Roman" w:cs="Times New Roman"/>
          <w:kern w:val="22"/>
          <w:sz w:val="20"/>
          <w:szCs w:val="20"/>
          <w:lang w:val="fr-FR" w:eastAsia="en-CA"/>
        </w:rPr>
        <w:t>sur la conservation des espèces migratrices appa</w:t>
      </w:r>
      <w:r w:rsidRPr="008B1F01">
        <w:rPr>
          <w:rFonts w:eastAsia="Times New Roman" w:cs="Times New Roman"/>
          <w:kern w:val="22"/>
          <w:sz w:val="20"/>
          <w:szCs w:val="20"/>
          <w:lang w:val="fr-FR" w:eastAsia="en-CA"/>
        </w:rPr>
        <w:t>rtenant à la faune sauvage</w:t>
      </w:r>
    </w:p>
    <w:p w14:paraId="523DA495" w14:textId="77777777" w:rsidR="00BD327D" w:rsidRPr="00E3674F" w:rsidRDefault="00BD327D" w:rsidP="003C2C8E">
      <w:pPr>
        <w:spacing w:after="0"/>
        <w:rPr>
          <w:rFonts w:eastAsia="Times New Roman" w:cs="Times New Roman"/>
          <w:kern w:val="22"/>
          <w:sz w:val="20"/>
          <w:szCs w:val="20"/>
          <w:lang w:val="fr-FR" w:eastAsia="en-CA"/>
        </w:rPr>
      </w:pPr>
      <w:r w:rsidRPr="00E3674F">
        <w:rPr>
          <w:rFonts w:eastAsia="Times New Roman" w:cs="Times New Roman"/>
          <w:kern w:val="22"/>
          <w:sz w:val="20"/>
          <w:szCs w:val="20"/>
          <w:lang w:val="fr-FR" w:eastAsia="en-CA"/>
        </w:rPr>
        <w:t>COP</w:t>
      </w:r>
      <w:r w:rsidRPr="00E3674F">
        <w:rPr>
          <w:rFonts w:eastAsia="Times New Roman" w:cs="Times New Roman"/>
          <w:kern w:val="22"/>
          <w:sz w:val="20"/>
          <w:szCs w:val="20"/>
          <w:lang w:val="fr-FR" w:eastAsia="en-CA"/>
        </w:rPr>
        <w:tab/>
      </w:r>
      <w:r w:rsidRPr="00E3674F">
        <w:rPr>
          <w:rFonts w:eastAsia="Times New Roman" w:cs="Times New Roman"/>
          <w:kern w:val="22"/>
          <w:sz w:val="20"/>
          <w:szCs w:val="20"/>
          <w:lang w:val="fr-FR" w:eastAsia="en-CA"/>
        </w:rPr>
        <w:tab/>
        <w:t>Conférence des Parties</w:t>
      </w:r>
    </w:p>
    <w:p w14:paraId="22406053" w14:textId="51C6CDA7" w:rsidR="00BD327D" w:rsidRPr="00BD327D" w:rsidRDefault="00BD327D" w:rsidP="007F7C6C">
      <w:pPr>
        <w:spacing w:after="0"/>
        <w:rPr>
          <w:rFonts w:eastAsia="Times New Roman" w:cs="Times New Roman"/>
          <w:kern w:val="22"/>
          <w:sz w:val="20"/>
          <w:szCs w:val="20"/>
          <w:lang w:val="fr-FR" w:eastAsia="en-CA"/>
        </w:rPr>
      </w:pPr>
      <w:r w:rsidRPr="00E3674F">
        <w:rPr>
          <w:rFonts w:eastAsia="Times New Roman" w:cs="Times New Roman"/>
          <w:kern w:val="22"/>
          <w:sz w:val="20"/>
          <w:szCs w:val="20"/>
          <w:lang w:val="fr-FR" w:eastAsia="en-CA"/>
        </w:rPr>
        <w:t>COP-MOP</w:t>
      </w:r>
      <w:r w:rsidRPr="00E3674F">
        <w:rPr>
          <w:rFonts w:eastAsia="Times New Roman" w:cs="Times New Roman"/>
          <w:kern w:val="22"/>
          <w:sz w:val="20"/>
          <w:szCs w:val="20"/>
          <w:lang w:val="fr-FR" w:eastAsia="en-CA"/>
        </w:rPr>
        <w:tab/>
        <w:t xml:space="preserve">Conférence des Parties </w:t>
      </w:r>
      <w:r>
        <w:rPr>
          <w:rFonts w:eastAsia="Times New Roman" w:cs="Times New Roman"/>
          <w:kern w:val="22"/>
          <w:sz w:val="20"/>
          <w:szCs w:val="20"/>
          <w:lang w:val="fr-FR" w:eastAsia="en-CA"/>
        </w:rPr>
        <w:t>siégeant en tant que réunion des Parties au Protocole</w:t>
      </w:r>
    </w:p>
    <w:p w14:paraId="1ABC1DEE" w14:textId="77777777" w:rsidR="00BD327D" w:rsidRPr="00E3674F" w:rsidRDefault="00BD327D" w:rsidP="003C2C8E">
      <w:pPr>
        <w:spacing w:after="0"/>
        <w:rPr>
          <w:rFonts w:eastAsia="Times New Roman" w:cs="Times New Roman"/>
          <w:kern w:val="22"/>
          <w:sz w:val="20"/>
          <w:szCs w:val="20"/>
          <w:lang w:val="fr-FR" w:eastAsia="en-CA"/>
        </w:rPr>
      </w:pPr>
      <w:r>
        <w:rPr>
          <w:rFonts w:eastAsia="Times New Roman" w:cs="Times New Roman"/>
          <w:kern w:val="22"/>
          <w:sz w:val="20"/>
          <w:szCs w:val="20"/>
          <w:lang w:val="fr-FR" w:eastAsia="en-CA"/>
        </w:rPr>
        <w:t>DSI</w:t>
      </w:r>
      <w:r>
        <w:rPr>
          <w:rFonts w:eastAsia="Times New Roman" w:cs="Times New Roman"/>
          <w:kern w:val="22"/>
          <w:sz w:val="20"/>
          <w:szCs w:val="20"/>
          <w:lang w:val="fr-FR" w:eastAsia="en-CA"/>
        </w:rPr>
        <w:tab/>
      </w:r>
      <w:r>
        <w:rPr>
          <w:rFonts w:eastAsia="Times New Roman" w:cs="Times New Roman"/>
          <w:kern w:val="22"/>
          <w:sz w:val="20"/>
          <w:szCs w:val="20"/>
          <w:lang w:val="fr-FR" w:eastAsia="en-CA"/>
        </w:rPr>
        <w:tab/>
        <w:t>Information de séquençage numérique sur les r</w:t>
      </w:r>
      <w:r w:rsidRPr="00E3674F">
        <w:rPr>
          <w:rFonts w:eastAsia="Times New Roman" w:cs="Times New Roman"/>
          <w:kern w:val="22"/>
          <w:sz w:val="20"/>
          <w:szCs w:val="20"/>
          <w:lang w:val="fr-FR" w:eastAsia="en-CA"/>
        </w:rPr>
        <w:t>essources génétiques</w:t>
      </w:r>
    </w:p>
    <w:p w14:paraId="3DD4FBC4" w14:textId="52CC68F1" w:rsidR="00BD327D" w:rsidRPr="003B1070" w:rsidRDefault="00BD327D" w:rsidP="00A81326">
      <w:pPr>
        <w:spacing w:after="0"/>
        <w:rPr>
          <w:rFonts w:eastAsia="Times New Roman" w:cs="Times New Roman"/>
          <w:kern w:val="22"/>
          <w:sz w:val="20"/>
          <w:szCs w:val="20"/>
          <w:lang w:val="en-AU" w:eastAsia="en-CA"/>
        </w:rPr>
      </w:pPr>
      <w:r w:rsidRPr="00BD327D">
        <w:rPr>
          <w:rFonts w:eastAsia="Times New Roman" w:cs="Times New Roman"/>
          <w:kern w:val="22"/>
          <w:sz w:val="20"/>
          <w:szCs w:val="20"/>
          <w:lang w:val="en-AU" w:eastAsia="en-CA"/>
        </w:rPr>
        <w:t>DSMZ</w:t>
      </w:r>
      <w:r w:rsidRPr="00BD327D">
        <w:rPr>
          <w:rFonts w:eastAsia="Times New Roman" w:cs="Times New Roman"/>
          <w:kern w:val="22"/>
          <w:sz w:val="20"/>
          <w:szCs w:val="20"/>
          <w:lang w:val="en-AU" w:eastAsia="en-CA"/>
        </w:rPr>
        <w:tab/>
      </w:r>
      <w:r w:rsidRPr="00BD327D">
        <w:rPr>
          <w:rFonts w:eastAsia="Times New Roman" w:cs="Times New Roman"/>
          <w:kern w:val="22"/>
          <w:sz w:val="20"/>
          <w:szCs w:val="20"/>
          <w:lang w:val="en-AU" w:eastAsia="en-CA"/>
        </w:rPr>
        <w:tab/>
        <w:t>Leibniz Institute DSMZ-German Collection of Micro</w:t>
      </w:r>
      <w:r w:rsidRPr="003B1070">
        <w:rPr>
          <w:rFonts w:eastAsia="Times New Roman" w:cs="Times New Roman"/>
          <w:kern w:val="22"/>
          <w:sz w:val="20"/>
          <w:szCs w:val="20"/>
          <w:lang w:val="en-AU" w:eastAsia="en-CA"/>
        </w:rPr>
        <w:t xml:space="preserve">organisms and Cell </w:t>
      </w:r>
      <w:r w:rsidR="007F7C6C">
        <w:rPr>
          <w:rFonts w:eastAsia="Times New Roman" w:cs="Times New Roman"/>
          <w:kern w:val="22"/>
          <w:sz w:val="20"/>
          <w:szCs w:val="20"/>
          <w:lang w:val="en-AU" w:eastAsia="en-CA"/>
        </w:rPr>
        <w:t>Cultures</w:t>
      </w:r>
    </w:p>
    <w:p w14:paraId="2ECB72E8" w14:textId="77777777" w:rsidR="00BD327D" w:rsidRPr="00BD327D" w:rsidRDefault="00BD327D" w:rsidP="003C2C8E">
      <w:pPr>
        <w:spacing w:after="0"/>
        <w:rPr>
          <w:kern w:val="22"/>
          <w:sz w:val="20"/>
          <w:szCs w:val="20"/>
          <w:lang w:val="fr-FR"/>
        </w:rPr>
      </w:pPr>
      <w:r w:rsidRPr="00BD327D">
        <w:rPr>
          <w:kern w:val="22"/>
          <w:sz w:val="20"/>
          <w:szCs w:val="20"/>
          <w:lang w:val="fr-FR"/>
        </w:rPr>
        <w:t xml:space="preserve">EBC </w:t>
      </w:r>
      <w:r w:rsidRPr="00BD327D">
        <w:rPr>
          <w:kern w:val="22"/>
          <w:sz w:val="20"/>
          <w:szCs w:val="20"/>
          <w:lang w:val="fr-FR"/>
        </w:rPr>
        <w:tab/>
      </w:r>
      <w:r w:rsidRPr="00BD327D">
        <w:rPr>
          <w:kern w:val="22"/>
          <w:sz w:val="20"/>
          <w:szCs w:val="20"/>
          <w:lang w:val="fr-FR"/>
        </w:rPr>
        <w:tab/>
        <w:t>Kew Economic Botany Collection</w:t>
      </w:r>
    </w:p>
    <w:p w14:paraId="4E040CEA" w14:textId="77777777" w:rsidR="00BD327D" w:rsidRPr="00923804" w:rsidRDefault="00BD327D" w:rsidP="003C2C8E">
      <w:pPr>
        <w:spacing w:after="0"/>
        <w:rPr>
          <w:kern w:val="22"/>
          <w:sz w:val="20"/>
          <w:szCs w:val="20"/>
          <w:lang w:val="fr-FR"/>
        </w:rPr>
      </w:pPr>
      <w:r w:rsidRPr="00923804">
        <w:rPr>
          <w:kern w:val="22"/>
          <w:sz w:val="20"/>
          <w:szCs w:val="20"/>
          <w:lang w:val="fr-FR"/>
        </w:rPr>
        <w:t xml:space="preserve">EBSA </w:t>
      </w:r>
      <w:r w:rsidRPr="00923804">
        <w:rPr>
          <w:kern w:val="22"/>
          <w:sz w:val="20"/>
          <w:szCs w:val="20"/>
          <w:lang w:val="fr-FR"/>
        </w:rPr>
        <w:tab/>
      </w:r>
      <w:r w:rsidRPr="00923804">
        <w:rPr>
          <w:kern w:val="22"/>
          <w:sz w:val="20"/>
          <w:szCs w:val="20"/>
          <w:lang w:val="fr-FR"/>
        </w:rPr>
        <w:tab/>
      </w:r>
      <w:r>
        <w:rPr>
          <w:kern w:val="22"/>
          <w:sz w:val="20"/>
          <w:szCs w:val="20"/>
          <w:lang w:val="fr-FR"/>
        </w:rPr>
        <w:t>Zone</w:t>
      </w:r>
      <w:r w:rsidRPr="00923804">
        <w:rPr>
          <w:kern w:val="22"/>
          <w:sz w:val="20"/>
          <w:szCs w:val="20"/>
          <w:lang w:val="fr-FR"/>
        </w:rPr>
        <w:t xml:space="preserve"> écologiqueme</w:t>
      </w:r>
      <w:r>
        <w:rPr>
          <w:kern w:val="22"/>
          <w:sz w:val="20"/>
          <w:szCs w:val="20"/>
          <w:lang w:val="fr-FR"/>
        </w:rPr>
        <w:t>nt ou biologiquement importante</w:t>
      </w:r>
    </w:p>
    <w:p w14:paraId="0C7056A9" w14:textId="77777777" w:rsidR="00BD327D" w:rsidRPr="007A0B5B" w:rsidRDefault="00BD327D" w:rsidP="003C2C8E">
      <w:pPr>
        <w:spacing w:after="0"/>
        <w:rPr>
          <w:rFonts w:eastAsia="Times New Roman" w:cs="Times New Roman"/>
          <w:kern w:val="22"/>
          <w:sz w:val="20"/>
          <w:szCs w:val="20"/>
          <w:lang w:val="fr-FR" w:eastAsia="en-CA"/>
        </w:rPr>
      </w:pPr>
      <w:r w:rsidRPr="007A0B5B">
        <w:rPr>
          <w:rFonts w:eastAsia="Times New Roman" w:cs="Times New Roman"/>
          <w:kern w:val="22"/>
          <w:sz w:val="20"/>
          <w:szCs w:val="20"/>
          <w:lang w:val="fr-FR" w:eastAsia="en-CA"/>
        </w:rPr>
        <w:t xml:space="preserve">GRULAC </w:t>
      </w:r>
      <w:r w:rsidRPr="007A0B5B">
        <w:rPr>
          <w:rFonts w:eastAsia="Times New Roman" w:cs="Times New Roman"/>
          <w:kern w:val="22"/>
          <w:sz w:val="20"/>
          <w:szCs w:val="20"/>
          <w:lang w:val="fr-FR" w:eastAsia="en-CA"/>
        </w:rPr>
        <w:tab/>
      </w:r>
      <w:r>
        <w:rPr>
          <w:rFonts w:eastAsia="Times New Roman" w:cs="Times New Roman"/>
          <w:kern w:val="22"/>
          <w:sz w:val="20"/>
          <w:szCs w:val="20"/>
          <w:lang w:val="fr-FR" w:eastAsia="en-CA"/>
        </w:rPr>
        <w:t>Groupe des pays d’Amérique latine</w:t>
      </w:r>
      <w:r w:rsidRPr="007A0B5B">
        <w:rPr>
          <w:rFonts w:eastAsia="Times New Roman" w:cs="Times New Roman"/>
          <w:kern w:val="22"/>
          <w:sz w:val="20"/>
          <w:szCs w:val="20"/>
          <w:lang w:val="fr-FR" w:eastAsia="en-CA"/>
        </w:rPr>
        <w:t xml:space="preserve"> et </w:t>
      </w:r>
      <w:r>
        <w:rPr>
          <w:rFonts w:eastAsia="Times New Roman" w:cs="Times New Roman"/>
          <w:kern w:val="22"/>
          <w:sz w:val="20"/>
          <w:szCs w:val="20"/>
          <w:lang w:val="fr-FR" w:eastAsia="en-CA"/>
        </w:rPr>
        <w:t xml:space="preserve">des </w:t>
      </w:r>
      <w:r w:rsidRPr="007A0B5B">
        <w:rPr>
          <w:rFonts w:eastAsia="Times New Roman" w:cs="Times New Roman"/>
          <w:kern w:val="22"/>
          <w:sz w:val="20"/>
          <w:szCs w:val="20"/>
          <w:lang w:val="fr-FR" w:eastAsia="en-CA"/>
        </w:rPr>
        <w:t>Car</w:t>
      </w:r>
      <w:r>
        <w:rPr>
          <w:rFonts w:eastAsia="Times New Roman" w:cs="Times New Roman"/>
          <w:kern w:val="22"/>
          <w:sz w:val="20"/>
          <w:szCs w:val="20"/>
          <w:lang w:val="fr-FR" w:eastAsia="en-CA"/>
        </w:rPr>
        <w:t>aïbes</w:t>
      </w:r>
    </w:p>
    <w:p w14:paraId="4CB94937" w14:textId="77777777" w:rsidR="00BD327D" w:rsidRPr="00BD7BF3" w:rsidRDefault="00BD327D" w:rsidP="003C2C8E">
      <w:pPr>
        <w:spacing w:after="0"/>
        <w:rPr>
          <w:rFonts w:eastAsia="Times New Roman" w:cs="Times New Roman"/>
          <w:kern w:val="22"/>
          <w:sz w:val="20"/>
          <w:szCs w:val="20"/>
          <w:lang w:val="fr-FR" w:eastAsia="en-CA"/>
        </w:rPr>
      </w:pPr>
      <w:r>
        <w:rPr>
          <w:rFonts w:eastAsia="Times New Roman" w:cs="Times New Roman"/>
          <w:kern w:val="22"/>
          <w:sz w:val="20"/>
          <w:szCs w:val="20"/>
          <w:lang w:val="fr-FR" w:eastAsia="en-CA"/>
        </w:rPr>
        <w:t>GSD</w:t>
      </w:r>
      <w:r>
        <w:rPr>
          <w:rFonts w:eastAsia="Times New Roman" w:cs="Times New Roman"/>
          <w:kern w:val="22"/>
          <w:sz w:val="20"/>
          <w:szCs w:val="20"/>
          <w:lang w:val="fr-FR" w:eastAsia="en-CA"/>
        </w:rPr>
        <w:tab/>
      </w:r>
      <w:r>
        <w:rPr>
          <w:rFonts w:eastAsia="Times New Roman" w:cs="Times New Roman"/>
          <w:kern w:val="22"/>
          <w:sz w:val="20"/>
          <w:szCs w:val="20"/>
          <w:lang w:val="fr-FR" w:eastAsia="en-CA"/>
        </w:rPr>
        <w:tab/>
        <w:t>Données de séquençage génétique</w:t>
      </w:r>
    </w:p>
    <w:p w14:paraId="7B3AA92E" w14:textId="77777777" w:rsidR="00BD327D" w:rsidRPr="00BD327D" w:rsidRDefault="00BD327D" w:rsidP="003C2C8E">
      <w:pPr>
        <w:spacing w:after="0"/>
        <w:rPr>
          <w:rFonts w:eastAsia="Times New Roman" w:cs="Times New Roman"/>
          <w:kern w:val="22"/>
          <w:sz w:val="20"/>
          <w:szCs w:val="20"/>
          <w:lang w:val="fr-FR" w:eastAsia="en-CA"/>
        </w:rPr>
      </w:pPr>
      <w:r w:rsidRPr="00BD327D">
        <w:rPr>
          <w:rFonts w:eastAsia="Times New Roman" w:cs="Times New Roman"/>
          <w:kern w:val="22"/>
          <w:sz w:val="20"/>
          <w:szCs w:val="20"/>
          <w:lang w:val="fr-FR" w:eastAsia="en-CA"/>
        </w:rPr>
        <w:t>INSDC</w:t>
      </w:r>
      <w:r w:rsidRPr="00BD327D">
        <w:rPr>
          <w:rFonts w:eastAsia="Times New Roman" w:cs="Times New Roman"/>
          <w:kern w:val="22"/>
          <w:sz w:val="20"/>
          <w:szCs w:val="20"/>
          <w:lang w:val="fr-FR" w:eastAsia="en-CA"/>
        </w:rPr>
        <w:tab/>
      </w:r>
      <w:r w:rsidRPr="00BD327D">
        <w:rPr>
          <w:rFonts w:eastAsia="Times New Roman" w:cs="Times New Roman"/>
          <w:kern w:val="22"/>
          <w:sz w:val="20"/>
          <w:szCs w:val="20"/>
          <w:lang w:val="fr-FR" w:eastAsia="en-CA"/>
        </w:rPr>
        <w:tab/>
        <w:t>International Nucleotide Sequence Database Collaboration</w:t>
      </w:r>
    </w:p>
    <w:p w14:paraId="147940A0" w14:textId="77777777" w:rsidR="00BD327D" w:rsidRPr="007A0B5B" w:rsidRDefault="00BD327D" w:rsidP="003C2C8E">
      <w:pPr>
        <w:spacing w:after="0"/>
        <w:rPr>
          <w:rFonts w:eastAsia="Times New Roman" w:cs="Times New Roman"/>
          <w:kern w:val="22"/>
          <w:sz w:val="20"/>
          <w:szCs w:val="20"/>
          <w:lang w:val="fr-FR" w:eastAsia="en-CA"/>
        </w:rPr>
      </w:pPr>
      <w:r w:rsidRPr="007A0B5B">
        <w:rPr>
          <w:rFonts w:eastAsia="Times New Roman" w:cs="Times New Roman"/>
          <w:kern w:val="22"/>
          <w:sz w:val="20"/>
          <w:szCs w:val="20"/>
          <w:lang w:val="fr-FR" w:eastAsia="en-CA"/>
        </w:rPr>
        <w:t>IPEN</w:t>
      </w:r>
      <w:r w:rsidRPr="007A0B5B">
        <w:rPr>
          <w:rFonts w:eastAsia="Times New Roman" w:cs="Times New Roman"/>
          <w:kern w:val="22"/>
          <w:sz w:val="20"/>
          <w:szCs w:val="20"/>
          <w:lang w:val="fr-FR" w:eastAsia="en-CA"/>
        </w:rPr>
        <w:tab/>
      </w:r>
      <w:r w:rsidRPr="007A0B5B">
        <w:rPr>
          <w:rFonts w:eastAsia="Times New Roman" w:cs="Times New Roman"/>
          <w:kern w:val="22"/>
          <w:sz w:val="20"/>
          <w:szCs w:val="20"/>
          <w:lang w:val="fr-FR" w:eastAsia="en-CA"/>
        </w:rPr>
        <w:tab/>
        <w:t>International Plant Exchange Network</w:t>
      </w:r>
    </w:p>
    <w:p w14:paraId="0AB0F7CB" w14:textId="77777777" w:rsidR="00BD327D" w:rsidRPr="001714C2" w:rsidRDefault="00BD327D" w:rsidP="003C2C8E">
      <w:pPr>
        <w:spacing w:after="0"/>
        <w:rPr>
          <w:rFonts w:eastAsia="Times New Roman" w:cs="Times New Roman"/>
          <w:kern w:val="22"/>
          <w:sz w:val="20"/>
          <w:szCs w:val="20"/>
          <w:lang w:val="fr-FR" w:eastAsia="en-CA"/>
        </w:rPr>
      </w:pPr>
      <w:r>
        <w:rPr>
          <w:rFonts w:eastAsia="Times New Roman" w:cs="Times New Roman"/>
          <w:kern w:val="22"/>
          <w:sz w:val="20"/>
          <w:szCs w:val="20"/>
          <w:lang w:val="fr-FR" w:eastAsia="en-CA"/>
        </w:rPr>
        <w:t>IPLC</w:t>
      </w:r>
      <w:r w:rsidRPr="001714C2">
        <w:rPr>
          <w:rFonts w:eastAsia="Times New Roman" w:cs="Times New Roman"/>
          <w:kern w:val="22"/>
          <w:sz w:val="20"/>
          <w:szCs w:val="20"/>
          <w:lang w:val="fr-FR" w:eastAsia="en-CA"/>
        </w:rPr>
        <w:tab/>
      </w:r>
      <w:r w:rsidRPr="001714C2">
        <w:rPr>
          <w:rFonts w:eastAsia="Times New Roman" w:cs="Times New Roman"/>
          <w:kern w:val="22"/>
          <w:sz w:val="20"/>
          <w:szCs w:val="20"/>
          <w:lang w:val="fr-FR" w:eastAsia="en-CA"/>
        </w:rPr>
        <w:tab/>
        <w:t>Peuples autochtones et communautés locales</w:t>
      </w:r>
    </w:p>
    <w:p w14:paraId="421EED07" w14:textId="6D22A903" w:rsidR="00BD327D" w:rsidRPr="00D21A8C" w:rsidRDefault="00D21A8C" w:rsidP="003C2C8E">
      <w:pPr>
        <w:spacing w:after="0"/>
        <w:rPr>
          <w:rFonts w:eastAsia="Times New Roman" w:cs="Times New Roman"/>
          <w:kern w:val="22"/>
          <w:sz w:val="20"/>
          <w:szCs w:val="20"/>
          <w:lang w:val="fr-FR" w:eastAsia="en-CA"/>
        </w:rPr>
      </w:pPr>
      <w:r w:rsidRPr="00D21A8C">
        <w:rPr>
          <w:rFonts w:eastAsia="Times New Roman" w:cs="Times New Roman"/>
          <w:kern w:val="22"/>
          <w:sz w:val="20"/>
          <w:szCs w:val="20"/>
          <w:lang w:val="fr-FR" w:eastAsia="en-CA"/>
        </w:rPr>
        <w:t>IRCC</w:t>
      </w:r>
      <w:r w:rsidRPr="00D21A8C">
        <w:rPr>
          <w:rFonts w:eastAsia="Times New Roman" w:cs="Times New Roman"/>
          <w:kern w:val="22"/>
          <w:sz w:val="20"/>
          <w:szCs w:val="20"/>
          <w:lang w:val="fr-FR" w:eastAsia="en-CA"/>
        </w:rPr>
        <w:tab/>
      </w:r>
      <w:r w:rsidRPr="00D21A8C">
        <w:rPr>
          <w:rFonts w:eastAsia="Times New Roman" w:cs="Times New Roman"/>
          <w:kern w:val="22"/>
          <w:sz w:val="20"/>
          <w:szCs w:val="20"/>
          <w:lang w:val="fr-FR" w:eastAsia="en-CA"/>
        </w:rPr>
        <w:tab/>
        <w:t>Certificat de conformité internationalement reconnu</w:t>
      </w:r>
    </w:p>
    <w:p w14:paraId="37780DEB" w14:textId="77777777" w:rsidR="00BD327D" w:rsidRPr="00770AB8" w:rsidRDefault="00BD327D" w:rsidP="003C2C8E">
      <w:pPr>
        <w:spacing w:after="0"/>
        <w:rPr>
          <w:rFonts w:eastAsia="Times New Roman" w:cs="Times New Roman"/>
          <w:kern w:val="22"/>
          <w:sz w:val="20"/>
          <w:szCs w:val="20"/>
          <w:lang w:val="fr-FR" w:eastAsia="en-CA"/>
        </w:rPr>
      </w:pPr>
      <w:r w:rsidRPr="00770AB8">
        <w:rPr>
          <w:rFonts w:eastAsia="Times New Roman" w:cs="Times New Roman"/>
          <w:kern w:val="22"/>
          <w:sz w:val="20"/>
          <w:szCs w:val="20"/>
          <w:lang w:val="fr-FR" w:eastAsia="en-CA"/>
        </w:rPr>
        <w:t>Kew</w:t>
      </w:r>
      <w:r w:rsidRPr="00770AB8">
        <w:rPr>
          <w:rFonts w:eastAsia="Times New Roman" w:cs="Times New Roman"/>
          <w:kern w:val="22"/>
          <w:sz w:val="20"/>
          <w:szCs w:val="20"/>
          <w:lang w:val="fr-FR" w:eastAsia="en-CA"/>
        </w:rPr>
        <w:tab/>
      </w:r>
      <w:r w:rsidRPr="00770AB8">
        <w:rPr>
          <w:rFonts w:eastAsia="Times New Roman" w:cs="Times New Roman"/>
          <w:kern w:val="22"/>
          <w:sz w:val="20"/>
          <w:szCs w:val="20"/>
          <w:lang w:val="fr-FR" w:eastAsia="en-CA"/>
        </w:rPr>
        <w:tab/>
      </w:r>
      <w:r>
        <w:rPr>
          <w:rFonts w:eastAsia="Times New Roman" w:cs="Times New Roman"/>
          <w:kern w:val="22"/>
          <w:sz w:val="20"/>
          <w:szCs w:val="20"/>
          <w:lang w:val="fr-FR" w:eastAsia="en-CA"/>
        </w:rPr>
        <w:t>Royal Botanic Gardens</w:t>
      </w:r>
      <w:r w:rsidRPr="00770AB8">
        <w:rPr>
          <w:rFonts w:eastAsia="Times New Roman" w:cs="Times New Roman"/>
          <w:kern w:val="22"/>
          <w:sz w:val="20"/>
          <w:szCs w:val="20"/>
          <w:lang w:val="fr-FR" w:eastAsia="en-CA"/>
        </w:rPr>
        <w:t>, Kew</w:t>
      </w:r>
    </w:p>
    <w:p w14:paraId="13BACB30" w14:textId="77777777" w:rsidR="00BD327D" w:rsidRPr="00923804" w:rsidRDefault="00BD327D" w:rsidP="003C2C8E">
      <w:pPr>
        <w:spacing w:after="0"/>
        <w:rPr>
          <w:rFonts w:eastAsia="Times New Roman" w:cs="Times New Roman"/>
          <w:kern w:val="22"/>
          <w:sz w:val="20"/>
          <w:szCs w:val="20"/>
          <w:lang w:val="fr-FR" w:eastAsia="en-CA"/>
        </w:rPr>
      </w:pPr>
      <w:r w:rsidRPr="00923804">
        <w:rPr>
          <w:rFonts w:eastAsia="Times New Roman" w:cs="Times New Roman"/>
          <w:kern w:val="22"/>
          <w:sz w:val="20"/>
          <w:szCs w:val="20"/>
          <w:lang w:val="fr-FR" w:eastAsia="en-CA"/>
        </w:rPr>
        <w:t>MAT</w:t>
      </w:r>
      <w:r w:rsidRPr="00923804">
        <w:rPr>
          <w:rFonts w:eastAsia="Times New Roman" w:cs="Times New Roman"/>
          <w:kern w:val="22"/>
          <w:sz w:val="20"/>
          <w:szCs w:val="20"/>
          <w:lang w:val="fr-FR" w:eastAsia="en-CA"/>
        </w:rPr>
        <w:tab/>
      </w:r>
      <w:r w:rsidRPr="00923804">
        <w:rPr>
          <w:rFonts w:eastAsia="Times New Roman" w:cs="Times New Roman"/>
          <w:kern w:val="22"/>
          <w:sz w:val="20"/>
          <w:szCs w:val="20"/>
          <w:lang w:val="fr-FR" w:eastAsia="en-CA"/>
        </w:rPr>
        <w:tab/>
        <w:t>Conditions convenues d’un commun accord</w:t>
      </w:r>
    </w:p>
    <w:p w14:paraId="0011A99D" w14:textId="77777777" w:rsidR="00BD327D" w:rsidRPr="00770AB8" w:rsidRDefault="00BD327D" w:rsidP="003C2C8E">
      <w:pPr>
        <w:spacing w:after="0"/>
        <w:rPr>
          <w:rFonts w:eastAsia="Times New Roman" w:cs="Times New Roman"/>
          <w:kern w:val="22"/>
          <w:sz w:val="20"/>
          <w:szCs w:val="20"/>
          <w:lang w:val="fr-FR" w:eastAsia="en-CA"/>
        </w:rPr>
      </w:pPr>
      <w:r w:rsidRPr="00770AB8">
        <w:rPr>
          <w:rFonts w:eastAsia="Times New Roman" w:cs="Times New Roman"/>
          <w:kern w:val="22"/>
          <w:sz w:val="20"/>
          <w:szCs w:val="20"/>
          <w:lang w:val="fr-FR" w:eastAsia="en-CA"/>
        </w:rPr>
        <w:t>MNHN</w:t>
      </w:r>
      <w:r w:rsidRPr="00770AB8">
        <w:rPr>
          <w:rFonts w:eastAsia="Times New Roman" w:cs="Times New Roman"/>
          <w:kern w:val="22"/>
          <w:sz w:val="20"/>
          <w:szCs w:val="20"/>
          <w:lang w:val="fr-FR" w:eastAsia="en-CA"/>
        </w:rPr>
        <w:tab/>
      </w:r>
      <w:r w:rsidRPr="00770AB8">
        <w:rPr>
          <w:rFonts w:eastAsia="Times New Roman" w:cs="Times New Roman"/>
          <w:kern w:val="22"/>
          <w:sz w:val="20"/>
          <w:szCs w:val="20"/>
          <w:lang w:val="fr-FR" w:eastAsia="en-CA"/>
        </w:rPr>
        <w:tab/>
        <w:t>Muséum national d’histoire naturelle</w:t>
      </w:r>
    </w:p>
    <w:p w14:paraId="40A48FDA" w14:textId="77777777" w:rsidR="00BD327D" w:rsidRPr="00770AB8" w:rsidRDefault="00BD327D" w:rsidP="003C2C8E">
      <w:pPr>
        <w:spacing w:after="0"/>
        <w:rPr>
          <w:rFonts w:eastAsia="Times New Roman" w:cs="Times New Roman"/>
          <w:kern w:val="22"/>
          <w:sz w:val="20"/>
          <w:szCs w:val="20"/>
          <w:lang w:val="fr-FR" w:eastAsia="en-CA"/>
        </w:rPr>
      </w:pPr>
      <w:r w:rsidRPr="00770AB8">
        <w:rPr>
          <w:rFonts w:eastAsia="Times New Roman" w:cs="Times New Roman"/>
          <w:kern w:val="22"/>
          <w:sz w:val="20"/>
          <w:szCs w:val="20"/>
          <w:lang w:val="fr-FR" w:eastAsia="en-CA"/>
        </w:rPr>
        <w:t>MTA</w:t>
      </w:r>
      <w:r w:rsidRPr="00770AB8">
        <w:rPr>
          <w:rFonts w:eastAsia="Times New Roman" w:cs="Times New Roman"/>
          <w:kern w:val="22"/>
          <w:sz w:val="20"/>
          <w:szCs w:val="20"/>
          <w:lang w:val="fr-FR" w:eastAsia="en-CA"/>
        </w:rPr>
        <w:tab/>
      </w:r>
      <w:r w:rsidRPr="00770AB8">
        <w:rPr>
          <w:rFonts w:eastAsia="Times New Roman" w:cs="Times New Roman"/>
          <w:kern w:val="22"/>
          <w:sz w:val="20"/>
          <w:szCs w:val="20"/>
          <w:lang w:val="fr-FR" w:eastAsia="en-CA"/>
        </w:rPr>
        <w:tab/>
      </w:r>
      <w:r>
        <w:rPr>
          <w:rFonts w:eastAsia="Times New Roman" w:cs="Times New Roman"/>
          <w:kern w:val="22"/>
          <w:sz w:val="20"/>
          <w:szCs w:val="20"/>
          <w:lang w:val="fr-FR" w:eastAsia="en-CA"/>
        </w:rPr>
        <w:t>Accord de transfert de matériel biologique</w:t>
      </w:r>
    </w:p>
    <w:p w14:paraId="042F714C" w14:textId="77777777" w:rsidR="00BD327D" w:rsidRPr="007A0B5B" w:rsidRDefault="00BD327D" w:rsidP="003C2C8E">
      <w:pPr>
        <w:spacing w:after="0"/>
        <w:rPr>
          <w:rFonts w:eastAsia="Times New Roman" w:cs="Times New Roman"/>
          <w:kern w:val="22"/>
          <w:sz w:val="20"/>
          <w:szCs w:val="20"/>
          <w:lang w:val="fr-FR" w:eastAsia="en-CA"/>
        </w:rPr>
      </w:pPr>
      <w:r w:rsidRPr="007A0B5B">
        <w:rPr>
          <w:rFonts w:eastAsia="Times New Roman" w:cs="Times New Roman"/>
          <w:kern w:val="22"/>
          <w:sz w:val="20"/>
          <w:szCs w:val="20"/>
          <w:lang w:val="fr-FR" w:eastAsia="en-CA"/>
        </w:rPr>
        <w:t>NFP</w:t>
      </w:r>
      <w:r w:rsidRPr="007A0B5B">
        <w:rPr>
          <w:rFonts w:eastAsia="Times New Roman" w:cs="Times New Roman"/>
          <w:kern w:val="22"/>
          <w:sz w:val="20"/>
          <w:szCs w:val="20"/>
          <w:lang w:val="fr-FR" w:eastAsia="en-CA"/>
        </w:rPr>
        <w:tab/>
      </w:r>
      <w:r w:rsidRPr="007A0B5B">
        <w:rPr>
          <w:rFonts w:eastAsia="Times New Roman" w:cs="Times New Roman"/>
          <w:kern w:val="22"/>
          <w:sz w:val="20"/>
          <w:szCs w:val="20"/>
          <w:lang w:val="fr-FR" w:eastAsia="en-CA"/>
        </w:rPr>
        <w:tab/>
        <w:t>Correspondant national</w:t>
      </w:r>
    </w:p>
    <w:p w14:paraId="2B1A1C38" w14:textId="77777777" w:rsidR="00BD327D" w:rsidRPr="007A0B5B" w:rsidRDefault="00BD327D" w:rsidP="00A81326">
      <w:pPr>
        <w:spacing w:after="0"/>
        <w:rPr>
          <w:rFonts w:eastAsia="Times New Roman" w:cs="Times New Roman"/>
          <w:kern w:val="22"/>
          <w:sz w:val="20"/>
          <w:szCs w:val="20"/>
          <w:lang w:val="fr-FR" w:eastAsia="en-CA"/>
        </w:rPr>
      </w:pPr>
      <w:r w:rsidRPr="007A0B5B">
        <w:rPr>
          <w:rFonts w:eastAsia="Times New Roman" w:cs="Times New Roman"/>
          <w:kern w:val="22"/>
          <w:sz w:val="20"/>
          <w:szCs w:val="20"/>
          <w:lang w:val="fr-FR" w:eastAsia="en-CA"/>
        </w:rPr>
        <w:t>O</w:t>
      </w:r>
      <w:r>
        <w:rPr>
          <w:rFonts w:eastAsia="Times New Roman" w:cs="Times New Roman"/>
          <w:kern w:val="22"/>
          <w:sz w:val="20"/>
          <w:szCs w:val="20"/>
          <w:lang w:val="fr-FR" w:eastAsia="en-CA"/>
        </w:rPr>
        <w:t>MPI</w:t>
      </w:r>
      <w:r w:rsidRPr="007A0B5B">
        <w:rPr>
          <w:rFonts w:eastAsia="Times New Roman" w:cs="Times New Roman"/>
          <w:kern w:val="22"/>
          <w:sz w:val="20"/>
          <w:szCs w:val="20"/>
          <w:lang w:val="fr-FR" w:eastAsia="en-CA"/>
        </w:rPr>
        <w:tab/>
      </w:r>
      <w:r w:rsidRPr="007A0B5B">
        <w:rPr>
          <w:rFonts w:eastAsia="Times New Roman" w:cs="Times New Roman"/>
          <w:kern w:val="22"/>
          <w:sz w:val="20"/>
          <w:szCs w:val="20"/>
          <w:lang w:val="fr-FR" w:eastAsia="en-CA"/>
        </w:rPr>
        <w:tab/>
        <w:t>Organisation mondiale de la propriété intellectuelle</w:t>
      </w:r>
    </w:p>
    <w:p w14:paraId="23B95F3F" w14:textId="77777777" w:rsidR="00BD327D" w:rsidRPr="00E3674F" w:rsidRDefault="00BD327D" w:rsidP="003C2C8E">
      <w:pPr>
        <w:spacing w:after="0"/>
        <w:rPr>
          <w:rFonts w:eastAsia="Times New Roman" w:cs="Times New Roman"/>
          <w:kern w:val="22"/>
          <w:sz w:val="20"/>
          <w:szCs w:val="20"/>
          <w:lang w:val="fr-FR" w:eastAsia="en-CA"/>
        </w:rPr>
      </w:pPr>
      <w:r>
        <w:rPr>
          <w:rFonts w:eastAsia="Times New Roman" w:cs="Times New Roman"/>
          <w:kern w:val="22"/>
          <w:sz w:val="20"/>
          <w:szCs w:val="20"/>
          <w:lang w:val="fr-FR" w:eastAsia="en-CA"/>
        </w:rPr>
        <w:t>PIC</w:t>
      </w:r>
      <w:r w:rsidRPr="00E3674F">
        <w:rPr>
          <w:rFonts w:eastAsia="Times New Roman" w:cs="Times New Roman"/>
          <w:kern w:val="22"/>
          <w:sz w:val="20"/>
          <w:szCs w:val="20"/>
          <w:lang w:val="fr-FR" w:eastAsia="en-CA"/>
        </w:rPr>
        <w:tab/>
      </w:r>
      <w:r w:rsidRPr="00E3674F">
        <w:rPr>
          <w:rFonts w:eastAsia="Times New Roman" w:cs="Times New Roman"/>
          <w:kern w:val="22"/>
          <w:sz w:val="20"/>
          <w:szCs w:val="20"/>
          <w:lang w:val="fr-FR" w:eastAsia="en-CA"/>
        </w:rPr>
        <w:tab/>
        <w:t>Consentement préalable donné en connaissance de cause</w:t>
      </w:r>
    </w:p>
    <w:p w14:paraId="1987B1A1" w14:textId="15930939" w:rsidR="00BD327D" w:rsidRPr="003B1070" w:rsidRDefault="007F7C6C" w:rsidP="003C2C8E">
      <w:pPr>
        <w:spacing w:after="0"/>
        <w:rPr>
          <w:rFonts w:eastAsia="Times New Roman" w:cs="Times New Roman"/>
          <w:kern w:val="22"/>
          <w:sz w:val="20"/>
          <w:szCs w:val="20"/>
          <w:lang w:val="fr-FR" w:eastAsia="en-CA"/>
        </w:rPr>
      </w:pPr>
      <w:r>
        <w:rPr>
          <w:rFonts w:eastAsia="Times New Roman" w:cs="Times New Roman"/>
          <w:kern w:val="22"/>
          <w:sz w:val="20"/>
          <w:szCs w:val="20"/>
          <w:lang w:val="fr-FR" w:eastAsia="en-CA"/>
        </w:rPr>
        <w:t>RBS-ORF</w:t>
      </w:r>
      <w:r>
        <w:rPr>
          <w:rFonts w:eastAsia="Times New Roman" w:cs="Times New Roman"/>
          <w:kern w:val="22"/>
          <w:sz w:val="20"/>
          <w:szCs w:val="20"/>
          <w:lang w:val="fr-FR" w:eastAsia="en-CA"/>
        </w:rPr>
        <w:tab/>
        <w:t>S</w:t>
      </w:r>
      <w:r w:rsidR="00BD327D" w:rsidRPr="003B1070">
        <w:rPr>
          <w:rFonts w:eastAsia="Times New Roman" w:cs="Times New Roman"/>
          <w:kern w:val="22"/>
          <w:sz w:val="20"/>
          <w:szCs w:val="20"/>
          <w:lang w:val="fr-FR" w:eastAsia="en-CA"/>
        </w:rPr>
        <w:t>ite</w:t>
      </w:r>
      <w:r>
        <w:rPr>
          <w:rFonts w:eastAsia="Times New Roman" w:cs="Times New Roman"/>
          <w:kern w:val="22"/>
          <w:sz w:val="20"/>
          <w:szCs w:val="20"/>
          <w:lang w:val="fr-FR" w:eastAsia="en-CA"/>
        </w:rPr>
        <w:t xml:space="preserve"> d</w:t>
      </w:r>
      <w:r w:rsidR="00E13637">
        <w:rPr>
          <w:rFonts w:eastAsia="Times New Roman" w:cs="Times New Roman"/>
          <w:kern w:val="22"/>
          <w:sz w:val="20"/>
          <w:szCs w:val="20"/>
          <w:lang w:val="fr-FR" w:eastAsia="en-CA"/>
        </w:rPr>
        <w:t>e fixation du</w:t>
      </w:r>
      <w:r>
        <w:rPr>
          <w:rFonts w:eastAsia="Times New Roman" w:cs="Times New Roman"/>
          <w:kern w:val="22"/>
          <w:sz w:val="20"/>
          <w:szCs w:val="20"/>
          <w:lang w:val="fr-FR" w:eastAsia="en-CA"/>
        </w:rPr>
        <w:t xml:space="preserve"> ribosome</w:t>
      </w:r>
      <w:r w:rsidR="00E13637">
        <w:rPr>
          <w:rFonts w:eastAsia="Times New Roman" w:cs="Times New Roman"/>
          <w:kern w:val="22"/>
          <w:sz w:val="20"/>
          <w:szCs w:val="20"/>
          <w:lang w:val="fr-FR" w:eastAsia="en-CA"/>
        </w:rPr>
        <w:t xml:space="preserve"> – Cadre de lecture ouvert</w:t>
      </w:r>
    </w:p>
    <w:p w14:paraId="05B63ABE" w14:textId="77777777" w:rsidR="00BD327D" w:rsidRPr="007A0B5B" w:rsidRDefault="00BD327D" w:rsidP="003C2C8E">
      <w:pPr>
        <w:spacing w:after="0"/>
        <w:rPr>
          <w:rFonts w:eastAsia="Times New Roman" w:cs="Times New Roman"/>
          <w:kern w:val="22"/>
          <w:sz w:val="20"/>
          <w:szCs w:val="20"/>
          <w:lang w:val="fr-FR" w:eastAsia="en-CA"/>
        </w:rPr>
      </w:pPr>
      <w:r w:rsidRPr="007A0B5B">
        <w:rPr>
          <w:rFonts w:eastAsia="Times New Roman" w:cs="Times New Roman"/>
          <w:kern w:val="22"/>
          <w:sz w:val="20"/>
          <w:szCs w:val="20"/>
          <w:lang w:val="fr-FR" w:eastAsia="en-CA"/>
        </w:rPr>
        <w:t>SBI</w:t>
      </w:r>
      <w:r w:rsidRPr="007A0B5B">
        <w:rPr>
          <w:rFonts w:eastAsia="Times New Roman" w:cs="Times New Roman"/>
          <w:kern w:val="22"/>
          <w:sz w:val="20"/>
          <w:szCs w:val="20"/>
          <w:lang w:val="fr-FR" w:eastAsia="en-CA"/>
        </w:rPr>
        <w:tab/>
      </w:r>
      <w:r w:rsidRPr="007A0B5B">
        <w:rPr>
          <w:rFonts w:eastAsia="Times New Roman" w:cs="Times New Roman"/>
          <w:kern w:val="22"/>
          <w:sz w:val="20"/>
          <w:szCs w:val="20"/>
          <w:lang w:val="fr-FR" w:eastAsia="en-CA"/>
        </w:rPr>
        <w:tab/>
        <w:t>Organe subsidiaire chargé de l’application</w:t>
      </w:r>
    </w:p>
    <w:p w14:paraId="3AF848EA" w14:textId="77777777" w:rsidR="00BD327D" w:rsidRPr="00E3674F" w:rsidRDefault="00BD327D" w:rsidP="003C2C8E">
      <w:pPr>
        <w:spacing w:after="0"/>
        <w:rPr>
          <w:rFonts w:eastAsia="Times New Roman" w:cs="Times New Roman"/>
          <w:kern w:val="22"/>
          <w:sz w:val="20"/>
          <w:szCs w:val="20"/>
          <w:lang w:val="fr-FR" w:eastAsia="en-CA"/>
        </w:rPr>
      </w:pPr>
      <w:r w:rsidRPr="00E3674F">
        <w:rPr>
          <w:rFonts w:eastAsia="Times New Roman" w:cs="Times New Roman"/>
          <w:kern w:val="22"/>
          <w:sz w:val="20"/>
          <w:szCs w:val="20"/>
          <w:lang w:val="fr-FR" w:eastAsia="en-CA"/>
        </w:rPr>
        <w:t>U</w:t>
      </w:r>
      <w:r>
        <w:rPr>
          <w:rFonts w:eastAsia="Times New Roman" w:cs="Times New Roman"/>
          <w:kern w:val="22"/>
          <w:sz w:val="20"/>
          <w:szCs w:val="20"/>
          <w:lang w:val="fr-FR" w:eastAsia="en-CA"/>
        </w:rPr>
        <w:t>E</w:t>
      </w:r>
      <w:r w:rsidRPr="00E3674F">
        <w:rPr>
          <w:rFonts w:eastAsia="Times New Roman" w:cs="Times New Roman"/>
          <w:kern w:val="22"/>
          <w:sz w:val="20"/>
          <w:szCs w:val="20"/>
          <w:lang w:val="fr-FR" w:eastAsia="en-CA"/>
        </w:rPr>
        <w:tab/>
      </w:r>
      <w:r w:rsidRPr="00E3674F">
        <w:rPr>
          <w:rFonts w:eastAsia="Times New Roman" w:cs="Times New Roman"/>
          <w:kern w:val="22"/>
          <w:sz w:val="20"/>
          <w:szCs w:val="20"/>
          <w:lang w:val="fr-FR" w:eastAsia="en-CA"/>
        </w:rPr>
        <w:tab/>
      </w:r>
      <w:r>
        <w:rPr>
          <w:rFonts w:eastAsia="Times New Roman" w:cs="Times New Roman"/>
          <w:kern w:val="22"/>
          <w:sz w:val="20"/>
          <w:szCs w:val="20"/>
          <w:lang w:val="fr-FR" w:eastAsia="en-CA"/>
        </w:rPr>
        <w:t>Union européenne</w:t>
      </w:r>
    </w:p>
    <w:p w14:paraId="62121432" w14:textId="77777777" w:rsidR="00BD327D" w:rsidRPr="007A0B5B" w:rsidRDefault="00BD327D" w:rsidP="003C2C8E">
      <w:pPr>
        <w:spacing w:after="0"/>
        <w:rPr>
          <w:rFonts w:eastAsia="Times New Roman" w:cs="Times New Roman"/>
          <w:kern w:val="22"/>
          <w:sz w:val="20"/>
          <w:szCs w:val="20"/>
          <w:lang w:val="fr-FR" w:eastAsia="en-CA"/>
        </w:rPr>
      </w:pPr>
      <w:r w:rsidRPr="007A0B5B">
        <w:rPr>
          <w:rFonts w:eastAsia="Times New Roman" w:cs="Times New Roman"/>
          <w:kern w:val="22"/>
          <w:sz w:val="20"/>
          <w:szCs w:val="20"/>
          <w:lang w:val="fr-FR" w:eastAsia="en-CA"/>
        </w:rPr>
        <w:t>U</w:t>
      </w:r>
      <w:r>
        <w:rPr>
          <w:rFonts w:eastAsia="Times New Roman" w:cs="Times New Roman"/>
          <w:kern w:val="22"/>
          <w:sz w:val="20"/>
          <w:szCs w:val="20"/>
          <w:lang w:val="fr-FR" w:eastAsia="en-CA"/>
        </w:rPr>
        <w:t>I</w:t>
      </w:r>
      <w:r w:rsidRPr="007A0B5B">
        <w:rPr>
          <w:rFonts w:eastAsia="Times New Roman" w:cs="Times New Roman"/>
          <w:kern w:val="22"/>
          <w:sz w:val="20"/>
          <w:szCs w:val="20"/>
          <w:lang w:val="fr-FR" w:eastAsia="en-CA"/>
        </w:rPr>
        <w:t>CN</w:t>
      </w:r>
      <w:r w:rsidRPr="007A0B5B">
        <w:rPr>
          <w:rFonts w:eastAsia="Times New Roman" w:cs="Times New Roman"/>
          <w:kern w:val="22"/>
          <w:sz w:val="20"/>
          <w:szCs w:val="20"/>
          <w:lang w:val="fr-FR" w:eastAsia="en-CA"/>
        </w:rPr>
        <w:tab/>
      </w:r>
      <w:r w:rsidRPr="007A0B5B">
        <w:rPr>
          <w:rFonts w:eastAsia="Times New Roman" w:cs="Times New Roman"/>
          <w:kern w:val="22"/>
          <w:sz w:val="20"/>
          <w:szCs w:val="20"/>
          <w:lang w:val="fr-FR" w:eastAsia="en-CA"/>
        </w:rPr>
        <w:tab/>
        <w:t>Union internationale pour la conservation de la nature</w:t>
      </w:r>
    </w:p>
    <w:p w14:paraId="6A9D9E2C" w14:textId="77777777" w:rsidR="00BD327D" w:rsidRPr="007A0B5B" w:rsidRDefault="00BD327D" w:rsidP="009A0431">
      <w:pPr>
        <w:spacing w:after="0"/>
        <w:rPr>
          <w:rFonts w:eastAsia="Times New Roman" w:cs="Times New Roman"/>
          <w:kern w:val="22"/>
          <w:sz w:val="20"/>
          <w:szCs w:val="20"/>
          <w:lang w:val="fr-FR" w:eastAsia="en-CA"/>
        </w:rPr>
      </w:pPr>
      <w:r w:rsidRPr="007A0B5B">
        <w:rPr>
          <w:rFonts w:eastAsia="Times New Roman" w:cs="Times New Roman"/>
          <w:kern w:val="22"/>
          <w:sz w:val="20"/>
          <w:szCs w:val="20"/>
          <w:lang w:val="fr-FR" w:eastAsia="en-CA"/>
        </w:rPr>
        <w:t xml:space="preserve">UNCLOS </w:t>
      </w:r>
      <w:r w:rsidRPr="007A0B5B">
        <w:rPr>
          <w:rFonts w:eastAsia="Times New Roman" w:cs="Times New Roman"/>
          <w:kern w:val="22"/>
          <w:sz w:val="20"/>
          <w:szCs w:val="20"/>
          <w:lang w:val="fr-FR" w:eastAsia="en-CA"/>
        </w:rPr>
        <w:tab/>
        <w:t>Convention des Nations Unies sur le droit de la mer</w:t>
      </w:r>
    </w:p>
    <w:p w14:paraId="3BCA0049" w14:textId="77777777" w:rsidR="00BD327D" w:rsidRPr="00BD327D" w:rsidRDefault="00BD327D" w:rsidP="00A81326">
      <w:pPr>
        <w:spacing w:after="0"/>
        <w:rPr>
          <w:rFonts w:eastAsia="Times New Roman" w:cs="Times New Roman"/>
          <w:kern w:val="22"/>
          <w:sz w:val="20"/>
          <w:szCs w:val="20"/>
          <w:lang w:val="en-AU" w:eastAsia="en-CA"/>
        </w:rPr>
      </w:pPr>
      <w:r w:rsidRPr="00BD327D">
        <w:rPr>
          <w:rFonts w:eastAsia="Times New Roman" w:cs="Times New Roman"/>
          <w:kern w:val="22"/>
          <w:sz w:val="20"/>
          <w:szCs w:val="20"/>
          <w:lang w:val="en-AU" w:eastAsia="en-CA"/>
        </w:rPr>
        <w:t>WDCM</w:t>
      </w:r>
      <w:r w:rsidRPr="00BD327D">
        <w:rPr>
          <w:rFonts w:eastAsia="Times New Roman" w:cs="Times New Roman"/>
          <w:kern w:val="22"/>
          <w:sz w:val="20"/>
          <w:szCs w:val="20"/>
          <w:lang w:val="en-AU" w:eastAsia="en-CA"/>
        </w:rPr>
        <w:tab/>
      </w:r>
      <w:r w:rsidRPr="00BD327D">
        <w:rPr>
          <w:rFonts w:eastAsia="Times New Roman" w:cs="Times New Roman"/>
          <w:kern w:val="22"/>
          <w:sz w:val="20"/>
          <w:szCs w:val="20"/>
          <w:lang w:val="en-AU" w:eastAsia="en-CA"/>
        </w:rPr>
        <w:tab/>
        <w:t>World Data Centre for Microorganisms</w:t>
      </w:r>
    </w:p>
    <w:p w14:paraId="4F79C57D" w14:textId="77777777" w:rsidR="00BD327D" w:rsidRPr="007A0B5B" w:rsidRDefault="00BD327D" w:rsidP="009A0431">
      <w:pPr>
        <w:spacing w:after="0"/>
        <w:rPr>
          <w:rFonts w:eastAsia="Times New Roman" w:cs="Times New Roman"/>
          <w:kern w:val="22"/>
          <w:sz w:val="20"/>
          <w:szCs w:val="20"/>
          <w:lang w:val="fr-FR" w:eastAsia="en-CA"/>
        </w:rPr>
      </w:pPr>
      <w:r w:rsidRPr="007A0B5B">
        <w:rPr>
          <w:rFonts w:eastAsia="Times New Roman" w:cs="Times New Roman"/>
          <w:kern w:val="22"/>
          <w:sz w:val="20"/>
          <w:szCs w:val="20"/>
          <w:lang w:val="fr-FR" w:eastAsia="en-CA"/>
        </w:rPr>
        <w:t xml:space="preserve">WEOG </w:t>
      </w:r>
      <w:r w:rsidRPr="007A0B5B">
        <w:rPr>
          <w:rFonts w:eastAsia="Times New Roman" w:cs="Times New Roman"/>
          <w:kern w:val="22"/>
          <w:sz w:val="20"/>
          <w:szCs w:val="20"/>
          <w:lang w:val="fr-FR" w:eastAsia="en-CA"/>
        </w:rPr>
        <w:tab/>
      </w:r>
      <w:r w:rsidRPr="007A0B5B">
        <w:rPr>
          <w:rFonts w:eastAsia="Times New Roman" w:cs="Times New Roman"/>
          <w:kern w:val="22"/>
          <w:sz w:val="20"/>
          <w:szCs w:val="20"/>
          <w:lang w:val="fr-FR" w:eastAsia="en-CA"/>
        </w:rPr>
        <w:tab/>
        <w:t>Groupe des pays d’Europe occidentale et autres Etats</w:t>
      </w:r>
    </w:p>
    <w:p w14:paraId="0D9A2581" w14:textId="77777777" w:rsidR="00BD327D" w:rsidRPr="003B1070" w:rsidRDefault="00BD327D" w:rsidP="00A81326">
      <w:pPr>
        <w:spacing w:after="0"/>
        <w:rPr>
          <w:kern w:val="22"/>
          <w:sz w:val="20"/>
          <w:szCs w:val="20"/>
          <w:lang w:val="fr-FR"/>
        </w:rPr>
      </w:pPr>
      <w:r w:rsidRPr="003B1070">
        <w:rPr>
          <w:kern w:val="22"/>
          <w:sz w:val="20"/>
          <w:szCs w:val="20"/>
          <w:lang w:val="fr-FR"/>
        </w:rPr>
        <w:t>WFCC</w:t>
      </w:r>
      <w:r w:rsidRPr="003B1070">
        <w:rPr>
          <w:kern w:val="22"/>
          <w:sz w:val="20"/>
          <w:szCs w:val="20"/>
          <w:lang w:val="fr-FR"/>
        </w:rPr>
        <w:tab/>
      </w:r>
      <w:r w:rsidRPr="003B1070">
        <w:rPr>
          <w:kern w:val="22"/>
          <w:sz w:val="20"/>
          <w:szCs w:val="20"/>
          <w:lang w:val="fr-FR"/>
        </w:rPr>
        <w:tab/>
        <w:t>Fédération mondiale des collections de cultures</w:t>
      </w:r>
    </w:p>
    <w:p w14:paraId="6D9D7836" w14:textId="77777777" w:rsidR="00BD327D" w:rsidRPr="00E3674F" w:rsidRDefault="00BD327D" w:rsidP="003C2C8E">
      <w:pPr>
        <w:spacing w:after="0"/>
        <w:rPr>
          <w:rFonts w:eastAsia="Times New Roman" w:cs="Times New Roman"/>
          <w:kern w:val="22"/>
          <w:sz w:val="20"/>
          <w:szCs w:val="20"/>
          <w:lang w:val="fr-FR" w:eastAsia="en-CA"/>
        </w:rPr>
      </w:pPr>
      <w:r>
        <w:rPr>
          <w:kern w:val="22"/>
          <w:sz w:val="20"/>
          <w:szCs w:val="20"/>
          <w:lang w:val="fr-FR"/>
        </w:rPr>
        <w:t>ZEE</w:t>
      </w:r>
      <w:r w:rsidRPr="00E3674F">
        <w:rPr>
          <w:kern w:val="22"/>
          <w:sz w:val="20"/>
          <w:szCs w:val="20"/>
          <w:lang w:val="fr-FR"/>
        </w:rPr>
        <w:tab/>
      </w:r>
      <w:r w:rsidRPr="00E3674F">
        <w:rPr>
          <w:kern w:val="22"/>
          <w:sz w:val="20"/>
          <w:szCs w:val="20"/>
          <w:lang w:val="fr-FR"/>
        </w:rPr>
        <w:tab/>
      </w:r>
      <w:r>
        <w:rPr>
          <w:kern w:val="22"/>
          <w:sz w:val="20"/>
          <w:szCs w:val="20"/>
          <w:lang w:val="fr-FR"/>
        </w:rPr>
        <w:t>Zone économique exclusive</w:t>
      </w:r>
    </w:p>
    <w:p w14:paraId="4DA9FCC6" w14:textId="0BE37C96" w:rsidR="00520E6F" w:rsidRPr="003B1070" w:rsidRDefault="00520E6F" w:rsidP="00B80668">
      <w:pPr>
        <w:pStyle w:val="Heading1"/>
        <w:rPr>
          <w:kern w:val="22"/>
          <w:sz w:val="22"/>
          <w:szCs w:val="22"/>
          <w:lang w:val="fr-FR"/>
        </w:rPr>
      </w:pPr>
    </w:p>
    <w:p w14:paraId="74D33A24" w14:textId="63AA687E" w:rsidR="00F86834" w:rsidRPr="003B1070" w:rsidRDefault="00F86834" w:rsidP="00D0775E">
      <w:pPr>
        <w:spacing w:after="120"/>
        <w:rPr>
          <w:kern w:val="22"/>
          <w:sz w:val="22"/>
          <w:lang w:val="fr-FR"/>
        </w:rPr>
      </w:pPr>
    </w:p>
    <w:p w14:paraId="5BEC4540" w14:textId="6EBB1DEC" w:rsidR="004134A9" w:rsidRPr="003B1070" w:rsidRDefault="004134A9">
      <w:pPr>
        <w:jc w:val="left"/>
        <w:rPr>
          <w:rFonts w:eastAsiaTheme="majorEastAsia" w:cs="Times New Roman"/>
          <w:b/>
          <w:smallCaps/>
          <w:kern w:val="22"/>
          <w:sz w:val="22"/>
          <w:lang w:val="fr-FR"/>
        </w:rPr>
      </w:pPr>
    </w:p>
    <w:p w14:paraId="1CE98EA3" w14:textId="77777777" w:rsidR="00DF5419" w:rsidRPr="003B1070" w:rsidRDefault="00DF5419">
      <w:pPr>
        <w:spacing w:line="259" w:lineRule="auto"/>
        <w:jc w:val="left"/>
        <w:rPr>
          <w:rFonts w:eastAsiaTheme="majorEastAsia" w:cs="Times New Roman"/>
          <w:b/>
          <w:smallCaps/>
          <w:kern w:val="22"/>
          <w:sz w:val="22"/>
          <w:lang w:val="fr-FR"/>
        </w:rPr>
      </w:pPr>
      <w:bookmarkStart w:id="3" w:name="_Toc31040284"/>
      <w:bookmarkStart w:id="4" w:name="_Toc31056851"/>
      <w:bookmarkStart w:id="5" w:name="_Toc32490845"/>
      <w:bookmarkStart w:id="6" w:name="_Toc34249580"/>
      <w:r w:rsidRPr="003B1070">
        <w:rPr>
          <w:kern w:val="22"/>
          <w:sz w:val="22"/>
          <w:lang w:val="fr-FR"/>
        </w:rPr>
        <w:br w:type="page"/>
      </w:r>
    </w:p>
    <w:p w14:paraId="26619509" w14:textId="019072D1" w:rsidR="00FC5588" w:rsidRPr="00770AB8" w:rsidRDefault="00770AB8" w:rsidP="00B80668">
      <w:pPr>
        <w:pStyle w:val="Heading1"/>
        <w:rPr>
          <w:kern w:val="22"/>
          <w:sz w:val="22"/>
          <w:szCs w:val="22"/>
          <w:lang w:val="fr-FR"/>
        </w:rPr>
      </w:pPr>
      <w:bookmarkStart w:id="7" w:name="_Toc48914791"/>
      <w:bookmarkEnd w:id="3"/>
      <w:bookmarkEnd w:id="4"/>
      <w:bookmarkEnd w:id="5"/>
      <w:bookmarkEnd w:id="6"/>
      <w:r>
        <w:rPr>
          <w:kern w:val="22"/>
          <w:sz w:val="22"/>
          <w:szCs w:val="22"/>
          <w:lang w:val="fr-FR"/>
        </w:rPr>
        <w:lastRenderedPageBreak/>
        <w:t>syn</w:t>
      </w:r>
      <w:r w:rsidR="00077813">
        <w:rPr>
          <w:kern w:val="22"/>
          <w:sz w:val="22"/>
          <w:szCs w:val="22"/>
          <w:lang w:val="fr-FR"/>
        </w:rPr>
        <w:t>these</w:t>
      </w:r>
      <w:r>
        <w:rPr>
          <w:kern w:val="22"/>
          <w:sz w:val="22"/>
          <w:szCs w:val="22"/>
          <w:lang w:val="fr-FR"/>
        </w:rPr>
        <w:t xml:space="preserve"> analytique</w:t>
      </w:r>
      <w:bookmarkEnd w:id="7"/>
    </w:p>
    <w:p w14:paraId="73F0ED0D" w14:textId="5D88689D" w:rsidR="001E7182" w:rsidRPr="00E3674F" w:rsidRDefault="00770AB8" w:rsidP="00FB0C98">
      <w:pPr>
        <w:rPr>
          <w:kern w:val="22"/>
          <w:sz w:val="22"/>
          <w:lang w:val="fr-FR"/>
        </w:rPr>
      </w:pPr>
      <w:r>
        <w:rPr>
          <w:kern w:val="22"/>
          <w:sz w:val="22"/>
          <w:lang w:val="fr-FR"/>
        </w:rPr>
        <w:t>L’a</w:t>
      </w:r>
      <w:r w:rsidR="00647B6B" w:rsidRPr="00E3674F">
        <w:rPr>
          <w:kern w:val="22"/>
          <w:sz w:val="22"/>
          <w:lang w:val="fr-FR"/>
        </w:rPr>
        <w:t xml:space="preserve">rticle 10 </w:t>
      </w:r>
      <w:r>
        <w:rPr>
          <w:kern w:val="22"/>
          <w:sz w:val="22"/>
          <w:lang w:val="fr-FR"/>
        </w:rPr>
        <w:t>du Pro</w:t>
      </w:r>
      <w:r w:rsidR="00E3674F" w:rsidRPr="00E3674F">
        <w:rPr>
          <w:kern w:val="22"/>
          <w:sz w:val="22"/>
          <w:lang w:val="fr-FR"/>
        </w:rPr>
        <w:t>tocole de Nagoya</w:t>
      </w:r>
      <w:r w:rsidR="00647B6B" w:rsidRPr="00E3674F">
        <w:rPr>
          <w:kern w:val="22"/>
          <w:sz w:val="22"/>
          <w:lang w:val="fr-FR"/>
        </w:rPr>
        <w:t xml:space="preserve"> </w:t>
      </w:r>
      <w:r w:rsidR="00E3674F" w:rsidRPr="00E3674F">
        <w:rPr>
          <w:kern w:val="22"/>
          <w:sz w:val="22"/>
          <w:lang w:val="fr-FR"/>
        </w:rPr>
        <w:t>sur l’accès et le partage des avantages</w:t>
      </w:r>
      <w:r w:rsidR="00E1171D" w:rsidRPr="00E3674F">
        <w:rPr>
          <w:kern w:val="22"/>
          <w:sz w:val="22"/>
          <w:lang w:val="fr-FR"/>
        </w:rPr>
        <w:t xml:space="preserve"> </w:t>
      </w:r>
      <w:r w:rsidR="008E2D21" w:rsidRPr="00E3674F">
        <w:rPr>
          <w:kern w:val="22"/>
          <w:sz w:val="22"/>
          <w:lang w:val="fr-FR"/>
        </w:rPr>
        <w:t>(</w:t>
      </w:r>
      <w:r w:rsidR="006F5515">
        <w:rPr>
          <w:kern w:val="22"/>
          <w:sz w:val="22"/>
          <w:lang w:val="fr-FR"/>
        </w:rPr>
        <w:t xml:space="preserve">concernant un </w:t>
      </w:r>
      <w:r w:rsidR="008E2D21" w:rsidRPr="00E3674F">
        <w:rPr>
          <w:kern w:val="22"/>
          <w:sz w:val="22"/>
          <w:lang w:val="fr-FR"/>
        </w:rPr>
        <w:t>“</w:t>
      </w:r>
      <w:r w:rsidR="00480821">
        <w:rPr>
          <w:kern w:val="22"/>
          <w:sz w:val="22"/>
          <w:lang w:val="fr-FR"/>
        </w:rPr>
        <w:t>m</w:t>
      </w:r>
      <w:r w:rsidR="001A200E">
        <w:rPr>
          <w:kern w:val="22"/>
          <w:sz w:val="22"/>
          <w:lang w:val="fr-FR"/>
        </w:rPr>
        <w:t>écanisme multilatéral mondial</w:t>
      </w:r>
      <w:r w:rsidR="00E3674F" w:rsidRPr="00E3674F">
        <w:rPr>
          <w:kern w:val="22"/>
          <w:sz w:val="22"/>
          <w:lang w:val="fr-FR"/>
        </w:rPr>
        <w:t xml:space="preserve"> de partage des avantages</w:t>
      </w:r>
      <w:r w:rsidR="008E2D21" w:rsidRPr="00E3674F">
        <w:rPr>
          <w:kern w:val="22"/>
          <w:sz w:val="22"/>
          <w:lang w:val="fr-FR"/>
        </w:rPr>
        <w:t xml:space="preserve">”) </w:t>
      </w:r>
      <w:r w:rsidR="00480821">
        <w:rPr>
          <w:kern w:val="22"/>
          <w:sz w:val="22"/>
          <w:lang w:val="fr-FR"/>
        </w:rPr>
        <w:t>demande aux</w:t>
      </w:r>
      <w:r w:rsidR="007D7761">
        <w:rPr>
          <w:kern w:val="22"/>
          <w:sz w:val="22"/>
          <w:lang w:val="fr-FR"/>
        </w:rPr>
        <w:t xml:space="preserve"> Parties d’examiner la nécessité</w:t>
      </w:r>
      <w:r w:rsidR="00E3674F" w:rsidRPr="00E3674F">
        <w:rPr>
          <w:kern w:val="22"/>
          <w:sz w:val="22"/>
          <w:lang w:val="fr-FR"/>
        </w:rPr>
        <w:t xml:space="preserve"> et les modalités</w:t>
      </w:r>
      <w:r w:rsidR="00480821">
        <w:rPr>
          <w:kern w:val="22"/>
          <w:sz w:val="22"/>
          <w:lang w:val="fr-FR"/>
        </w:rPr>
        <w:t xml:space="preserve"> d’un</w:t>
      </w:r>
      <w:r w:rsidR="009237CE" w:rsidRPr="00E3674F">
        <w:rPr>
          <w:kern w:val="22"/>
          <w:sz w:val="22"/>
          <w:lang w:val="fr-FR"/>
        </w:rPr>
        <w:t xml:space="preserve"> </w:t>
      </w:r>
      <w:r w:rsidR="001A200E">
        <w:rPr>
          <w:kern w:val="22"/>
          <w:sz w:val="22"/>
          <w:lang w:val="fr-FR"/>
        </w:rPr>
        <w:t>mécanisme multilatéral mondial</w:t>
      </w:r>
      <w:r w:rsidR="00E3674F" w:rsidRPr="00E3674F">
        <w:rPr>
          <w:kern w:val="22"/>
          <w:sz w:val="22"/>
          <w:lang w:val="fr-FR"/>
        </w:rPr>
        <w:t xml:space="preserve"> de partage des avantages</w:t>
      </w:r>
      <w:r w:rsidR="004C75A2">
        <w:rPr>
          <w:kern w:val="22"/>
          <w:sz w:val="22"/>
          <w:lang w:val="fr-FR"/>
        </w:rPr>
        <w:t xml:space="preserve"> pour </w:t>
      </w:r>
      <w:r w:rsidR="007D7761">
        <w:rPr>
          <w:kern w:val="22"/>
          <w:sz w:val="22"/>
          <w:lang w:val="fr-FR"/>
        </w:rPr>
        <w:t>trait</w:t>
      </w:r>
      <w:r w:rsidR="00480821">
        <w:rPr>
          <w:kern w:val="22"/>
          <w:sz w:val="22"/>
          <w:lang w:val="fr-FR"/>
        </w:rPr>
        <w:t>er</w:t>
      </w:r>
      <w:r w:rsidR="009237CE" w:rsidRPr="00E3674F">
        <w:rPr>
          <w:kern w:val="22"/>
          <w:sz w:val="22"/>
          <w:lang w:val="fr-FR"/>
        </w:rPr>
        <w:t xml:space="preserve"> </w:t>
      </w:r>
      <w:r>
        <w:rPr>
          <w:kern w:val="22"/>
          <w:sz w:val="22"/>
          <w:lang w:val="fr-FR"/>
        </w:rPr>
        <w:t xml:space="preserve">le partage juste et </w:t>
      </w:r>
      <w:r w:rsidR="00480821">
        <w:rPr>
          <w:kern w:val="22"/>
          <w:sz w:val="22"/>
          <w:lang w:val="fr-FR"/>
        </w:rPr>
        <w:t xml:space="preserve">équitable </w:t>
      </w:r>
      <w:r>
        <w:rPr>
          <w:kern w:val="22"/>
          <w:sz w:val="22"/>
          <w:lang w:val="fr-FR"/>
        </w:rPr>
        <w:t>des avantages</w:t>
      </w:r>
      <w:r w:rsidR="009237CE" w:rsidRPr="00E3674F">
        <w:rPr>
          <w:kern w:val="22"/>
          <w:sz w:val="22"/>
          <w:lang w:val="fr-FR"/>
        </w:rPr>
        <w:t xml:space="preserve"> </w:t>
      </w:r>
      <w:r w:rsidR="007D7761">
        <w:rPr>
          <w:kern w:val="22"/>
          <w:sz w:val="22"/>
          <w:lang w:val="fr-FR"/>
        </w:rPr>
        <w:t>résult</w:t>
      </w:r>
      <w:r w:rsidR="00480821">
        <w:rPr>
          <w:kern w:val="22"/>
          <w:sz w:val="22"/>
          <w:lang w:val="fr-FR"/>
        </w:rPr>
        <w:t>ant de</w:t>
      </w:r>
      <w:r w:rsidR="00CD239B" w:rsidRPr="00E3674F">
        <w:rPr>
          <w:kern w:val="22"/>
          <w:sz w:val="22"/>
          <w:lang w:val="fr-FR"/>
        </w:rPr>
        <w:t xml:space="preserve"> </w:t>
      </w:r>
      <w:r w:rsidR="00480821">
        <w:rPr>
          <w:kern w:val="22"/>
          <w:sz w:val="22"/>
          <w:lang w:val="fr-FR"/>
        </w:rPr>
        <w:t>l’</w:t>
      </w:r>
      <w:r w:rsidR="008627A9">
        <w:rPr>
          <w:kern w:val="22"/>
          <w:sz w:val="22"/>
          <w:lang w:val="fr-FR"/>
        </w:rPr>
        <w:t>utilisation</w:t>
      </w:r>
      <w:r w:rsidR="00CD239B" w:rsidRPr="00E3674F">
        <w:rPr>
          <w:kern w:val="22"/>
          <w:sz w:val="22"/>
          <w:lang w:val="fr-FR"/>
        </w:rPr>
        <w:t xml:space="preserve"> </w:t>
      </w:r>
      <w:r w:rsidR="00D6232E">
        <w:rPr>
          <w:kern w:val="22"/>
          <w:sz w:val="22"/>
          <w:lang w:val="fr-FR"/>
        </w:rPr>
        <w:t>de ressources</w:t>
      </w:r>
      <w:r w:rsidR="00E3674F" w:rsidRPr="00E3674F">
        <w:rPr>
          <w:kern w:val="22"/>
          <w:sz w:val="22"/>
          <w:lang w:val="fr-FR"/>
        </w:rPr>
        <w:t xml:space="preserve"> génétiques et </w:t>
      </w:r>
      <w:r w:rsidR="004C75A2">
        <w:rPr>
          <w:kern w:val="22"/>
          <w:sz w:val="22"/>
          <w:lang w:val="fr-FR"/>
        </w:rPr>
        <w:t xml:space="preserve">des </w:t>
      </w:r>
      <w:r w:rsidR="00E3674F" w:rsidRPr="00E3674F">
        <w:rPr>
          <w:kern w:val="22"/>
          <w:sz w:val="22"/>
          <w:lang w:val="fr-FR"/>
        </w:rPr>
        <w:t>connaissances traditionnelles</w:t>
      </w:r>
      <w:r w:rsidR="00CD239B" w:rsidRPr="00E3674F">
        <w:rPr>
          <w:kern w:val="22"/>
          <w:sz w:val="22"/>
          <w:lang w:val="fr-FR"/>
        </w:rPr>
        <w:t xml:space="preserve"> </w:t>
      </w:r>
      <w:r w:rsidR="00E3674F">
        <w:rPr>
          <w:kern w:val="22"/>
          <w:sz w:val="22"/>
          <w:lang w:val="fr-FR"/>
        </w:rPr>
        <w:t>associées aux</w:t>
      </w:r>
      <w:r w:rsidR="00CD239B" w:rsidRPr="00E3674F">
        <w:rPr>
          <w:kern w:val="22"/>
          <w:sz w:val="22"/>
          <w:lang w:val="fr-FR"/>
        </w:rPr>
        <w:t xml:space="preserve"> </w:t>
      </w:r>
      <w:r w:rsidR="00E3674F" w:rsidRPr="00E3674F">
        <w:rPr>
          <w:kern w:val="22"/>
          <w:sz w:val="22"/>
          <w:lang w:val="fr-FR"/>
        </w:rPr>
        <w:t>ressources génétiques</w:t>
      </w:r>
      <w:r w:rsidR="00CD239B" w:rsidRPr="00E3674F">
        <w:rPr>
          <w:kern w:val="22"/>
          <w:sz w:val="22"/>
          <w:lang w:val="fr-FR"/>
        </w:rPr>
        <w:t xml:space="preserve"> </w:t>
      </w:r>
      <w:r w:rsidR="00651FB0">
        <w:rPr>
          <w:kern w:val="22"/>
          <w:sz w:val="22"/>
          <w:lang w:val="fr-FR"/>
        </w:rPr>
        <w:t>qui se trouvent</w:t>
      </w:r>
      <w:r w:rsidR="00FB033A">
        <w:rPr>
          <w:kern w:val="22"/>
          <w:sz w:val="22"/>
          <w:lang w:val="fr-FR"/>
        </w:rPr>
        <w:t xml:space="preserve"> </w:t>
      </w:r>
      <w:r w:rsidR="002A127F">
        <w:rPr>
          <w:kern w:val="22"/>
          <w:sz w:val="22"/>
          <w:lang w:val="fr-FR"/>
        </w:rPr>
        <w:t>dans des situations</w:t>
      </w:r>
      <w:r w:rsidR="00E3674F" w:rsidRPr="00E3674F">
        <w:rPr>
          <w:kern w:val="22"/>
          <w:sz w:val="22"/>
          <w:lang w:val="fr-FR"/>
        </w:rPr>
        <w:t xml:space="preserve"> transfrontières</w:t>
      </w:r>
      <w:r w:rsidR="00755B2D">
        <w:rPr>
          <w:kern w:val="22"/>
          <w:sz w:val="22"/>
          <w:lang w:val="fr-FR"/>
        </w:rPr>
        <w:t xml:space="preserve"> ou pour lesquelles</w:t>
      </w:r>
      <w:r w:rsidR="0020703A">
        <w:rPr>
          <w:kern w:val="22"/>
          <w:sz w:val="22"/>
          <w:lang w:val="fr-FR"/>
        </w:rPr>
        <w:t xml:space="preserve"> </w:t>
      </w:r>
      <w:r w:rsidR="007D7761">
        <w:rPr>
          <w:kern w:val="22"/>
          <w:sz w:val="22"/>
          <w:lang w:val="fr-FR"/>
        </w:rPr>
        <w:t>il n’est pas possible</w:t>
      </w:r>
      <w:r w:rsidR="00CD239B" w:rsidRPr="00E3674F">
        <w:rPr>
          <w:kern w:val="22"/>
          <w:sz w:val="22"/>
          <w:lang w:val="fr-FR"/>
        </w:rPr>
        <w:t xml:space="preserve"> </w:t>
      </w:r>
      <w:r w:rsidR="00FB033A">
        <w:rPr>
          <w:kern w:val="22"/>
          <w:sz w:val="22"/>
          <w:lang w:val="fr-FR"/>
        </w:rPr>
        <w:t xml:space="preserve">d’accorder ou </w:t>
      </w:r>
      <w:r w:rsidR="000E3236">
        <w:rPr>
          <w:kern w:val="22"/>
          <w:sz w:val="22"/>
          <w:lang w:val="fr-FR"/>
        </w:rPr>
        <w:t xml:space="preserve">d’obtenir un </w:t>
      </w:r>
      <w:r w:rsidR="007D7761">
        <w:rPr>
          <w:kern w:val="22"/>
          <w:sz w:val="22"/>
          <w:lang w:val="fr-FR"/>
        </w:rPr>
        <w:t>consentement préalable donné en connaissance de cause</w:t>
      </w:r>
      <w:r w:rsidR="00480821">
        <w:rPr>
          <w:kern w:val="22"/>
          <w:sz w:val="22"/>
          <w:lang w:val="fr-FR"/>
        </w:rPr>
        <w:t>. La troisième</w:t>
      </w:r>
      <w:r w:rsidR="00CD239B" w:rsidRPr="00E3674F">
        <w:rPr>
          <w:kern w:val="22"/>
          <w:sz w:val="22"/>
          <w:lang w:val="fr-FR"/>
        </w:rPr>
        <w:t xml:space="preserve"> </w:t>
      </w:r>
      <w:r w:rsidR="00E3674F" w:rsidRPr="00E3674F">
        <w:rPr>
          <w:kern w:val="22"/>
          <w:sz w:val="22"/>
          <w:lang w:val="fr-FR"/>
        </w:rPr>
        <w:t>réunion</w:t>
      </w:r>
      <w:r w:rsidR="00976AD8" w:rsidRPr="00E3674F">
        <w:rPr>
          <w:kern w:val="22"/>
          <w:sz w:val="22"/>
          <w:lang w:val="fr-FR"/>
        </w:rPr>
        <w:t xml:space="preserve"> </w:t>
      </w:r>
      <w:r w:rsidR="0020703A">
        <w:rPr>
          <w:kern w:val="22"/>
          <w:sz w:val="22"/>
          <w:lang w:val="fr-FR"/>
        </w:rPr>
        <w:t>de la</w:t>
      </w:r>
      <w:r w:rsidR="00E3674F" w:rsidRPr="00E3674F">
        <w:rPr>
          <w:kern w:val="22"/>
          <w:sz w:val="22"/>
          <w:lang w:val="fr-FR"/>
        </w:rPr>
        <w:t xml:space="preserve"> Conférence des Parties</w:t>
      </w:r>
      <w:r w:rsidR="00976AD8" w:rsidRPr="00E3674F">
        <w:rPr>
          <w:kern w:val="22"/>
          <w:sz w:val="22"/>
          <w:lang w:val="fr-FR"/>
        </w:rPr>
        <w:t xml:space="preserve"> </w:t>
      </w:r>
      <w:r w:rsidR="0020703A">
        <w:rPr>
          <w:kern w:val="22"/>
          <w:sz w:val="22"/>
          <w:lang w:val="fr-FR"/>
        </w:rPr>
        <w:t>à la Conv</w:t>
      </w:r>
      <w:r w:rsidR="00976AD8" w:rsidRPr="00E3674F">
        <w:rPr>
          <w:kern w:val="22"/>
          <w:sz w:val="22"/>
          <w:lang w:val="fr-FR"/>
        </w:rPr>
        <w:t xml:space="preserve">ention </w:t>
      </w:r>
      <w:r w:rsidR="0020703A">
        <w:rPr>
          <w:kern w:val="22"/>
          <w:sz w:val="22"/>
          <w:lang w:val="fr-FR"/>
        </w:rPr>
        <w:t>sur la diversité biologique</w:t>
      </w:r>
      <w:r w:rsidR="00976AD8" w:rsidRPr="00E3674F">
        <w:rPr>
          <w:kern w:val="22"/>
          <w:sz w:val="22"/>
          <w:lang w:val="fr-FR"/>
        </w:rPr>
        <w:t xml:space="preserve"> </w:t>
      </w:r>
      <w:r w:rsidR="00E3674F" w:rsidRPr="00E3674F">
        <w:rPr>
          <w:kern w:val="22"/>
          <w:sz w:val="22"/>
          <w:lang w:val="fr-FR"/>
        </w:rPr>
        <w:t>siégeant en tant que réunion des Parties</w:t>
      </w:r>
      <w:r w:rsidR="00976AD8" w:rsidRPr="00E3674F">
        <w:rPr>
          <w:kern w:val="22"/>
          <w:sz w:val="22"/>
          <w:lang w:val="fr-FR"/>
        </w:rPr>
        <w:t xml:space="preserve"> </w:t>
      </w:r>
      <w:r w:rsidR="00E3674F" w:rsidRPr="00E3674F">
        <w:rPr>
          <w:kern w:val="22"/>
          <w:sz w:val="22"/>
          <w:lang w:val="fr-FR"/>
        </w:rPr>
        <w:t>au Protocole de Nagoya</w:t>
      </w:r>
      <w:r w:rsidR="00976AD8" w:rsidRPr="00E3674F">
        <w:rPr>
          <w:kern w:val="22"/>
          <w:sz w:val="22"/>
          <w:lang w:val="fr-FR"/>
        </w:rPr>
        <w:t xml:space="preserve"> </w:t>
      </w:r>
      <w:r w:rsidR="00E3674F" w:rsidRPr="00E3674F">
        <w:rPr>
          <w:kern w:val="22"/>
          <w:sz w:val="22"/>
          <w:lang w:val="fr-FR"/>
        </w:rPr>
        <w:t>a adopté</w:t>
      </w:r>
      <w:r w:rsidR="00976AD8" w:rsidRPr="00E3674F">
        <w:rPr>
          <w:kern w:val="22"/>
          <w:sz w:val="22"/>
          <w:lang w:val="fr-FR"/>
        </w:rPr>
        <w:t xml:space="preserve"> </w:t>
      </w:r>
      <w:r w:rsidR="00480821">
        <w:rPr>
          <w:kern w:val="22"/>
          <w:sz w:val="22"/>
          <w:lang w:val="fr-FR"/>
        </w:rPr>
        <w:t xml:space="preserve">la </w:t>
      </w:r>
      <w:r w:rsidR="00E3674F" w:rsidRPr="00E3674F">
        <w:rPr>
          <w:kern w:val="22"/>
          <w:sz w:val="22"/>
          <w:lang w:val="fr-FR"/>
        </w:rPr>
        <w:t>décision</w:t>
      </w:r>
      <w:r w:rsidR="00480821">
        <w:rPr>
          <w:kern w:val="22"/>
          <w:sz w:val="22"/>
          <w:lang w:val="fr-FR"/>
        </w:rPr>
        <w:t xml:space="preserve"> </w:t>
      </w:r>
      <w:r w:rsidR="00552599">
        <w:rPr>
          <w:kern w:val="22"/>
          <w:sz w:val="22"/>
          <w:lang w:val="fr-FR"/>
        </w:rPr>
        <w:t>NP</w:t>
      </w:r>
      <w:r w:rsidR="00480821">
        <w:rPr>
          <w:kern w:val="22"/>
          <w:sz w:val="22"/>
          <w:lang w:val="fr-FR"/>
        </w:rPr>
        <w:t>-3/13 sur l’</w:t>
      </w:r>
      <w:r w:rsidR="00FD73A5">
        <w:rPr>
          <w:kern w:val="22"/>
          <w:sz w:val="22"/>
          <w:lang w:val="fr-FR"/>
        </w:rPr>
        <w:t>article</w:t>
      </w:r>
      <w:r w:rsidR="004C75A2">
        <w:rPr>
          <w:kern w:val="22"/>
          <w:sz w:val="22"/>
          <w:lang w:val="fr-FR"/>
        </w:rPr>
        <w:t xml:space="preserve"> 10, laquelle demande de réaliser une</w:t>
      </w:r>
      <w:r w:rsidR="00480821">
        <w:rPr>
          <w:kern w:val="22"/>
          <w:sz w:val="22"/>
          <w:lang w:val="fr-FR"/>
        </w:rPr>
        <w:t xml:space="preserve"> </w:t>
      </w:r>
      <w:r w:rsidR="00E3674F">
        <w:rPr>
          <w:kern w:val="22"/>
          <w:sz w:val="22"/>
          <w:lang w:val="fr-FR"/>
        </w:rPr>
        <w:t>étude</w:t>
      </w:r>
      <w:r w:rsidR="00480821">
        <w:rPr>
          <w:kern w:val="22"/>
          <w:sz w:val="22"/>
          <w:lang w:val="fr-FR"/>
        </w:rPr>
        <w:t xml:space="preserve"> </w:t>
      </w:r>
      <w:r w:rsidR="004C75A2">
        <w:rPr>
          <w:kern w:val="22"/>
          <w:sz w:val="22"/>
          <w:lang w:val="fr-FR"/>
        </w:rPr>
        <w:t>soumise à un examen par l</w:t>
      </w:r>
      <w:r w:rsidR="00480821">
        <w:rPr>
          <w:kern w:val="22"/>
          <w:sz w:val="22"/>
          <w:lang w:val="fr-FR"/>
        </w:rPr>
        <w:t>es pairs afin d’</w:t>
      </w:r>
      <w:r w:rsidR="00E3674F">
        <w:rPr>
          <w:kern w:val="22"/>
          <w:sz w:val="22"/>
          <w:lang w:val="fr-FR"/>
        </w:rPr>
        <w:t>identifier</w:t>
      </w:r>
      <w:r w:rsidR="00A57277" w:rsidRPr="00E3674F">
        <w:rPr>
          <w:kern w:val="22"/>
          <w:sz w:val="22"/>
          <w:lang w:val="fr-FR"/>
        </w:rPr>
        <w:t xml:space="preserve"> </w:t>
      </w:r>
      <w:r w:rsidR="00E3674F">
        <w:rPr>
          <w:kern w:val="22"/>
          <w:sz w:val="22"/>
          <w:lang w:val="fr-FR"/>
        </w:rPr>
        <w:t>des cas spécifiques</w:t>
      </w:r>
      <w:r w:rsidR="00C91D60" w:rsidRPr="00E3674F">
        <w:rPr>
          <w:kern w:val="22"/>
          <w:sz w:val="22"/>
          <w:lang w:val="fr-FR"/>
        </w:rPr>
        <w:t xml:space="preserve"> </w:t>
      </w:r>
      <w:r w:rsidR="00480821">
        <w:rPr>
          <w:kern w:val="22"/>
          <w:sz w:val="22"/>
          <w:lang w:val="fr-FR"/>
        </w:rPr>
        <w:t>répondant aux</w:t>
      </w:r>
      <w:r w:rsidR="00C840C5" w:rsidRPr="00E3674F">
        <w:rPr>
          <w:kern w:val="22"/>
          <w:sz w:val="22"/>
          <w:lang w:val="fr-FR"/>
        </w:rPr>
        <w:t xml:space="preserve"> </w:t>
      </w:r>
      <w:r w:rsidR="00480821">
        <w:rPr>
          <w:kern w:val="22"/>
          <w:sz w:val="22"/>
          <w:lang w:val="fr-FR"/>
        </w:rPr>
        <w:t>critères susmentionnés</w:t>
      </w:r>
      <w:r w:rsidR="00C840C5" w:rsidRPr="00E3674F">
        <w:rPr>
          <w:kern w:val="22"/>
          <w:sz w:val="22"/>
          <w:lang w:val="fr-FR"/>
        </w:rPr>
        <w:t>.</w:t>
      </w:r>
      <w:r w:rsidR="00A62F8D" w:rsidRPr="00E3674F">
        <w:rPr>
          <w:kern w:val="22"/>
          <w:sz w:val="22"/>
          <w:lang w:val="fr-FR"/>
        </w:rPr>
        <w:t xml:space="preserve"> </w:t>
      </w:r>
    </w:p>
    <w:p w14:paraId="292D6E38" w14:textId="3A5AF445" w:rsidR="00FB0C98" w:rsidRPr="00E3674F" w:rsidRDefault="00480821" w:rsidP="00FB0C98">
      <w:pPr>
        <w:rPr>
          <w:kern w:val="22"/>
          <w:sz w:val="22"/>
          <w:lang w:val="fr-FR"/>
        </w:rPr>
      </w:pPr>
      <w:r w:rsidRPr="00480821">
        <w:rPr>
          <w:kern w:val="22"/>
          <w:sz w:val="22"/>
          <w:lang w:val="fr-FR"/>
        </w:rPr>
        <w:t>Comme résumé dans le</w:t>
      </w:r>
      <w:r w:rsidR="00770AB8" w:rsidRPr="00480821">
        <w:rPr>
          <w:kern w:val="22"/>
          <w:sz w:val="22"/>
          <w:lang w:val="fr-FR"/>
        </w:rPr>
        <w:t xml:space="preserve"> tableau </w:t>
      </w:r>
      <w:r>
        <w:rPr>
          <w:kern w:val="22"/>
          <w:sz w:val="22"/>
          <w:lang w:val="fr-FR"/>
        </w:rPr>
        <w:t>1 ci-dessous</w:t>
      </w:r>
      <w:r w:rsidR="007B5A68" w:rsidRPr="00480821">
        <w:rPr>
          <w:kern w:val="22"/>
          <w:sz w:val="22"/>
          <w:lang w:val="fr-FR"/>
        </w:rPr>
        <w:t>,</w:t>
      </w:r>
      <w:r w:rsidR="001E631E" w:rsidRPr="00480821">
        <w:rPr>
          <w:kern w:val="22"/>
          <w:sz w:val="22"/>
          <w:lang w:val="fr-FR"/>
        </w:rPr>
        <w:t xml:space="preserve"> </w:t>
      </w:r>
      <w:r>
        <w:rPr>
          <w:kern w:val="22"/>
          <w:sz w:val="22"/>
          <w:lang w:val="fr-FR"/>
        </w:rPr>
        <w:t>la présente</w:t>
      </w:r>
      <w:r w:rsidR="00A62F8D" w:rsidRPr="00480821">
        <w:rPr>
          <w:kern w:val="22"/>
          <w:sz w:val="22"/>
          <w:lang w:val="fr-FR"/>
        </w:rPr>
        <w:t xml:space="preserve"> </w:t>
      </w:r>
      <w:r w:rsidR="00E3674F" w:rsidRPr="00480821">
        <w:rPr>
          <w:kern w:val="22"/>
          <w:sz w:val="22"/>
          <w:lang w:val="fr-FR"/>
        </w:rPr>
        <w:t>étude</w:t>
      </w:r>
      <w:r w:rsidR="00A62F8D" w:rsidRPr="00480821">
        <w:rPr>
          <w:kern w:val="22"/>
          <w:sz w:val="22"/>
          <w:lang w:val="fr-FR"/>
        </w:rPr>
        <w:t xml:space="preserve"> </w:t>
      </w:r>
      <w:r>
        <w:rPr>
          <w:kern w:val="22"/>
          <w:sz w:val="22"/>
          <w:lang w:val="fr-FR"/>
        </w:rPr>
        <w:t xml:space="preserve">retient une </w:t>
      </w:r>
      <w:r w:rsidR="001A200E" w:rsidRPr="00480821">
        <w:rPr>
          <w:kern w:val="22"/>
          <w:sz w:val="22"/>
          <w:lang w:val="fr-FR"/>
        </w:rPr>
        <w:t>approche</w:t>
      </w:r>
      <w:r w:rsidR="00760288">
        <w:rPr>
          <w:kern w:val="22"/>
          <w:sz w:val="22"/>
          <w:lang w:val="fr-FR"/>
        </w:rPr>
        <w:t xml:space="preserve"> extensiv</w:t>
      </w:r>
      <w:r>
        <w:rPr>
          <w:kern w:val="22"/>
          <w:sz w:val="22"/>
          <w:lang w:val="fr-FR"/>
        </w:rPr>
        <w:t>e</w:t>
      </w:r>
      <w:r w:rsidR="001E7182" w:rsidRPr="00480821">
        <w:rPr>
          <w:kern w:val="22"/>
          <w:sz w:val="22"/>
          <w:lang w:val="fr-FR"/>
        </w:rPr>
        <w:t xml:space="preserve"> (</w:t>
      </w:r>
      <w:r w:rsidR="00FB033A" w:rsidRPr="00480821">
        <w:rPr>
          <w:kern w:val="22"/>
          <w:sz w:val="22"/>
          <w:lang w:val="fr-FR"/>
        </w:rPr>
        <w:t>voir</w:t>
      </w:r>
      <w:r>
        <w:rPr>
          <w:kern w:val="22"/>
          <w:sz w:val="22"/>
          <w:lang w:val="fr-FR"/>
        </w:rPr>
        <w:t xml:space="preserve"> la</w:t>
      </w:r>
      <w:r w:rsidR="00FB033A" w:rsidRPr="00480821">
        <w:rPr>
          <w:kern w:val="22"/>
          <w:sz w:val="22"/>
          <w:lang w:val="fr-FR"/>
        </w:rPr>
        <w:t xml:space="preserve"> </w:t>
      </w:r>
      <w:r w:rsidR="001E7182" w:rsidRPr="00480821">
        <w:rPr>
          <w:kern w:val="22"/>
          <w:sz w:val="22"/>
          <w:lang w:val="fr-FR"/>
        </w:rPr>
        <w:t>“</w:t>
      </w:r>
      <w:r>
        <w:rPr>
          <w:kern w:val="22"/>
          <w:sz w:val="22"/>
          <w:lang w:val="fr-FR"/>
        </w:rPr>
        <w:t>n</w:t>
      </w:r>
      <w:r w:rsidR="00770AB8" w:rsidRPr="00480821">
        <w:rPr>
          <w:kern w:val="22"/>
          <w:sz w:val="22"/>
          <w:lang w:val="fr-FR"/>
        </w:rPr>
        <w:t>ote explicative</w:t>
      </w:r>
      <w:r w:rsidR="001E7182" w:rsidRPr="00480821">
        <w:rPr>
          <w:kern w:val="22"/>
          <w:sz w:val="22"/>
          <w:lang w:val="fr-FR"/>
        </w:rPr>
        <w:t xml:space="preserve">”). </w:t>
      </w:r>
      <w:r>
        <w:rPr>
          <w:kern w:val="22"/>
          <w:sz w:val="22"/>
          <w:lang w:val="fr-FR"/>
        </w:rPr>
        <w:t>Elle</w:t>
      </w:r>
      <w:r w:rsidR="001E7182" w:rsidRPr="00E3674F">
        <w:rPr>
          <w:kern w:val="22"/>
          <w:sz w:val="22"/>
          <w:lang w:val="fr-FR"/>
        </w:rPr>
        <w:t xml:space="preserve"> </w:t>
      </w:r>
      <w:r>
        <w:rPr>
          <w:kern w:val="22"/>
          <w:sz w:val="22"/>
          <w:lang w:val="fr-FR"/>
        </w:rPr>
        <w:t>analyse</w:t>
      </w:r>
      <w:r w:rsidR="00A62F8D" w:rsidRPr="00E3674F">
        <w:rPr>
          <w:kern w:val="22"/>
          <w:sz w:val="22"/>
          <w:lang w:val="fr-FR"/>
        </w:rPr>
        <w:t xml:space="preserve"> </w:t>
      </w:r>
      <w:r w:rsidR="00E3674F" w:rsidRPr="00E3674F">
        <w:rPr>
          <w:kern w:val="22"/>
          <w:sz w:val="22"/>
          <w:lang w:val="fr-FR"/>
        </w:rPr>
        <w:t>des cas spécifiques</w:t>
      </w:r>
      <w:r w:rsidR="00ED3D14" w:rsidRPr="00E3674F">
        <w:rPr>
          <w:kern w:val="22"/>
          <w:sz w:val="22"/>
          <w:lang w:val="fr-FR"/>
        </w:rPr>
        <w:t xml:space="preserve"> </w:t>
      </w:r>
      <w:r w:rsidR="00B16C79">
        <w:rPr>
          <w:kern w:val="22"/>
          <w:sz w:val="22"/>
          <w:lang w:val="fr-FR"/>
        </w:rPr>
        <w:t>répartis dans trois groupes généraux</w:t>
      </w:r>
      <w:r>
        <w:rPr>
          <w:kern w:val="22"/>
          <w:sz w:val="22"/>
          <w:lang w:val="fr-FR"/>
        </w:rPr>
        <w:t xml:space="preserve"> </w:t>
      </w:r>
      <w:r w:rsidR="00FB0C98" w:rsidRPr="00E3674F">
        <w:rPr>
          <w:kern w:val="22"/>
          <w:sz w:val="22"/>
          <w:lang w:val="fr-FR"/>
        </w:rPr>
        <w:t xml:space="preserve">: 1) </w:t>
      </w:r>
      <w:r w:rsidR="00E3674F" w:rsidRPr="00E3674F">
        <w:rPr>
          <w:kern w:val="22"/>
          <w:sz w:val="22"/>
          <w:lang w:val="fr-FR"/>
        </w:rPr>
        <w:t>ressources génétiques</w:t>
      </w:r>
      <w:r w:rsidR="00FB0C98" w:rsidRPr="00E3674F" w:rsidDel="008801D7">
        <w:rPr>
          <w:kern w:val="22"/>
          <w:sz w:val="22"/>
          <w:lang w:val="fr-FR"/>
        </w:rPr>
        <w:t xml:space="preserve"> </w:t>
      </w:r>
      <w:r w:rsidR="00770AB8">
        <w:rPr>
          <w:kern w:val="22"/>
          <w:sz w:val="22"/>
          <w:lang w:val="fr-FR"/>
        </w:rPr>
        <w:t xml:space="preserve">qui se trouvent </w:t>
      </w:r>
      <w:r w:rsidR="002A127F">
        <w:rPr>
          <w:kern w:val="22"/>
          <w:sz w:val="22"/>
          <w:lang w:val="fr-FR"/>
        </w:rPr>
        <w:t>dans des situations</w:t>
      </w:r>
      <w:r w:rsidR="00E3674F" w:rsidRPr="00E3674F">
        <w:rPr>
          <w:kern w:val="22"/>
          <w:sz w:val="22"/>
          <w:lang w:val="fr-FR"/>
        </w:rPr>
        <w:t xml:space="preserve"> transfrontières</w:t>
      </w:r>
      <w:r w:rsidR="00FB0C98" w:rsidRPr="00E3674F">
        <w:rPr>
          <w:kern w:val="22"/>
          <w:sz w:val="22"/>
          <w:lang w:val="fr-FR"/>
        </w:rPr>
        <w:t xml:space="preserve">; 2) </w:t>
      </w:r>
      <w:r w:rsidR="00E3674F" w:rsidRPr="00E3674F">
        <w:rPr>
          <w:kern w:val="22"/>
          <w:sz w:val="22"/>
          <w:lang w:val="fr-FR"/>
        </w:rPr>
        <w:t>ressources génétiques</w:t>
      </w:r>
      <w:r w:rsidR="00FB0C98" w:rsidRPr="00E3674F">
        <w:rPr>
          <w:kern w:val="22"/>
          <w:sz w:val="22"/>
          <w:lang w:val="fr-FR"/>
        </w:rPr>
        <w:t xml:space="preserve"> </w:t>
      </w:r>
      <w:r w:rsidR="0020703A">
        <w:rPr>
          <w:kern w:val="22"/>
          <w:sz w:val="22"/>
          <w:lang w:val="fr-FR"/>
        </w:rPr>
        <w:t>pour lesquel</w:t>
      </w:r>
      <w:r>
        <w:rPr>
          <w:kern w:val="22"/>
          <w:sz w:val="22"/>
          <w:lang w:val="fr-FR"/>
        </w:rPr>
        <w:t>le</w:t>
      </w:r>
      <w:r w:rsidR="0020703A">
        <w:rPr>
          <w:kern w:val="22"/>
          <w:sz w:val="22"/>
          <w:lang w:val="fr-FR"/>
        </w:rPr>
        <w:t xml:space="preserve">s </w:t>
      </w:r>
      <w:r w:rsidR="007D7761">
        <w:rPr>
          <w:kern w:val="22"/>
          <w:sz w:val="22"/>
          <w:lang w:val="fr-FR"/>
        </w:rPr>
        <w:t>il n’est pas possible</w:t>
      </w:r>
      <w:r w:rsidR="00FB0C98" w:rsidRPr="00E3674F">
        <w:rPr>
          <w:kern w:val="22"/>
          <w:sz w:val="22"/>
          <w:lang w:val="fr-FR"/>
        </w:rPr>
        <w:t xml:space="preserve"> </w:t>
      </w:r>
      <w:r w:rsidR="00FB033A">
        <w:rPr>
          <w:kern w:val="22"/>
          <w:sz w:val="22"/>
          <w:lang w:val="fr-FR"/>
        </w:rPr>
        <w:t>d’accorder ou d’obtenir un</w:t>
      </w:r>
      <w:r w:rsidR="00FB0C98" w:rsidRPr="00E3674F">
        <w:rPr>
          <w:kern w:val="22"/>
          <w:sz w:val="22"/>
          <w:lang w:val="fr-FR"/>
        </w:rPr>
        <w:t xml:space="preserve"> </w:t>
      </w:r>
      <w:r w:rsidR="007D7761">
        <w:rPr>
          <w:kern w:val="22"/>
          <w:sz w:val="22"/>
          <w:lang w:val="fr-FR"/>
        </w:rPr>
        <w:t>consentement préalable donné en connaissance de cause</w:t>
      </w:r>
      <w:r w:rsidR="00FB0C98" w:rsidRPr="00E3674F">
        <w:rPr>
          <w:kern w:val="22"/>
          <w:sz w:val="22"/>
          <w:lang w:val="fr-FR"/>
        </w:rPr>
        <w:t>;</w:t>
      </w:r>
      <w:r>
        <w:rPr>
          <w:kern w:val="22"/>
          <w:sz w:val="22"/>
          <w:lang w:val="fr-FR"/>
        </w:rPr>
        <w:t xml:space="preserve"> </w:t>
      </w:r>
      <w:r w:rsidR="00265CEE">
        <w:rPr>
          <w:kern w:val="22"/>
          <w:sz w:val="22"/>
          <w:lang w:val="fr-FR"/>
        </w:rPr>
        <w:t>3) connaissances</w:t>
      </w:r>
      <w:r w:rsidR="00E3674F" w:rsidRPr="00E3674F">
        <w:rPr>
          <w:kern w:val="22"/>
          <w:sz w:val="22"/>
          <w:lang w:val="fr-FR"/>
        </w:rPr>
        <w:t xml:space="preserve"> traditionnelles</w:t>
      </w:r>
      <w:r w:rsidR="00FB0C98" w:rsidRPr="00E3674F">
        <w:rPr>
          <w:kern w:val="22"/>
          <w:sz w:val="22"/>
          <w:lang w:val="fr-FR"/>
        </w:rPr>
        <w:t xml:space="preserve"> </w:t>
      </w:r>
      <w:r w:rsidR="00E3674F">
        <w:rPr>
          <w:kern w:val="22"/>
          <w:sz w:val="22"/>
          <w:lang w:val="fr-FR"/>
        </w:rPr>
        <w:t>associées aux</w:t>
      </w:r>
      <w:r w:rsidR="00FB0C98" w:rsidRPr="00E3674F">
        <w:rPr>
          <w:kern w:val="22"/>
          <w:sz w:val="22"/>
          <w:lang w:val="fr-FR"/>
        </w:rPr>
        <w:t xml:space="preserve"> </w:t>
      </w:r>
      <w:r w:rsidR="00E3674F" w:rsidRPr="00E3674F">
        <w:rPr>
          <w:kern w:val="22"/>
          <w:sz w:val="22"/>
          <w:lang w:val="fr-FR"/>
        </w:rPr>
        <w:t>ressources génétiques</w:t>
      </w:r>
      <w:r w:rsidR="00FB0C98" w:rsidRPr="00E3674F">
        <w:rPr>
          <w:kern w:val="22"/>
          <w:sz w:val="22"/>
          <w:lang w:val="fr-FR"/>
        </w:rPr>
        <w:t xml:space="preserve"> </w:t>
      </w:r>
      <w:r w:rsidR="00770AB8">
        <w:rPr>
          <w:kern w:val="22"/>
          <w:sz w:val="22"/>
          <w:lang w:val="fr-FR"/>
        </w:rPr>
        <w:t xml:space="preserve">qui se trouvent </w:t>
      </w:r>
      <w:r w:rsidR="002A127F">
        <w:rPr>
          <w:kern w:val="22"/>
          <w:sz w:val="22"/>
          <w:lang w:val="fr-FR"/>
        </w:rPr>
        <w:t>dans des situations</w:t>
      </w:r>
      <w:r w:rsidR="00E3674F" w:rsidRPr="00E3674F">
        <w:rPr>
          <w:kern w:val="22"/>
          <w:sz w:val="22"/>
          <w:lang w:val="fr-FR"/>
        </w:rPr>
        <w:t xml:space="preserve"> transfrontières</w:t>
      </w:r>
      <w:r w:rsidR="008801D7" w:rsidRPr="00E3674F">
        <w:rPr>
          <w:kern w:val="22"/>
          <w:sz w:val="22"/>
          <w:lang w:val="fr-FR"/>
        </w:rPr>
        <w:t xml:space="preserve"> </w:t>
      </w:r>
      <w:r w:rsidR="00755B2D">
        <w:rPr>
          <w:kern w:val="22"/>
          <w:sz w:val="22"/>
          <w:lang w:val="fr-FR"/>
        </w:rPr>
        <w:t>ou pour lesquelles</w:t>
      </w:r>
      <w:r w:rsidR="0020703A">
        <w:rPr>
          <w:kern w:val="22"/>
          <w:sz w:val="22"/>
          <w:lang w:val="fr-FR"/>
        </w:rPr>
        <w:t xml:space="preserve"> </w:t>
      </w:r>
      <w:r w:rsidR="007D7761">
        <w:rPr>
          <w:kern w:val="22"/>
          <w:sz w:val="22"/>
          <w:lang w:val="fr-FR"/>
        </w:rPr>
        <w:t>il n’est pas possible</w:t>
      </w:r>
      <w:r w:rsidR="00FB0C98" w:rsidRPr="00E3674F">
        <w:rPr>
          <w:kern w:val="22"/>
          <w:sz w:val="22"/>
          <w:lang w:val="fr-FR"/>
        </w:rPr>
        <w:t xml:space="preserve"> </w:t>
      </w:r>
      <w:r w:rsidR="00FB033A">
        <w:rPr>
          <w:kern w:val="22"/>
          <w:sz w:val="22"/>
          <w:lang w:val="fr-FR"/>
        </w:rPr>
        <w:t xml:space="preserve">d’accorder ou </w:t>
      </w:r>
      <w:r w:rsidR="000E3236">
        <w:rPr>
          <w:kern w:val="22"/>
          <w:sz w:val="22"/>
          <w:lang w:val="fr-FR"/>
        </w:rPr>
        <w:t xml:space="preserve">d’obtenir un </w:t>
      </w:r>
      <w:r w:rsidR="007D7761">
        <w:rPr>
          <w:kern w:val="22"/>
          <w:sz w:val="22"/>
          <w:lang w:val="fr-FR"/>
        </w:rPr>
        <w:t>consentement préalable donné en connaissance de cause</w:t>
      </w:r>
      <w:r w:rsidR="00FB0C98" w:rsidRPr="00E3674F">
        <w:rPr>
          <w:kern w:val="22"/>
          <w:sz w:val="22"/>
          <w:lang w:val="fr-FR"/>
        </w:rPr>
        <w:t>.</w:t>
      </w:r>
      <w:r w:rsidR="00ED3D14" w:rsidRPr="00E3674F">
        <w:rPr>
          <w:kern w:val="22"/>
          <w:sz w:val="22"/>
          <w:lang w:val="fr-FR"/>
        </w:rPr>
        <w:t xml:space="preserve"> </w:t>
      </w:r>
      <w:r w:rsidR="007E61D3" w:rsidRPr="00E3674F">
        <w:rPr>
          <w:kern w:val="22"/>
          <w:sz w:val="22"/>
          <w:lang w:val="fr-FR"/>
        </w:rPr>
        <w:t xml:space="preserve"> </w:t>
      </w:r>
    </w:p>
    <w:p w14:paraId="6CDD5BC6" w14:textId="5788E18F" w:rsidR="008811EE" w:rsidRPr="00651FB0" w:rsidRDefault="00480821" w:rsidP="00865215">
      <w:pPr>
        <w:rPr>
          <w:kern w:val="22"/>
          <w:sz w:val="22"/>
          <w:lang w:val="fr-FR"/>
        </w:rPr>
      </w:pPr>
      <w:r>
        <w:rPr>
          <w:kern w:val="22"/>
          <w:sz w:val="22"/>
          <w:lang w:val="fr-FR"/>
        </w:rPr>
        <w:t xml:space="preserve">Le premier </w:t>
      </w:r>
      <w:r w:rsidR="008811EE" w:rsidRPr="00651FB0">
        <w:rPr>
          <w:kern w:val="22"/>
          <w:sz w:val="22"/>
          <w:lang w:val="fr-FR"/>
        </w:rPr>
        <w:t>group</w:t>
      </w:r>
      <w:r>
        <w:rPr>
          <w:kern w:val="22"/>
          <w:sz w:val="22"/>
          <w:lang w:val="fr-FR"/>
        </w:rPr>
        <w:t>e</w:t>
      </w:r>
      <w:r w:rsidR="008811EE" w:rsidRPr="00651FB0">
        <w:rPr>
          <w:kern w:val="22"/>
          <w:sz w:val="22"/>
          <w:lang w:val="fr-FR"/>
        </w:rPr>
        <w:t>,</w:t>
      </w:r>
      <w:r>
        <w:rPr>
          <w:kern w:val="22"/>
          <w:sz w:val="22"/>
          <w:lang w:val="fr-FR"/>
        </w:rPr>
        <w:t xml:space="preserve"> les</w:t>
      </w:r>
      <w:r w:rsidR="008811EE" w:rsidRPr="00651FB0">
        <w:rPr>
          <w:kern w:val="22"/>
          <w:sz w:val="22"/>
          <w:lang w:val="fr-FR"/>
        </w:rPr>
        <w:t xml:space="preserve"> </w:t>
      </w:r>
      <w:r w:rsidR="00E3674F" w:rsidRPr="00651FB0">
        <w:rPr>
          <w:b/>
          <w:bCs/>
          <w:kern w:val="22"/>
          <w:sz w:val="22"/>
          <w:lang w:val="fr-FR"/>
        </w:rPr>
        <w:t>ressources génétiques</w:t>
      </w:r>
      <w:r w:rsidR="00FA2D32" w:rsidRPr="00651FB0">
        <w:rPr>
          <w:b/>
          <w:bCs/>
          <w:kern w:val="22"/>
          <w:sz w:val="22"/>
          <w:lang w:val="fr-FR"/>
        </w:rPr>
        <w:t xml:space="preserve"> </w:t>
      </w:r>
      <w:r w:rsidR="00770AB8">
        <w:rPr>
          <w:b/>
          <w:bCs/>
          <w:kern w:val="22"/>
          <w:sz w:val="22"/>
          <w:lang w:val="fr-FR"/>
        </w:rPr>
        <w:t>qui se trouvent dans</w:t>
      </w:r>
      <w:r w:rsidR="00FA2D32" w:rsidRPr="00651FB0">
        <w:rPr>
          <w:b/>
          <w:bCs/>
          <w:kern w:val="22"/>
          <w:sz w:val="22"/>
          <w:lang w:val="fr-FR"/>
        </w:rPr>
        <w:t xml:space="preserve"> </w:t>
      </w:r>
      <w:r w:rsidR="00770AB8">
        <w:rPr>
          <w:b/>
          <w:bCs/>
          <w:kern w:val="22"/>
          <w:sz w:val="22"/>
          <w:lang w:val="fr-FR"/>
        </w:rPr>
        <w:t xml:space="preserve">des </w:t>
      </w:r>
      <w:r w:rsidR="00E3674F" w:rsidRPr="00651FB0">
        <w:rPr>
          <w:b/>
          <w:bCs/>
          <w:kern w:val="22"/>
          <w:sz w:val="22"/>
          <w:lang w:val="fr-FR"/>
        </w:rPr>
        <w:t>situations transfrontières</w:t>
      </w:r>
      <w:r>
        <w:rPr>
          <w:kern w:val="22"/>
          <w:sz w:val="22"/>
          <w:lang w:val="fr-FR"/>
        </w:rPr>
        <w:t xml:space="preserve"> comprennent trois</w:t>
      </w:r>
      <w:r w:rsidR="00FA2D32" w:rsidRPr="00651FB0">
        <w:rPr>
          <w:kern w:val="22"/>
          <w:sz w:val="22"/>
          <w:lang w:val="fr-FR"/>
        </w:rPr>
        <w:t xml:space="preserve"> </w:t>
      </w:r>
      <w:r w:rsidR="00D6232E">
        <w:rPr>
          <w:kern w:val="22"/>
          <w:sz w:val="22"/>
          <w:lang w:val="fr-FR"/>
        </w:rPr>
        <w:t>sous-groupe</w:t>
      </w:r>
      <w:r w:rsidR="008811EE" w:rsidRPr="00651FB0">
        <w:rPr>
          <w:kern w:val="22"/>
          <w:sz w:val="22"/>
          <w:lang w:val="fr-FR"/>
        </w:rPr>
        <w:t>s</w:t>
      </w:r>
      <w:r w:rsidR="00B16C79">
        <w:rPr>
          <w:kern w:val="22"/>
          <w:sz w:val="22"/>
          <w:lang w:val="fr-FR"/>
        </w:rPr>
        <w:t xml:space="preserve"> particulier</w:t>
      </w:r>
      <w:r>
        <w:rPr>
          <w:kern w:val="22"/>
          <w:sz w:val="22"/>
          <w:lang w:val="fr-FR"/>
        </w:rPr>
        <w:t xml:space="preserve">s </w:t>
      </w:r>
      <w:r w:rsidR="000764BC" w:rsidRPr="00651FB0">
        <w:rPr>
          <w:kern w:val="22"/>
          <w:sz w:val="22"/>
          <w:lang w:val="fr-FR"/>
        </w:rPr>
        <w:t xml:space="preserve">: </w:t>
      </w:r>
      <w:r w:rsidR="008811EE" w:rsidRPr="00651FB0">
        <w:rPr>
          <w:kern w:val="22"/>
          <w:sz w:val="22"/>
          <w:lang w:val="fr-FR"/>
        </w:rPr>
        <w:t>a</w:t>
      </w:r>
      <w:r w:rsidR="000764BC" w:rsidRPr="00651FB0">
        <w:rPr>
          <w:kern w:val="22"/>
          <w:sz w:val="22"/>
          <w:lang w:val="fr-FR"/>
        </w:rPr>
        <w:t xml:space="preserve">) </w:t>
      </w:r>
      <w:r w:rsidR="00651FB0" w:rsidRPr="00651FB0">
        <w:rPr>
          <w:kern w:val="22"/>
          <w:sz w:val="22"/>
          <w:lang w:val="fr-FR"/>
        </w:rPr>
        <w:t xml:space="preserve">écosystèmes et habitats/espèces </w:t>
      </w:r>
      <w:r w:rsidR="00B16C79">
        <w:rPr>
          <w:kern w:val="22"/>
          <w:sz w:val="22"/>
          <w:lang w:val="fr-FR"/>
        </w:rPr>
        <w:t>partagés entre plusieurs juridiction</w:t>
      </w:r>
      <w:r w:rsidR="00D6232E">
        <w:rPr>
          <w:kern w:val="22"/>
          <w:sz w:val="22"/>
          <w:lang w:val="fr-FR"/>
        </w:rPr>
        <w:t>s nationales</w:t>
      </w:r>
      <w:r w:rsidR="000764BC" w:rsidRPr="00651FB0">
        <w:rPr>
          <w:kern w:val="22"/>
          <w:sz w:val="22"/>
          <w:lang w:val="fr-FR"/>
        </w:rPr>
        <w:t xml:space="preserve">; </w:t>
      </w:r>
      <w:r w:rsidR="008811EE" w:rsidRPr="00651FB0">
        <w:rPr>
          <w:kern w:val="22"/>
          <w:sz w:val="22"/>
          <w:lang w:val="fr-FR"/>
        </w:rPr>
        <w:t>b</w:t>
      </w:r>
      <w:r w:rsidR="008811EE" w:rsidRPr="00651FB0" w:rsidDel="0019728D">
        <w:rPr>
          <w:kern w:val="22"/>
          <w:sz w:val="22"/>
          <w:lang w:val="fr-FR"/>
        </w:rPr>
        <w:t>)</w:t>
      </w:r>
      <w:r w:rsidR="007B4B52" w:rsidRPr="00651FB0" w:rsidDel="0019728D">
        <w:rPr>
          <w:kern w:val="22"/>
          <w:sz w:val="22"/>
          <w:lang w:val="fr-FR"/>
        </w:rPr>
        <w:t xml:space="preserve"> </w:t>
      </w:r>
      <w:r w:rsidR="00651FB0">
        <w:rPr>
          <w:kern w:val="22"/>
          <w:sz w:val="22"/>
          <w:lang w:val="fr-FR"/>
        </w:rPr>
        <w:t>espèces migratrices</w:t>
      </w:r>
      <w:r w:rsidR="00FB2FE9">
        <w:rPr>
          <w:kern w:val="22"/>
          <w:sz w:val="22"/>
          <w:lang w:val="fr-FR"/>
        </w:rPr>
        <w:t xml:space="preserve"> qui</w:t>
      </w:r>
      <w:r w:rsidR="009A3259" w:rsidRPr="00651FB0">
        <w:rPr>
          <w:kern w:val="22"/>
          <w:sz w:val="22"/>
          <w:lang w:val="fr-FR"/>
        </w:rPr>
        <w:t xml:space="preserve"> </w:t>
      </w:r>
      <w:r w:rsidR="007574B3" w:rsidRPr="00651FB0">
        <w:rPr>
          <w:kern w:val="22"/>
          <w:sz w:val="22"/>
          <w:lang w:val="fr-FR"/>
        </w:rPr>
        <w:t>transit</w:t>
      </w:r>
      <w:r w:rsidR="00FB2FE9">
        <w:rPr>
          <w:kern w:val="22"/>
          <w:sz w:val="22"/>
          <w:lang w:val="fr-FR"/>
        </w:rPr>
        <w:t>ent dans diffé</w:t>
      </w:r>
      <w:r w:rsidR="009A3259" w:rsidRPr="00651FB0">
        <w:rPr>
          <w:kern w:val="22"/>
          <w:sz w:val="22"/>
          <w:lang w:val="fr-FR"/>
        </w:rPr>
        <w:t>rent</w:t>
      </w:r>
      <w:r w:rsidR="00FB2FE9">
        <w:rPr>
          <w:kern w:val="22"/>
          <w:sz w:val="22"/>
          <w:lang w:val="fr-FR"/>
        </w:rPr>
        <w:t>es</w:t>
      </w:r>
      <w:r w:rsidR="009A3259" w:rsidRPr="00651FB0">
        <w:rPr>
          <w:kern w:val="22"/>
          <w:sz w:val="22"/>
          <w:lang w:val="fr-FR"/>
        </w:rPr>
        <w:t xml:space="preserve"> </w:t>
      </w:r>
      <w:r w:rsidR="00D6232E">
        <w:rPr>
          <w:kern w:val="22"/>
          <w:sz w:val="22"/>
          <w:lang w:val="fr-FR"/>
        </w:rPr>
        <w:t>juridiction</w:t>
      </w:r>
      <w:r w:rsidR="009A3259" w:rsidRPr="00651FB0">
        <w:rPr>
          <w:kern w:val="22"/>
          <w:sz w:val="22"/>
          <w:lang w:val="fr-FR"/>
        </w:rPr>
        <w:t>s</w:t>
      </w:r>
      <w:r w:rsidR="00B16C79">
        <w:rPr>
          <w:kern w:val="22"/>
          <w:sz w:val="22"/>
          <w:lang w:val="fr-FR"/>
        </w:rPr>
        <w:t xml:space="preserve"> nationales</w:t>
      </w:r>
      <w:r w:rsidR="00591792" w:rsidRPr="00651FB0">
        <w:rPr>
          <w:kern w:val="22"/>
          <w:sz w:val="22"/>
          <w:lang w:val="fr-FR"/>
        </w:rPr>
        <w:t>;</w:t>
      </w:r>
      <w:r w:rsidR="00B16C79">
        <w:rPr>
          <w:kern w:val="22"/>
          <w:sz w:val="22"/>
          <w:lang w:val="fr-FR"/>
        </w:rPr>
        <w:t xml:space="preserve"> </w:t>
      </w:r>
      <w:r w:rsidR="0019728D" w:rsidRPr="00651FB0">
        <w:rPr>
          <w:kern w:val="22"/>
          <w:sz w:val="22"/>
          <w:lang w:val="fr-FR"/>
        </w:rPr>
        <w:t>c</w:t>
      </w:r>
      <w:r w:rsidR="00591792" w:rsidRPr="00651FB0">
        <w:rPr>
          <w:kern w:val="22"/>
          <w:sz w:val="22"/>
          <w:lang w:val="fr-FR"/>
        </w:rPr>
        <w:t xml:space="preserve">) </w:t>
      </w:r>
      <w:r w:rsidR="00651FB0">
        <w:rPr>
          <w:kern w:val="22"/>
          <w:sz w:val="22"/>
          <w:lang w:val="fr-FR"/>
        </w:rPr>
        <w:t>zones situées au-delà des limites de la juridiction nationale</w:t>
      </w:r>
      <w:r w:rsidR="00882115" w:rsidRPr="00651FB0">
        <w:rPr>
          <w:kern w:val="22"/>
          <w:sz w:val="22"/>
          <w:lang w:val="fr-FR"/>
        </w:rPr>
        <w:t>.</w:t>
      </w:r>
      <w:r w:rsidR="009A3259" w:rsidRPr="00651FB0">
        <w:rPr>
          <w:kern w:val="22"/>
          <w:sz w:val="22"/>
          <w:lang w:val="fr-FR"/>
        </w:rPr>
        <w:t xml:space="preserve"> </w:t>
      </w:r>
    </w:p>
    <w:p w14:paraId="3898C551" w14:textId="64166100" w:rsidR="00FA2D32" w:rsidRPr="00FB2FE9" w:rsidRDefault="00FB2FE9" w:rsidP="00865215">
      <w:pPr>
        <w:rPr>
          <w:kern w:val="22"/>
          <w:sz w:val="22"/>
          <w:lang w:val="fr-FR"/>
        </w:rPr>
      </w:pPr>
      <w:r w:rsidRPr="00FB2FE9">
        <w:rPr>
          <w:kern w:val="22"/>
          <w:sz w:val="22"/>
          <w:lang w:val="fr-FR"/>
        </w:rPr>
        <w:t>Le</w:t>
      </w:r>
      <w:r w:rsidR="00B16C79">
        <w:rPr>
          <w:kern w:val="22"/>
          <w:sz w:val="22"/>
          <w:lang w:val="fr-FR"/>
        </w:rPr>
        <w:t>s cas figurant</w:t>
      </w:r>
      <w:r>
        <w:rPr>
          <w:kern w:val="22"/>
          <w:sz w:val="22"/>
          <w:lang w:val="fr-FR"/>
        </w:rPr>
        <w:t xml:space="preserve"> dans le</w:t>
      </w:r>
      <w:r w:rsidR="00F23296" w:rsidRPr="00FB2FE9">
        <w:rPr>
          <w:kern w:val="22"/>
          <w:sz w:val="22"/>
          <w:lang w:val="fr-FR"/>
        </w:rPr>
        <w:t xml:space="preserve"> </w:t>
      </w:r>
      <w:r w:rsidR="00D6232E" w:rsidRPr="00FB2FE9">
        <w:rPr>
          <w:kern w:val="22"/>
          <w:sz w:val="22"/>
          <w:lang w:val="fr-FR"/>
        </w:rPr>
        <w:t>sous-groupe</w:t>
      </w:r>
      <w:r>
        <w:rPr>
          <w:kern w:val="22"/>
          <w:sz w:val="22"/>
          <w:lang w:val="fr-FR"/>
        </w:rPr>
        <w:t xml:space="preserve"> </w:t>
      </w:r>
      <w:r w:rsidR="008811EE" w:rsidRPr="00FB2FE9">
        <w:rPr>
          <w:kern w:val="22"/>
          <w:sz w:val="22"/>
          <w:lang w:val="fr-FR"/>
        </w:rPr>
        <w:t xml:space="preserve">a) </w:t>
      </w:r>
      <w:r>
        <w:rPr>
          <w:kern w:val="22"/>
          <w:sz w:val="22"/>
          <w:lang w:val="fr-FR"/>
        </w:rPr>
        <w:t>incluent les</w:t>
      </w:r>
      <w:r w:rsidR="00270E09" w:rsidRPr="00FB2FE9">
        <w:rPr>
          <w:kern w:val="22"/>
          <w:sz w:val="22"/>
          <w:lang w:val="fr-FR"/>
        </w:rPr>
        <w:t xml:space="preserve"> </w:t>
      </w:r>
      <w:r w:rsidR="00651FB0" w:rsidRPr="00FB2FE9">
        <w:rPr>
          <w:kern w:val="22"/>
          <w:sz w:val="22"/>
          <w:lang w:val="fr-FR"/>
        </w:rPr>
        <w:t>espèces</w:t>
      </w:r>
      <w:r w:rsidR="00146139" w:rsidRPr="00FB2FE9">
        <w:rPr>
          <w:kern w:val="22"/>
          <w:sz w:val="22"/>
          <w:lang w:val="fr-FR"/>
        </w:rPr>
        <w:t xml:space="preserve"> </w:t>
      </w:r>
      <w:r w:rsidR="00770AB8" w:rsidRPr="00FB2FE9">
        <w:rPr>
          <w:kern w:val="22"/>
          <w:sz w:val="22"/>
          <w:lang w:val="fr-FR"/>
        </w:rPr>
        <w:t>qui se trouvent dans</w:t>
      </w:r>
      <w:r w:rsidR="00146139" w:rsidRPr="00FB2FE9">
        <w:rPr>
          <w:kern w:val="22"/>
          <w:sz w:val="22"/>
          <w:lang w:val="fr-FR"/>
        </w:rPr>
        <w:t xml:space="preserve"> </w:t>
      </w:r>
      <w:r>
        <w:rPr>
          <w:kern w:val="22"/>
          <w:sz w:val="22"/>
          <w:lang w:val="fr-FR"/>
        </w:rPr>
        <w:t>des pays voisins</w:t>
      </w:r>
      <w:r w:rsidR="00146139" w:rsidRPr="00FB2FE9">
        <w:rPr>
          <w:kern w:val="22"/>
          <w:sz w:val="22"/>
          <w:lang w:val="fr-FR"/>
        </w:rPr>
        <w:t xml:space="preserve"> (</w:t>
      </w:r>
      <w:r>
        <w:rPr>
          <w:kern w:val="22"/>
          <w:sz w:val="22"/>
          <w:lang w:val="fr-FR"/>
        </w:rPr>
        <w:t>telles que l’espèce</w:t>
      </w:r>
      <w:r w:rsidR="00D55F1F" w:rsidRPr="00FB2FE9">
        <w:rPr>
          <w:kern w:val="22"/>
          <w:sz w:val="22"/>
          <w:lang w:val="fr-FR"/>
        </w:rPr>
        <w:t xml:space="preserve"> </w:t>
      </w:r>
      <w:r w:rsidR="00D55F1F" w:rsidRPr="00FB2FE9">
        <w:rPr>
          <w:i/>
          <w:kern w:val="22"/>
          <w:sz w:val="22"/>
          <w:lang w:val="fr-FR"/>
        </w:rPr>
        <w:t>Pentas longiflora</w:t>
      </w:r>
      <w:r w:rsidR="00D55F1F" w:rsidRPr="00FB2FE9">
        <w:rPr>
          <w:iCs/>
          <w:kern w:val="22"/>
          <w:sz w:val="22"/>
          <w:lang w:val="fr-FR"/>
        </w:rPr>
        <w:t xml:space="preserve">) </w:t>
      </w:r>
      <w:r>
        <w:rPr>
          <w:iCs/>
          <w:kern w:val="22"/>
          <w:sz w:val="22"/>
          <w:lang w:val="fr-FR"/>
        </w:rPr>
        <w:t>ou</w:t>
      </w:r>
      <w:r w:rsidR="00B16C79">
        <w:rPr>
          <w:iCs/>
          <w:kern w:val="22"/>
          <w:sz w:val="22"/>
          <w:lang w:val="fr-FR"/>
        </w:rPr>
        <w:t xml:space="preserve"> qui se trouvent dans plusieurs juridictions nationales</w:t>
      </w:r>
      <w:r w:rsidR="00445987" w:rsidRPr="00FB2FE9">
        <w:rPr>
          <w:iCs/>
          <w:kern w:val="22"/>
          <w:sz w:val="22"/>
          <w:lang w:val="fr-FR"/>
        </w:rPr>
        <w:t xml:space="preserve"> (</w:t>
      </w:r>
      <w:r>
        <w:rPr>
          <w:iCs/>
          <w:kern w:val="22"/>
          <w:sz w:val="22"/>
          <w:lang w:val="fr-FR"/>
        </w:rPr>
        <w:t>par exemple</w:t>
      </w:r>
      <w:r w:rsidR="00571503" w:rsidRPr="00FB2FE9">
        <w:rPr>
          <w:iCs/>
          <w:kern w:val="22"/>
          <w:sz w:val="22"/>
          <w:lang w:val="fr-FR"/>
        </w:rPr>
        <w:t>,</w:t>
      </w:r>
      <w:r>
        <w:rPr>
          <w:iCs/>
          <w:kern w:val="22"/>
          <w:sz w:val="22"/>
          <w:lang w:val="fr-FR"/>
        </w:rPr>
        <w:t xml:space="preserve"> l’espèce</w:t>
      </w:r>
      <w:r w:rsidR="00791921" w:rsidRPr="00FB2FE9">
        <w:rPr>
          <w:iCs/>
          <w:kern w:val="22"/>
          <w:sz w:val="22"/>
          <w:lang w:val="fr-FR"/>
        </w:rPr>
        <w:t xml:space="preserve"> </w:t>
      </w:r>
      <w:r w:rsidR="00445987" w:rsidRPr="00FB2FE9">
        <w:rPr>
          <w:rStyle w:val="searchhit"/>
          <w:i/>
          <w:iCs/>
          <w:kern w:val="22"/>
          <w:sz w:val="22"/>
          <w:lang w:val="fr-FR"/>
        </w:rPr>
        <w:t>Heliotropium foertherianum</w:t>
      </w:r>
      <w:r w:rsidR="00445987" w:rsidRPr="00FB2FE9">
        <w:rPr>
          <w:rStyle w:val="searchhit"/>
          <w:kern w:val="22"/>
          <w:sz w:val="22"/>
          <w:lang w:val="fr-FR"/>
        </w:rPr>
        <w:t>)</w:t>
      </w:r>
      <w:r>
        <w:rPr>
          <w:iCs/>
          <w:kern w:val="22"/>
          <w:sz w:val="22"/>
          <w:lang w:val="fr-FR"/>
        </w:rPr>
        <w:t>, voire même plusieurs</w:t>
      </w:r>
      <w:r w:rsidR="002569B1" w:rsidRPr="00FB2FE9">
        <w:rPr>
          <w:iCs/>
          <w:kern w:val="22"/>
          <w:sz w:val="22"/>
          <w:lang w:val="fr-FR"/>
        </w:rPr>
        <w:t xml:space="preserve"> </w:t>
      </w:r>
      <w:r w:rsidR="000F6269" w:rsidRPr="00FB2FE9">
        <w:rPr>
          <w:iCs/>
          <w:kern w:val="22"/>
          <w:sz w:val="22"/>
          <w:lang w:val="fr-FR"/>
        </w:rPr>
        <w:t>continents</w:t>
      </w:r>
      <w:r>
        <w:rPr>
          <w:iCs/>
          <w:kern w:val="22"/>
          <w:sz w:val="22"/>
          <w:lang w:val="fr-FR"/>
        </w:rPr>
        <w:t xml:space="preserve"> (par exemple, l’espèce </w:t>
      </w:r>
      <w:r w:rsidR="00791921" w:rsidRPr="00FB2FE9">
        <w:rPr>
          <w:i/>
          <w:kern w:val="22"/>
          <w:sz w:val="22"/>
          <w:lang w:val="fr-FR"/>
        </w:rPr>
        <w:t>Catharanthus roseus</w:t>
      </w:r>
      <w:r w:rsidR="00791921" w:rsidRPr="00FB2FE9">
        <w:rPr>
          <w:iCs/>
          <w:kern w:val="22"/>
          <w:sz w:val="22"/>
          <w:lang w:val="fr-FR"/>
        </w:rPr>
        <w:t>)</w:t>
      </w:r>
      <w:r w:rsidR="00EC454B" w:rsidRPr="002364AB">
        <w:rPr>
          <w:rStyle w:val="FootnoteReference"/>
          <w:iCs/>
          <w:kern w:val="22"/>
          <w:sz w:val="22"/>
          <w:lang w:val="en-GB"/>
        </w:rPr>
        <w:footnoteReference w:id="7"/>
      </w:r>
      <w:r w:rsidR="000F6269" w:rsidRPr="00FB2FE9">
        <w:rPr>
          <w:iCs/>
          <w:kern w:val="22"/>
          <w:sz w:val="22"/>
          <w:lang w:val="fr-FR"/>
        </w:rPr>
        <w:t>.</w:t>
      </w:r>
      <w:r w:rsidR="008816BF" w:rsidRPr="00FB2FE9">
        <w:rPr>
          <w:iCs/>
          <w:kern w:val="22"/>
          <w:sz w:val="22"/>
          <w:lang w:val="fr-FR"/>
        </w:rPr>
        <w:t xml:space="preserve"> </w:t>
      </w:r>
      <w:r w:rsidR="00B16C79">
        <w:rPr>
          <w:iCs/>
          <w:kern w:val="22"/>
          <w:sz w:val="22"/>
          <w:lang w:val="fr-FR"/>
        </w:rPr>
        <w:t>Les situations qui concernent</w:t>
      </w:r>
      <w:r w:rsidRPr="00FB2FE9">
        <w:rPr>
          <w:iCs/>
          <w:kern w:val="22"/>
          <w:sz w:val="22"/>
          <w:lang w:val="fr-FR"/>
        </w:rPr>
        <w:t xml:space="preserve"> des</w:t>
      </w:r>
      <w:r w:rsidR="00C27785" w:rsidRPr="00FB2FE9">
        <w:rPr>
          <w:iCs/>
          <w:kern w:val="22"/>
          <w:sz w:val="22"/>
          <w:lang w:val="fr-FR"/>
        </w:rPr>
        <w:t xml:space="preserve"> </w:t>
      </w:r>
      <w:r w:rsidR="00651FB0" w:rsidRPr="00FB2FE9">
        <w:rPr>
          <w:iCs/>
          <w:kern w:val="22"/>
          <w:sz w:val="22"/>
          <w:lang w:val="fr-FR"/>
        </w:rPr>
        <w:t>écosystèmes et habitats/espèces partagés</w:t>
      </w:r>
      <w:r w:rsidR="00C27785" w:rsidRPr="00FB2FE9">
        <w:rPr>
          <w:iCs/>
          <w:kern w:val="22"/>
          <w:sz w:val="22"/>
          <w:lang w:val="fr-FR"/>
        </w:rPr>
        <w:t xml:space="preserve"> </w:t>
      </w:r>
      <w:r w:rsidR="00FD73A5" w:rsidRPr="00FB2FE9">
        <w:rPr>
          <w:iCs/>
          <w:kern w:val="22"/>
          <w:sz w:val="22"/>
          <w:lang w:val="fr-FR"/>
        </w:rPr>
        <w:t xml:space="preserve">entre </w:t>
      </w:r>
      <w:r w:rsidR="00B16C79">
        <w:rPr>
          <w:iCs/>
          <w:kern w:val="22"/>
          <w:sz w:val="22"/>
          <w:lang w:val="fr-FR"/>
        </w:rPr>
        <w:t>plusieurs juridictions nationales</w:t>
      </w:r>
      <w:r w:rsidR="00C27785" w:rsidRPr="00FB2FE9">
        <w:rPr>
          <w:iCs/>
          <w:kern w:val="22"/>
          <w:sz w:val="22"/>
          <w:lang w:val="fr-FR"/>
        </w:rPr>
        <w:t xml:space="preserve"> </w:t>
      </w:r>
      <w:r w:rsidR="00B16C79">
        <w:rPr>
          <w:iCs/>
          <w:kern w:val="22"/>
          <w:sz w:val="22"/>
          <w:lang w:val="fr-FR"/>
        </w:rPr>
        <w:t>soulèvent la</w:t>
      </w:r>
      <w:r>
        <w:rPr>
          <w:iCs/>
          <w:kern w:val="22"/>
          <w:sz w:val="22"/>
          <w:lang w:val="fr-FR"/>
        </w:rPr>
        <w:t xml:space="preserve"> </w:t>
      </w:r>
      <w:r w:rsidR="00B16C79">
        <w:rPr>
          <w:kern w:val="22"/>
          <w:sz w:val="22"/>
          <w:lang w:val="fr-FR"/>
        </w:rPr>
        <w:t xml:space="preserve">question d’une </w:t>
      </w:r>
      <w:r>
        <w:rPr>
          <w:kern w:val="22"/>
          <w:sz w:val="22"/>
          <w:lang w:val="fr-FR"/>
        </w:rPr>
        <w:t>autoris</w:t>
      </w:r>
      <w:r w:rsidR="001F10AA" w:rsidRPr="00FB2FE9">
        <w:rPr>
          <w:kern w:val="22"/>
          <w:sz w:val="22"/>
          <w:lang w:val="fr-FR"/>
        </w:rPr>
        <w:t>ation</w:t>
      </w:r>
      <w:r>
        <w:rPr>
          <w:kern w:val="22"/>
          <w:sz w:val="22"/>
          <w:lang w:val="fr-FR"/>
        </w:rPr>
        <w:t xml:space="preserve"> équitable de l’accè</w:t>
      </w:r>
      <w:r w:rsidR="00C27785" w:rsidRPr="00FB2FE9">
        <w:rPr>
          <w:kern w:val="22"/>
          <w:sz w:val="22"/>
          <w:lang w:val="fr-FR"/>
        </w:rPr>
        <w:t>s</w:t>
      </w:r>
      <w:r w:rsidR="00B16C79">
        <w:rPr>
          <w:kern w:val="22"/>
          <w:sz w:val="22"/>
          <w:lang w:val="fr-FR"/>
        </w:rPr>
        <w:t xml:space="preserve"> aux ressources</w:t>
      </w:r>
      <w:r w:rsidR="00E3674F" w:rsidRPr="00FB2FE9">
        <w:rPr>
          <w:kern w:val="22"/>
          <w:sz w:val="22"/>
          <w:lang w:val="fr-FR"/>
        </w:rPr>
        <w:t xml:space="preserve"> et </w:t>
      </w:r>
      <w:r w:rsidR="00B16C79">
        <w:rPr>
          <w:kern w:val="22"/>
          <w:sz w:val="22"/>
          <w:lang w:val="fr-FR"/>
        </w:rPr>
        <w:t xml:space="preserve">d’une </w:t>
      </w:r>
      <w:r>
        <w:rPr>
          <w:kern w:val="22"/>
          <w:sz w:val="22"/>
          <w:lang w:val="fr-FR"/>
        </w:rPr>
        <w:t>négoc</w:t>
      </w:r>
      <w:r w:rsidR="00FA2D32" w:rsidRPr="00FB2FE9">
        <w:rPr>
          <w:kern w:val="22"/>
          <w:sz w:val="22"/>
          <w:lang w:val="fr-FR"/>
        </w:rPr>
        <w:t>iat</w:t>
      </w:r>
      <w:r w:rsidR="00B16C79">
        <w:rPr>
          <w:kern w:val="22"/>
          <w:sz w:val="22"/>
          <w:lang w:val="fr-FR"/>
        </w:rPr>
        <w:t>ion du</w:t>
      </w:r>
      <w:r w:rsidR="00FA2D32" w:rsidRPr="00FB2FE9">
        <w:rPr>
          <w:kern w:val="22"/>
          <w:sz w:val="22"/>
          <w:lang w:val="fr-FR"/>
        </w:rPr>
        <w:t xml:space="preserve"> </w:t>
      </w:r>
      <w:r>
        <w:rPr>
          <w:kern w:val="22"/>
          <w:sz w:val="22"/>
          <w:lang w:val="fr-FR"/>
        </w:rPr>
        <w:t xml:space="preserve">partage des </w:t>
      </w:r>
      <w:r w:rsidR="007D7761">
        <w:rPr>
          <w:kern w:val="22"/>
          <w:sz w:val="22"/>
          <w:lang w:val="fr-FR"/>
        </w:rPr>
        <w:t>avantages résultant</w:t>
      </w:r>
      <w:r>
        <w:rPr>
          <w:kern w:val="22"/>
          <w:sz w:val="22"/>
          <w:lang w:val="fr-FR"/>
        </w:rPr>
        <w:t xml:space="preserve"> de</w:t>
      </w:r>
      <w:r w:rsidR="00C27785" w:rsidRPr="00FB2FE9">
        <w:rPr>
          <w:kern w:val="22"/>
          <w:sz w:val="22"/>
          <w:lang w:val="fr-FR"/>
        </w:rPr>
        <w:t xml:space="preserve"> </w:t>
      </w:r>
      <w:r>
        <w:rPr>
          <w:kern w:val="22"/>
          <w:sz w:val="22"/>
          <w:lang w:val="fr-FR"/>
        </w:rPr>
        <w:t>l’</w:t>
      </w:r>
      <w:r w:rsidR="008627A9" w:rsidRPr="00FB2FE9">
        <w:rPr>
          <w:kern w:val="22"/>
          <w:sz w:val="22"/>
          <w:lang w:val="fr-FR"/>
        </w:rPr>
        <w:t>utilisation</w:t>
      </w:r>
      <w:r>
        <w:rPr>
          <w:kern w:val="22"/>
          <w:sz w:val="22"/>
          <w:lang w:val="fr-FR"/>
        </w:rPr>
        <w:t xml:space="preserve"> de ces</w:t>
      </w:r>
      <w:r w:rsidR="00C27785" w:rsidRPr="00FB2FE9">
        <w:rPr>
          <w:kern w:val="22"/>
          <w:sz w:val="22"/>
          <w:lang w:val="fr-FR"/>
        </w:rPr>
        <w:t xml:space="preserve"> </w:t>
      </w:r>
      <w:r>
        <w:rPr>
          <w:kern w:val="22"/>
          <w:sz w:val="22"/>
          <w:lang w:val="fr-FR"/>
        </w:rPr>
        <w:t>ressources</w:t>
      </w:r>
      <w:r w:rsidR="00C27785" w:rsidRPr="00FB2FE9">
        <w:rPr>
          <w:kern w:val="22"/>
          <w:sz w:val="22"/>
          <w:lang w:val="fr-FR"/>
        </w:rPr>
        <w:t>.</w:t>
      </w:r>
      <w:r w:rsidR="00C27785" w:rsidRPr="00FB2FE9" w:rsidDel="00BA546E">
        <w:rPr>
          <w:kern w:val="22"/>
          <w:sz w:val="22"/>
          <w:lang w:val="fr-FR"/>
        </w:rPr>
        <w:t xml:space="preserve"> </w:t>
      </w:r>
      <w:r w:rsidRPr="00FB2FE9">
        <w:rPr>
          <w:kern w:val="22"/>
          <w:sz w:val="22"/>
          <w:lang w:val="fr-FR"/>
        </w:rPr>
        <w:t>De tels</w:t>
      </w:r>
      <w:r w:rsidR="008A0686" w:rsidRPr="00FB2FE9">
        <w:rPr>
          <w:kern w:val="22"/>
          <w:sz w:val="22"/>
          <w:lang w:val="fr-FR"/>
        </w:rPr>
        <w:t xml:space="preserve"> </w:t>
      </w:r>
      <w:r w:rsidR="00B16C79">
        <w:rPr>
          <w:kern w:val="22"/>
          <w:sz w:val="22"/>
          <w:lang w:val="fr-FR"/>
        </w:rPr>
        <w:t>cas peuve</w:t>
      </w:r>
      <w:r w:rsidRPr="00FB2FE9">
        <w:rPr>
          <w:kern w:val="22"/>
          <w:sz w:val="22"/>
          <w:lang w:val="fr-FR"/>
        </w:rPr>
        <w:t xml:space="preserve">nt </w:t>
      </w:r>
      <w:r>
        <w:rPr>
          <w:kern w:val="22"/>
          <w:sz w:val="22"/>
          <w:lang w:val="fr-FR"/>
        </w:rPr>
        <w:t xml:space="preserve">être traités </w:t>
      </w:r>
      <w:r w:rsidR="00B16C79">
        <w:rPr>
          <w:kern w:val="22"/>
          <w:sz w:val="22"/>
          <w:lang w:val="fr-FR"/>
        </w:rPr>
        <w:t>au titre</w:t>
      </w:r>
      <w:r>
        <w:rPr>
          <w:kern w:val="22"/>
          <w:sz w:val="22"/>
          <w:lang w:val="fr-FR"/>
        </w:rPr>
        <w:t xml:space="preserve"> de </w:t>
      </w:r>
      <w:r w:rsidR="00B90EF3" w:rsidRPr="00FB2FE9">
        <w:rPr>
          <w:kern w:val="22"/>
          <w:sz w:val="22"/>
          <w:lang w:val="fr-FR"/>
        </w:rPr>
        <w:t>l’article</w:t>
      </w:r>
      <w:r w:rsidR="008A0686" w:rsidRPr="00FB2FE9">
        <w:rPr>
          <w:kern w:val="22"/>
          <w:sz w:val="22"/>
          <w:lang w:val="fr-FR"/>
        </w:rPr>
        <w:t xml:space="preserve"> 10 </w:t>
      </w:r>
      <w:r>
        <w:rPr>
          <w:kern w:val="22"/>
          <w:sz w:val="22"/>
          <w:lang w:val="fr-FR"/>
        </w:rPr>
        <w:t>et</w:t>
      </w:r>
      <w:r w:rsidR="0037679F" w:rsidRPr="00FB2FE9">
        <w:rPr>
          <w:kern w:val="22"/>
          <w:sz w:val="22"/>
          <w:lang w:val="fr-FR"/>
        </w:rPr>
        <w:t>/</w:t>
      </w:r>
      <w:r>
        <w:rPr>
          <w:kern w:val="22"/>
          <w:sz w:val="22"/>
          <w:lang w:val="fr-FR"/>
        </w:rPr>
        <w:t>ou l’</w:t>
      </w:r>
      <w:r w:rsidR="00FD73A5" w:rsidRPr="00FB2FE9">
        <w:rPr>
          <w:kern w:val="22"/>
          <w:sz w:val="22"/>
          <w:lang w:val="fr-FR"/>
        </w:rPr>
        <w:t>article</w:t>
      </w:r>
      <w:r w:rsidR="008A0686" w:rsidRPr="00FB2FE9">
        <w:rPr>
          <w:kern w:val="22"/>
          <w:sz w:val="22"/>
          <w:lang w:val="fr-FR"/>
        </w:rPr>
        <w:t xml:space="preserve"> 11</w:t>
      </w:r>
      <w:r>
        <w:rPr>
          <w:kern w:val="22"/>
          <w:sz w:val="22"/>
          <w:lang w:val="fr-FR"/>
        </w:rPr>
        <w:t xml:space="preserve"> (“coopé</w:t>
      </w:r>
      <w:r w:rsidR="008E2D21" w:rsidRPr="00FB2FE9">
        <w:rPr>
          <w:kern w:val="22"/>
          <w:sz w:val="22"/>
          <w:lang w:val="fr-FR"/>
        </w:rPr>
        <w:t>ration</w:t>
      </w:r>
      <w:r>
        <w:rPr>
          <w:kern w:val="22"/>
          <w:sz w:val="22"/>
          <w:lang w:val="fr-FR"/>
        </w:rPr>
        <w:t xml:space="preserve"> transfrontière</w:t>
      </w:r>
      <w:r w:rsidR="008E2D21" w:rsidRPr="00FB2FE9">
        <w:rPr>
          <w:kern w:val="22"/>
          <w:sz w:val="22"/>
          <w:lang w:val="fr-FR"/>
        </w:rPr>
        <w:t>”)</w:t>
      </w:r>
      <w:r w:rsidR="00B16C79" w:rsidRPr="00B16C79">
        <w:rPr>
          <w:kern w:val="22"/>
          <w:sz w:val="22"/>
          <w:lang w:val="fr-FR"/>
        </w:rPr>
        <w:t xml:space="preserve"> </w:t>
      </w:r>
      <w:r w:rsidR="00B16C79">
        <w:rPr>
          <w:kern w:val="22"/>
          <w:sz w:val="22"/>
          <w:lang w:val="fr-FR"/>
        </w:rPr>
        <w:t>du Protocole</w:t>
      </w:r>
      <w:r w:rsidR="008A0686" w:rsidRPr="00FB2FE9">
        <w:rPr>
          <w:kern w:val="22"/>
          <w:sz w:val="22"/>
          <w:lang w:val="fr-FR"/>
        </w:rPr>
        <w:t>.</w:t>
      </w:r>
    </w:p>
    <w:p w14:paraId="0E8F163F" w14:textId="17CD24B4" w:rsidR="00166511" w:rsidRPr="00022CC1" w:rsidRDefault="00FB2FE9" w:rsidP="00DB0F41">
      <w:pPr>
        <w:rPr>
          <w:kern w:val="22"/>
          <w:sz w:val="22"/>
          <w:lang w:val="fr-FR"/>
        </w:rPr>
      </w:pPr>
      <w:r w:rsidRPr="00FB2FE9">
        <w:rPr>
          <w:kern w:val="22"/>
          <w:sz w:val="22"/>
          <w:lang w:val="fr-FR"/>
        </w:rPr>
        <w:t xml:space="preserve">En ce qui concerne le </w:t>
      </w:r>
      <w:r w:rsidR="00D6232E" w:rsidRPr="00FB2FE9">
        <w:rPr>
          <w:kern w:val="22"/>
          <w:sz w:val="22"/>
          <w:lang w:val="fr-FR"/>
        </w:rPr>
        <w:t>sous-groupe</w:t>
      </w:r>
      <w:r w:rsidRPr="00FB2FE9">
        <w:rPr>
          <w:kern w:val="22"/>
          <w:sz w:val="22"/>
          <w:lang w:val="fr-FR"/>
        </w:rPr>
        <w:t xml:space="preserve"> b</w:t>
      </w:r>
      <w:r w:rsidR="00DB0F41" w:rsidRPr="00FB2FE9">
        <w:rPr>
          <w:kern w:val="22"/>
          <w:sz w:val="22"/>
          <w:lang w:val="fr-FR"/>
        </w:rPr>
        <w:t>)</w:t>
      </w:r>
      <w:r w:rsidR="00B16C79">
        <w:rPr>
          <w:kern w:val="22"/>
          <w:sz w:val="22"/>
          <w:lang w:val="fr-FR"/>
        </w:rPr>
        <w:t xml:space="preserve">, visant </w:t>
      </w:r>
      <w:r>
        <w:rPr>
          <w:kern w:val="22"/>
          <w:sz w:val="22"/>
          <w:lang w:val="fr-FR"/>
        </w:rPr>
        <w:t>les</w:t>
      </w:r>
      <w:r w:rsidR="00DB0F41" w:rsidRPr="00FB2FE9">
        <w:rPr>
          <w:kern w:val="22"/>
          <w:sz w:val="22"/>
          <w:lang w:val="fr-FR"/>
        </w:rPr>
        <w:t xml:space="preserve"> </w:t>
      </w:r>
      <w:r w:rsidR="00651FB0" w:rsidRPr="00FB2FE9">
        <w:rPr>
          <w:kern w:val="22"/>
          <w:sz w:val="22"/>
          <w:lang w:val="fr-FR"/>
        </w:rPr>
        <w:t>espèces migratrices</w:t>
      </w:r>
      <w:r w:rsidR="00DB0F41" w:rsidRPr="00FB2FE9">
        <w:rPr>
          <w:kern w:val="22"/>
          <w:sz w:val="22"/>
          <w:lang w:val="fr-FR"/>
        </w:rPr>
        <w:t xml:space="preserve"> </w:t>
      </w:r>
      <w:r w:rsidR="00B16C79">
        <w:rPr>
          <w:kern w:val="22"/>
          <w:sz w:val="22"/>
          <w:lang w:val="fr-FR"/>
        </w:rPr>
        <w:t xml:space="preserve">qui </w:t>
      </w:r>
      <w:r w:rsidR="00F86EB1" w:rsidRPr="00FB2FE9">
        <w:rPr>
          <w:kern w:val="22"/>
          <w:sz w:val="22"/>
          <w:lang w:val="fr-FR"/>
        </w:rPr>
        <w:t>transit</w:t>
      </w:r>
      <w:r w:rsidR="00B16C79">
        <w:rPr>
          <w:kern w:val="22"/>
          <w:sz w:val="22"/>
          <w:lang w:val="fr-FR"/>
        </w:rPr>
        <w:t xml:space="preserve">ent dans plusieurs juridictions nationales </w:t>
      </w:r>
      <w:r>
        <w:rPr>
          <w:kern w:val="22"/>
          <w:sz w:val="22"/>
          <w:lang w:val="fr-FR"/>
        </w:rPr>
        <w:t>(par exemple, l’</w:t>
      </w:r>
      <w:r w:rsidR="00B16C79">
        <w:rPr>
          <w:iCs/>
          <w:kern w:val="22"/>
          <w:sz w:val="22"/>
          <w:lang w:val="fr-FR"/>
        </w:rPr>
        <w:t>a</w:t>
      </w:r>
      <w:r>
        <w:rPr>
          <w:iCs/>
          <w:kern w:val="22"/>
          <w:sz w:val="22"/>
          <w:lang w:val="fr-FR"/>
        </w:rPr>
        <w:t>nguille d’Europe</w:t>
      </w:r>
      <w:r w:rsidR="00DB0F41" w:rsidRPr="00FB2FE9">
        <w:rPr>
          <w:iCs/>
          <w:kern w:val="22"/>
          <w:sz w:val="22"/>
          <w:lang w:val="fr-FR"/>
        </w:rPr>
        <w:t xml:space="preserve"> (</w:t>
      </w:r>
      <w:r w:rsidR="00DB0F41" w:rsidRPr="00FB2FE9">
        <w:rPr>
          <w:i/>
          <w:kern w:val="22"/>
          <w:sz w:val="22"/>
          <w:lang w:val="fr-FR"/>
        </w:rPr>
        <w:t>Anguilla anguilla</w:t>
      </w:r>
      <w:r w:rsidR="00DB0F41" w:rsidRPr="00FB2FE9">
        <w:rPr>
          <w:iCs/>
          <w:kern w:val="22"/>
          <w:sz w:val="22"/>
          <w:lang w:val="fr-FR"/>
        </w:rPr>
        <w:t xml:space="preserve">), </w:t>
      </w:r>
      <w:r w:rsidR="00146E5E">
        <w:rPr>
          <w:iCs/>
          <w:kern w:val="22"/>
          <w:sz w:val="22"/>
          <w:lang w:val="fr-FR"/>
        </w:rPr>
        <w:t>le papillon M</w:t>
      </w:r>
      <w:r w:rsidR="00EC15BE">
        <w:rPr>
          <w:iCs/>
          <w:kern w:val="22"/>
          <w:sz w:val="22"/>
          <w:lang w:val="fr-FR"/>
        </w:rPr>
        <w:t>onarque</w:t>
      </w:r>
      <w:r w:rsidR="00DB0F41" w:rsidRPr="00FB2FE9">
        <w:rPr>
          <w:iCs/>
          <w:kern w:val="22"/>
          <w:sz w:val="22"/>
          <w:lang w:val="fr-FR"/>
        </w:rPr>
        <w:t xml:space="preserve"> (</w:t>
      </w:r>
      <w:r w:rsidR="00DB0F41" w:rsidRPr="00FB2FE9">
        <w:rPr>
          <w:i/>
          <w:iCs/>
          <w:kern w:val="22"/>
          <w:sz w:val="22"/>
          <w:lang w:val="fr-FR"/>
        </w:rPr>
        <w:t>Danaus plexippus</w:t>
      </w:r>
      <w:r w:rsidR="00DB0F41" w:rsidRPr="00FB2FE9">
        <w:rPr>
          <w:iCs/>
          <w:kern w:val="22"/>
          <w:sz w:val="22"/>
          <w:lang w:val="fr-FR"/>
        </w:rPr>
        <w:t>),</w:t>
      </w:r>
      <w:r w:rsidR="00B16C79">
        <w:rPr>
          <w:iCs/>
          <w:kern w:val="22"/>
          <w:sz w:val="22"/>
          <w:lang w:val="fr-FR"/>
        </w:rPr>
        <w:t xml:space="preserve"> ou</w:t>
      </w:r>
      <w:r w:rsidR="00E3674F" w:rsidRPr="00FB2FE9">
        <w:rPr>
          <w:iCs/>
          <w:kern w:val="22"/>
          <w:sz w:val="22"/>
          <w:lang w:val="fr-FR"/>
        </w:rPr>
        <w:t xml:space="preserve"> </w:t>
      </w:r>
      <w:r w:rsidR="00B16C79">
        <w:rPr>
          <w:iCs/>
          <w:kern w:val="22"/>
          <w:sz w:val="22"/>
          <w:lang w:val="fr-FR"/>
        </w:rPr>
        <w:t xml:space="preserve">le </w:t>
      </w:r>
      <w:r w:rsidR="00146E5E">
        <w:rPr>
          <w:iCs/>
          <w:kern w:val="22"/>
          <w:sz w:val="22"/>
          <w:lang w:val="fr-FR"/>
        </w:rPr>
        <w:t>canard C</w:t>
      </w:r>
      <w:r w:rsidR="00C151EC">
        <w:rPr>
          <w:iCs/>
          <w:kern w:val="22"/>
          <w:sz w:val="22"/>
          <w:lang w:val="fr-FR"/>
        </w:rPr>
        <w:t>olvert</w:t>
      </w:r>
      <w:r w:rsidR="00DB0F41" w:rsidRPr="00FB2FE9">
        <w:rPr>
          <w:iCs/>
          <w:kern w:val="22"/>
          <w:sz w:val="22"/>
          <w:lang w:val="fr-FR"/>
        </w:rPr>
        <w:t xml:space="preserve"> (</w:t>
      </w:r>
      <w:r w:rsidR="00DB0F41" w:rsidRPr="00FB2FE9">
        <w:rPr>
          <w:i/>
          <w:iCs/>
          <w:kern w:val="22"/>
          <w:sz w:val="22"/>
          <w:lang w:val="fr-FR"/>
        </w:rPr>
        <w:t>Anas platyrhynchos</w:t>
      </w:r>
      <w:r w:rsidR="00DB0F41" w:rsidRPr="00FB2FE9">
        <w:rPr>
          <w:kern w:val="22"/>
          <w:sz w:val="22"/>
          <w:lang w:val="fr-FR"/>
        </w:rPr>
        <w:t>)</w:t>
      </w:r>
      <w:r w:rsidR="00A72C57" w:rsidRPr="00FB2FE9">
        <w:rPr>
          <w:kern w:val="22"/>
          <w:sz w:val="22"/>
          <w:lang w:val="fr-FR"/>
        </w:rPr>
        <w:t>)</w:t>
      </w:r>
      <w:r w:rsidR="00EC15BE">
        <w:rPr>
          <w:kern w:val="22"/>
          <w:sz w:val="22"/>
          <w:lang w:val="fr-FR"/>
        </w:rPr>
        <w:t>, une</w:t>
      </w:r>
      <w:r w:rsidR="00DB0F41" w:rsidRPr="00FB2FE9">
        <w:rPr>
          <w:kern w:val="22"/>
          <w:sz w:val="22"/>
          <w:lang w:val="fr-FR"/>
        </w:rPr>
        <w:t xml:space="preserve"> </w:t>
      </w:r>
      <w:r w:rsidR="001A200E" w:rsidRPr="00FB2FE9">
        <w:rPr>
          <w:kern w:val="22"/>
          <w:sz w:val="22"/>
          <w:lang w:val="fr-FR"/>
        </w:rPr>
        <w:t>approche bilatérale</w:t>
      </w:r>
      <w:r w:rsidR="00DB0F41" w:rsidRPr="00FB2FE9">
        <w:rPr>
          <w:kern w:val="22"/>
          <w:sz w:val="22"/>
          <w:lang w:val="fr-FR"/>
        </w:rPr>
        <w:t xml:space="preserve"> </w:t>
      </w:r>
      <w:r w:rsidR="00B16C79">
        <w:rPr>
          <w:kern w:val="22"/>
          <w:sz w:val="22"/>
          <w:lang w:val="fr-FR"/>
        </w:rPr>
        <w:t>n’inclura</w:t>
      </w:r>
      <w:r w:rsidR="00022CC1">
        <w:rPr>
          <w:kern w:val="22"/>
          <w:sz w:val="22"/>
          <w:lang w:val="fr-FR"/>
        </w:rPr>
        <w:t xml:space="preserve"> pas tous ceux qui contribuent à la conservation d’une</w:t>
      </w:r>
      <w:r w:rsidR="00DB0F41" w:rsidRPr="00FB2FE9">
        <w:rPr>
          <w:kern w:val="22"/>
          <w:sz w:val="22"/>
          <w:lang w:val="fr-FR"/>
        </w:rPr>
        <w:t xml:space="preserve"> res</w:t>
      </w:r>
      <w:r w:rsidR="00022CC1">
        <w:rPr>
          <w:kern w:val="22"/>
          <w:sz w:val="22"/>
          <w:lang w:val="fr-FR"/>
        </w:rPr>
        <w:t>s</w:t>
      </w:r>
      <w:r w:rsidR="00DB0F41" w:rsidRPr="00FB2FE9">
        <w:rPr>
          <w:kern w:val="22"/>
          <w:sz w:val="22"/>
          <w:lang w:val="fr-FR"/>
        </w:rPr>
        <w:t>ource</w:t>
      </w:r>
      <w:r w:rsidR="00B16C79">
        <w:rPr>
          <w:kern w:val="22"/>
          <w:sz w:val="22"/>
          <w:lang w:val="fr-FR"/>
        </w:rPr>
        <w:t xml:space="preserve"> donnée</w:t>
      </w:r>
      <w:r w:rsidR="00DB0F41" w:rsidRPr="00FB2FE9">
        <w:rPr>
          <w:kern w:val="22"/>
          <w:sz w:val="22"/>
          <w:lang w:val="fr-FR"/>
        </w:rPr>
        <w:t xml:space="preserve">. </w:t>
      </w:r>
      <w:r w:rsidR="00B16C79">
        <w:rPr>
          <w:kern w:val="22"/>
          <w:sz w:val="22"/>
          <w:lang w:val="fr-FR"/>
        </w:rPr>
        <w:t>D’autre part</w:t>
      </w:r>
      <w:r w:rsidR="00022CC1">
        <w:rPr>
          <w:kern w:val="22"/>
          <w:sz w:val="22"/>
          <w:lang w:val="fr-FR"/>
        </w:rPr>
        <w:t xml:space="preserve">, </w:t>
      </w:r>
      <w:r w:rsidR="00B16C79">
        <w:rPr>
          <w:kern w:val="22"/>
          <w:sz w:val="22"/>
          <w:lang w:val="fr-FR"/>
        </w:rPr>
        <w:t xml:space="preserve">en ce qui concerne le sous-groupe c), </w:t>
      </w:r>
      <w:r w:rsidR="00022CC1">
        <w:rPr>
          <w:kern w:val="22"/>
          <w:sz w:val="22"/>
          <w:lang w:val="fr-FR"/>
        </w:rPr>
        <w:t xml:space="preserve">les </w:t>
      </w:r>
      <w:r w:rsidRPr="00022CC1">
        <w:rPr>
          <w:kern w:val="22"/>
          <w:sz w:val="22"/>
          <w:lang w:val="fr-FR"/>
        </w:rPr>
        <w:t>ressources</w:t>
      </w:r>
      <w:r w:rsidR="00DB0F41" w:rsidRPr="00022CC1">
        <w:rPr>
          <w:kern w:val="22"/>
          <w:sz w:val="22"/>
          <w:lang w:val="fr-FR"/>
        </w:rPr>
        <w:t xml:space="preserve"> </w:t>
      </w:r>
      <w:r w:rsidR="00B16C79">
        <w:rPr>
          <w:kern w:val="22"/>
          <w:sz w:val="22"/>
          <w:lang w:val="fr-FR"/>
        </w:rPr>
        <w:t>qui se trouvent</w:t>
      </w:r>
      <w:r w:rsidR="00022CC1">
        <w:rPr>
          <w:kern w:val="22"/>
          <w:sz w:val="22"/>
          <w:lang w:val="fr-FR"/>
        </w:rPr>
        <w:t xml:space="preserve"> dans </w:t>
      </w:r>
      <w:r w:rsidR="00B16C79">
        <w:rPr>
          <w:kern w:val="22"/>
          <w:sz w:val="22"/>
          <w:lang w:val="fr-FR"/>
        </w:rPr>
        <w:t>d</w:t>
      </w:r>
      <w:r w:rsidR="00022CC1">
        <w:rPr>
          <w:kern w:val="22"/>
          <w:sz w:val="22"/>
          <w:lang w:val="fr-FR"/>
        </w:rPr>
        <w:t xml:space="preserve">es </w:t>
      </w:r>
      <w:r w:rsidR="00651FB0" w:rsidRPr="00022CC1">
        <w:rPr>
          <w:kern w:val="22"/>
          <w:sz w:val="22"/>
          <w:lang w:val="fr-FR"/>
        </w:rPr>
        <w:t>zones situées au-delà des limites de la juridiction nationale</w:t>
      </w:r>
      <w:r w:rsidR="00DB0F41" w:rsidRPr="00022CC1">
        <w:rPr>
          <w:kern w:val="22"/>
          <w:sz w:val="22"/>
          <w:lang w:val="fr-FR"/>
        </w:rPr>
        <w:t xml:space="preserve">, </w:t>
      </w:r>
      <w:r w:rsidR="00022CC1">
        <w:rPr>
          <w:kern w:val="22"/>
          <w:sz w:val="22"/>
          <w:lang w:val="fr-FR"/>
        </w:rPr>
        <w:t>comm</w:t>
      </w:r>
      <w:r w:rsidR="00B16C79">
        <w:rPr>
          <w:kern w:val="22"/>
          <w:sz w:val="22"/>
          <w:lang w:val="fr-FR"/>
        </w:rPr>
        <w:t>e la haute mer, peuve</w:t>
      </w:r>
      <w:r w:rsidR="00022CC1">
        <w:rPr>
          <w:kern w:val="22"/>
          <w:sz w:val="22"/>
          <w:lang w:val="fr-FR"/>
        </w:rPr>
        <w:t>nt aussi entrer</w:t>
      </w:r>
      <w:r w:rsidR="00934A20" w:rsidRPr="00022CC1">
        <w:rPr>
          <w:kern w:val="22"/>
          <w:sz w:val="22"/>
          <w:lang w:val="fr-FR"/>
        </w:rPr>
        <w:t xml:space="preserve"> dans le champ d’application</w:t>
      </w:r>
      <w:r w:rsidR="00022CC1">
        <w:rPr>
          <w:kern w:val="22"/>
          <w:sz w:val="22"/>
          <w:lang w:val="fr-FR"/>
        </w:rPr>
        <w:t xml:space="preserve"> de l’</w:t>
      </w:r>
      <w:r w:rsidR="00FD73A5" w:rsidRPr="00022CC1">
        <w:rPr>
          <w:kern w:val="22"/>
          <w:sz w:val="22"/>
          <w:lang w:val="fr-FR"/>
        </w:rPr>
        <w:t>article</w:t>
      </w:r>
      <w:r w:rsidR="00DB0F41" w:rsidRPr="00022CC1">
        <w:rPr>
          <w:kern w:val="22"/>
          <w:sz w:val="22"/>
          <w:lang w:val="fr-FR"/>
        </w:rPr>
        <w:t xml:space="preserve"> 10</w:t>
      </w:r>
      <w:r w:rsidR="00B16C79">
        <w:rPr>
          <w:kern w:val="22"/>
          <w:sz w:val="22"/>
          <w:lang w:val="fr-FR"/>
        </w:rPr>
        <w:t xml:space="preserve"> du Protocole</w:t>
      </w:r>
      <w:r w:rsidR="00DB0F41" w:rsidRPr="00022CC1">
        <w:rPr>
          <w:kern w:val="22"/>
          <w:sz w:val="22"/>
          <w:lang w:val="fr-FR"/>
        </w:rPr>
        <w:t>.</w:t>
      </w:r>
      <w:r w:rsidR="00BA0A20" w:rsidRPr="00022CC1">
        <w:rPr>
          <w:kern w:val="22"/>
          <w:sz w:val="22"/>
          <w:lang w:val="fr-FR"/>
        </w:rPr>
        <w:t xml:space="preserve"> </w:t>
      </w:r>
      <w:r w:rsidR="008D43E2">
        <w:rPr>
          <w:kern w:val="22"/>
          <w:sz w:val="22"/>
          <w:lang w:val="fr-FR"/>
        </w:rPr>
        <w:t xml:space="preserve">Par ailleurs, </w:t>
      </w:r>
      <w:r w:rsidR="00022CC1" w:rsidRPr="00022CC1">
        <w:rPr>
          <w:kern w:val="22"/>
          <w:sz w:val="22"/>
          <w:lang w:val="fr-FR"/>
        </w:rPr>
        <w:t>les ressources</w:t>
      </w:r>
      <w:r w:rsidR="00BA0A20" w:rsidRPr="00022CC1">
        <w:rPr>
          <w:kern w:val="22"/>
          <w:sz w:val="22"/>
          <w:lang w:val="fr-FR"/>
        </w:rPr>
        <w:t xml:space="preserve"> ‘</w:t>
      </w:r>
      <w:r w:rsidR="00022CC1" w:rsidRPr="00022CC1">
        <w:rPr>
          <w:kern w:val="22"/>
          <w:sz w:val="22"/>
          <w:lang w:val="fr-FR"/>
        </w:rPr>
        <w:t>chevauchantes</w:t>
      </w:r>
      <w:r w:rsidR="00BA0A20" w:rsidRPr="00022CC1">
        <w:rPr>
          <w:kern w:val="22"/>
          <w:sz w:val="22"/>
          <w:lang w:val="fr-FR"/>
        </w:rPr>
        <w:t xml:space="preserve">’ </w:t>
      </w:r>
      <w:r w:rsidR="008D43E2">
        <w:rPr>
          <w:kern w:val="22"/>
          <w:sz w:val="22"/>
          <w:lang w:val="fr-FR"/>
        </w:rPr>
        <w:t>qui se trouvent ou transitent dans</w:t>
      </w:r>
      <w:r w:rsidR="00022CC1">
        <w:rPr>
          <w:kern w:val="22"/>
          <w:sz w:val="22"/>
          <w:lang w:val="fr-FR"/>
        </w:rPr>
        <w:t xml:space="preserve"> la haute mer ou les grands fonds mar</w:t>
      </w:r>
      <w:r w:rsidR="00753F69">
        <w:rPr>
          <w:kern w:val="22"/>
          <w:sz w:val="22"/>
          <w:lang w:val="fr-FR"/>
        </w:rPr>
        <w:t>ins et</w:t>
      </w:r>
      <w:r w:rsidR="008D43E2">
        <w:rPr>
          <w:kern w:val="22"/>
          <w:sz w:val="22"/>
          <w:lang w:val="fr-FR"/>
        </w:rPr>
        <w:t xml:space="preserve"> dans d</w:t>
      </w:r>
      <w:r w:rsidR="00753F69">
        <w:rPr>
          <w:kern w:val="22"/>
          <w:sz w:val="22"/>
          <w:lang w:val="fr-FR"/>
        </w:rPr>
        <w:t>es zones qui relèvent de la juridiction nationale</w:t>
      </w:r>
      <w:r w:rsidR="008D43E2">
        <w:rPr>
          <w:kern w:val="22"/>
          <w:sz w:val="22"/>
          <w:lang w:val="fr-FR"/>
        </w:rPr>
        <w:t xml:space="preserve"> représentent un défi particulier.</w:t>
      </w:r>
    </w:p>
    <w:p w14:paraId="78ECB11C" w14:textId="687C767D" w:rsidR="004B4018" w:rsidRPr="00D6232E" w:rsidRDefault="00753F69" w:rsidP="00BC029B">
      <w:pPr>
        <w:rPr>
          <w:iCs/>
          <w:kern w:val="22"/>
          <w:sz w:val="22"/>
          <w:lang w:val="fr-FR"/>
        </w:rPr>
      </w:pPr>
      <w:r>
        <w:rPr>
          <w:iCs/>
          <w:kern w:val="22"/>
          <w:sz w:val="22"/>
          <w:lang w:val="fr-FR"/>
        </w:rPr>
        <w:t>L</w:t>
      </w:r>
      <w:r w:rsidR="0010415A" w:rsidRPr="00FB033A">
        <w:rPr>
          <w:iCs/>
          <w:kern w:val="22"/>
          <w:sz w:val="22"/>
          <w:lang w:val="fr-FR"/>
        </w:rPr>
        <w:t>e</w:t>
      </w:r>
      <w:r>
        <w:rPr>
          <w:iCs/>
          <w:kern w:val="22"/>
          <w:sz w:val="22"/>
          <w:lang w:val="fr-FR"/>
        </w:rPr>
        <w:t xml:space="preserve"> deuxième groupe général concerne les</w:t>
      </w:r>
      <w:r w:rsidR="00DF2FE9" w:rsidRPr="00FB033A">
        <w:rPr>
          <w:iCs/>
          <w:kern w:val="22"/>
          <w:sz w:val="22"/>
          <w:lang w:val="fr-FR"/>
        </w:rPr>
        <w:t xml:space="preserve"> </w:t>
      </w:r>
      <w:r w:rsidR="00E3674F" w:rsidRPr="00FB033A">
        <w:rPr>
          <w:b/>
          <w:bCs/>
          <w:iCs/>
          <w:kern w:val="22"/>
          <w:sz w:val="22"/>
          <w:lang w:val="fr-FR"/>
        </w:rPr>
        <w:t>ressources génétiques</w:t>
      </w:r>
      <w:r w:rsidR="00DF2FE9" w:rsidRPr="00FB033A">
        <w:rPr>
          <w:b/>
          <w:bCs/>
          <w:iCs/>
          <w:kern w:val="22"/>
          <w:sz w:val="22"/>
          <w:lang w:val="fr-FR"/>
        </w:rPr>
        <w:t xml:space="preserve"> </w:t>
      </w:r>
      <w:r w:rsidR="0020703A">
        <w:rPr>
          <w:b/>
          <w:bCs/>
          <w:iCs/>
          <w:kern w:val="22"/>
          <w:sz w:val="22"/>
          <w:lang w:val="fr-FR"/>
        </w:rPr>
        <w:t>pour lesquel</w:t>
      </w:r>
      <w:r w:rsidR="008D43E2">
        <w:rPr>
          <w:b/>
          <w:bCs/>
          <w:iCs/>
          <w:kern w:val="22"/>
          <w:sz w:val="22"/>
          <w:lang w:val="fr-FR"/>
        </w:rPr>
        <w:t>le</w:t>
      </w:r>
      <w:r w:rsidR="0020703A">
        <w:rPr>
          <w:b/>
          <w:bCs/>
          <w:iCs/>
          <w:kern w:val="22"/>
          <w:sz w:val="22"/>
          <w:lang w:val="fr-FR"/>
        </w:rPr>
        <w:t xml:space="preserve">s </w:t>
      </w:r>
      <w:r w:rsidR="007D7761">
        <w:rPr>
          <w:b/>
          <w:bCs/>
          <w:iCs/>
          <w:kern w:val="22"/>
          <w:sz w:val="22"/>
          <w:lang w:val="fr-FR"/>
        </w:rPr>
        <w:t>il n’est pas possible</w:t>
      </w:r>
      <w:r w:rsidR="00DF2FE9" w:rsidRPr="00FB033A">
        <w:rPr>
          <w:b/>
          <w:bCs/>
          <w:iCs/>
          <w:kern w:val="22"/>
          <w:sz w:val="22"/>
          <w:lang w:val="fr-FR"/>
        </w:rPr>
        <w:t xml:space="preserve"> </w:t>
      </w:r>
      <w:r w:rsidR="00FB033A" w:rsidRPr="00FB033A">
        <w:rPr>
          <w:b/>
          <w:bCs/>
          <w:iCs/>
          <w:kern w:val="22"/>
          <w:sz w:val="22"/>
          <w:lang w:val="fr-FR"/>
        </w:rPr>
        <w:t>d’accorder ou d’obtenir un</w:t>
      </w:r>
      <w:r w:rsidR="00DF2FE9" w:rsidRPr="00FB033A">
        <w:rPr>
          <w:b/>
          <w:bCs/>
          <w:iCs/>
          <w:kern w:val="22"/>
          <w:sz w:val="22"/>
          <w:lang w:val="fr-FR"/>
        </w:rPr>
        <w:t xml:space="preserve"> </w:t>
      </w:r>
      <w:r w:rsidR="007D7761">
        <w:rPr>
          <w:b/>
          <w:bCs/>
          <w:iCs/>
          <w:kern w:val="22"/>
          <w:sz w:val="22"/>
          <w:lang w:val="fr-FR"/>
        </w:rPr>
        <w:t>consentement préalable donné en connaissance de cause</w:t>
      </w:r>
      <w:r w:rsidR="00DF2FE9" w:rsidRPr="00FB033A">
        <w:rPr>
          <w:iCs/>
          <w:kern w:val="22"/>
          <w:sz w:val="22"/>
          <w:lang w:val="fr-FR"/>
        </w:rPr>
        <w:t xml:space="preserve">. </w:t>
      </w:r>
      <w:r>
        <w:rPr>
          <w:iCs/>
          <w:kern w:val="22"/>
          <w:sz w:val="22"/>
          <w:lang w:val="fr-FR"/>
        </w:rPr>
        <w:t>Ce groupe</w:t>
      </w:r>
      <w:r w:rsidR="004B4018" w:rsidRPr="00D6232E">
        <w:rPr>
          <w:iCs/>
          <w:kern w:val="22"/>
          <w:sz w:val="22"/>
          <w:lang w:val="fr-FR"/>
        </w:rPr>
        <w:t xml:space="preserve"> </w:t>
      </w:r>
      <w:r>
        <w:rPr>
          <w:iCs/>
          <w:kern w:val="22"/>
          <w:sz w:val="22"/>
          <w:lang w:val="fr-FR"/>
        </w:rPr>
        <w:t>comprend</w:t>
      </w:r>
      <w:r w:rsidR="004B4018" w:rsidRPr="00D6232E">
        <w:rPr>
          <w:iCs/>
          <w:kern w:val="22"/>
          <w:sz w:val="22"/>
          <w:lang w:val="fr-FR"/>
        </w:rPr>
        <w:t xml:space="preserve"> </w:t>
      </w:r>
      <w:r>
        <w:rPr>
          <w:iCs/>
          <w:kern w:val="22"/>
          <w:sz w:val="22"/>
          <w:lang w:val="fr-FR"/>
        </w:rPr>
        <w:t xml:space="preserve">trois </w:t>
      </w:r>
      <w:r w:rsidR="00D6232E" w:rsidRPr="00D6232E">
        <w:rPr>
          <w:iCs/>
          <w:kern w:val="22"/>
          <w:sz w:val="22"/>
          <w:lang w:val="fr-FR"/>
        </w:rPr>
        <w:t>sous-groupe</w:t>
      </w:r>
      <w:r w:rsidR="004B4018" w:rsidRPr="00D6232E">
        <w:rPr>
          <w:iCs/>
          <w:kern w:val="22"/>
          <w:sz w:val="22"/>
          <w:lang w:val="fr-FR"/>
        </w:rPr>
        <w:t>s</w:t>
      </w:r>
      <w:r w:rsidR="008D43E2">
        <w:rPr>
          <w:iCs/>
          <w:kern w:val="22"/>
          <w:sz w:val="22"/>
          <w:lang w:val="fr-FR"/>
        </w:rPr>
        <w:t xml:space="preserve"> particuliers</w:t>
      </w:r>
      <w:r>
        <w:rPr>
          <w:iCs/>
          <w:kern w:val="22"/>
          <w:sz w:val="22"/>
          <w:lang w:val="fr-FR"/>
        </w:rPr>
        <w:t xml:space="preserve"> : </w:t>
      </w:r>
      <w:r w:rsidR="004B4018" w:rsidRPr="00D6232E">
        <w:rPr>
          <w:iCs/>
          <w:kern w:val="22"/>
          <w:sz w:val="22"/>
          <w:lang w:val="fr-FR"/>
        </w:rPr>
        <w:t xml:space="preserve">a) </w:t>
      </w:r>
      <w:r w:rsidR="008D43E2">
        <w:rPr>
          <w:iCs/>
          <w:kern w:val="22"/>
          <w:sz w:val="22"/>
          <w:lang w:val="fr-FR"/>
        </w:rPr>
        <w:t xml:space="preserve">les </w:t>
      </w:r>
      <w:r w:rsidR="00E3674F" w:rsidRPr="00D6232E">
        <w:rPr>
          <w:iCs/>
          <w:kern w:val="22"/>
          <w:sz w:val="22"/>
          <w:lang w:val="fr-FR"/>
        </w:rPr>
        <w:t>ressources génétiques</w:t>
      </w:r>
      <w:r w:rsidR="004B4018" w:rsidRPr="00D6232E">
        <w:rPr>
          <w:iCs/>
          <w:kern w:val="22"/>
          <w:sz w:val="22"/>
          <w:lang w:val="fr-FR"/>
        </w:rPr>
        <w:t xml:space="preserve"> </w:t>
      </w:r>
      <w:r w:rsidR="008D43E2">
        <w:rPr>
          <w:iCs/>
          <w:kern w:val="22"/>
          <w:sz w:val="22"/>
          <w:lang w:val="fr-FR"/>
        </w:rPr>
        <w:t xml:space="preserve">dont on ne peut </w:t>
      </w:r>
      <w:r w:rsidR="00DB08F9">
        <w:rPr>
          <w:iCs/>
          <w:kern w:val="22"/>
          <w:sz w:val="22"/>
          <w:lang w:val="fr-FR"/>
        </w:rPr>
        <w:t>déterminer la provenance</w:t>
      </w:r>
      <w:r w:rsidR="005613D6" w:rsidRPr="00D6232E">
        <w:rPr>
          <w:iCs/>
          <w:kern w:val="22"/>
          <w:sz w:val="22"/>
          <w:lang w:val="fr-FR"/>
        </w:rPr>
        <w:t xml:space="preserve"> </w:t>
      </w:r>
      <w:r w:rsidR="00D04EC6">
        <w:rPr>
          <w:iCs/>
          <w:kern w:val="22"/>
          <w:sz w:val="22"/>
          <w:lang w:val="fr-FR"/>
        </w:rPr>
        <w:t xml:space="preserve">dans des </w:t>
      </w:r>
      <w:r w:rsidR="00FC7EA5" w:rsidRPr="00BD0571">
        <w:rPr>
          <w:iCs/>
          <w:kern w:val="22"/>
          <w:sz w:val="22"/>
          <w:lang w:val="fr-FR"/>
        </w:rPr>
        <w:t>collections</w:t>
      </w:r>
      <w:r w:rsidR="00FC7EA5" w:rsidRPr="00D6232E">
        <w:rPr>
          <w:i/>
          <w:iCs/>
          <w:kern w:val="22"/>
          <w:sz w:val="22"/>
          <w:lang w:val="fr-FR"/>
        </w:rPr>
        <w:t xml:space="preserve"> ex situ</w:t>
      </w:r>
      <w:r w:rsidR="00D04EC6">
        <w:rPr>
          <w:iCs/>
          <w:kern w:val="22"/>
          <w:sz w:val="22"/>
          <w:lang w:val="fr-FR"/>
        </w:rPr>
        <w:t>; b) </w:t>
      </w:r>
      <w:r w:rsidR="008D43E2">
        <w:rPr>
          <w:iCs/>
          <w:kern w:val="22"/>
          <w:sz w:val="22"/>
          <w:lang w:val="fr-FR"/>
        </w:rPr>
        <w:t>l’</w:t>
      </w:r>
      <w:r w:rsidR="008627A9" w:rsidRPr="00D6232E">
        <w:rPr>
          <w:iCs/>
          <w:kern w:val="22"/>
          <w:sz w:val="22"/>
          <w:lang w:val="fr-FR"/>
        </w:rPr>
        <w:t>utilisation</w:t>
      </w:r>
      <w:r w:rsidR="00D04EC6">
        <w:rPr>
          <w:iCs/>
          <w:kern w:val="22"/>
          <w:sz w:val="22"/>
          <w:lang w:val="fr-FR"/>
        </w:rPr>
        <w:t xml:space="preserve"> d’</w:t>
      </w:r>
      <w:r w:rsidR="00E40444" w:rsidRPr="00D6232E">
        <w:rPr>
          <w:iCs/>
          <w:kern w:val="22"/>
          <w:sz w:val="22"/>
          <w:lang w:val="fr-FR"/>
        </w:rPr>
        <w:t>échantillons</w:t>
      </w:r>
      <w:r w:rsidR="004B4018" w:rsidRPr="00D6232E">
        <w:rPr>
          <w:iCs/>
          <w:kern w:val="22"/>
          <w:sz w:val="22"/>
          <w:lang w:val="fr-FR"/>
        </w:rPr>
        <w:t xml:space="preserve"> </w:t>
      </w:r>
      <w:r w:rsidR="008D43E2">
        <w:rPr>
          <w:iCs/>
          <w:kern w:val="22"/>
          <w:sz w:val="22"/>
          <w:lang w:val="fr-FR"/>
        </w:rPr>
        <w:t>de multiples organismes</w:t>
      </w:r>
      <w:r w:rsidR="00D04EC6">
        <w:rPr>
          <w:iCs/>
          <w:kern w:val="22"/>
          <w:sz w:val="22"/>
          <w:lang w:val="fr-FR"/>
        </w:rPr>
        <w:t xml:space="preserve"> provenant de différentes zones géographiques</w:t>
      </w:r>
      <w:r w:rsidR="004B4018" w:rsidRPr="00D6232E">
        <w:rPr>
          <w:iCs/>
          <w:kern w:val="22"/>
          <w:sz w:val="22"/>
          <w:lang w:val="fr-FR"/>
        </w:rPr>
        <w:t>;</w:t>
      </w:r>
      <w:r w:rsidR="00D04EC6">
        <w:rPr>
          <w:iCs/>
          <w:kern w:val="22"/>
          <w:sz w:val="22"/>
          <w:lang w:val="fr-FR"/>
        </w:rPr>
        <w:t xml:space="preserve"> </w:t>
      </w:r>
      <w:r w:rsidR="004B4018" w:rsidRPr="00D6232E">
        <w:rPr>
          <w:iCs/>
          <w:kern w:val="22"/>
          <w:sz w:val="22"/>
          <w:lang w:val="fr-FR"/>
        </w:rPr>
        <w:t xml:space="preserve">c) </w:t>
      </w:r>
      <w:r w:rsidR="008D43E2">
        <w:rPr>
          <w:iCs/>
          <w:kern w:val="22"/>
          <w:sz w:val="22"/>
          <w:lang w:val="fr-FR"/>
        </w:rPr>
        <w:t xml:space="preserve">les </w:t>
      </w:r>
      <w:r w:rsidR="00D04EC6">
        <w:rPr>
          <w:iCs/>
          <w:kern w:val="22"/>
          <w:sz w:val="22"/>
          <w:lang w:val="fr-FR"/>
        </w:rPr>
        <w:t>cas</w:t>
      </w:r>
      <w:r w:rsidR="00D916C7" w:rsidRPr="00D6232E">
        <w:rPr>
          <w:iCs/>
          <w:kern w:val="22"/>
          <w:sz w:val="22"/>
          <w:lang w:val="fr-FR"/>
        </w:rPr>
        <w:t xml:space="preserve"> </w:t>
      </w:r>
      <w:r w:rsidR="008D43E2">
        <w:rPr>
          <w:iCs/>
          <w:kern w:val="22"/>
          <w:sz w:val="22"/>
          <w:lang w:val="fr-FR"/>
        </w:rPr>
        <w:t>qui concernent</w:t>
      </w:r>
      <w:r w:rsidR="00D04EC6">
        <w:rPr>
          <w:iCs/>
          <w:kern w:val="22"/>
          <w:sz w:val="22"/>
          <w:lang w:val="fr-FR"/>
        </w:rPr>
        <w:t xml:space="preserve"> l’utilisation de </w:t>
      </w:r>
      <w:r w:rsidR="005C18A1" w:rsidRPr="00D6232E">
        <w:rPr>
          <w:iCs/>
          <w:kern w:val="22"/>
          <w:sz w:val="22"/>
          <w:lang w:val="fr-FR"/>
        </w:rPr>
        <w:t>“</w:t>
      </w:r>
      <w:r w:rsidR="00BC5F0A">
        <w:rPr>
          <w:iCs/>
          <w:kern w:val="22"/>
          <w:sz w:val="22"/>
          <w:lang w:val="fr-FR"/>
        </w:rPr>
        <w:t>l’information de séquençage</w:t>
      </w:r>
      <w:r w:rsidR="00142D5A">
        <w:rPr>
          <w:iCs/>
          <w:kern w:val="22"/>
          <w:sz w:val="22"/>
          <w:lang w:val="fr-FR"/>
        </w:rPr>
        <w:t xml:space="preserve"> numérique</w:t>
      </w:r>
      <w:r w:rsidR="005C18A1" w:rsidRPr="00D6232E">
        <w:rPr>
          <w:iCs/>
          <w:kern w:val="22"/>
          <w:sz w:val="22"/>
          <w:lang w:val="fr-FR"/>
        </w:rPr>
        <w:t>”</w:t>
      </w:r>
      <w:r w:rsidR="004C3400" w:rsidRPr="00D6232E">
        <w:rPr>
          <w:iCs/>
          <w:kern w:val="22"/>
          <w:sz w:val="22"/>
          <w:lang w:val="fr-FR"/>
        </w:rPr>
        <w:t xml:space="preserve"> (DSI)</w:t>
      </w:r>
      <w:r w:rsidR="005C18A1" w:rsidRPr="00D6232E">
        <w:rPr>
          <w:iCs/>
          <w:kern w:val="22"/>
          <w:sz w:val="22"/>
          <w:lang w:val="fr-FR"/>
        </w:rPr>
        <w:t>.</w:t>
      </w:r>
      <w:r w:rsidR="0007035B" w:rsidRPr="00D6232E">
        <w:rPr>
          <w:iCs/>
          <w:kern w:val="22"/>
          <w:sz w:val="22"/>
          <w:lang w:val="fr-FR"/>
        </w:rPr>
        <w:t xml:space="preserve"> </w:t>
      </w:r>
      <w:r w:rsidR="0065787F" w:rsidRPr="002364AB">
        <w:rPr>
          <w:rStyle w:val="FootnoteReference"/>
          <w:iCs/>
          <w:kern w:val="22"/>
          <w:sz w:val="22"/>
          <w:lang w:val="en-GB"/>
        </w:rPr>
        <w:footnoteReference w:id="8"/>
      </w:r>
    </w:p>
    <w:p w14:paraId="474B576E" w14:textId="120DDB1A" w:rsidR="004B4018" w:rsidRPr="00D25D80" w:rsidRDefault="00733DB1" w:rsidP="004B4018">
      <w:pPr>
        <w:rPr>
          <w:rFonts w:cs="Times New Roman"/>
          <w:kern w:val="22"/>
          <w:sz w:val="22"/>
          <w:lang w:val="fr-FR"/>
        </w:rPr>
      </w:pPr>
      <w:r>
        <w:rPr>
          <w:iCs/>
          <w:kern w:val="22"/>
          <w:sz w:val="22"/>
          <w:lang w:val="fr-FR"/>
        </w:rPr>
        <w:lastRenderedPageBreak/>
        <w:t>Le s</w:t>
      </w:r>
      <w:r w:rsidR="00D6232E" w:rsidRPr="00D6232E">
        <w:rPr>
          <w:iCs/>
          <w:kern w:val="22"/>
          <w:sz w:val="22"/>
          <w:lang w:val="fr-FR"/>
        </w:rPr>
        <w:t>ous-groupe</w:t>
      </w:r>
      <w:r>
        <w:rPr>
          <w:iCs/>
          <w:kern w:val="22"/>
          <w:sz w:val="22"/>
          <w:lang w:val="fr-FR"/>
        </w:rPr>
        <w:t xml:space="preserve"> </w:t>
      </w:r>
      <w:r w:rsidR="004B4018" w:rsidRPr="00D6232E">
        <w:rPr>
          <w:iCs/>
          <w:kern w:val="22"/>
          <w:sz w:val="22"/>
          <w:lang w:val="fr-FR"/>
        </w:rPr>
        <w:t xml:space="preserve">a) </w:t>
      </w:r>
      <w:r>
        <w:rPr>
          <w:iCs/>
          <w:kern w:val="22"/>
          <w:sz w:val="22"/>
          <w:lang w:val="fr-FR"/>
        </w:rPr>
        <w:t xml:space="preserve">concerne la détention </w:t>
      </w:r>
      <w:r w:rsidR="00D6232E">
        <w:rPr>
          <w:iCs/>
          <w:kern w:val="22"/>
          <w:sz w:val="22"/>
          <w:lang w:val="fr-FR"/>
        </w:rPr>
        <w:t>de ressources</w:t>
      </w:r>
      <w:r w:rsidR="00E3674F" w:rsidRPr="00D6232E">
        <w:rPr>
          <w:iCs/>
          <w:kern w:val="22"/>
          <w:sz w:val="22"/>
          <w:lang w:val="fr-FR"/>
        </w:rPr>
        <w:t xml:space="preserve"> génétiques</w:t>
      </w:r>
      <w:r w:rsidR="004B4018" w:rsidRPr="00D6232E">
        <w:rPr>
          <w:iCs/>
          <w:kern w:val="22"/>
          <w:sz w:val="22"/>
          <w:lang w:val="fr-FR"/>
        </w:rPr>
        <w:t xml:space="preserve"> </w:t>
      </w:r>
      <w:r w:rsidR="008D43E2">
        <w:rPr>
          <w:iCs/>
          <w:kern w:val="22"/>
          <w:sz w:val="22"/>
          <w:lang w:val="fr-FR"/>
        </w:rPr>
        <w:t xml:space="preserve">dont on ne peut </w:t>
      </w:r>
      <w:r w:rsidR="00DB08F9">
        <w:rPr>
          <w:iCs/>
          <w:kern w:val="22"/>
          <w:sz w:val="22"/>
          <w:lang w:val="fr-FR"/>
        </w:rPr>
        <w:t>déterminer la provenance</w:t>
      </w:r>
      <w:r w:rsidR="005613D6" w:rsidRPr="00D6232E">
        <w:rPr>
          <w:iCs/>
          <w:kern w:val="22"/>
          <w:sz w:val="22"/>
          <w:lang w:val="fr-FR"/>
        </w:rPr>
        <w:t xml:space="preserve"> </w:t>
      </w:r>
      <w:r>
        <w:rPr>
          <w:iCs/>
          <w:kern w:val="22"/>
          <w:sz w:val="22"/>
          <w:lang w:val="fr-FR"/>
        </w:rPr>
        <w:t>dans des</w:t>
      </w:r>
      <w:r w:rsidR="004B4018" w:rsidRPr="00D6232E">
        <w:rPr>
          <w:iCs/>
          <w:kern w:val="22"/>
          <w:sz w:val="22"/>
          <w:lang w:val="fr-FR"/>
        </w:rPr>
        <w:t xml:space="preserve"> </w:t>
      </w:r>
      <w:r w:rsidR="00FC7EA5" w:rsidRPr="008D43E2">
        <w:rPr>
          <w:kern w:val="22"/>
          <w:sz w:val="22"/>
          <w:lang w:val="fr-FR"/>
        </w:rPr>
        <w:t xml:space="preserve">collections </w:t>
      </w:r>
      <w:r w:rsidR="00FC7EA5" w:rsidRPr="00D6232E">
        <w:rPr>
          <w:i/>
          <w:kern w:val="22"/>
          <w:sz w:val="22"/>
          <w:lang w:val="fr-FR"/>
        </w:rPr>
        <w:t>ex situ</w:t>
      </w:r>
      <w:r w:rsidR="004B4018" w:rsidRPr="00D6232E">
        <w:rPr>
          <w:iCs/>
          <w:kern w:val="22"/>
          <w:sz w:val="22"/>
          <w:lang w:val="fr-FR"/>
        </w:rPr>
        <w:t xml:space="preserve">, </w:t>
      </w:r>
      <w:r w:rsidR="008D43E2">
        <w:rPr>
          <w:iCs/>
          <w:kern w:val="22"/>
          <w:sz w:val="22"/>
          <w:lang w:val="fr-FR"/>
        </w:rPr>
        <w:t>telles que</w:t>
      </w:r>
      <w:r>
        <w:rPr>
          <w:iCs/>
          <w:kern w:val="22"/>
          <w:sz w:val="22"/>
          <w:lang w:val="fr-FR"/>
        </w:rPr>
        <w:t xml:space="preserve"> les</w:t>
      </w:r>
      <w:r w:rsidR="004B4018" w:rsidRPr="00D6232E">
        <w:rPr>
          <w:iCs/>
          <w:kern w:val="22"/>
          <w:sz w:val="22"/>
          <w:lang w:val="fr-FR"/>
        </w:rPr>
        <w:t xml:space="preserve"> </w:t>
      </w:r>
      <w:r w:rsidR="00D6232E">
        <w:rPr>
          <w:rFonts w:cs="Times New Roman"/>
          <w:kern w:val="22"/>
          <w:sz w:val="22"/>
          <w:lang w:val="fr-FR"/>
        </w:rPr>
        <w:t>jardins botaniques</w:t>
      </w:r>
      <w:r w:rsidR="004B4018" w:rsidRPr="00D6232E">
        <w:rPr>
          <w:rFonts w:cs="Times New Roman"/>
          <w:kern w:val="22"/>
          <w:sz w:val="22"/>
          <w:lang w:val="fr-FR"/>
        </w:rPr>
        <w:t xml:space="preserve">, </w:t>
      </w:r>
      <w:r>
        <w:rPr>
          <w:rFonts w:cs="Times New Roman"/>
          <w:kern w:val="22"/>
          <w:sz w:val="22"/>
          <w:lang w:val="fr-FR"/>
        </w:rPr>
        <w:t xml:space="preserve">les </w:t>
      </w:r>
      <w:r w:rsidR="00A71176">
        <w:rPr>
          <w:rFonts w:cs="Times New Roman"/>
          <w:kern w:val="22"/>
          <w:sz w:val="22"/>
          <w:lang w:val="fr-FR"/>
        </w:rPr>
        <w:t>herbier</w:t>
      </w:r>
      <w:r w:rsidR="004B4018" w:rsidRPr="00D6232E">
        <w:rPr>
          <w:rFonts w:cs="Times New Roman"/>
          <w:kern w:val="22"/>
          <w:sz w:val="22"/>
          <w:lang w:val="fr-FR"/>
        </w:rPr>
        <w:t xml:space="preserve">s, </w:t>
      </w:r>
      <w:r>
        <w:rPr>
          <w:rFonts w:cs="Times New Roman"/>
          <w:kern w:val="22"/>
          <w:sz w:val="22"/>
          <w:lang w:val="fr-FR"/>
        </w:rPr>
        <w:t xml:space="preserve">les </w:t>
      </w:r>
      <w:r w:rsidR="00E15AC0">
        <w:rPr>
          <w:rFonts w:cs="Times New Roman"/>
          <w:kern w:val="22"/>
          <w:sz w:val="22"/>
          <w:lang w:val="fr-FR"/>
        </w:rPr>
        <w:t>collections de cultures</w:t>
      </w:r>
      <w:r w:rsidR="004B4018" w:rsidRPr="00D6232E">
        <w:rPr>
          <w:rFonts w:cs="Times New Roman"/>
          <w:kern w:val="22"/>
          <w:sz w:val="22"/>
          <w:lang w:val="fr-FR"/>
        </w:rPr>
        <w:t xml:space="preserve">, </w:t>
      </w:r>
      <w:r w:rsidR="00202126">
        <w:rPr>
          <w:rFonts w:cs="Times New Roman"/>
          <w:kern w:val="22"/>
          <w:sz w:val="22"/>
          <w:lang w:val="fr-FR"/>
        </w:rPr>
        <w:t xml:space="preserve">les </w:t>
      </w:r>
      <w:r w:rsidR="00D6232E" w:rsidRPr="00D6232E">
        <w:rPr>
          <w:rFonts w:cs="Times New Roman"/>
          <w:kern w:val="22"/>
          <w:sz w:val="22"/>
          <w:lang w:val="fr-FR"/>
        </w:rPr>
        <w:t>banques de gènes</w:t>
      </w:r>
      <w:r w:rsidR="004B4018" w:rsidRPr="00D6232E">
        <w:rPr>
          <w:rFonts w:cs="Times New Roman"/>
          <w:kern w:val="22"/>
          <w:sz w:val="22"/>
          <w:lang w:val="fr-FR"/>
        </w:rPr>
        <w:t xml:space="preserve">, </w:t>
      </w:r>
      <w:r w:rsidR="00202126">
        <w:rPr>
          <w:rFonts w:cs="Times New Roman"/>
          <w:kern w:val="22"/>
          <w:sz w:val="22"/>
          <w:lang w:val="fr-FR"/>
        </w:rPr>
        <w:t>les banques de semences</w:t>
      </w:r>
      <w:r w:rsidR="004B4018" w:rsidRPr="00D6232E">
        <w:rPr>
          <w:rFonts w:cs="Times New Roman"/>
          <w:kern w:val="22"/>
          <w:sz w:val="22"/>
          <w:lang w:val="fr-FR"/>
        </w:rPr>
        <w:t xml:space="preserve">, </w:t>
      </w:r>
      <w:r w:rsidR="00202126">
        <w:rPr>
          <w:rFonts w:cs="Times New Roman"/>
          <w:kern w:val="22"/>
          <w:sz w:val="22"/>
          <w:lang w:val="fr-FR"/>
        </w:rPr>
        <w:t xml:space="preserve">les </w:t>
      </w:r>
      <w:r w:rsidR="004B4018" w:rsidRPr="00D6232E">
        <w:rPr>
          <w:rFonts w:cs="Times New Roman"/>
          <w:kern w:val="22"/>
          <w:sz w:val="22"/>
          <w:lang w:val="fr-FR"/>
        </w:rPr>
        <w:t xml:space="preserve">zoos, </w:t>
      </w:r>
      <w:r w:rsidR="00202126">
        <w:rPr>
          <w:rFonts w:cs="Times New Roman"/>
          <w:kern w:val="22"/>
          <w:sz w:val="22"/>
          <w:lang w:val="fr-FR"/>
        </w:rPr>
        <w:t>les aquariums</w:t>
      </w:r>
      <w:r w:rsidR="00E3674F" w:rsidRPr="00D6232E">
        <w:rPr>
          <w:rFonts w:cs="Times New Roman"/>
          <w:kern w:val="22"/>
          <w:sz w:val="22"/>
          <w:lang w:val="fr-FR"/>
        </w:rPr>
        <w:t xml:space="preserve"> et </w:t>
      </w:r>
      <w:r w:rsidR="00202126">
        <w:rPr>
          <w:rFonts w:cs="Times New Roman"/>
          <w:kern w:val="22"/>
          <w:sz w:val="22"/>
          <w:lang w:val="fr-FR"/>
        </w:rPr>
        <w:t xml:space="preserve">les </w:t>
      </w:r>
      <w:r w:rsidR="004B4018" w:rsidRPr="00D6232E">
        <w:rPr>
          <w:rFonts w:cs="Times New Roman"/>
          <w:kern w:val="22"/>
          <w:sz w:val="22"/>
          <w:lang w:val="fr-FR"/>
        </w:rPr>
        <w:t>collections</w:t>
      </w:r>
      <w:r w:rsidR="00202126">
        <w:rPr>
          <w:rFonts w:cs="Times New Roman"/>
          <w:kern w:val="22"/>
          <w:sz w:val="22"/>
          <w:lang w:val="fr-FR"/>
        </w:rPr>
        <w:t xml:space="preserve"> privées</w:t>
      </w:r>
      <w:r w:rsidR="004B4018" w:rsidRPr="00D6232E">
        <w:rPr>
          <w:rFonts w:cs="Times New Roman"/>
          <w:kern w:val="22"/>
          <w:sz w:val="22"/>
          <w:lang w:val="fr-FR"/>
        </w:rPr>
        <w:t xml:space="preserve">. </w:t>
      </w:r>
      <w:r w:rsidR="00202126" w:rsidRPr="00202126">
        <w:rPr>
          <w:rFonts w:cs="Times New Roman"/>
          <w:kern w:val="22"/>
          <w:sz w:val="22"/>
          <w:lang w:val="fr-FR"/>
        </w:rPr>
        <w:t>Ces</w:t>
      </w:r>
      <w:r w:rsidR="004B4018" w:rsidRPr="00202126">
        <w:rPr>
          <w:rFonts w:cs="Times New Roman"/>
          <w:kern w:val="22"/>
          <w:sz w:val="22"/>
          <w:lang w:val="fr-FR"/>
        </w:rPr>
        <w:t xml:space="preserve"> collections </w:t>
      </w:r>
      <w:r w:rsidR="008D43E2" w:rsidRPr="00D6232E">
        <w:rPr>
          <w:i/>
          <w:kern w:val="22"/>
          <w:sz w:val="22"/>
          <w:lang w:val="fr-FR"/>
        </w:rPr>
        <w:t>ex situ</w:t>
      </w:r>
      <w:r w:rsidR="008D43E2">
        <w:rPr>
          <w:rFonts w:cs="Times New Roman"/>
          <w:kern w:val="22"/>
          <w:sz w:val="22"/>
          <w:lang w:val="fr-FR"/>
        </w:rPr>
        <w:t xml:space="preserve"> peuvent avoir </w:t>
      </w:r>
      <w:r w:rsidR="00202126">
        <w:rPr>
          <w:rFonts w:cs="Times New Roman"/>
          <w:kern w:val="22"/>
          <w:sz w:val="22"/>
          <w:lang w:val="fr-FR"/>
        </w:rPr>
        <w:t xml:space="preserve">des </w:t>
      </w:r>
      <w:r w:rsidR="00D6232E" w:rsidRPr="00202126">
        <w:rPr>
          <w:rFonts w:cs="Times New Roman"/>
          <w:kern w:val="22"/>
          <w:sz w:val="22"/>
          <w:lang w:val="fr-FR"/>
        </w:rPr>
        <w:t>spécimen</w:t>
      </w:r>
      <w:r w:rsidR="00202126">
        <w:rPr>
          <w:rFonts w:cs="Times New Roman"/>
          <w:kern w:val="22"/>
          <w:sz w:val="22"/>
          <w:lang w:val="fr-FR"/>
        </w:rPr>
        <w:t>s acquis</w:t>
      </w:r>
      <w:r w:rsidR="004B4018" w:rsidRPr="00202126">
        <w:rPr>
          <w:rFonts w:cs="Times New Roman"/>
          <w:kern w:val="22"/>
          <w:sz w:val="22"/>
          <w:lang w:val="fr-FR"/>
        </w:rPr>
        <w:t xml:space="preserve"> </w:t>
      </w:r>
      <w:r w:rsidR="00202126">
        <w:rPr>
          <w:rFonts w:cs="Times New Roman"/>
          <w:kern w:val="22"/>
          <w:sz w:val="22"/>
          <w:lang w:val="fr-FR"/>
        </w:rPr>
        <w:t>avant ou après</w:t>
      </w:r>
      <w:r w:rsidR="001E7182" w:rsidRPr="00202126">
        <w:rPr>
          <w:rFonts w:cs="Times New Roman"/>
          <w:kern w:val="22"/>
          <w:sz w:val="22"/>
          <w:lang w:val="fr-FR"/>
        </w:rPr>
        <w:t xml:space="preserve"> </w:t>
      </w:r>
      <w:r w:rsidR="00202126">
        <w:rPr>
          <w:rFonts w:cs="Times New Roman"/>
          <w:kern w:val="22"/>
          <w:sz w:val="22"/>
          <w:lang w:val="fr-FR"/>
        </w:rPr>
        <w:t xml:space="preserve">l’entrée en vigueur de la </w:t>
      </w:r>
      <w:r w:rsidR="004B4018" w:rsidRPr="00202126">
        <w:rPr>
          <w:rFonts w:cs="Times New Roman"/>
          <w:kern w:val="22"/>
          <w:sz w:val="22"/>
          <w:lang w:val="fr-FR"/>
        </w:rPr>
        <w:t xml:space="preserve">Convention </w:t>
      </w:r>
      <w:r w:rsidR="0020703A" w:rsidRPr="00202126">
        <w:rPr>
          <w:rFonts w:cs="Times New Roman"/>
          <w:kern w:val="22"/>
          <w:sz w:val="22"/>
          <w:lang w:val="fr-FR"/>
        </w:rPr>
        <w:t>sur la diversité biologique</w:t>
      </w:r>
      <w:r w:rsidR="004C3400" w:rsidRPr="00202126">
        <w:rPr>
          <w:rFonts w:cs="Times New Roman"/>
          <w:kern w:val="22"/>
          <w:sz w:val="22"/>
          <w:lang w:val="fr-FR"/>
        </w:rPr>
        <w:t xml:space="preserve"> (</w:t>
      </w:r>
      <w:r w:rsidR="007347F7">
        <w:rPr>
          <w:rFonts w:cs="Times New Roman"/>
          <w:kern w:val="22"/>
          <w:sz w:val="22"/>
          <w:lang w:val="fr-FR"/>
        </w:rPr>
        <w:t xml:space="preserve">ci-après </w:t>
      </w:r>
      <w:r w:rsidR="004C3400" w:rsidRPr="00202126">
        <w:rPr>
          <w:rFonts w:cs="Times New Roman"/>
          <w:kern w:val="22"/>
          <w:sz w:val="22"/>
          <w:lang w:val="fr-FR"/>
        </w:rPr>
        <w:t>Convention)</w:t>
      </w:r>
      <w:r w:rsidR="004B4018" w:rsidRPr="00202126">
        <w:rPr>
          <w:rFonts w:cs="Times New Roman"/>
          <w:kern w:val="22"/>
          <w:sz w:val="22"/>
          <w:lang w:val="fr-FR"/>
        </w:rPr>
        <w:t xml:space="preserve">, </w:t>
      </w:r>
      <w:r w:rsidR="008D43E2">
        <w:rPr>
          <w:rFonts w:cs="Times New Roman"/>
          <w:kern w:val="22"/>
          <w:sz w:val="22"/>
          <w:lang w:val="fr-FR"/>
        </w:rPr>
        <w:t>soulevant la</w:t>
      </w:r>
      <w:r w:rsidR="00202126">
        <w:rPr>
          <w:rFonts w:cs="Times New Roman"/>
          <w:kern w:val="22"/>
          <w:sz w:val="22"/>
          <w:lang w:val="fr-FR"/>
        </w:rPr>
        <w:t xml:space="preserve"> </w:t>
      </w:r>
      <w:r w:rsidR="008D43E2">
        <w:rPr>
          <w:rFonts w:cs="Times New Roman"/>
          <w:kern w:val="22"/>
          <w:sz w:val="22"/>
          <w:lang w:val="fr-FR"/>
        </w:rPr>
        <w:t>question du</w:t>
      </w:r>
      <w:r w:rsidR="00202126">
        <w:rPr>
          <w:rFonts w:cs="Times New Roman"/>
          <w:kern w:val="22"/>
          <w:sz w:val="22"/>
          <w:lang w:val="fr-FR"/>
        </w:rPr>
        <w:t xml:space="preserve"> champ d’application</w:t>
      </w:r>
      <w:r w:rsidR="008D43E2">
        <w:rPr>
          <w:rFonts w:cs="Times New Roman"/>
          <w:kern w:val="22"/>
          <w:sz w:val="22"/>
          <w:lang w:val="fr-FR"/>
        </w:rPr>
        <w:t xml:space="preserve"> du traité</w:t>
      </w:r>
      <w:r w:rsidR="00202126">
        <w:rPr>
          <w:rFonts w:cs="Times New Roman"/>
          <w:kern w:val="22"/>
          <w:sz w:val="22"/>
          <w:lang w:val="fr-FR"/>
        </w:rPr>
        <w:t xml:space="preserve"> dans le temps</w:t>
      </w:r>
      <w:r w:rsidR="004B4018" w:rsidRPr="00202126">
        <w:rPr>
          <w:rFonts w:cs="Times New Roman"/>
          <w:kern w:val="22"/>
          <w:sz w:val="22"/>
          <w:lang w:val="fr-FR"/>
        </w:rPr>
        <w:t xml:space="preserve">. </w:t>
      </w:r>
      <w:r w:rsidR="00202126" w:rsidRPr="00D25D80">
        <w:rPr>
          <w:rFonts w:cs="Times New Roman"/>
          <w:kern w:val="22"/>
          <w:sz w:val="22"/>
          <w:lang w:val="fr-FR"/>
        </w:rPr>
        <w:t xml:space="preserve">De plus, certains </w:t>
      </w:r>
      <w:r w:rsidR="00D25D80">
        <w:rPr>
          <w:rFonts w:cs="Times New Roman"/>
          <w:kern w:val="22"/>
          <w:sz w:val="22"/>
          <w:lang w:val="fr-FR"/>
        </w:rPr>
        <w:t>spé</w:t>
      </w:r>
      <w:r w:rsidR="00D25D80" w:rsidRPr="00D25D80">
        <w:rPr>
          <w:rFonts w:cs="Times New Roman"/>
          <w:kern w:val="22"/>
          <w:sz w:val="22"/>
          <w:lang w:val="fr-FR"/>
        </w:rPr>
        <w:t xml:space="preserve">cimens ont parfois été déposés </w:t>
      </w:r>
      <w:r w:rsidR="00D25D80">
        <w:rPr>
          <w:rFonts w:cs="Times New Roman"/>
          <w:kern w:val="22"/>
          <w:sz w:val="22"/>
          <w:lang w:val="fr-FR"/>
        </w:rPr>
        <w:t xml:space="preserve">dans des collections </w:t>
      </w:r>
      <w:r w:rsidR="00D25D80" w:rsidRPr="00D25D80">
        <w:rPr>
          <w:rFonts w:cs="Times New Roman"/>
          <w:kern w:val="22"/>
          <w:sz w:val="22"/>
          <w:lang w:val="fr-FR"/>
        </w:rPr>
        <w:t>sans fourni</w:t>
      </w:r>
      <w:r w:rsidR="00D25D80">
        <w:rPr>
          <w:rFonts w:cs="Times New Roman"/>
          <w:kern w:val="22"/>
          <w:sz w:val="22"/>
          <w:lang w:val="fr-FR"/>
        </w:rPr>
        <w:t>r</w:t>
      </w:r>
      <w:r w:rsidR="004B4018" w:rsidRPr="00D25D80">
        <w:rPr>
          <w:rFonts w:cs="Times New Roman"/>
          <w:kern w:val="22"/>
          <w:sz w:val="22"/>
          <w:lang w:val="fr-FR"/>
        </w:rPr>
        <w:t xml:space="preserve"> </w:t>
      </w:r>
      <w:r w:rsidR="008D43E2">
        <w:rPr>
          <w:rFonts w:cs="Times New Roman"/>
          <w:kern w:val="22"/>
          <w:sz w:val="22"/>
          <w:lang w:val="fr-FR"/>
        </w:rPr>
        <w:t>d’</w:t>
      </w:r>
      <w:r w:rsidR="004B4018" w:rsidRPr="00D25D80">
        <w:rPr>
          <w:rFonts w:cs="Times New Roman"/>
          <w:kern w:val="22"/>
          <w:sz w:val="22"/>
          <w:lang w:val="fr-FR"/>
        </w:rPr>
        <w:t>information</w:t>
      </w:r>
      <w:r w:rsidR="009D43F1">
        <w:rPr>
          <w:rFonts w:cs="Times New Roman"/>
          <w:kern w:val="22"/>
          <w:sz w:val="22"/>
          <w:lang w:val="fr-FR"/>
        </w:rPr>
        <w:t xml:space="preserve"> sur le pays</w:t>
      </w:r>
      <w:r w:rsidR="008D43E2">
        <w:rPr>
          <w:rFonts w:cs="Times New Roman"/>
          <w:kern w:val="22"/>
          <w:sz w:val="22"/>
          <w:lang w:val="fr-FR"/>
        </w:rPr>
        <w:t xml:space="preserve"> d</w:t>
      </w:r>
      <w:r w:rsidR="00CD0A34">
        <w:rPr>
          <w:rFonts w:cs="Times New Roman"/>
          <w:kern w:val="22"/>
          <w:sz w:val="22"/>
          <w:lang w:val="fr-FR"/>
        </w:rPr>
        <w:t>’origine</w:t>
      </w:r>
      <w:r w:rsidR="008D43E2">
        <w:rPr>
          <w:rFonts w:cs="Times New Roman"/>
          <w:kern w:val="22"/>
          <w:sz w:val="22"/>
          <w:lang w:val="fr-FR"/>
        </w:rPr>
        <w:t xml:space="preserve"> des ressources, </w:t>
      </w:r>
      <w:r w:rsidR="00CD0A34">
        <w:rPr>
          <w:rFonts w:cs="Times New Roman"/>
          <w:kern w:val="22"/>
          <w:sz w:val="22"/>
          <w:lang w:val="fr-FR"/>
        </w:rPr>
        <w:t xml:space="preserve">quand bien même </w:t>
      </w:r>
      <w:r w:rsidR="008D43E2">
        <w:rPr>
          <w:rFonts w:cs="Times New Roman"/>
          <w:kern w:val="22"/>
          <w:sz w:val="22"/>
          <w:lang w:val="fr-FR"/>
        </w:rPr>
        <w:t xml:space="preserve">ces </w:t>
      </w:r>
      <w:r w:rsidR="00A71176">
        <w:rPr>
          <w:rFonts w:cs="Times New Roman"/>
          <w:kern w:val="22"/>
          <w:sz w:val="22"/>
          <w:lang w:val="fr-FR"/>
        </w:rPr>
        <w:t>spécimens</w:t>
      </w:r>
      <w:r w:rsidR="008D43E2">
        <w:rPr>
          <w:rFonts w:cs="Times New Roman"/>
          <w:kern w:val="22"/>
          <w:sz w:val="22"/>
          <w:lang w:val="fr-FR"/>
        </w:rPr>
        <w:t xml:space="preserve"> sont accessibles actuellement à des</w:t>
      </w:r>
      <w:r w:rsidR="00D25D80">
        <w:rPr>
          <w:rFonts w:cs="Times New Roman"/>
          <w:kern w:val="22"/>
          <w:sz w:val="22"/>
          <w:lang w:val="fr-FR"/>
        </w:rPr>
        <w:t xml:space="preserve"> fins d’utilisation commerciale</w:t>
      </w:r>
      <w:r w:rsidR="004B4018" w:rsidRPr="00D25D80">
        <w:rPr>
          <w:rFonts w:cs="Times New Roman"/>
          <w:kern w:val="22"/>
          <w:sz w:val="22"/>
          <w:lang w:val="fr-FR"/>
        </w:rPr>
        <w:t>.</w:t>
      </w:r>
    </w:p>
    <w:p w14:paraId="3065F200" w14:textId="61DEE5EF" w:rsidR="004B4018" w:rsidRPr="00A77BB8" w:rsidRDefault="009D43F1" w:rsidP="004B4018">
      <w:pPr>
        <w:rPr>
          <w:iCs/>
          <w:kern w:val="22"/>
          <w:sz w:val="22"/>
          <w:lang w:val="fr-FR"/>
        </w:rPr>
      </w:pPr>
      <w:r>
        <w:rPr>
          <w:iCs/>
          <w:kern w:val="22"/>
          <w:sz w:val="22"/>
          <w:lang w:val="fr-FR"/>
        </w:rPr>
        <w:t>Le s</w:t>
      </w:r>
      <w:r w:rsidR="00D6232E" w:rsidRPr="00D04EC6">
        <w:rPr>
          <w:iCs/>
          <w:kern w:val="22"/>
          <w:sz w:val="22"/>
          <w:lang w:val="fr-FR"/>
        </w:rPr>
        <w:t>ous-groupe</w:t>
      </w:r>
      <w:r>
        <w:rPr>
          <w:iCs/>
          <w:kern w:val="22"/>
          <w:sz w:val="22"/>
          <w:lang w:val="fr-FR"/>
        </w:rPr>
        <w:t xml:space="preserve"> </w:t>
      </w:r>
      <w:r w:rsidR="004B4018" w:rsidRPr="00D04EC6">
        <w:rPr>
          <w:iCs/>
          <w:kern w:val="22"/>
          <w:sz w:val="22"/>
          <w:lang w:val="fr-FR"/>
        </w:rPr>
        <w:t xml:space="preserve">b) </w:t>
      </w:r>
      <w:r w:rsidR="00733DB1">
        <w:rPr>
          <w:iCs/>
          <w:kern w:val="22"/>
          <w:sz w:val="22"/>
          <w:lang w:val="fr-FR"/>
        </w:rPr>
        <w:t>concerne</w:t>
      </w:r>
      <w:r w:rsidR="004B4018" w:rsidRPr="00D04EC6">
        <w:rPr>
          <w:iCs/>
          <w:kern w:val="22"/>
          <w:sz w:val="22"/>
          <w:lang w:val="fr-FR"/>
        </w:rPr>
        <w:t xml:space="preserve"> </w:t>
      </w:r>
      <w:r>
        <w:rPr>
          <w:iCs/>
          <w:kern w:val="22"/>
          <w:sz w:val="22"/>
          <w:lang w:val="fr-FR"/>
        </w:rPr>
        <w:t>l’utilisation</w:t>
      </w:r>
      <w:r w:rsidR="004B4018" w:rsidRPr="00D04EC6">
        <w:rPr>
          <w:iCs/>
          <w:kern w:val="22"/>
          <w:sz w:val="22"/>
          <w:lang w:val="fr-FR"/>
        </w:rPr>
        <w:t xml:space="preserve"> </w:t>
      </w:r>
      <w:r>
        <w:rPr>
          <w:iCs/>
          <w:kern w:val="22"/>
          <w:sz w:val="22"/>
          <w:lang w:val="fr-FR"/>
        </w:rPr>
        <w:t>d’</w:t>
      </w:r>
      <w:r w:rsidR="00E40444" w:rsidRPr="00D04EC6">
        <w:rPr>
          <w:iCs/>
          <w:kern w:val="22"/>
          <w:sz w:val="22"/>
          <w:lang w:val="fr-FR"/>
        </w:rPr>
        <w:t>échantillons</w:t>
      </w:r>
      <w:r w:rsidR="004B4018" w:rsidRPr="00D04EC6">
        <w:rPr>
          <w:iCs/>
          <w:kern w:val="22"/>
          <w:sz w:val="22"/>
          <w:lang w:val="fr-FR"/>
        </w:rPr>
        <w:t xml:space="preserve"> </w:t>
      </w:r>
      <w:r w:rsidR="008D43E2">
        <w:rPr>
          <w:iCs/>
          <w:kern w:val="22"/>
          <w:sz w:val="22"/>
          <w:lang w:val="fr-FR"/>
        </w:rPr>
        <w:t>de multiples organismes</w:t>
      </w:r>
      <w:r>
        <w:rPr>
          <w:iCs/>
          <w:kern w:val="22"/>
          <w:sz w:val="22"/>
          <w:lang w:val="fr-FR"/>
        </w:rPr>
        <w:t xml:space="preserve"> provenant de plusieur</w:t>
      </w:r>
      <w:r w:rsidR="00D04EC6" w:rsidRPr="00D04EC6">
        <w:rPr>
          <w:iCs/>
          <w:kern w:val="22"/>
          <w:sz w:val="22"/>
          <w:lang w:val="fr-FR"/>
        </w:rPr>
        <w:t>s zones géographiques</w:t>
      </w:r>
      <w:r w:rsidR="00420B96">
        <w:rPr>
          <w:iCs/>
          <w:kern w:val="22"/>
          <w:sz w:val="22"/>
          <w:lang w:val="fr-FR"/>
        </w:rPr>
        <w:t>.</w:t>
      </w:r>
      <w:r w:rsidR="004B4018" w:rsidRPr="00D04EC6">
        <w:rPr>
          <w:iCs/>
          <w:kern w:val="22"/>
          <w:sz w:val="22"/>
          <w:lang w:val="fr-FR"/>
        </w:rPr>
        <w:t xml:space="preserve"> </w:t>
      </w:r>
      <w:r w:rsidRPr="001B2CC8">
        <w:rPr>
          <w:iCs/>
          <w:kern w:val="22"/>
          <w:sz w:val="22"/>
          <w:lang w:val="fr-FR"/>
        </w:rPr>
        <w:t>U</w:t>
      </w:r>
      <w:r w:rsidR="001E7182" w:rsidRPr="001B2CC8">
        <w:rPr>
          <w:iCs/>
          <w:kern w:val="22"/>
          <w:sz w:val="22"/>
          <w:lang w:val="fr-FR"/>
        </w:rPr>
        <w:t xml:space="preserve">n </w:t>
      </w:r>
      <w:r w:rsidR="00CD0A34">
        <w:rPr>
          <w:iCs/>
          <w:kern w:val="22"/>
          <w:sz w:val="22"/>
          <w:lang w:val="fr-FR"/>
        </w:rPr>
        <w:t>exemple présenté dans l’étude décrit</w:t>
      </w:r>
      <w:r w:rsidR="00420B96">
        <w:rPr>
          <w:iCs/>
          <w:kern w:val="22"/>
          <w:sz w:val="22"/>
          <w:lang w:val="fr-FR"/>
        </w:rPr>
        <w:t xml:space="preserve"> </w:t>
      </w:r>
      <w:r w:rsidR="00CD0A34">
        <w:rPr>
          <w:iCs/>
          <w:kern w:val="22"/>
          <w:sz w:val="22"/>
          <w:lang w:val="fr-FR"/>
        </w:rPr>
        <w:t xml:space="preserve">la demande de protection par </w:t>
      </w:r>
      <w:r w:rsidR="00420B96">
        <w:rPr>
          <w:iCs/>
          <w:kern w:val="22"/>
          <w:sz w:val="22"/>
          <w:lang w:val="fr-FR"/>
        </w:rPr>
        <w:t>brevet</w:t>
      </w:r>
      <w:r w:rsidR="00CD0A34">
        <w:rPr>
          <w:iCs/>
          <w:kern w:val="22"/>
          <w:sz w:val="22"/>
          <w:lang w:val="fr-FR"/>
        </w:rPr>
        <w:t xml:space="preserve"> d’une méthode de</w:t>
      </w:r>
      <w:r w:rsidR="00B43E38">
        <w:rPr>
          <w:iCs/>
          <w:kern w:val="22"/>
          <w:sz w:val="22"/>
          <w:lang w:val="fr-FR"/>
        </w:rPr>
        <w:t xml:space="preserve"> </w:t>
      </w:r>
      <w:r w:rsidR="00CD0A34">
        <w:rPr>
          <w:iCs/>
          <w:kern w:val="22"/>
          <w:sz w:val="22"/>
          <w:lang w:val="fr-FR"/>
        </w:rPr>
        <w:t>sélection</w:t>
      </w:r>
      <w:r w:rsidR="004B4018" w:rsidRPr="001B2CC8">
        <w:rPr>
          <w:iCs/>
          <w:kern w:val="22"/>
          <w:sz w:val="22"/>
          <w:lang w:val="fr-FR"/>
        </w:rPr>
        <w:t xml:space="preserve"> </w:t>
      </w:r>
      <w:r w:rsidR="00CD0A34">
        <w:rPr>
          <w:iCs/>
          <w:kern w:val="22"/>
          <w:sz w:val="22"/>
          <w:lang w:val="fr-FR"/>
        </w:rPr>
        <w:t>d</w:t>
      </w:r>
      <w:r w:rsidR="00651632">
        <w:rPr>
          <w:iCs/>
          <w:kern w:val="22"/>
          <w:sz w:val="22"/>
          <w:lang w:val="fr-FR"/>
        </w:rPr>
        <w:t>es pl</w:t>
      </w:r>
      <w:r w:rsidR="001B2CC8">
        <w:rPr>
          <w:iCs/>
          <w:kern w:val="22"/>
          <w:sz w:val="22"/>
          <w:lang w:val="fr-FR"/>
        </w:rPr>
        <w:t>antes</w:t>
      </w:r>
      <w:r w:rsidR="00E3674F" w:rsidRPr="001B2CC8">
        <w:rPr>
          <w:iCs/>
          <w:kern w:val="22"/>
          <w:sz w:val="22"/>
          <w:lang w:val="fr-FR"/>
        </w:rPr>
        <w:t xml:space="preserve"> et </w:t>
      </w:r>
      <w:r w:rsidR="00CD0A34">
        <w:rPr>
          <w:iCs/>
          <w:kern w:val="22"/>
          <w:sz w:val="22"/>
          <w:lang w:val="fr-FR"/>
        </w:rPr>
        <w:t>d</w:t>
      </w:r>
      <w:r w:rsidR="00651632">
        <w:rPr>
          <w:iCs/>
          <w:kern w:val="22"/>
          <w:sz w:val="22"/>
          <w:lang w:val="fr-FR"/>
        </w:rPr>
        <w:t xml:space="preserve">es </w:t>
      </w:r>
      <w:r w:rsidR="001B2CC8">
        <w:rPr>
          <w:iCs/>
          <w:kern w:val="22"/>
          <w:sz w:val="22"/>
          <w:lang w:val="fr-FR"/>
        </w:rPr>
        <w:t>semences du</w:t>
      </w:r>
      <w:r w:rsidR="004B4018" w:rsidRPr="001B2CC8">
        <w:rPr>
          <w:iCs/>
          <w:kern w:val="22"/>
          <w:sz w:val="22"/>
          <w:lang w:val="fr-FR"/>
        </w:rPr>
        <w:t xml:space="preserve"> </w:t>
      </w:r>
      <w:r w:rsidR="001B2CC8" w:rsidRPr="001B2CC8">
        <w:rPr>
          <w:iCs/>
          <w:kern w:val="22"/>
          <w:sz w:val="22"/>
          <w:lang w:val="fr-FR"/>
        </w:rPr>
        <w:t>genre</w:t>
      </w:r>
      <w:r w:rsidR="004B4018" w:rsidRPr="001B2CC8">
        <w:rPr>
          <w:iCs/>
          <w:kern w:val="22"/>
          <w:sz w:val="22"/>
          <w:lang w:val="fr-FR"/>
        </w:rPr>
        <w:t xml:space="preserve"> </w:t>
      </w:r>
      <w:r w:rsidR="004B4018" w:rsidRPr="001B2CC8">
        <w:rPr>
          <w:i/>
          <w:kern w:val="22"/>
          <w:sz w:val="22"/>
          <w:lang w:val="fr-FR"/>
        </w:rPr>
        <w:t xml:space="preserve">Glycine </w:t>
      </w:r>
      <w:r w:rsidR="001B2CC8">
        <w:rPr>
          <w:iCs/>
          <w:kern w:val="22"/>
          <w:sz w:val="22"/>
          <w:lang w:val="fr-FR"/>
        </w:rPr>
        <w:t>(soja</w:t>
      </w:r>
      <w:r w:rsidR="004B4018" w:rsidRPr="001B2CC8">
        <w:rPr>
          <w:iCs/>
          <w:kern w:val="22"/>
          <w:sz w:val="22"/>
          <w:lang w:val="fr-FR"/>
        </w:rPr>
        <w:t xml:space="preserve">) </w:t>
      </w:r>
      <w:r w:rsidR="001B2CC8">
        <w:rPr>
          <w:iCs/>
          <w:kern w:val="22"/>
          <w:sz w:val="22"/>
          <w:lang w:val="fr-FR"/>
        </w:rPr>
        <w:t>pour des caractéristiques liées à la maturité</w:t>
      </w:r>
      <w:r w:rsidR="00E3674F" w:rsidRPr="001B2CC8">
        <w:rPr>
          <w:iCs/>
          <w:kern w:val="22"/>
          <w:sz w:val="22"/>
          <w:lang w:val="fr-FR"/>
        </w:rPr>
        <w:t xml:space="preserve"> et </w:t>
      </w:r>
      <w:r w:rsidR="001B2CC8">
        <w:rPr>
          <w:iCs/>
          <w:kern w:val="22"/>
          <w:sz w:val="22"/>
          <w:lang w:val="fr-FR"/>
        </w:rPr>
        <w:t>la croissance des plantes</w:t>
      </w:r>
      <w:r w:rsidR="004B4018" w:rsidRPr="001B2CC8">
        <w:rPr>
          <w:iCs/>
          <w:kern w:val="22"/>
          <w:sz w:val="22"/>
          <w:lang w:val="fr-FR"/>
        </w:rPr>
        <w:t xml:space="preserve">. </w:t>
      </w:r>
      <w:r w:rsidR="00A77BB8" w:rsidRPr="00A77BB8">
        <w:rPr>
          <w:iCs/>
          <w:kern w:val="22"/>
          <w:sz w:val="22"/>
          <w:lang w:val="fr-FR"/>
        </w:rPr>
        <w:t>L</w:t>
      </w:r>
      <w:r w:rsidR="00CD0A34">
        <w:rPr>
          <w:iCs/>
          <w:kern w:val="22"/>
          <w:sz w:val="22"/>
          <w:lang w:val="fr-FR"/>
        </w:rPr>
        <w:t>a demande de</w:t>
      </w:r>
      <w:r w:rsidR="004B4018" w:rsidRPr="00A77BB8">
        <w:rPr>
          <w:iCs/>
          <w:kern w:val="22"/>
          <w:sz w:val="22"/>
          <w:lang w:val="fr-FR"/>
        </w:rPr>
        <w:t xml:space="preserve"> </w:t>
      </w:r>
      <w:r w:rsidR="00B43E38" w:rsidRPr="00A77BB8">
        <w:rPr>
          <w:iCs/>
          <w:kern w:val="22"/>
          <w:sz w:val="22"/>
          <w:lang w:val="fr-FR"/>
        </w:rPr>
        <w:t>brevet</w:t>
      </w:r>
      <w:r w:rsidR="00A77BB8">
        <w:rPr>
          <w:iCs/>
          <w:kern w:val="22"/>
          <w:sz w:val="22"/>
          <w:lang w:val="fr-FR"/>
        </w:rPr>
        <w:t xml:space="preserve"> indique</w:t>
      </w:r>
      <w:r w:rsidR="00A77BB8" w:rsidRPr="00A77BB8">
        <w:rPr>
          <w:iCs/>
          <w:kern w:val="22"/>
          <w:sz w:val="22"/>
          <w:lang w:val="fr-FR"/>
        </w:rPr>
        <w:t xml:space="preserve"> que l’</w:t>
      </w:r>
      <w:r w:rsidR="00A77BB8">
        <w:rPr>
          <w:iCs/>
          <w:kern w:val="22"/>
          <w:sz w:val="22"/>
          <w:lang w:val="fr-FR"/>
        </w:rPr>
        <w:t>invention est basée sur l’</w:t>
      </w:r>
      <w:r w:rsidR="008627A9" w:rsidRPr="00A77BB8">
        <w:rPr>
          <w:iCs/>
          <w:kern w:val="22"/>
          <w:sz w:val="22"/>
          <w:lang w:val="fr-FR"/>
        </w:rPr>
        <w:t>utilisation</w:t>
      </w:r>
      <w:r w:rsidR="00A77BB8" w:rsidRPr="00A77BB8">
        <w:rPr>
          <w:iCs/>
          <w:kern w:val="22"/>
          <w:sz w:val="22"/>
          <w:lang w:val="fr-FR"/>
        </w:rPr>
        <w:t xml:space="preserve"> de plus de</w:t>
      </w:r>
      <w:r w:rsidR="004B4018" w:rsidRPr="00A77BB8">
        <w:rPr>
          <w:iCs/>
          <w:kern w:val="22"/>
          <w:sz w:val="22"/>
          <w:lang w:val="fr-FR"/>
        </w:rPr>
        <w:t xml:space="preserve"> 250 </w:t>
      </w:r>
      <w:r w:rsidR="00A77BB8" w:rsidRPr="00A77BB8">
        <w:rPr>
          <w:iCs/>
          <w:kern w:val="22"/>
          <w:sz w:val="22"/>
          <w:lang w:val="fr-FR"/>
        </w:rPr>
        <w:t xml:space="preserve">lignées </w:t>
      </w:r>
      <w:r w:rsidR="004B4018" w:rsidRPr="00A77BB8">
        <w:rPr>
          <w:iCs/>
          <w:kern w:val="22"/>
          <w:sz w:val="22"/>
          <w:lang w:val="fr-FR"/>
        </w:rPr>
        <w:t>distinct</w:t>
      </w:r>
      <w:r w:rsidR="00A77BB8" w:rsidRPr="00A77BB8">
        <w:rPr>
          <w:iCs/>
          <w:kern w:val="22"/>
          <w:sz w:val="22"/>
          <w:lang w:val="fr-FR"/>
        </w:rPr>
        <w:t>es de grain</w:t>
      </w:r>
      <w:r w:rsidR="00CD0A34">
        <w:rPr>
          <w:iCs/>
          <w:kern w:val="22"/>
          <w:sz w:val="22"/>
          <w:lang w:val="fr-FR"/>
        </w:rPr>
        <w:t>e</w:t>
      </w:r>
      <w:r w:rsidR="00A77BB8" w:rsidRPr="00A77BB8">
        <w:rPr>
          <w:iCs/>
          <w:kern w:val="22"/>
          <w:sz w:val="22"/>
          <w:lang w:val="fr-FR"/>
        </w:rPr>
        <w:t>s de soja</w:t>
      </w:r>
      <w:r w:rsidR="004B4018" w:rsidRPr="00A77BB8">
        <w:rPr>
          <w:iCs/>
          <w:kern w:val="22"/>
          <w:sz w:val="22"/>
          <w:lang w:val="fr-FR"/>
        </w:rPr>
        <w:t xml:space="preserve">, </w:t>
      </w:r>
      <w:r w:rsidR="00B43E38" w:rsidRPr="00A77BB8">
        <w:rPr>
          <w:iCs/>
          <w:kern w:val="22"/>
          <w:sz w:val="22"/>
          <w:lang w:val="fr-FR"/>
        </w:rPr>
        <w:t>y compris</w:t>
      </w:r>
      <w:r w:rsidR="004B4018" w:rsidRPr="00A77BB8">
        <w:rPr>
          <w:iCs/>
          <w:kern w:val="22"/>
          <w:sz w:val="22"/>
          <w:lang w:val="fr-FR"/>
        </w:rPr>
        <w:t xml:space="preserve"> </w:t>
      </w:r>
      <w:r w:rsidR="00A77BB8" w:rsidRPr="00A77BB8">
        <w:rPr>
          <w:iCs/>
          <w:kern w:val="22"/>
          <w:sz w:val="22"/>
          <w:lang w:val="fr-FR"/>
        </w:rPr>
        <w:t xml:space="preserve">des espèces sauvages et cultivées </w:t>
      </w:r>
      <w:r w:rsidR="00CD0A34">
        <w:rPr>
          <w:iCs/>
          <w:kern w:val="22"/>
          <w:sz w:val="22"/>
          <w:lang w:val="fr-FR"/>
        </w:rPr>
        <w:t xml:space="preserve">venant </w:t>
      </w:r>
      <w:r w:rsidR="00A77BB8" w:rsidRPr="00A77BB8">
        <w:rPr>
          <w:iCs/>
          <w:kern w:val="22"/>
          <w:sz w:val="22"/>
          <w:lang w:val="fr-FR"/>
        </w:rPr>
        <w:t>d’Australie</w:t>
      </w:r>
      <w:r w:rsidR="00E3674F" w:rsidRPr="00A77BB8">
        <w:rPr>
          <w:iCs/>
          <w:kern w:val="22"/>
          <w:sz w:val="22"/>
          <w:lang w:val="fr-FR"/>
        </w:rPr>
        <w:t xml:space="preserve"> et </w:t>
      </w:r>
      <w:r w:rsidR="00A77BB8" w:rsidRPr="00A77BB8">
        <w:rPr>
          <w:iCs/>
          <w:kern w:val="22"/>
          <w:sz w:val="22"/>
          <w:lang w:val="fr-FR"/>
        </w:rPr>
        <w:t>d’Asie</w:t>
      </w:r>
      <w:r w:rsidR="004B4018" w:rsidRPr="00A77BB8">
        <w:rPr>
          <w:iCs/>
          <w:kern w:val="22"/>
          <w:sz w:val="22"/>
          <w:lang w:val="fr-FR"/>
        </w:rPr>
        <w:t xml:space="preserve">, </w:t>
      </w:r>
      <w:r w:rsidR="00A77BB8">
        <w:rPr>
          <w:iCs/>
          <w:kern w:val="22"/>
          <w:sz w:val="22"/>
          <w:lang w:val="fr-FR"/>
        </w:rPr>
        <w:t xml:space="preserve">mais </w:t>
      </w:r>
      <w:r w:rsidR="00CD0A34">
        <w:rPr>
          <w:iCs/>
          <w:kern w:val="22"/>
          <w:sz w:val="22"/>
          <w:lang w:val="fr-FR"/>
        </w:rPr>
        <w:t>elle ne divulgue pas comment ni</w:t>
      </w:r>
      <w:r w:rsidR="00A77BB8">
        <w:rPr>
          <w:iCs/>
          <w:kern w:val="22"/>
          <w:sz w:val="22"/>
          <w:lang w:val="fr-FR"/>
        </w:rPr>
        <w:t xml:space="preserve"> à quel endroit les </w:t>
      </w:r>
      <w:r w:rsidR="00D6232E" w:rsidRPr="00A77BB8">
        <w:rPr>
          <w:iCs/>
          <w:kern w:val="22"/>
          <w:sz w:val="22"/>
          <w:lang w:val="fr-FR"/>
        </w:rPr>
        <w:t>spécimen</w:t>
      </w:r>
      <w:r w:rsidR="004B4018" w:rsidRPr="00A77BB8">
        <w:rPr>
          <w:iCs/>
          <w:kern w:val="22"/>
          <w:sz w:val="22"/>
          <w:lang w:val="fr-FR"/>
        </w:rPr>
        <w:t xml:space="preserve">s </w:t>
      </w:r>
      <w:r w:rsidR="00CD0A34">
        <w:rPr>
          <w:iCs/>
          <w:kern w:val="22"/>
          <w:sz w:val="22"/>
          <w:lang w:val="fr-FR"/>
        </w:rPr>
        <w:t>ont été obtenu</w:t>
      </w:r>
      <w:r w:rsidR="00A77BB8">
        <w:rPr>
          <w:iCs/>
          <w:kern w:val="22"/>
          <w:sz w:val="22"/>
          <w:lang w:val="fr-FR"/>
        </w:rPr>
        <w:t>s (</w:t>
      </w:r>
      <w:r w:rsidR="00CD0A34">
        <w:rPr>
          <w:iCs/>
          <w:kern w:val="22"/>
          <w:sz w:val="22"/>
          <w:lang w:val="fr-FR"/>
        </w:rPr>
        <w:t xml:space="preserve">c’est-à-dire, </w:t>
      </w:r>
      <w:r w:rsidR="00A77BB8">
        <w:rPr>
          <w:iCs/>
          <w:kern w:val="22"/>
          <w:sz w:val="22"/>
          <w:lang w:val="fr-FR"/>
        </w:rPr>
        <w:t xml:space="preserve">s’ils proviennent d’une collecte </w:t>
      </w:r>
      <w:r w:rsidR="00A77BB8" w:rsidRPr="00A77BB8">
        <w:rPr>
          <w:i/>
          <w:iCs/>
          <w:kern w:val="22"/>
          <w:sz w:val="22"/>
          <w:lang w:val="fr-FR"/>
        </w:rPr>
        <w:t>in situ</w:t>
      </w:r>
      <w:r w:rsidR="00A77BB8">
        <w:rPr>
          <w:iCs/>
          <w:kern w:val="22"/>
          <w:sz w:val="22"/>
          <w:lang w:val="fr-FR"/>
        </w:rPr>
        <w:t xml:space="preserve"> ou de</w:t>
      </w:r>
      <w:r w:rsidR="004B4018" w:rsidRPr="00A77BB8">
        <w:rPr>
          <w:iCs/>
          <w:kern w:val="22"/>
          <w:sz w:val="22"/>
          <w:lang w:val="fr-FR"/>
        </w:rPr>
        <w:t xml:space="preserve"> </w:t>
      </w:r>
      <w:r w:rsidR="00FC7EA5" w:rsidRPr="00BD0571">
        <w:rPr>
          <w:kern w:val="22"/>
          <w:sz w:val="22"/>
          <w:lang w:val="fr-FR"/>
        </w:rPr>
        <w:t>collections</w:t>
      </w:r>
      <w:r w:rsidR="00FC7EA5" w:rsidRPr="00A77BB8">
        <w:rPr>
          <w:i/>
          <w:kern w:val="22"/>
          <w:sz w:val="22"/>
          <w:lang w:val="fr-FR"/>
        </w:rPr>
        <w:t xml:space="preserve"> ex situ</w:t>
      </w:r>
      <w:r w:rsidR="004B4018" w:rsidRPr="00A77BB8">
        <w:rPr>
          <w:iCs/>
          <w:kern w:val="22"/>
          <w:sz w:val="22"/>
          <w:lang w:val="fr-FR"/>
        </w:rPr>
        <w:t>)</w:t>
      </w:r>
      <w:r w:rsidR="00A70F9B">
        <w:rPr>
          <w:iCs/>
          <w:kern w:val="22"/>
          <w:sz w:val="22"/>
          <w:lang w:val="fr-FR"/>
        </w:rPr>
        <w:t>;</w:t>
      </w:r>
      <w:r w:rsidR="00CD0A34">
        <w:rPr>
          <w:iCs/>
          <w:kern w:val="22"/>
          <w:sz w:val="22"/>
          <w:lang w:val="fr-FR"/>
        </w:rPr>
        <w:t xml:space="preserve"> bien que cette information ne soit pas exigée</w:t>
      </w:r>
      <w:r w:rsidR="000365A8">
        <w:rPr>
          <w:iCs/>
          <w:kern w:val="22"/>
          <w:sz w:val="22"/>
          <w:lang w:val="fr-FR"/>
        </w:rPr>
        <w:t xml:space="preserve"> pour les demandes</w:t>
      </w:r>
      <w:r w:rsidR="00CD0A34">
        <w:rPr>
          <w:iCs/>
          <w:kern w:val="22"/>
          <w:sz w:val="22"/>
          <w:lang w:val="fr-FR"/>
        </w:rPr>
        <w:t xml:space="preserve"> de brevet</w:t>
      </w:r>
      <w:r w:rsidR="000365A8">
        <w:rPr>
          <w:iCs/>
          <w:kern w:val="22"/>
          <w:sz w:val="22"/>
          <w:lang w:val="fr-FR"/>
        </w:rPr>
        <w:t xml:space="preserve"> dans de nombreux</w:t>
      </w:r>
      <w:r w:rsidR="000365A8" w:rsidRPr="00A77BB8">
        <w:rPr>
          <w:iCs/>
          <w:kern w:val="22"/>
          <w:sz w:val="22"/>
          <w:lang w:val="fr-FR"/>
        </w:rPr>
        <w:t xml:space="preserve"> pays</w:t>
      </w:r>
      <w:r w:rsidR="00E66B78" w:rsidRPr="00A77BB8">
        <w:rPr>
          <w:iCs/>
          <w:kern w:val="22"/>
          <w:sz w:val="22"/>
          <w:lang w:val="fr-FR"/>
        </w:rPr>
        <w:t>,</w:t>
      </w:r>
      <w:r w:rsidR="00A70F9B">
        <w:rPr>
          <w:iCs/>
          <w:kern w:val="22"/>
          <w:sz w:val="22"/>
          <w:lang w:val="fr-FR"/>
        </w:rPr>
        <w:t xml:space="preserve"> </w:t>
      </w:r>
      <w:r w:rsidR="00CD0A34">
        <w:rPr>
          <w:iCs/>
          <w:kern w:val="22"/>
          <w:sz w:val="22"/>
          <w:lang w:val="fr-FR"/>
        </w:rPr>
        <w:t xml:space="preserve">elle peut néanmoins s’avérer </w:t>
      </w:r>
      <w:r w:rsidR="00A70F9B">
        <w:rPr>
          <w:iCs/>
          <w:kern w:val="22"/>
          <w:sz w:val="22"/>
          <w:lang w:val="fr-FR"/>
        </w:rPr>
        <w:t>pertinent</w:t>
      </w:r>
      <w:r w:rsidR="00CD0A34">
        <w:rPr>
          <w:iCs/>
          <w:kern w:val="22"/>
          <w:sz w:val="22"/>
          <w:lang w:val="fr-FR"/>
        </w:rPr>
        <w:t xml:space="preserve">e à des </w:t>
      </w:r>
      <w:r w:rsidR="00A70F9B">
        <w:rPr>
          <w:iCs/>
          <w:kern w:val="22"/>
          <w:sz w:val="22"/>
          <w:lang w:val="fr-FR"/>
        </w:rPr>
        <w:t>fins</w:t>
      </w:r>
      <w:r w:rsidR="00E66B78" w:rsidRPr="00A77BB8">
        <w:rPr>
          <w:iCs/>
          <w:kern w:val="22"/>
          <w:sz w:val="22"/>
          <w:lang w:val="fr-FR"/>
        </w:rPr>
        <w:t xml:space="preserve"> </w:t>
      </w:r>
      <w:r w:rsidR="00567684">
        <w:rPr>
          <w:iCs/>
          <w:kern w:val="22"/>
          <w:sz w:val="22"/>
          <w:lang w:val="fr-FR"/>
        </w:rPr>
        <w:t>d’</w:t>
      </w:r>
      <w:r w:rsidR="00A70F9B">
        <w:rPr>
          <w:iCs/>
          <w:kern w:val="22"/>
          <w:sz w:val="22"/>
          <w:lang w:val="fr-FR"/>
        </w:rPr>
        <w:t xml:space="preserve">accès et </w:t>
      </w:r>
      <w:r w:rsidR="00567684">
        <w:rPr>
          <w:iCs/>
          <w:kern w:val="22"/>
          <w:sz w:val="22"/>
          <w:lang w:val="fr-FR"/>
        </w:rPr>
        <w:t xml:space="preserve">de </w:t>
      </w:r>
      <w:r w:rsidR="00A70F9B">
        <w:rPr>
          <w:iCs/>
          <w:kern w:val="22"/>
          <w:sz w:val="22"/>
          <w:lang w:val="fr-FR"/>
        </w:rPr>
        <w:t>partage des avantages</w:t>
      </w:r>
      <w:r w:rsidR="000365A8">
        <w:rPr>
          <w:iCs/>
          <w:kern w:val="22"/>
          <w:sz w:val="22"/>
          <w:lang w:val="fr-FR"/>
        </w:rPr>
        <w:t xml:space="preserve"> dans</w:t>
      </w:r>
      <w:r w:rsidR="00E66B78" w:rsidRPr="00A77BB8">
        <w:rPr>
          <w:iCs/>
          <w:kern w:val="22"/>
          <w:sz w:val="22"/>
          <w:lang w:val="fr-FR"/>
        </w:rPr>
        <w:t xml:space="preserve"> certain</w:t>
      </w:r>
      <w:r w:rsidR="00567684">
        <w:rPr>
          <w:iCs/>
          <w:kern w:val="22"/>
          <w:sz w:val="22"/>
          <w:lang w:val="fr-FR"/>
        </w:rPr>
        <w:t>es</w:t>
      </w:r>
      <w:r w:rsidR="00E66B78" w:rsidRPr="00A77BB8">
        <w:rPr>
          <w:iCs/>
          <w:kern w:val="22"/>
          <w:sz w:val="22"/>
          <w:lang w:val="fr-FR"/>
        </w:rPr>
        <w:t xml:space="preserve"> Parties</w:t>
      </w:r>
      <w:r w:rsidR="004B4018" w:rsidRPr="00A77BB8">
        <w:rPr>
          <w:iCs/>
          <w:kern w:val="22"/>
          <w:sz w:val="22"/>
          <w:lang w:val="fr-FR"/>
        </w:rPr>
        <w:t xml:space="preserve">. </w:t>
      </w:r>
    </w:p>
    <w:p w14:paraId="5C6CE8F5" w14:textId="1DEC0336" w:rsidR="00E52526" w:rsidRPr="0072393B" w:rsidRDefault="00A77BB8" w:rsidP="3C81C91A">
      <w:pPr>
        <w:spacing w:after="120"/>
        <w:rPr>
          <w:rFonts w:cs="Times New Roman"/>
          <w:kern w:val="22"/>
          <w:sz w:val="22"/>
          <w:lang w:val="fr-FR"/>
        </w:rPr>
      </w:pPr>
      <w:r w:rsidRPr="00A77BB8">
        <w:rPr>
          <w:iCs/>
          <w:kern w:val="22"/>
          <w:sz w:val="22"/>
          <w:lang w:val="fr-FR"/>
        </w:rPr>
        <w:t>En ce qui concerne</w:t>
      </w:r>
      <w:r w:rsidR="00141E71">
        <w:rPr>
          <w:iCs/>
          <w:kern w:val="22"/>
          <w:sz w:val="22"/>
          <w:lang w:val="fr-FR"/>
        </w:rPr>
        <w:t xml:space="preserve"> le</w:t>
      </w:r>
      <w:r w:rsidR="004B4018" w:rsidRPr="00A77BB8">
        <w:rPr>
          <w:iCs/>
          <w:kern w:val="22"/>
          <w:sz w:val="22"/>
          <w:lang w:val="fr-FR"/>
        </w:rPr>
        <w:t xml:space="preserve"> </w:t>
      </w:r>
      <w:r w:rsidR="00D6232E" w:rsidRPr="00A77BB8">
        <w:rPr>
          <w:iCs/>
          <w:kern w:val="22"/>
          <w:sz w:val="22"/>
          <w:lang w:val="fr-FR"/>
        </w:rPr>
        <w:t>sous-groupe</w:t>
      </w:r>
      <w:r w:rsidR="000365A8">
        <w:rPr>
          <w:iCs/>
          <w:kern w:val="22"/>
          <w:sz w:val="22"/>
          <w:lang w:val="fr-FR"/>
        </w:rPr>
        <w:t xml:space="preserve"> c), la question</w:t>
      </w:r>
      <w:r w:rsidR="0078399D">
        <w:rPr>
          <w:iCs/>
          <w:kern w:val="22"/>
          <w:sz w:val="22"/>
          <w:lang w:val="fr-FR"/>
        </w:rPr>
        <w:t xml:space="preserve"> de savoir si</w:t>
      </w:r>
      <w:r w:rsidR="3C81C91A" w:rsidRPr="00A77BB8">
        <w:rPr>
          <w:rFonts w:cs="Times New Roman"/>
          <w:kern w:val="22"/>
          <w:sz w:val="22"/>
          <w:lang w:val="fr-FR"/>
        </w:rPr>
        <w:t xml:space="preserve"> </w:t>
      </w:r>
      <w:r w:rsidR="00934A20" w:rsidRPr="00A77BB8">
        <w:rPr>
          <w:rFonts w:cs="Times New Roman"/>
          <w:kern w:val="22"/>
          <w:sz w:val="22"/>
          <w:lang w:val="fr-FR"/>
        </w:rPr>
        <w:t>l’accès aux</w:t>
      </w:r>
      <w:r w:rsidR="3C81C91A" w:rsidRPr="00A77BB8">
        <w:rPr>
          <w:rFonts w:cs="Times New Roman"/>
          <w:kern w:val="22"/>
          <w:sz w:val="22"/>
          <w:lang w:val="fr-FR"/>
        </w:rPr>
        <w:t xml:space="preserve"> </w:t>
      </w:r>
      <w:r w:rsidR="00516613">
        <w:rPr>
          <w:rFonts w:cs="Times New Roman"/>
          <w:kern w:val="22"/>
          <w:sz w:val="22"/>
          <w:lang w:val="fr-FR"/>
        </w:rPr>
        <w:t>informations de séquençage</w:t>
      </w:r>
      <w:r w:rsidR="00142D5A">
        <w:rPr>
          <w:rFonts w:cs="Times New Roman"/>
          <w:kern w:val="22"/>
          <w:sz w:val="22"/>
          <w:lang w:val="fr-FR"/>
        </w:rPr>
        <w:t xml:space="preserve"> numérique</w:t>
      </w:r>
      <w:r w:rsidR="3C81C91A" w:rsidRPr="00A77BB8">
        <w:rPr>
          <w:rFonts w:cs="Times New Roman"/>
          <w:kern w:val="22"/>
          <w:sz w:val="22"/>
          <w:lang w:val="fr-FR"/>
        </w:rPr>
        <w:t xml:space="preserve"> </w:t>
      </w:r>
      <w:r w:rsidR="0078399D">
        <w:rPr>
          <w:rFonts w:cs="Times New Roman"/>
          <w:kern w:val="22"/>
          <w:sz w:val="22"/>
          <w:lang w:val="fr-FR"/>
        </w:rPr>
        <w:t>entre</w:t>
      </w:r>
      <w:r w:rsidR="3C81C91A" w:rsidRPr="00A77BB8">
        <w:rPr>
          <w:rFonts w:cs="Times New Roman"/>
          <w:kern w:val="22"/>
          <w:sz w:val="22"/>
          <w:lang w:val="fr-FR"/>
        </w:rPr>
        <w:t xml:space="preserve"> </w:t>
      </w:r>
      <w:r w:rsidR="00934A20" w:rsidRPr="00A77BB8">
        <w:rPr>
          <w:rFonts w:cs="Times New Roman"/>
          <w:kern w:val="22"/>
          <w:sz w:val="22"/>
          <w:lang w:val="fr-FR"/>
        </w:rPr>
        <w:t>dans le champ d’application</w:t>
      </w:r>
      <w:r w:rsidR="3C81C91A" w:rsidRPr="00A77BB8">
        <w:rPr>
          <w:rFonts w:cs="Times New Roman"/>
          <w:kern w:val="22"/>
          <w:sz w:val="22"/>
          <w:lang w:val="fr-FR"/>
        </w:rPr>
        <w:t xml:space="preserve"> </w:t>
      </w:r>
      <w:r w:rsidR="008F38B0">
        <w:rPr>
          <w:rFonts w:cs="Times New Roman"/>
          <w:kern w:val="22"/>
          <w:sz w:val="22"/>
          <w:lang w:val="fr-FR"/>
        </w:rPr>
        <w:t>de la Convention</w:t>
      </w:r>
      <w:r w:rsidR="0028742E">
        <w:rPr>
          <w:rFonts w:cs="Times New Roman"/>
          <w:kern w:val="22"/>
          <w:sz w:val="22"/>
          <w:lang w:val="fr-FR"/>
        </w:rPr>
        <w:t xml:space="preserve"> ou </w:t>
      </w:r>
      <w:r w:rsidR="0078399D">
        <w:rPr>
          <w:rFonts w:cs="Times New Roman"/>
          <w:kern w:val="22"/>
          <w:sz w:val="22"/>
          <w:lang w:val="fr-FR"/>
        </w:rPr>
        <w:t>du</w:t>
      </w:r>
      <w:r w:rsidR="00E3674F" w:rsidRPr="00A77BB8">
        <w:rPr>
          <w:rFonts w:cs="Times New Roman"/>
          <w:kern w:val="22"/>
          <w:sz w:val="22"/>
          <w:lang w:val="fr-FR"/>
        </w:rPr>
        <w:t xml:space="preserve"> Protocole de Nagoya</w:t>
      </w:r>
      <w:r w:rsidR="00706EDB" w:rsidRPr="00A77BB8">
        <w:rPr>
          <w:rFonts w:cs="Times New Roman"/>
          <w:kern w:val="22"/>
          <w:sz w:val="22"/>
          <w:lang w:val="fr-FR"/>
        </w:rPr>
        <w:t xml:space="preserve"> (</w:t>
      </w:r>
      <w:r w:rsidR="0078399D">
        <w:rPr>
          <w:rFonts w:cs="Times New Roman"/>
          <w:kern w:val="22"/>
          <w:sz w:val="22"/>
          <w:lang w:val="fr-FR"/>
        </w:rPr>
        <w:t xml:space="preserve">ci-après </w:t>
      </w:r>
      <w:r w:rsidR="000365A8">
        <w:rPr>
          <w:rFonts w:cs="Times New Roman"/>
          <w:kern w:val="22"/>
          <w:sz w:val="22"/>
          <w:lang w:val="fr-FR"/>
        </w:rPr>
        <w:t xml:space="preserve">le </w:t>
      </w:r>
      <w:r w:rsidR="00706EDB" w:rsidRPr="00A77BB8">
        <w:rPr>
          <w:rFonts w:cs="Times New Roman"/>
          <w:kern w:val="22"/>
          <w:sz w:val="22"/>
          <w:lang w:val="fr-FR"/>
        </w:rPr>
        <w:t>Protocol</w:t>
      </w:r>
      <w:r w:rsidR="0078399D">
        <w:rPr>
          <w:rFonts w:cs="Times New Roman"/>
          <w:kern w:val="22"/>
          <w:sz w:val="22"/>
          <w:lang w:val="fr-FR"/>
        </w:rPr>
        <w:t>e</w:t>
      </w:r>
      <w:r w:rsidR="00706EDB" w:rsidRPr="00A77BB8">
        <w:rPr>
          <w:rFonts w:cs="Times New Roman"/>
          <w:kern w:val="22"/>
          <w:sz w:val="22"/>
          <w:lang w:val="fr-FR"/>
        </w:rPr>
        <w:t>)</w:t>
      </w:r>
      <w:r w:rsidR="000365A8">
        <w:rPr>
          <w:rFonts w:cs="Times New Roman"/>
          <w:kern w:val="22"/>
          <w:sz w:val="22"/>
          <w:lang w:val="fr-FR"/>
        </w:rPr>
        <w:t xml:space="preserve"> reste contestée</w:t>
      </w:r>
      <w:r w:rsidR="3C81C91A" w:rsidRPr="00A77BB8">
        <w:rPr>
          <w:rFonts w:cs="Times New Roman"/>
          <w:kern w:val="22"/>
          <w:sz w:val="22"/>
          <w:lang w:val="fr-FR"/>
        </w:rPr>
        <w:t xml:space="preserve">. </w:t>
      </w:r>
      <w:r w:rsidR="000365A8">
        <w:rPr>
          <w:rFonts w:cs="Times New Roman"/>
          <w:kern w:val="22"/>
          <w:sz w:val="22"/>
          <w:lang w:val="fr-FR"/>
        </w:rPr>
        <w:t>Même s’il é</w:t>
      </w:r>
      <w:r w:rsidR="0078399D">
        <w:rPr>
          <w:rFonts w:cs="Times New Roman"/>
          <w:kern w:val="22"/>
          <w:sz w:val="22"/>
          <w:lang w:val="fr-FR"/>
        </w:rPr>
        <w:t>t</w:t>
      </w:r>
      <w:r w:rsidR="000365A8">
        <w:rPr>
          <w:rFonts w:cs="Times New Roman"/>
          <w:kern w:val="22"/>
          <w:sz w:val="22"/>
          <w:lang w:val="fr-FR"/>
        </w:rPr>
        <w:t>ait</w:t>
      </w:r>
      <w:r w:rsidR="0078399D">
        <w:rPr>
          <w:rFonts w:cs="Times New Roman"/>
          <w:kern w:val="22"/>
          <w:sz w:val="22"/>
          <w:lang w:val="fr-FR"/>
        </w:rPr>
        <w:t xml:space="preserve"> décidé que cette question n’entre pas dans le </w:t>
      </w:r>
      <w:r w:rsidR="008F38B0" w:rsidRPr="0028742E">
        <w:rPr>
          <w:rFonts w:cs="Times New Roman"/>
          <w:kern w:val="22"/>
          <w:sz w:val="22"/>
          <w:lang w:val="fr-FR"/>
        </w:rPr>
        <w:t>champ d’application</w:t>
      </w:r>
      <w:r w:rsidR="0078399D">
        <w:rPr>
          <w:rFonts w:cs="Times New Roman"/>
          <w:kern w:val="22"/>
          <w:sz w:val="22"/>
          <w:lang w:val="fr-FR"/>
        </w:rPr>
        <w:t xml:space="preserve"> de la</w:t>
      </w:r>
      <w:r w:rsidR="3C81C91A" w:rsidRPr="0028742E">
        <w:rPr>
          <w:rFonts w:cs="Times New Roman"/>
          <w:kern w:val="22"/>
          <w:sz w:val="22"/>
          <w:lang w:val="fr-FR"/>
        </w:rPr>
        <w:t xml:space="preserve"> </w:t>
      </w:r>
      <w:r w:rsidR="0028742E" w:rsidRPr="0028742E">
        <w:rPr>
          <w:rFonts w:cs="Times New Roman"/>
          <w:kern w:val="22"/>
          <w:sz w:val="22"/>
          <w:lang w:val="fr-FR"/>
        </w:rPr>
        <w:t>définition</w:t>
      </w:r>
      <w:r w:rsidR="3C81C91A" w:rsidRPr="0028742E">
        <w:rPr>
          <w:rFonts w:cs="Times New Roman"/>
          <w:kern w:val="22"/>
          <w:sz w:val="22"/>
          <w:lang w:val="fr-FR"/>
        </w:rPr>
        <w:t xml:space="preserve"> </w:t>
      </w:r>
      <w:r w:rsidR="00D6232E" w:rsidRPr="0028742E">
        <w:rPr>
          <w:rFonts w:cs="Times New Roman"/>
          <w:kern w:val="22"/>
          <w:sz w:val="22"/>
          <w:lang w:val="fr-FR"/>
        </w:rPr>
        <w:t>de</w:t>
      </w:r>
      <w:r w:rsidR="0078399D">
        <w:rPr>
          <w:rFonts w:cs="Times New Roman"/>
          <w:kern w:val="22"/>
          <w:sz w:val="22"/>
          <w:lang w:val="fr-FR"/>
        </w:rPr>
        <w:t>s</w:t>
      </w:r>
      <w:r w:rsidR="00D6232E" w:rsidRPr="0028742E">
        <w:rPr>
          <w:rFonts w:cs="Times New Roman"/>
          <w:kern w:val="22"/>
          <w:sz w:val="22"/>
          <w:lang w:val="fr-FR"/>
        </w:rPr>
        <w:t xml:space="preserve"> ressources</w:t>
      </w:r>
      <w:r w:rsidR="00E3674F" w:rsidRPr="0028742E">
        <w:rPr>
          <w:rFonts w:cs="Times New Roman"/>
          <w:kern w:val="22"/>
          <w:sz w:val="22"/>
          <w:lang w:val="fr-FR"/>
        </w:rPr>
        <w:t xml:space="preserve"> génétiques</w:t>
      </w:r>
      <w:r w:rsidR="000365A8">
        <w:rPr>
          <w:rFonts w:cs="Times New Roman"/>
          <w:kern w:val="22"/>
          <w:sz w:val="22"/>
          <w:lang w:val="fr-FR"/>
        </w:rPr>
        <w:t xml:space="preserve"> de</w:t>
      </w:r>
      <w:r w:rsidR="0078399D">
        <w:rPr>
          <w:rFonts w:cs="Times New Roman"/>
          <w:kern w:val="22"/>
          <w:sz w:val="22"/>
          <w:lang w:val="fr-FR"/>
        </w:rPr>
        <w:t xml:space="preserve"> ces</w:t>
      </w:r>
      <w:r w:rsidR="00943CD8" w:rsidRPr="0028742E">
        <w:rPr>
          <w:rFonts w:cs="Times New Roman"/>
          <w:kern w:val="22"/>
          <w:sz w:val="22"/>
          <w:lang w:val="fr-FR"/>
        </w:rPr>
        <w:t xml:space="preserve"> </w:t>
      </w:r>
      <w:r w:rsidR="000365A8">
        <w:rPr>
          <w:rFonts w:cs="Times New Roman"/>
          <w:kern w:val="22"/>
          <w:sz w:val="22"/>
          <w:lang w:val="fr-FR"/>
        </w:rPr>
        <w:t xml:space="preserve">deux </w:t>
      </w:r>
      <w:r w:rsidR="00943CD8" w:rsidRPr="0028742E">
        <w:rPr>
          <w:rFonts w:cs="Times New Roman"/>
          <w:kern w:val="22"/>
          <w:sz w:val="22"/>
          <w:lang w:val="fr-FR"/>
        </w:rPr>
        <w:t>instruments</w:t>
      </w:r>
      <w:r w:rsidR="3C81C91A" w:rsidRPr="0028742E">
        <w:rPr>
          <w:rFonts w:cs="Times New Roman"/>
          <w:kern w:val="22"/>
          <w:sz w:val="22"/>
          <w:lang w:val="fr-FR"/>
        </w:rPr>
        <w:t xml:space="preserve">, </w:t>
      </w:r>
      <w:r w:rsidR="00BC5F0A">
        <w:rPr>
          <w:rFonts w:cs="Times New Roman"/>
          <w:kern w:val="22"/>
          <w:sz w:val="22"/>
          <w:lang w:val="fr-FR"/>
        </w:rPr>
        <w:t>l’information de séquençage</w:t>
      </w:r>
      <w:r w:rsidR="00142D5A">
        <w:rPr>
          <w:rFonts w:cs="Times New Roman"/>
          <w:kern w:val="22"/>
          <w:sz w:val="22"/>
          <w:lang w:val="fr-FR"/>
        </w:rPr>
        <w:t xml:space="preserve"> numérique</w:t>
      </w:r>
      <w:r w:rsidR="3C81C91A" w:rsidRPr="0028742E">
        <w:rPr>
          <w:rFonts w:cs="Times New Roman"/>
          <w:kern w:val="22"/>
          <w:sz w:val="22"/>
          <w:lang w:val="fr-FR"/>
        </w:rPr>
        <w:t xml:space="preserve"> </w:t>
      </w:r>
      <w:r w:rsidR="00F86442">
        <w:rPr>
          <w:rFonts w:cs="Times New Roman"/>
          <w:kern w:val="22"/>
          <w:sz w:val="22"/>
          <w:lang w:val="fr-FR"/>
        </w:rPr>
        <w:t xml:space="preserve">qui résulte </w:t>
      </w:r>
      <w:r w:rsidR="0078399D">
        <w:rPr>
          <w:rFonts w:cs="Times New Roman"/>
          <w:kern w:val="22"/>
          <w:sz w:val="22"/>
          <w:lang w:val="fr-FR"/>
        </w:rPr>
        <w:t>de l’</w:t>
      </w:r>
      <w:r w:rsidR="008627A9" w:rsidRPr="0028742E">
        <w:rPr>
          <w:rFonts w:cs="Times New Roman"/>
          <w:kern w:val="22"/>
          <w:sz w:val="22"/>
          <w:lang w:val="fr-FR"/>
        </w:rPr>
        <w:t>utilisation</w:t>
      </w:r>
      <w:r w:rsidR="0078399D">
        <w:rPr>
          <w:rFonts w:cs="Times New Roman"/>
          <w:kern w:val="22"/>
          <w:sz w:val="22"/>
          <w:lang w:val="fr-FR"/>
        </w:rPr>
        <w:t xml:space="preserve"> d’une </w:t>
      </w:r>
      <w:r w:rsidR="00BE4772" w:rsidRPr="0028742E">
        <w:rPr>
          <w:rFonts w:cs="Times New Roman"/>
          <w:kern w:val="22"/>
          <w:sz w:val="22"/>
          <w:lang w:val="fr-FR"/>
        </w:rPr>
        <w:t>ressource génétique</w:t>
      </w:r>
      <w:r w:rsidR="00A71176">
        <w:rPr>
          <w:rFonts w:cs="Times New Roman"/>
          <w:kern w:val="22"/>
          <w:sz w:val="22"/>
          <w:lang w:val="fr-FR"/>
        </w:rPr>
        <w:t xml:space="preserve"> physique pourrait néanmoins être subordonnée</w:t>
      </w:r>
      <w:r w:rsidR="000365A8">
        <w:rPr>
          <w:rFonts w:cs="Times New Roman"/>
          <w:kern w:val="22"/>
          <w:sz w:val="22"/>
          <w:lang w:val="fr-FR"/>
        </w:rPr>
        <w:t xml:space="preserve"> à des </w:t>
      </w:r>
      <w:r w:rsidR="0078399D">
        <w:rPr>
          <w:rFonts w:cs="Times New Roman"/>
          <w:kern w:val="22"/>
          <w:sz w:val="22"/>
          <w:lang w:val="fr-FR"/>
        </w:rPr>
        <w:t>obligations relatives au</w:t>
      </w:r>
      <w:r w:rsidR="00BE4772" w:rsidRPr="0028742E">
        <w:rPr>
          <w:rFonts w:cs="Times New Roman"/>
          <w:kern w:val="22"/>
          <w:sz w:val="22"/>
          <w:lang w:val="fr-FR"/>
        </w:rPr>
        <w:t xml:space="preserve"> </w:t>
      </w:r>
      <w:r w:rsidR="00E3674F" w:rsidRPr="0028742E">
        <w:rPr>
          <w:rFonts w:cs="Times New Roman"/>
          <w:kern w:val="22"/>
          <w:sz w:val="22"/>
          <w:lang w:val="fr-FR"/>
        </w:rPr>
        <w:t>partage des avantages</w:t>
      </w:r>
      <w:r w:rsidR="3C81C91A" w:rsidRPr="0028742E">
        <w:rPr>
          <w:rFonts w:cs="Times New Roman"/>
          <w:kern w:val="22"/>
          <w:sz w:val="22"/>
          <w:lang w:val="fr-FR"/>
        </w:rPr>
        <w:t xml:space="preserve">. </w:t>
      </w:r>
      <w:r w:rsidR="00E752CB" w:rsidRPr="00E752CB">
        <w:rPr>
          <w:rFonts w:cs="Times New Roman"/>
          <w:kern w:val="22"/>
          <w:sz w:val="22"/>
          <w:lang w:val="fr-FR"/>
        </w:rPr>
        <w:t>Ainsi</w:t>
      </w:r>
      <w:r w:rsidR="3C81C91A" w:rsidRPr="00E752CB">
        <w:rPr>
          <w:rFonts w:cs="Times New Roman"/>
          <w:kern w:val="22"/>
          <w:sz w:val="22"/>
          <w:lang w:val="fr-FR"/>
        </w:rPr>
        <w:t xml:space="preserve">, </w:t>
      </w:r>
      <w:r w:rsidR="00E752CB" w:rsidRPr="00E752CB">
        <w:rPr>
          <w:rFonts w:cs="Times New Roman"/>
          <w:kern w:val="22"/>
          <w:sz w:val="22"/>
          <w:lang w:val="fr-FR"/>
        </w:rPr>
        <w:t>les scénario</w:t>
      </w:r>
      <w:r w:rsidR="3C81C91A" w:rsidRPr="00E752CB">
        <w:rPr>
          <w:rFonts w:cs="Times New Roman"/>
          <w:kern w:val="22"/>
          <w:sz w:val="22"/>
          <w:lang w:val="fr-FR"/>
        </w:rPr>
        <w:t xml:space="preserve">s </w:t>
      </w:r>
      <w:r w:rsidR="00306184">
        <w:rPr>
          <w:rFonts w:cs="Times New Roman"/>
          <w:kern w:val="22"/>
          <w:sz w:val="22"/>
          <w:lang w:val="fr-FR"/>
        </w:rPr>
        <w:t xml:space="preserve">dans lesquels une </w:t>
      </w:r>
      <w:r w:rsidR="001A200E" w:rsidRPr="00E752CB">
        <w:rPr>
          <w:rFonts w:cs="Times New Roman"/>
          <w:kern w:val="22"/>
          <w:sz w:val="22"/>
          <w:lang w:val="fr-FR"/>
        </w:rPr>
        <w:t>approche bilatérale</w:t>
      </w:r>
      <w:r w:rsidR="00306184">
        <w:rPr>
          <w:rFonts w:cs="Times New Roman"/>
          <w:kern w:val="22"/>
          <w:sz w:val="22"/>
          <w:lang w:val="fr-FR"/>
        </w:rPr>
        <w:t xml:space="preserve"> sera</w:t>
      </w:r>
      <w:r w:rsidR="00E752CB">
        <w:rPr>
          <w:rFonts w:cs="Times New Roman"/>
          <w:kern w:val="22"/>
          <w:sz w:val="22"/>
          <w:lang w:val="fr-FR"/>
        </w:rPr>
        <w:t xml:space="preserve"> </w:t>
      </w:r>
      <w:r w:rsidR="0072393B">
        <w:rPr>
          <w:rFonts w:cs="Times New Roman"/>
          <w:kern w:val="22"/>
          <w:sz w:val="22"/>
          <w:lang w:val="fr-FR"/>
        </w:rPr>
        <w:t xml:space="preserve"> </w:t>
      </w:r>
      <w:r w:rsidR="00E752CB">
        <w:rPr>
          <w:rFonts w:cs="Times New Roman"/>
          <w:kern w:val="22"/>
          <w:sz w:val="22"/>
          <w:lang w:val="fr-FR"/>
        </w:rPr>
        <w:t>factuellement</w:t>
      </w:r>
      <w:r w:rsidR="00306184">
        <w:rPr>
          <w:rFonts w:cs="Times New Roman"/>
          <w:kern w:val="22"/>
          <w:sz w:val="22"/>
          <w:lang w:val="fr-FR"/>
        </w:rPr>
        <w:t xml:space="preserve"> ou </w:t>
      </w:r>
      <w:r w:rsidR="00E752CB">
        <w:rPr>
          <w:rFonts w:cs="Times New Roman"/>
          <w:kern w:val="22"/>
          <w:sz w:val="22"/>
          <w:lang w:val="fr-FR"/>
        </w:rPr>
        <w:t>fonctionnellement</w:t>
      </w:r>
      <w:r w:rsidR="00766FCD" w:rsidRPr="00E752CB">
        <w:rPr>
          <w:rFonts w:cs="Times New Roman"/>
          <w:kern w:val="22"/>
          <w:sz w:val="22"/>
          <w:lang w:val="fr-FR"/>
        </w:rPr>
        <w:t xml:space="preserve"> impossible</w:t>
      </w:r>
      <w:r w:rsidR="3C81C91A" w:rsidRPr="00E752CB">
        <w:rPr>
          <w:rFonts w:cs="Times New Roman"/>
          <w:kern w:val="22"/>
          <w:sz w:val="22"/>
          <w:lang w:val="fr-FR"/>
        </w:rPr>
        <w:t xml:space="preserve"> </w:t>
      </w:r>
      <w:r w:rsidR="00306184">
        <w:rPr>
          <w:rFonts w:cs="Times New Roman"/>
          <w:kern w:val="22"/>
          <w:sz w:val="22"/>
          <w:lang w:val="fr-FR"/>
        </w:rPr>
        <w:t xml:space="preserve">à utiliser sont examinés dans la présente </w:t>
      </w:r>
      <w:r w:rsidR="00E3674F" w:rsidRPr="00E752CB">
        <w:rPr>
          <w:rFonts w:cs="Times New Roman"/>
          <w:kern w:val="22"/>
          <w:sz w:val="22"/>
          <w:lang w:val="fr-FR"/>
        </w:rPr>
        <w:t>étude</w:t>
      </w:r>
      <w:r w:rsidR="3C81C91A" w:rsidRPr="00E752CB">
        <w:rPr>
          <w:rFonts w:cs="Times New Roman"/>
          <w:kern w:val="22"/>
          <w:sz w:val="22"/>
          <w:lang w:val="fr-FR"/>
        </w:rPr>
        <w:t xml:space="preserve">. </w:t>
      </w:r>
      <w:r w:rsidR="0072393B">
        <w:rPr>
          <w:rFonts w:cs="Times New Roman"/>
          <w:kern w:val="22"/>
          <w:sz w:val="22"/>
          <w:lang w:val="fr-FR"/>
        </w:rPr>
        <w:t>Puisque les</w:t>
      </w:r>
      <w:r w:rsidR="3C81C91A" w:rsidRPr="0072393B">
        <w:rPr>
          <w:rFonts w:cs="Times New Roman"/>
          <w:kern w:val="22"/>
          <w:sz w:val="22"/>
          <w:lang w:val="fr-FR"/>
        </w:rPr>
        <w:t xml:space="preserve"> Parties </w:t>
      </w:r>
      <w:r w:rsidR="00306184">
        <w:rPr>
          <w:rFonts w:cs="Times New Roman"/>
          <w:kern w:val="22"/>
          <w:sz w:val="22"/>
          <w:lang w:val="fr-FR"/>
        </w:rPr>
        <w:t xml:space="preserve">n’ont pas encore tranché sur cette question, cette partie de l’étude donne </w:t>
      </w:r>
      <w:r w:rsidR="0072393B">
        <w:rPr>
          <w:rFonts w:cs="Times New Roman"/>
          <w:kern w:val="22"/>
          <w:sz w:val="22"/>
          <w:lang w:val="fr-FR"/>
        </w:rPr>
        <w:t xml:space="preserve">des </w:t>
      </w:r>
      <w:r w:rsidR="009D43F1" w:rsidRPr="0072393B">
        <w:rPr>
          <w:rFonts w:cs="Times New Roman"/>
          <w:kern w:val="22"/>
          <w:sz w:val="22"/>
          <w:lang w:val="fr-FR"/>
        </w:rPr>
        <w:t>exemple</w:t>
      </w:r>
      <w:r w:rsidR="0072393B">
        <w:rPr>
          <w:rFonts w:cs="Times New Roman"/>
          <w:kern w:val="22"/>
          <w:sz w:val="22"/>
          <w:lang w:val="fr-FR"/>
        </w:rPr>
        <w:t xml:space="preserve">s de </w:t>
      </w:r>
      <w:r w:rsidR="3C81C91A" w:rsidRPr="0072393B">
        <w:rPr>
          <w:rFonts w:cs="Times New Roman"/>
          <w:kern w:val="22"/>
          <w:sz w:val="22"/>
          <w:lang w:val="fr-FR"/>
        </w:rPr>
        <w:t xml:space="preserve">situations </w:t>
      </w:r>
      <w:r w:rsidR="0072393B">
        <w:rPr>
          <w:rFonts w:cs="Times New Roman"/>
          <w:kern w:val="22"/>
          <w:sz w:val="22"/>
          <w:lang w:val="fr-FR"/>
        </w:rPr>
        <w:t>dans lesquelles</w:t>
      </w:r>
      <w:r w:rsidR="00306184">
        <w:rPr>
          <w:rFonts w:cs="Times New Roman"/>
          <w:kern w:val="22"/>
          <w:sz w:val="22"/>
          <w:lang w:val="fr-FR"/>
        </w:rPr>
        <w:t xml:space="preserve"> l’accès à une ressource physique n’est pas nécessaire</w:t>
      </w:r>
      <w:r w:rsidR="0072393B">
        <w:rPr>
          <w:rFonts w:cs="Times New Roman"/>
          <w:kern w:val="22"/>
          <w:sz w:val="22"/>
          <w:lang w:val="fr-FR"/>
        </w:rPr>
        <w:t xml:space="preserve"> pour </w:t>
      </w:r>
      <w:r w:rsidR="00306184">
        <w:rPr>
          <w:rFonts w:cs="Times New Roman"/>
          <w:kern w:val="22"/>
          <w:sz w:val="22"/>
          <w:lang w:val="fr-FR"/>
        </w:rPr>
        <w:t>pouvoir exploiter</w:t>
      </w:r>
      <w:r w:rsidR="3C81C91A" w:rsidRPr="0072393B">
        <w:rPr>
          <w:rFonts w:cs="Times New Roman"/>
          <w:kern w:val="22"/>
          <w:sz w:val="22"/>
          <w:lang w:val="fr-FR"/>
        </w:rPr>
        <w:t xml:space="preserve"> </w:t>
      </w:r>
      <w:r w:rsidR="00B45B7F">
        <w:rPr>
          <w:rFonts w:cs="Times New Roman"/>
          <w:kern w:val="22"/>
          <w:sz w:val="22"/>
          <w:lang w:val="fr-FR"/>
        </w:rPr>
        <w:t>des données génétiques</w:t>
      </w:r>
      <w:r w:rsidR="3C81C91A" w:rsidRPr="0072393B">
        <w:rPr>
          <w:rFonts w:cs="Times New Roman"/>
          <w:kern w:val="22"/>
          <w:sz w:val="22"/>
          <w:lang w:val="fr-FR"/>
        </w:rPr>
        <w:t xml:space="preserve"> (</w:t>
      </w:r>
      <w:r w:rsidR="000D5072" w:rsidRPr="0072393B">
        <w:rPr>
          <w:rFonts w:cs="Times New Roman"/>
          <w:kern w:val="22"/>
          <w:sz w:val="22"/>
          <w:lang w:val="fr-FR"/>
        </w:rPr>
        <w:t>par exemple</w:t>
      </w:r>
      <w:r w:rsidR="00306184">
        <w:rPr>
          <w:rFonts w:cs="Times New Roman"/>
          <w:kern w:val="22"/>
          <w:sz w:val="22"/>
          <w:lang w:val="fr-FR"/>
        </w:rPr>
        <w:t>, dans l</w:t>
      </w:r>
      <w:r w:rsidR="0072393B">
        <w:rPr>
          <w:rFonts w:cs="Times New Roman"/>
          <w:kern w:val="22"/>
          <w:sz w:val="22"/>
          <w:lang w:val="fr-FR"/>
        </w:rPr>
        <w:t>es biblio</w:t>
      </w:r>
      <w:r w:rsidR="00306184">
        <w:rPr>
          <w:rFonts w:cs="Times New Roman"/>
          <w:kern w:val="22"/>
          <w:sz w:val="22"/>
          <w:lang w:val="fr-FR"/>
        </w:rPr>
        <w:t>thèques de produits naturels</w:t>
      </w:r>
      <w:r w:rsidR="00600E50" w:rsidRPr="0072393B">
        <w:rPr>
          <w:rFonts w:cs="Times New Roman"/>
          <w:kern w:val="22"/>
          <w:sz w:val="22"/>
          <w:lang w:val="fr-FR"/>
        </w:rPr>
        <w:t>)</w:t>
      </w:r>
      <w:r w:rsidR="3C81C91A" w:rsidRPr="0072393B">
        <w:rPr>
          <w:rFonts w:cs="Times New Roman"/>
          <w:kern w:val="22"/>
          <w:sz w:val="22"/>
          <w:lang w:val="fr-FR"/>
        </w:rPr>
        <w:t>,</w:t>
      </w:r>
      <w:r w:rsidR="00306184">
        <w:rPr>
          <w:rFonts w:cs="Times New Roman"/>
          <w:kern w:val="22"/>
          <w:sz w:val="22"/>
          <w:lang w:val="fr-FR"/>
        </w:rPr>
        <w:t xml:space="preserve"> ou dans lesquelles</w:t>
      </w:r>
      <w:r w:rsidR="0072393B">
        <w:rPr>
          <w:rFonts w:cs="Times New Roman"/>
          <w:kern w:val="22"/>
          <w:sz w:val="22"/>
          <w:lang w:val="fr-FR"/>
        </w:rPr>
        <w:t xml:space="preserve"> les</w:t>
      </w:r>
      <w:r w:rsidR="3C81C91A" w:rsidRPr="0072393B">
        <w:rPr>
          <w:rFonts w:cs="Times New Roman"/>
          <w:kern w:val="22"/>
          <w:sz w:val="22"/>
          <w:lang w:val="fr-FR"/>
        </w:rPr>
        <w:t xml:space="preserve"> </w:t>
      </w:r>
      <w:r w:rsidR="00E411BF">
        <w:rPr>
          <w:rFonts w:cs="Times New Roman"/>
          <w:kern w:val="22"/>
          <w:sz w:val="22"/>
          <w:lang w:val="fr-FR"/>
        </w:rPr>
        <w:t>composé</w:t>
      </w:r>
      <w:r w:rsidR="0072393B">
        <w:rPr>
          <w:rFonts w:cs="Times New Roman"/>
          <w:kern w:val="22"/>
          <w:sz w:val="22"/>
          <w:lang w:val="fr-FR"/>
        </w:rPr>
        <w:t>s génétiques</w:t>
      </w:r>
      <w:r w:rsidR="3C81C91A" w:rsidRPr="0072393B">
        <w:rPr>
          <w:rFonts w:cs="Times New Roman"/>
          <w:kern w:val="22"/>
          <w:sz w:val="22"/>
          <w:lang w:val="fr-FR"/>
        </w:rPr>
        <w:t xml:space="preserve"> </w:t>
      </w:r>
      <w:r w:rsidR="00E411BF">
        <w:rPr>
          <w:rFonts w:cs="Times New Roman"/>
          <w:kern w:val="22"/>
          <w:sz w:val="22"/>
          <w:lang w:val="fr-FR"/>
        </w:rPr>
        <w:t>utilisé</w:t>
      </w:r>
      <w:r w:rsidR="00306184">
        <w:rPr>
          <w:rFonts w:cs="Times New Roman"/>
          <w:kern w:val="22"/>
          <w:sz w:val="22"/>
          <w:lang w:val="fr-FR"/>
        </w:rPr>
        <w:t>s proviennent de</w:t>
      </w:r>
      <w:r w:rsidR="3C81C91A" w:rsidRPr="0072393B">
        <w:rPr>
          <w:rFonts w:cs="Times New Roman"/>
          <w:kern w:val="22"/>
          <w:sz w:val="22"/>
          <w:lang w:val="fr-FR"/>
        </w:rPr>
        <w:t xml:space="preserve"> </w:t>
      </w:r>
      <w:r w:rsidR="00306184">
        <w:rPr>
          <w:rFonts w:cs="Times New Roman"/>
          <w:kern w:val="22"/>
          <w:sz w:val="22"/>
          <w:lang w:val="fr-FR"/>
        </w:rPr>
        <w:t xml:space="preserve">plusieurs </w:t>
      </w:r>
      <w:r w:rsidR="0072393B">
        <w:rPr>
          <w:rFonts w:cs="Times New Roman"/>
          <w:kern w:val="22"/>
          <w:sz w:val="22"/>
          <w:lang w:val="fr-FR"/>
        </w:rPr>
        <w:t>organismes</w:t>
      </w:r>
      <w:r w:rsidR="3C81C91A" w:rsidRPr="0072393B">
        <w:rPr>
          <w:rFonts w:cs="Times New Roman"/>
          <w:kern w:val="22"/>
          <w:sz w:val="22"/>
          <w:lang w:val="fr-FR"/>
        </w:rPr>
        <w:t xml:space="preserve"> (</w:t>
      </w:r>
      <w:r w:rsidR="000D5072" w:rsidRPr="0072393B">
        <w:rPr>
          <w:rFonts w:cs="Times New Roman"/>
          <w:kern w:val="22"/>
          <w:sz w:val="22"/>
          <w:lang w:val="fr-FR"/>
        </w:rPr>
        <w:t>par exemple</w:t>
      </w:r>
      <w:r w:rsidR="0072393B">
        <w:rPr>
          <w:rFonts w:cs="Times New Roman"/>
          <w:kern w:val="22"/>
          <w:sz w:val="22"/>
          <w:lang w:val="fr-FR"/>
        </w:rPr>
        <w:t xml:space="preserve">, dans la </w:t>
      </w:r>
      <w:r w:rsidR="00AA68B5">
        <w:rPr>
          <w:rFonts w:cs="Times New Roman"/>
          <w:kern w:val="22"/>
          <w:sz w:val="22"/>
          <w:lang w:val="fr-FR"/>
        </w:rPr>
        <w:t>production</w:t>
      </w:r>
      <w:r w:rsidR="00CE3A0E">
        <w:rPr>
          <w:rFonts w:cs="Times New Roman"/>
          <w:kern w:val="22"/>
          <w:sz w:val="22"/>
          <w:lang w:val="fr-FR"/>
        </w:rPr>
        <w:t xml:space="preserve"> de</w:t>
      </w:r>
      <w:r w:rsidR="00AF257C" w:rsidRPr="0072393B">
        <w:rPr>
          <w:rFonts w:cs="Times New Roman"/>
          <w:kern w:val="22"/>
          <w:sz w:val="22"/>
          <w:lang w:val="fr-FR"/>
        </w:rPr>
        <w:t xml:space="preserve"> </w:t>
      </w:r>
      <w:r w:rsidR="00CE3A0E">
        <w:rPr>
          <w:rFonts w:eastAsia="Batang" w:cs="Times New Roman"/>
          <w:kern w:val="22"/>
          <w:sz w:val="22"/>
          <w:lang w:val="fr-FR"/>
        </w:rPr>
        <w:t>glycosides de stéviol</w:t>
      </w:r>
      <w:r w:rsidR="3C81C91A" w:rsidRPr="0072393B">
        <w:rPr>
          <w:rFonts w:eastAsia="Batang" w:cs="Times New Roman"/>
          <w:kern w:val="22"/>
          <w:sz w:val="22"/>
          <w:lang w:val="fr-FR"/>
        </w:rPr>
        <w:t>)</w:t>
      </w:r>
      <w:r w:rsidR="3C81C91A" w:rsidRPr="0072393B">
        <w:rPr>
          <w:rFonts w:cs="Times New Roman"/>
          <w:kern w:val="22"/>
          <w:sz w:val="22"/>
          <w:lang w:val="fr-FR"/>
        </w:rPr>
        <w:t>.</w:t>
      </w:r>
    </w:p>
    <w:p w14:paraId="310F8309" w14:textId="220D502B" w:rsidR="0051327A" w:rsidRPr="00FB033A" w:rsidRDefault="00567684" w:rsidP="0051327A">
      <w:pPr>
        <w:rPr>
          <w:iCs/>
          <w:kern w:val="22"/>
          <w:sz w:val="22"/>
          <w:lang w:val="fr-FR"/>
        </w:rPr>
      </w:pPr>
      <w:r>
        <w:rPr>
          <w:kern w:val="22"/>
          <w:sz w:val="22"/>
          <w:lang w:val="fr-FR"/>
        </w:rPr>
        <w:t>L</w:t>
      </w:r>
      <w:r w:rsidR="14AC87FF" w:rsidRPr="00FB033A">
        <w:rPr>
          <w:kern w:val="22"/>
          <w:sz w:val="22"/>
          <w:lang w:val="fr-FR"/>
        </w:rPr>
        <w:t xml:space="preserve">e </w:t>
      </w:r>
      <w:r w:rsidR="00E3674F" w:rsidRPr="00FB033A">
        <w:rPr>
          <w:kern w:val="22"/>
          <w:sz w:val="22"/>
          <w:lang w:val="fr-FR"/>
        </w:rPr>
        <w:t>troisième</w:t>
      </w:r>
      <w:r w:rsidR="007B4B52" w:rsidRPr="00FB033A">
        <w:rPr>
          <w:kern w:val="22"/>
          <w:sz w:val="22"/>
          <w:lang w:val="fr-FR"/>
        </w:rPr>
        <w:t xml:space="preserve"> group</w:t>
      </w:r>
      <w:r>
        <w:rPr>
          <w:kern w:val="22"/>
          <w:sz w:val="22"/>
          <w:lang w:val="fr-FR"/>
        </w:rPr>
        <w:t>e général</w:t>
      </w:r>
      <w:r w:rsidR="14AC87FF" w:rsidRPr="00FB033A">
        <w:rPr>
          <w:kern w:val="22"/>
          <w:sz w:val="22"/>
          <w:lang w:val="fr-FR"/>
        </w:rPr>
        <w:t>,</w:t>
      </w:r>
      <w:r>
        <w:rPr>
          <w:kern w:val="22"/>
          <w:sz w:val="22"/>
          <w:lang w:val="fr-FR"/>
        </w:rPr>
        <w:t xml:space="preserve"> les</w:t>
      </w:r>
      <w:r w:rsidR="14AC87FF" w:rsidRPr="00FB033A">
        <w:rPr>
          <w:kern w:val="22"/>
          <w:sz w:val="22"/>
          <w:lang w:val="fr-FR"/>
        </w:rPr>
        <w:t xml:space="preserve"> </w:t>
      </w:r>
      <w:r w:rsidR="00E3674F" w:rsidRPr="00FB033A">
        <w:rPr>
          <w:b/>
          <w:bCs/>
          <w:kern w:val="22"/>
          <w:sz w:val="22"/>
          <w:lang w:val="fr-FR"/>
        </w:rPr>
        <w:t>connaissances traditionnelles</w:t>
      </w:r>
      <w:r w:rsidR="14AC87FF" w:rsidRPr="00FB033A">
        <w:rPr>
          <w:b/>
          <w:bCs/>
          <w:kern w:val="22"/>
          <w:sz w:val="22"/>
          <w:lang w:val="fr-FR"/>
        </w:rPr>
        <w:t xml:space="preserve"> </w:t>
      </w:r>
      <w:r w:rsidR="00E3674F" w:rsidRPr="00FB033A">
        <w:rPr>
          <w:b/>
          <w:bCs/>
          <w:kern w:val="22"/>
          <w:sz w:val="22"/>
          <w:lang w:val="fr-FR"/>
        </w:rPr>
        <w:t>associées aux</w:t>
      </w:r>
      <w:r w:rsidR="14AC87FF" w:rsidRPr="00FB033A">
        <w:rPr>
          <w:b/>
          <w:bCs/>
          <w:kern w:val="22"/>
          <w:sz w:val="22"/>
          <w:lang w:val="fr-FR"/>
        </w:rPr>
        <w:t xml:space="preserve"> </w:t>
      </w:r>
      <w:r w:rsidR="00E3674F" w:rsidRPr="00FB033A">
        <w:rPr>
          <w:b/>
          <w:bCs/>
          <w:kern w:val="22"/>
          <w:sz w:val="22"/>
          <w:lang w:val="fr-FR"/>
        </w:rPr>
        <w:t>ressources génétiques</w:t>
      </w:r>
      <w:r w:rsidR="14AC87FF" w:rsidRPr="00FB033A">
        <w:rPr>
          <w:b/>
          <w:bCs/>
          <w:kern w:val="22"/>
          <w:sz w:val="22"/>
          <w:lang w:val="fr-FR"/>
        </w:rPr>
        <w:t xml:space="preserve"> </w:t>
      </w:r>
      <w:r w:rsidR="00651FB0">
        <w:rPr>
          <w:b/>
          <w:bCs/>
          <w:kern w:val="22"/>
          <w:sz w:val="22"/>
          <w:lang w:val="fr-FR"/>
        </w:rPr>
        <w:t>qui se trouvent</w:t>
      </w:r>
      <w:r w:rsidR="00FB033A" w:rsidRPr="00FB033A">
        <w:rPr>
          <w:b/>
          <w:bCs/>
          <w:kern w:val="22"/>
          <w:sz w:val="22"/>
          <w:lang w:val="fr-FR"/>
        </w:rPr>
        <w:t xml:space="preserve"> </w:t>
      </w:r>
      <w:r w:rsidR="002A127F">
        <w:rPr>
          <w:b/>
          <w:bCs/>
          <w:kern w:val="22"/>
          <w:sz w:val="22"/>
          <w:lang w:val="fr-FR"/>
        </w:rPr>
        <w:t>dans des situations</w:t>
      </w:r>
      <w:r w:rsidR="00E3674F" w:rsidRPr="00FB033A">
        <w:rPr>
          <w:b/>
          <w:bCs/>
          <w:kern w:val="22"/>
          <w:sz w:val="22"/>
          <w:lang w:val="fr-FR"/>
        </w:rPr>
        <w:t xml:space="preserve"> transfrontières</w:t>
      </w:r>
      <w:r w:rsidR="0046412C" w:rsidRPr="00FB033A">
        <w:rPr>
          <w:b/>
          <w:bCs/>
          <w:kern w:val="22"/>
          <w:sz w:val="22"/>
          <w:lang w:val="fr-FR"/>
        </w:rPr>
        <w:t xml:space="preserve"> </w:t>
      </w:r>
      <w:r w:rsidR="00755B2D">
        <w:rPr>
          <w:b/>
          <w:bCs/>
          <w:kern w:val="22"/>
          <w:sz w:val="22"/>
          <w:lang w:val="fr-FR"/>
        </w:rPr>
        <w:t>ou pour lesquelles</w:t>
      </w:r>
      <w:r w:rsidR="0020703A">
        <w:rPr>
          <w:b/>
          <w:bCs/>
          <w:kern w:val="22"/>
          <w:sz w:val="22"/>
          <w:lang w:val="fr-FR"/>
        </w:rPr>
        <w:t xml:space="preserve"> </w:t>
      </w:r>
      <w:r w:rsidR="007D7761">
        <w:rPr>
          <w:b/>
          <w:bCs/>
          <w:kern w:val="22"/>
          <w:sz w:val="22"/>
          <w:lang w:val="fr-FR"/>
        </w:rPr>
        <w:t>il n’est pas possible</w:t>
      </w:r>
      <w:r w:rsidR="14AC87FF" w:rsidRPr="00FB033A">
        <w:rPr>
          <w:b/>
          <w:bCs/>
          <w:kern w:val="22"/>
          <w:sz w:val="22"/>
          <w:lang w:val="fr-FR"/>
        </w:rPr>
        <w:t xml:space="preserve"> </w:t>
      </w:r>
      <w:r w:rsidR="00FB033A">
        <w:rPr>
          <w:b/>
          <w:bCs/>
          <w:kern w:val="22"/>
          <w:sz w:val="22"/>
          <w:lang w:val="fr-FR"/>
        </w:rPr>
        <w:t>d’accorder ou d’obtenir un</w:t>
      </w:r>
      <w:r w:rsidR="14AC87FF" w:rsidRPr="00FB033A">
        <w:rPr>
          <w:b/>
          <w:bCs/>
          <w:kern w:val="22"/>
          <w:sz w:val="22"/>
          <w:lang w:val="fr-FR"/>
        </w:rPr>
        <w:t xml:space="preserve"> </w:t>
      </w:r>
      <w:r w:rsidR="007D7761">
        <w:rPr>
          <w:b/>
          <w:bCs/>
          <w:kern w:val="22"/>
          <w:sz w:val="22"/>
          <w:lang w:val="fr-FR"/>
        </w:rPr>
        <w:t>consentement préalable donné en connaissance de cause</w:t>
      </w:r>
      <w:r w:rsidR="14AC87FF" w:rsidRPr="00FB033A">
        <w:rPr>
          <w:kern w:val="22"/>
          <w:sz w:val="22"/>
          <w:lang w:val="fr-FR"/>
        </w:rPr>
        <w:t xml:space="preserve">, </w:t>
      </w:r>
      <w:r w:rsidR="001271C4">
        <w:rPr>
          <w:kern w:val="22"/>
          <w:sz w:val="22"/>
          <w:lang w:val="fr-FR"/>
        </w:rPr>
        <w:t xml:space="preserve">peut être divisé en trois </w:t>
      </w:r>
      <w:r w:rsidR="00D6232E">
        <w:rPr>
          <w:kern w:val="22"/>
          <w:sz w:val="22"/>
          <w:lang w:val="fr-FR"/>
        </w:rPr>
        <w:t>sous-groupe</w:t>
      </w:r>
      <w:r w:rsidR="007B4B52" w:rsidRPr="00FB033A" w:rsidDel="005C52B7">
        <w:rPr>
          <w:kern w:val="22"/>
          <w:sz w:val="22"/>
          <w:lang w:val="fr-FR"/>
        </w:rPr>
        <w:t>s</w:t>
      </w:r>
      <w:r w:rsidR="00E411BF">
        <w:rPr>
          <w:kern w:val="22"/>
          <w:sz w:val="22"/>
          <w:lang w:val="fr-FR"/>
        </w:rPr>
        <w:t xml:space="preserve"> distincts </w:t>
      </w:r>
      <w:r w:rsidR="14AC87FF" w:rsidRPr="00FB033A">
        <w:rPr>
          <w:kern w:val="22"/>
          <w:sz w:val="22"/>
          <w:lang w:val="fr-FR"/>
        </w:rPr>
        <w:t>:</w:t>
      </w:r>
      <w:r w:rsidR="00830BE4">
        <w:rPr>
          <w:kern w:val="22"/>
          <w:sz w:val="22"/>
          <w:lang w:val="fr-FR"/>
        </w:rPr>
        <w:t xml:space="preserve"> </w:t>
      </w:r>
      <w:r w:rsidR="0046412C" w:rsidRPr="00FB033A">
        <w:rPr>
          <w:kern w:val="22"/>
          <w:sz w:val="22"/>
          <w:lang w:val="fr-FR"/>
        </w:rPr>
        <w:t>a)</w:t>
      </w:r>
      <w:r w:rsidR="0051327A" w:rsidRPr="00FB033A">
        <w:rPr>
          <w:rFonts w:eastAsia="Times New Roman" w:cs="Times New Roman"/>
          <w:iCs/>
          <w:color w:val="000000"/>
          <w:kern w:val="22"/>
          <w:sz w:val="22"/>
          <w:lang w:val="fr-FR" w:eastAsia="en-CA"/>
        </w:rPr>
        <w:t xml:space="preserve"> </w:t>
      </w:r>
      <w:r w:rsidR="00E3674F" w:rsidRPr="00FB033A">
        <w:rPr>
          <w:iCs/>
          <w:kern w:val="22"/>
          <w:sz w:val="22"/>
          <w:lang w:val="fr-FR"/>
        </w:rPr>
        <w:t>connaissances traditionnelles</w:t>
      </w:r>
      <w:r w:rsidR="00830BE4">
        <w:rPr>
          <w:iCs/>
          <w:kern w:val="22"/>
          <w:sz w:val="22"/>
          <w:lang w:val="fr-FR"/>
        </w:rPr>
        <w:t xml:space="preserve"> connexes</w:t>
      </w:r>
      <w:r w:rsidR="0051327A" w:rsidRPr="00FB033A">
        <w:rPr>
          <w:iCs/>
          <w:kern w:val="22"/>
          <w:sz w:val="22"/>
          <w:lang w:val="fr-FR"/>
        </w:rPr>
        <w:t xml:space="preserve"> </w:t>
      </w:r>
      <w:r w:rsidR="003F6B4A">
        <w:rPr>
          <w:iCs/>
          <w:kern w:val="22"/>
          <w:sz w:val="22"/>
          <w:lang w:val="fr-FR"/>
        </w:rPr>
        <w:t>détenues par</w:t>
      </w:r>
      <w:r w:rsidR="0051327A" w:rsidRPr="00FB033A">
        <w:rPr>
          <w:iCs/>
          <w:kern w:val="22"/>
          <w:sz w:val="22"/>
          <w:lang w:val="fr-FR"/>
        </w:rPr>
        <w:t xml:space="preserve"> </w:t>
      </w:r>
      <w:r w:rsidR="00830BE4">
        <w:rPr>
          <w:iCs/>
          <w:kern w:val="22"/>
          <w:sz w:val="22"/>
          <w:lang w:val="fr-FR"/>
        </w:rPr>
        <w:t>des peuples autochtones et</w:t>
      </w:r>
      <w:r w:rsidR="00E411BF">
        <w:rPr>
          <w:iCs/>
          <w:kern w:val="22"/>
          <w:sz w:val="22"/>
          <w:lang w:val="fr-FR"/>
        </w:rPr>
        <w:t xml:space="preserve"> communautés locales situés dans plusieurs juridictions nationales</w:t>
      </w:r>
      <w:r w:rsidR="0051327A" w:rsidRPr="00FB033A">
        <w:rPr>
          <w:iCs/>
          <w:kern w:val="22"/>
          <w:sz w:val="22"/>
          <w:lang w:val="fr-FR"/>
        </w:rPr>
        <w:t xml:space="preserve">, </w:t>
      </w:r>
      <w:r w:rsidR="0046412C" w:rsidRPr="00FB033A">
        <w:rPr>
          <w:iCs/>
          <w:kern w:val="22"/>
          <w:sz w:val="22"/>
          <w:lang w:val="fr-FR"/>
        </w:rPr>
        <w:t xml:space="preserve">b) </w:t>
      </w:r>
      <w:r w:rsidR="00830BE4">
        <w:rPr>
          <w:iCs/>
          <w:kern w:val="22"/>
          <w:sz w:val="22"/>
          <w:lang w:val="fr-FR"/>
        </w:rPr>
        <w:t>connaissances t</w:t>
      </w:r>
      <w:r w:rsidR="00E411BF">
        <w:rPr>
          <w:iCs/>
          <w:kern w:val="22"/>
          <w:sz w:val="22"/>
          <w:lang w:val="fr-FR"/>
        </w:rPr>
        <w:t>raditionnelles connexes accessibles au public</w:t>
      </w:r>
      <w:r w:rsidR="0051327A" w:rsidRPr="00FB033A">
        <w:rPr>
          <w:iCs/>
          <w:kern w:val="22"/>
          <w:sz w:val="22"/>
          <w:lang w:val="fr-FR"/>
        </w:rPr>
        <w:t>,</w:t>
      </w:r>
      <w:r w:rsidR="00E3674F" w:rsidRPr="00FB033A">
        <w:rPr>
          <w:iCs/>
          <w:kern w:val="22"/>
          <w:sz w:val="22"/>
          <w:lang w:val="fr-FR"/>
        </w:rPr>
        <w:t xml:space="preserve"> et </w:t>
      </w:r>
      <w:r w:rsidR="0046412C" w:rsidRPr="00FB033A">
        <w:rPr>
          <w:iCs/>
          <w:kern w:val="22"/>
          <w:sz w:val="22"/>
          <w:lang w:val="fr-FR"/>
        </w:rPr>
        <w:t xml:space="preserve">c) </w:t>
      </w:r>
      <w:r w:rsidR="00830BE4">
        <w:rPr>
          <w:iCs/>
          <w:kern w:val="22"/>
          <w:sz w:val="22"/>
          <w:lang w:val="fr-FR"/>
        </w:rPr>
        <w:t>connaissances traditionnelles connexes</w:t>
      </w:r>
      <w:r w:rsidR="00E411BF">
        <w:rPr>
          <w:iCs/>
          <w:kern w:val="22"/>
          <w:sz w:val="22"/>
          <w:lang w:val="fr-FR"/>
        </w:rPr>
        <w:t xml:space="preserve"> dont on ne peut déterminer l’origine</w:t>
      </w:r>
      <w:r w:rsidR="00BE4772">
        <w:rPr>
          <w:iCs/>
          <w:kern w:val="22"/>
          <w:sz w:val="22"/>
          <w:lang w:val="fr-FR"/>
        </w:rPr>
        <w:t xml:space="preserve"> dans des</w:t>
      </w:r>
      <w:r w:rsidR="0051327A" w:rsidRPr="00FB033A">
        <w:rPr>
          <w:iCs/>
          <w:kern w:val="22"/>
          <w:sz w:val="22"/>
          <w:lang w:val="fr-FR"/>
        </w:rPr>
        <w:t xml:space="preserve"> </w:t>
      </w:r>
      <w:r w:rsidR="00FC7EA5" w:rsidRPr="00E411BF">
        <w:rPr>
          <w:kern w:val="22"/>
          <w:sz w:val="22"/>
          <w:lang w:val="fr-FR"/>
        </w:rPr>
        <w:t xml:space="preserve">collections </w:t>
      </w:r>
      <w:r w:rsidR="00FC7EA5">
        <w:rPr>
          <w:i/>
          <w:kern w:val="22"/>
          <w:sz w:val="22"/>
          <w:lang w:val="fr-FR"/>
        </w:rPr>
        <w:t>ex situ</w:t>
      </w:r>
      <w:r w:rsidR="0051327A" w:rsidRPr="00FB033A">
        <w:rPr>
          <w:iCs/>
          <w:kern w:val="22"/>
          <w:sz w:val="22"/>
          <w:lang w:val="fr-FR"/>
        </w:rPr>
        <w:t>.</w:t>
      </w:r>
    </w:p>
    <w:p w14:paraId="720A8CFF" w14:textId="0931EFD1" w:rsidR="00635636" w:rsidRPr="00BE4772" w:rsidRDefault="00A77BB8" w:rsidP="00A64EC9">
      <w:pPr>
        <w:rPr>
          <w:kern w:val="22"/>
          <w:sz w:val="22"/>
          <w:lang w:val="fr-FR"/>
        </w:rPr>
      </w:pPr>
      <w:r>
        <w:rPr>
          <w:kern w:val="22"/>
          <w:sz w:val="22"/>
          <w:lang w:val="fr-FR"/>
        </w:rPr>
        <w:t>En ce qui concerne</w:t>
      </w:r>
      <w:r w:rsidR="00BE4772">
        <w:rPr>
          <w:kern w:val="22"/>
          <w:sz w:val="22"/>
          <w:lang w:val="fr-FR"/>
        </w:rPr>
        <w:t xml:space="preserve"> le</w:t>
      </w:r>
      <w:r w:rsidR="00B07697" w:rsidRPr="001714C2">
        <w:rPr>
          <w:kern w:val="22"/>
          <w:sz w:val="22"/>
          <w:lang w:val="fr-FR"/>
        </w:rPr>
        <w:t xml:space="preserve"> </w:t>
      </w:r>
      <w:r w:rsidR="00D6232E">
        <w:rPr>
          <w:kern w:val="22"/>
          <w:sz w:val="22"/>
          <w:lang w:val="fr-FR"/>
        </w:rPr>
        <w:t>sous-groupe</w:t>
      </w:r>
      <w:r w:rsidR="00BE4772">
        <w:rPr>
          <w:kern w:val="22"/>
          <w:sz w:val="22"/>
          <w:lang w:val="fr-FR"/>
        </w:rPr>
        <w:t xml:space="preserve"> a), bien que des négociations bilatérales</w:t>
      </w:r>
      <w:r w:rsidR="00A64EC9" w:rsidRPr="001714C2">
        <w:rPr>
          <w:kern w:val="22"/>
          <w:sz w:val="22"/>
          <w:lang w:val="fr-FR"/>
        </w:rPr>
        <w:t xml:space="preserve"> </w:t>
      </w:r>
      <w:r w:rsidR="00BE4772">
        <w:rPr>
          <w:kern w:val="22"/>
          <w:sz w:val="22"/>
          <w:lang w:val="fr-FR"/>
        </w:rPr>
        <w:t>soient possi</w:t>
      </w:r>
      <w:r w:rsidR="00E411BF">
        <w:rPr>
          <w:kern w:val="22"/>
          <w:sz w:val="22"/>
          <w:lang w:val="fr-FR"/>
        </w:rPr>
        <w:t>bles, elles peuvent être</w:t>
      </w:r>
      <w:r w:rsidR="00BE4772">
        <w:rPr>
          <w:kern w:val="22"/>
          <w:sz w:val="22"/>
          <w:lang w:val="fr-FR"/>
        </w:rPr>
        <w:t xml:space="preserve"> difficiles dans des </w:t>
      </w:r>
      <w:r w:rsidR="00A64EC9" w:rsidRPr="001714C2">
        <w:rPr>
          <w:kern w:val="22"/>
          <w:sz w:val="22"/>
          <w:lang w:val="fr-FR"/>
        </w:rPr>
        <w:t>situation</w:t>
      </w:r>
      <w:r w:rsidR="003E784F" w:rsidRPr="001714C2">
        <w:rPr>
          <w:kern w:val="22"/>
          <w:sz w:val="22"/>
          <w:lang w:val="fr-FR"/>
        </w:rPr>
        <w:t>s</w:t>
      </w:r>
      <w:r w:rsidR="00BE4772">
        <w:rPr>
          <w:kern w:val="22"/>
          <w:sz w:val="22"/>
          <w:lang w:val="fr-FR"/>
        </w:rPr>
        <w:t xml:space="preserve"> où les</w:t>
      </w:r>
      <w:r w:rsidR="00A64EC9" w:rsidRPr="001714C2">
        <w:rPr>
          <w:kern w:val="22"/>
          <w:sz w:val="22"/>
          <w:lang w:val="fr-FR"/>
        </w:rPr>
        <w:t xml:space="preserve"> </w:t>
      </w:r>
      <w:r w:rsidR="00E3674F" w:rsidRPr="001714C2">
        <w:rPr>
          <w:kern w:val="22"/>
          <w:sz w:val="22"/>
          <w:lang w:val="fr-FR"/>
        </w:rPr>
        <w:t>connaissances traditionnelles</w:t>
      </w:r>
      <w:r w:rsidR="00A64EC9" w:rsidRPr="001714C2">
        <w:rPr>
          <w:kern w:val="22"/>
          <w:sz w:val="22"/>
          <w:lang w:val="fr-FR"/>
        </w:rPr>
        <w:t xml:space="preserve"> </w:t>
      </w:r>
      <w:r w:rsidR="00E3674F" w:rsidRPr="001714C2">
        <w:rPr>
          <w:kern w:val="22"/>
          <w:sz w:val="22"/>
          <w:lang w:val="fr-FR"/>
        </w:rPr>
        <w:t>associées aux</w:t>
      </w:r>
      <w:r w:rsidR="00A64EC9" w:rsidRPr="001714C2">
        <w:rPr>
          <w:kern w:val="22"/>
          <w:sz w:val="22"/>
          <w:lang w:val="fr-FR"/>
        </w:rPr>
        <w:t xml:space="preserve"> </w:t>
      </w:r>
      <w:r w:rsidR="00E3674F" w:rsidRPr="001714C2">
        <w:rPr>
          <w:kern w:val="22"/>
          <w:sz w:val="22"/>
          <w:lang w:val="fr-FR"/>
        </w:rPr>
        <w:t>ressources génétiques</w:t>
      </w:r>
      <w:r w:rsidR="00BE4772">
        <w:rPr>
          <w:kern w:val="22"/>
          <w:sz w:val="22"/>
          <w:lang w:val="fr-FR"/>
        </w:rPr>
        <w:t xml:space="preserve"> sont </w:t>
      </w:r>
      <w:r w:rsidR="003F6B4A">
        <w:rPr>
          <w:kern w:val="22"/>
          <w:sz w:val="22"/>
          <w:lang w:val="fr-FR"/>
        </w:rPr>
        <w:t>détenues par</w:t>
      </w:r>
      <w:r w:rsidR="00BE4772">
        <w:rPr>
          <w:kern w:val="22"/>
          <w:sz w:val="22"/>
          <w:lang w:val="fr-FR"/>
        </w:rPr>
        <w:t xml:space="preserve"> des</w:t>
      </w:r>
      <w:r w:rsidR="00A64EC9" w:rsidRPr="001714C2">
        <w:rPr>
          <w:kern w:val="22"/>
          <w:sz w:val="22"/>
          <w:lang w:val="fr-FR"/>
        </w:rPr>
        <w:t xml:space="preserve"> </w:t>
      </w:r>
      <w:r w:rsidR="001714C2" w:rsidRPr="001714C2">
        <w:rPr>
          <w:kern w:val="22"/>
          <w:sz w:val="22"/>
          <w:lang w:val="fr-FR"/>
        </w:rPr>
        <w:t>peuples autochtones et communautés locales</w:t>
      </w:r>
      <w:r w:rsidR="00A64EC9" w:rsidRPr="001714C2">
        <w:rPr>
          <w:kern w:val="22"/>
          <w:sz w:val="22"/>
          <w:lang w:val="fr-FR"/>
        </w:rPr>
        <w:t xml:space="preserve"> </w:t>
      </w:r>
      <w:r w:rsidR="00E411BF">
        <w:rPr>
          <w:kern w:val="22"/>
          <w:sz w:val="22"/>
          <w:lang w:val="fr-FR"/>
        </w:rPr>
        <w:t>dont les membres vivent</w:t>
      </w:r>
      <w:r w:rsidR="00BE4772">
        <w:rPr>
          <w:kern w:val="22"/>
          <w:sz w:val="22"/>
          <w:lang w:val="fr-FR"/>
        </w:rPr>
        <w:t xml:space="preserve"> dans plusieurs pays</w:t>
      </w:r>
      <w:r w:rsidR="00A64EC9" w:rsidRPr="001714C2">
        <w:rPr>
          <w:kern w:val="22"/>
          <w:sz w:val="22"/>
          <w:lang w:val="fr-FR"/>
        </w:rPr>
        <w:t xml:space="preserve">. </w:t>
      </w:r>
      <w:r w:rsidR="00E411BF">
        <w:rPr>
          <w:iCs/>
          <w:kern w:val="22"/>
          <w:sz w:val="22"/>
          <w:lang w:val="fr-FR"/>
        </w:rPr>
        <w:t>Dans de tels cas, l’</w:t>
      </w:r>
      <w:r w:rsidR="00E3674F" w:rsidRPr="00FB0054">
        <w:rPr>
          <w:iCs/>
          <w:kern w:val="22"/>
          <w:sz w:val="22"/>
          <w:lang w:val="fr-FR"/>
        </w:rPr>
        <w:t>étude</w:t>
      </w:r>
      <w:r w:rsidR="00A64EC9" w:rsidRPr="00FB0054">
        <w:rPr>
          <w:iCs/>
          <w:kern w:val="22"/>
          <w:sz w:val="22"/>
          <w:lang w:val="fr-FR"/>
        </w:rPr>
        <w:t xml:space="preserve"> </w:t>
      </w:r>
      <w:r w:rsidR="00BE4772">
        <w:rPr>
          <w:iCs/>
          <w:kern w:val="22"/>
          <w:sz w:val="22"/>
          <w:lang w:val="fr-FR"/>
        </w:rPr>
        <w:t>a identifié trois scé</w:t>
      </w:r>
      <w:r w:rsidR="00A64EC9" w:rsidRPr="00FB0054">
        <w:rPr>
          <w:iCs/>
          <w:kern w:val="22"/>
          <w:sz w:val="22"/>
          <w:lang w:val="fr-FR"/>
        </w:rPr>
        <w:t>narios</w:t>
      </w:r>
      <w:r w:rsidR="00E411BF">
        <w:rPr>
          <w:iCs/>
          <w:kern w:val="22"/>
          <w:sz w:val="22"/>
          <w:lang w:val="fr-FR"/>
        </w:rPr>
        <w:t xml:space="preserve"> possibles</w:t>
      </w:r>
      <w:r w:rsidR="00BE4772">
        <w:rPr>
          <w:iCs/>
          <w:kern w:val="22"/>
          <w:sz w:val="22"/>
          <w:lang w:val="fr-FR"/>
        </w:rPr>
        <w:t xml:space="preserve"> : </w:t>
      </w:r>
      <w:r w:rsidR="00A64EC9" w:rsidRPr="00FB0054">
        <w:rPr>
          <w:iCs/>
          <w:kern w:val="22"/>
          <w:sz w:val="22"/>
          <w:lang w:val="fr-FR"/>
        </w:rPr>
        <w:t xml:space="preserve">1) </w:t>
      </w:r>
      <w:r w:rsidR="00BE4772">
        <w:rPr>
          <w:iCs/>
          <w:kern w:val="22"/>
          <w:sz w:val="22"/>
          <w:lang w:val="fr-FR"/>
        </w:rPr>
        <w:t xml:space="preserve">les </w:t>
      </w:r>
      <w:r w:rsidR="00830BE4">
        <w:rPr>
          <w:iCs/>
          <w:kern w:val="22"/>
          <w:sz w:val="22"/>
          <w:lang w:val="fr-FR"/>
        </w:rPr>
        <w:t>connaissances traditionnelles connexes</w:t>
      </w:r>
      <w:r w:rsidR="00BE4772">
        <w:rPr>
          <w:iCs/>
          <w:kern w:val="22"/>
          <w:sz w:val="22"/>
          <w:lang w:val="fr-FR"/>
        </w:rPr>
        <w:t xml:space="preserve"> sont</w:t>
      </w:r>
      <w:r w:rsidR="00A64EC9" w:rsidRPr="00FB0054">
        <w:rPr>
          <w:iCs/>
          <w:kern w:val="22"/>
          <w:sz w:val="22"/>
          <w:lang w:val="fr-FR"/>
        </w:rPr>
        <w:t xml:space="preserve"> </w:t>
      </w:r>
      <w:r w:rsidR="003F6B4A" w:rsidRPr="00FB0054">
        <w:rPr>
          <w:iCs/>
          <w:kern w:val="22"/>
          <w:sz w:val="22"/>
          <w:lang w:val="fr-FR"/>
        </w:rPr>
        <w:t>détenues par</w:t>
      </w:r>
      <w:r w:rsidR="00BE4772">
        <w:rPr>
          <w:iCs/>
          <w:kern w:val="22"/>
          <w:sz w:val="22"/>
          <w:lang w:val="fr-FR"/>
        </w:rPr>
        <w:t xml:space="preserve"> un seul </w:t>
      </w:r>
      <w:r w:rsidR="00EB3120" w:rsidRPr="00FB0054">
        <w:rPr>
          <w:iCs/>
          <w:kern w:val="22"/>
          <w:sz w:val="22"/>
          <w:lang w:val="fr-FR"/>
        </w:rPr>
        <w:t>group</w:t>
      </w:r>
      <w:r w:rsidR="00BE4772">
        <w:rPr>
          <w:iCs/>
          <w:kern w:val="22"/>
          <w:sz w:val="22"/>
          <w:lang w:val="fr-FR"/>
        </w:rPr>
        <w:t xml:space="preserve">e dans plusieurs </w:t>
      </w:r>
      <w:r w:rsidR="00E40444" w:rsidRPr="00FB0054">
        <w:rPr>
          <w:iCs/>
          <w:kern w:val="22"/>
          <w:sz w:val="22"/>
          <w:lang w:val="fr-FR"/>
        </w:rPr>
        <w:t>pays</w:t>
      </w:r>
      <w:r w:rsidR="00BE4772">
        <w:rPr>
          <w:iCs/>
          <w:kern w:val="22"/>
          <w:sz w:val="22"/>
          <w:lang w:val="fr-FR"/>
        </w:rPr>
        <w:t xml:space="preserve">; </w:t>
      </w:r>
      <w:r w:rsidR="00DE6B9A" w:rsidRPr="00FB0054">
        <w:rPr>
          <w:iCs/>
          <w:kern w:val="22"/>
          <w:sz w:val="22"/>
          <w:lang w:val="fr-FR"/>
        </w:rPr>
        <w:t xml:space="preserve">2) </w:t>
      </w:r>
      <w:r w:rsidR="00BE4772">
        <w:rPr>
          <w:iCs/>
          <w:kern w:val="22"/>
          <w:sz w:val="22"/>
          <w:lang w:val="fr-FR"/>
        </w:rPr>
        <w:t xml:space="preserve">les </w:t>
      </w:r>
      <w:r w:rsidR="00830BE4">
        <w:rPr>
          <w:iCs/>
          <w:kern w:val="22"/>
          <w:sz w:val="22"/>
          <w:lang w:val="fr-FR"/>
        </w:rPr>
        <w:t>connaissances traditionnelles connexes</w:t>
      </w:r>
      <w:r w:rsidR="004846C5" w:rsidRPr="00FB0054">
        <w:rPr>
          <w:iCs/>
          <w:kern w:val="22"/>
          <w:sz w:val="22"/>
          <w:lang w:val="fr-FR"/>
        </w:rPr>
        <w:t xml:space="preserve"> </w:t>
      </w:r>
      <w:r w:rsidR="00BE4772">
        <w:rPr>
          <w:iCs/>
          <w:kern w:val="22"/>
          <w:sz w:val="22"/>
          <w:lang w:val="fr-FR"/>
        </w:rPr>
        <w:t xml:space="preserve">sont </w:t>
      </w:r>
      <w:r w:rsidR="003F6B4A" w:rsidRPr="00FB0054">
        <w:rPr>
          <w:iCs/>
          <w:kern w:val="22"/>
          <w:sz w:val="22"/>
          <w:lang w:val="fr-FR"/>
        </w:rPr>
        <w:t>détenues par</w:t>
      </w:r>
      <w:r w:rsidR="00E411BF">
        <w:rPr>
          <w:iCs/>
          <w:kern w:val="22"/>
          <w:sz w:val="22"/>
          <w:lang w:val="fr-FR"/>
        </w:rPr>
        <w:t xml:space="preserve"> plusieurs </w:t>
      </w:r>
      <w:r w:rsidR="00BE4772">
        <w:rPr>
          <w:iCs/>
          <w:kern w:val="22"/>
          <w:sz w:val="22"/>
          <w:lang w:val="fr-FR"/>
        </w:rPr>
        <w:t>groupe</w:t>
      </w:r>
      <w:r w:rsidR="00E411BF">
        <w:rPr>
          <w:iCs/>
          <w:kern w:val="22"/>
          <w:sz w:val="22"/>
          <w:lang w:val="fr-FR"/>
        </w:rPr>
        <w:t>s</w:t>
      </w:r>
      <w:r w:rsidR="00BE4772">
        <w:rPr>
          <w:iCs/>
          <w:kern w:val="22"/>
          <w:sz w:val="22"/>
          <w:lang w:val="fr-FR"/>
        </w:rPr>
        <w:t xml:space="preserve"> situés dans plusieurs pays</w:t>
      </w:r>
      <w:r w:rsidR="004B3F35" w:rsidRPr="00FB0054">
        <w:rPr>
          <w:iCs/>
          <w:kern w:val="22"/>
          <w:sz w:val="22"/>
          <w:lang w:val="fr-FR"/>
        </w:rPr>
        <w:t>;</w:t>
      </w:r>
      <w:r w:rsidR="00BE4772">
        <w:rPr>
          <w:iCs/>
          <w:kern w:val="22"/>
          <w:sz w:val="22"/>
          <w:lang w:val="fr-FR"/>
        </w:rPr>
        <w:t xml:space="preserve"> </w:t>
      </w:r>
      <w:r w:rsidR="004B3F35" w:rsidRPr="00FB0054">
        <w:rPr>
          <w:iCs/>
          <w:kern w:val="22"/>
          <w:sz w:val="22"/>
          <w:lang w:val="fr-FR"/>
        </w:rPr>
        <w:t>3</w:t>
      </w:r>
      <w:r w:rsidR="00A64EC9" w:rsidRPr="00FB0054">
        <w:rPr>
          <w:iCs/>
          <w:kern w:val="22"/>
          <w:sz w:val="22"/>
          <w:lang w:val="fr-FR"/>
        </w:rPr>
        <w:t xml:space="preserve">) </w:t>
      </w:r>
      <w:r w:rsidR="00BE4772">
        <w:rPr>
          <w:iCs/>
          <w:kern w:val="22"/>
          <w:sz w:val="22"/>
          <w:lang w:val="fr-FR"/>
        </w:rPr>
        <w:t xml:space="preserve">les </w:t>
      </w:r>
      <w:r w:rsidR="00830BE4">
        <w:rPr>
          <w:iCs/>
          <w:kern w:val="22"/>
          <w:sz w:val="22"/>
          <w:lang w:val="fr-FR"/>
        </w:rPr>
        <w:t>connaissances traditionnelles connexes</w:t>
      </w:r>
      <w:r w:rsidR="00A64EC9" w:rsidRPr="00FB0054">
        <w:rPr>
          <w:iCs/>
          <w:kern w:val="22"/>
          <w:sz w:val="22"/>
          <w:lang w:val="fr-FR"/>
        </w:rPr>
        <w:t xml:space="preserve"> </w:t>
      </w:r>
      <w:r w:rsidR="00BE4772">
        <w:rPr>
          <w:iCs/>
          <w:kern w:val="22"/>
          <w:sz w:val="22"/>
          <w:lang w:val="fr-FR"/>
        </w:rPr>
        <w:t xml:space="preserve">sont </w:t>
      </w:r>
      <w:r w:rsidR="003F6B4A" w:rsidRPr="00FB0054">
        <w:rPr>
          <w:iCs/>
          <w:kern w:val="22"/>
          <w:sz w:val="22"/>
          <w:lang w:val="fr-FR"/>
        </w:rPr>
        <w:t>détenues par</w:t>
      </w:r>
      <w:r w:rsidR="00BE4772">
        <w:rPr>
          <w:iCs/>
          <w:kern w:val="22"/>
          <w:sz w:val="22"/>
          <w:lang w:val="fr-FR"/>
        </w:rPr>
        <w:t xml:space="preserve"> une communauté </w:t>
      </w:r>
      <w:r w:rsidR="00F742DD">
        <w:rPr>
          <w:iCs/>
          <w:kern w:val="22"/>
          <w:sz w:val="22"/>
          <w:lang w:val="fr-FR"/>
        </w:rPr>
        <w:t>située</w:t>
      </w:r>
      <w:r w:rsidR="00E411BF">
        <w:rPr>
          <w:iCs/>
          <w:kern w:val="22"/>
          <w:sz w:val="22"/>
          <w:lang w:val="fr-FR"/>
        </w:rPr>
        <w:t xml:space="preserve"> </w:t>
      </w:r>
      <w:r w:rsidR="00BE4772">
        <w:rPr>
          <w:iCs/>
          <w:kern w:val="22"/>
          <w:sz w:val="22"/>
          <w:lang w:val="fr-FR"/>
        </w:rPr>
        <w:t>dans un pays</w:t>
      </w:r>
      <w:r w:rsidR="00E411BF">
        <w:rPr>
          <w:iCs/>
          <w:kern w:val="22"/>
          <w:sz w:val="22"/>
          <w:lang w:val="fr-FR"/>
        </w:rPr>
        <w:t xml:space="preserve"> donné</w:t>
      </w:r>
      <w:r w:rsidR="00F742DD">
        <w:rPr>
          <w:iCs/>
          <w:kern w:val="22"/>
          <w:sz w:val="22"/>
          <w:lang w:val="fr-FR"/>
        </w:rPr>
        <w:t xml:space="preserve">, mais </w:t>
      </w:r>
      <w:r w:rsidR="00E411BF">
        <w:rPr>
          <w:iCs/>
          <w:kern w:val="22"/>
          <w:sz w:val="22"/>
          <w:lang w:val="fr-FR"/>
        </w:rPr>
        <w:t xml:space="preserve">la </w:t>
      </w:r>
      <w:r w:rsidR="00F742DD">
        <w:rPr>
          <w:iCs/>
          <w:kern w:val="22"/>
          <w:sz w:val="22"/>
          <w:lang w:val="fr-FR"/>
        </w:rPr>
        <w:t>ressource génétique en question</w:t>
      </w:r>
      <w:r w:rsidR="00E411BF">
        <w:rPr>
          <w:iCs/>
          <w:kern w:val="22"/>
          <w:sz w:val="22"/>
          <w:lang w:val="fr-FR"/>
        </w:rPr>
        <w:t xml:space="preserve"> </w:t>
      </w:r>
      <w:r w:rsidR="00F742DD">
        <w:rPr>
          <w:iCs/>
          <w:kern w:val="22"/>
          <w:sz w:val="22"/>
          <w:lang w:val="fr-FR"/>
        </w:rPr>
        <w:t>est</w:t>
      </w:r>
      <w:r w:rsidR="00E411BF">
        <w:rPr>
          <w:iCs/>
          <w:kern w:val="22"/>
          <w:sz w:val="22"/>
          <w:lang w:val="fr-FR"/>
        </w:rPr>
        <w:t xml:space="preserve"> originaire d’</w:t>
      </w:r>
      <w:r w:rsidR="00BE4772">
        <w:rPr>
          <w:iCs/>
          <w:kern w:val="22"/>
          <w:sz w:val="22"/>
          <w:lang w:val="fr-FR"/>
        </w:rPr>
        <w:t>un autre pays</w:t>
      </w:r>
      <w:r w:rsidR="00A64EC9" w:rsidRPr="00FB0054">
        <w:rPr>
          <w:iCs/>
          <w:kern w:val="22"/>
          <w:sz w:val="22"/>
          <w:lang w:val="fr-FR"/>
        </w:rPr>
        <w:t>.</w:t>
      </w:r>
      <w:r w:rsidR="00BC4326" w:rsidRPr="00FB0054">
        <w:rPr>
          <w:iCs/>
          <w:kern w:val="22"/>
          <w:sz w:val="22"/>
          <w:lang w:val="fr-FR"/>
        </w:rPr>
        <w:t xml:space="preserve"> </w:t>
      </w:r>
      <w:r w:rsidR="00F742DD">
        <w:rPr>
          <w:iCs/>
          <w:kern w:val="22"/>
          <w:sz w:val="22"/>
          <w:lang w:val="fr-FR"/>
        </w:rPr>
        <w:t>L</w:t>
      </w:r>
      <w:r w:rsidR="00BE4772">
        <w:rPr>
          <w:iCs/>
          <w:kern w:val="22"/>
          <w:sz w:val="22"/>
          <w:lang w:val="fr-FR"/>
        </w:rPr>
        <w:t>es e</w:t>
      </w:r>
      <w:r w:rsidR="009D43F1">
        <w:rPr>
          <w:iCs/>
          <w:kern w:val="22"/>
          <w:sz w:val="22"/>
          <w:lang w:val="fr-FR"/>
        </w:rPr>
        <w:t>xemple</w:t>
      </w:r>
      <w:r w:rsidR="00BE4772">
        <w:rPr>
          <w:iCs/>
          <w:kern w:val="22"/>
          <w:sz w:val="22"/>
          <w:lang w:val="fr-FR"/>
        </w:rPr>
        <w:t xml:space="preserve">s </w:t>
      </w:r>
      <w:r w:rsidR="00F742DD">
        <w:rPr>
          <w:iCs/>
          <w:kern w:val="22"/>
          <w:sz w:val="22"/>
          <w:lang w:val="fr-FR"/>
        </w:rPr>
        <w:t xml:space="preserve">fournis dans l’étude </w:t>
      </w:r>
      <w:r w:rsidR="00BE4772">
        <w:rPr>
          <w:iCs/>
          <w:kern w:val="22"/>
          <w:sz w:val="22"/>
          <w:lang w:val="fr-FR"/>
        </w:rPr>
        <w:t>incluent les</w:t>
      </w:r>
      <w:r w:rsidR="00A64EC9" w:rsidRPr="00E3674F">
        <w:rPr>
          <w:iCs/>
          <w:kern w:val="22"/>
          <w:sz w:val="22"/>
          <w:lang w:val="fr-FR"/>
        </w:rPr>
        <w:t xml:space="preserve"> </w:t>
      </w:r>
      <w:r w:rsidR="00E3674F" w:rsidRPr="00E3674F">
        <w:rPr>
          <w:iCs/>
          <w:kern w:val="22"/>
          <w:sz w:val="22"/>
          <w:lang w:val="fr-FR"/>
        </w:rPr>
        <w:t>connaissances traditionnelles</w:t>
      </w:r>
      <w:r w:rsidR="00F742DD">
        <w:rPr>
          <w:iCs/>
          <w:kern w:val="22"/>
          <w:sz w:val="22"/>
          <w:lang w:val="fr-FR"/>
        </w:rPr>
        <w:t xml:space="preserve"> liées à l</w:t>
      </w:r>
      <w:r w:rsidR="002E33B3">
        <w:rPr>
          <w:iCs/>
          <w:kern w:val="22"/>
          <w:sz w:val="22"/>
          <w:lang w:val="fr-FR"/>
        </w:rPr>
        <w:t>’</w:t>
      </w:r>
      <w:r w:rsidR="00EC2C07">
        <w:rPr>
          <w:iCs/>
          <w:kern w:val="22"/>
          <w:sz w:val="22"/>
          <w:lang w:val="fr-FR"/>
        </w:rPr>
        <w:t>Armoise de Judée</w:t>
      </w:r>
      <w:r w:rsidR="00BC4326" w:rsidRPr="00E3674F">
        <w:rPr>
          <w:iCs/>
          <w:kern w:val="22"/>
          <w:sz w:val="22"/>
          <w:lang w:val="fr-FR"/>
        </w:rPr>
        <w:t xml:space="preserve"> (</w:t>
      </w:r>
      <w:r w:rsidR="00A51ACF" w:rsidRPr="00E3674F">
        <w:rPr>
          <w:i/>
          <w:kern w:val="22"/>
          <w:sz w:val="22"/>
          <w:lang w:val="fr-FR"/>
        </w:rPr>
        <w:t>Artemesia judaica</w:t>
      </w:r>
      <w:r w:rsidR="00BC4326" w:rsidRPr="00E3674F">
        <w:rPr>
          <w:iCs/>
          <w:kern w:val="22"/>
          <w:sz w:val="22"/>
          <w:lang w:val="fr-FR"/>
        </w:rPr>
        <w:t>)</w:t>
      </w:r>
      <w:r w:rsidR="00E3674F" w:rsidRPr="00E3674F">
        <w:rPr>
          <w:iCs/>
          <w:kern w:val="22"/>
          <w:sz w:val="22"/>
          <w:lang w:val="fr-FR"/>
        </w:rPr>
        <w:t xml:space="preserve"> et </w:t>
      </w:r>
      <w:r w:rsidR="00F742DD">
        <w:rPr>
          <w:iCs/>
          <w:kern w:val="22"/>
          <w:sz w:val="22"/>
          <w:lang w:val="fr-FR"/>
        </w:rPr>
        <w:t>à l</w:t>
      </w:r>
      <w:r w:rsidR="00C33E5E">
        <w:rPr>
          <w:iCs/>
          <w:kern w:val="22"/>
          <w:sz w:val="22"/>
          <w:lang w:val="fr-FR"/>
        </w:rPr>
        <w:t>a Pervenche rose</w:t>
      </w:r>
      <w:r w:rsidR="003B7AE1" w:rsidRPr="00E3674F">
        <w:rPr>
          <w:iCs/>
          <w:kern w:val="22"/>
          <w:sz w:val="22"/>
          <w:lang w:val="fr-FR"/>
        </w:rPr>
        <w:t xml:space="preserve"> (</w:t>
      </w:r>
      <w:r w:rsidR="003B7AE1" w:rsidRPr="00E3674F">
        <w:rPr>
          <w:i/>
          <w:kern w:val="22"/>
          <w:sz w:val="22"/>
          <w:lang w:val="fr-FR"/>
        </w:rPr>
        <w:t>Catharanthus roseus</w:t>
      </w:r>
      <w:r w:rsidR="003B7AE1" w:rsidRPr="00E3674F">
        <w:rPr>
          <w:iCs/>
          <w:kern w:val="22"/>
          <w:sz w:val="22"/>
          <w:lang w:val="fr-FR"/>
        </w:rPr>
        <w:t>)</w:t>
      </w:r>
      <w:r w:rsidR="00A64EC9" w:rsidRPr="00E3674F">
        <w:rPr>
          <w:kern w:val="22"/>
          <w:sz w:val="22"/>
          <w:lang w:val="fr-FR"/>
        </w:rPr>
        <w:t>.</w:t>
      </w:r>
      <w:r w:rsidR="00A64EC9" w:rsidRPr="00E3674F">
        <w:rPr>
          <w:iCs/>
          <w:kern w:val="22"/>
          <w:sz w:val="22"/>
          <w:lang w:val="fr-FR"/>
        </w:rPr>
        <w:t xml:space="preserve"> </w:t>
      </w:r>
      <w:bookmarkStart w:id="8" w:name="_Hlk42634694"/>
      <w:r w:rsidR="00BE4772" w:rsidRPr="00BE4772">
        <w:rPr>
          <w:iCs/>
          <w:kern w:val="22"/>
          <w:sz w:val="22"/>
          <w:lang w:val="fr-FR"/>
        </w:rPr>
        <w:t xml:space="preserve">Les </w:t>
      </w:r>
      <w:r w:rsidR="00BE4772">
        <w:rPr>
          <w:iCs/>
          <w:kern w:val="22"/>
          <w:sz w:val="22"/>
          <w:lang w:val="fr-FR"/>
        </w:rPr>
        <w:t>principales</w:t>
      </w:r>
      <w:r w:rsidR="00BE4772" w:rsidRPr="00BE4772">
        <w:rPr>
          <w:iCs/>
          <w:kern w:val="22"/>
          <w:sz w:val="22"/>
          <w:lang w:val="fr-FR"/>
        </w:rPr>
        <w:t xml:space="preserve"> difficultés rencontrées dans ces</w:t>
      </w:r>
      <w:r w:rsidR="00A64EC9" w:rsidRPr="00BE4772">
        <w:rPr>
          <w:kern w:val="22"/>
          <w:sz w:val="22"/>
          <w:lang w:val="fr-FR"/>
        </w:rPr>
        <w:t xml:space="preserve"> situations </w:t>
      </w:r>
      <w:r w:rsidR="00F742DD">
        <w:rPr>
          <w:kern w:val="22"/>
          <w:sz w:val="22"/>
          <w:lang w:val="fr-FR"/>
        </w:rPr>
        <w:t>concernent l’identification des détenteurs</w:t>
      </w:r>
      <w:r w:rsidR="00BE4772">
        <w:rPr>
          <w:kern w:val="22"/>
          <w:sz w:val="22"/>
          <w:lang w:val="fr-FR"/>
        </w:rPr>
        <w:t xml:space="preserve"> des </w:t>
      </w:r>
      <w:r w:rsidR="00830BE4" w:rsidRPr="00BE4772">
        <w:rPr>
          <w:iCs/>
          <w:kern w:val="22"/>
          <w:sz w:val="22"/>
          <w:lang w:val="fr-FR"/>
        </w:rPr>
        <w:t>connaissances traditionnelles connexes</w:t>
      </w:r>
      <w:r w:rsidR="00694C34" w:rsidRPr="00BE4772">
        <w:rPr>
          <w:iCs/>
          <w:kern w:val="22"/>
          <w:sz w:val="22"/>
          <w:lang w:val="fr-FR"/>
        </w:rPr>
        <w:t>,</w:t>
      </w:r>
      <w:r w:rsidR="00F742DD">
        <w:rPr>
          <w:iCs/>
          <w:kern w:val="22"/>
          <w:sz w:val="22"/>
          <w:lang w:val="fr-FR"/>
        </w:rPr>
        <w:t xml:space="preserve"> et donc de ceux qui accorderont potentiellement un </w:t>
      </w:r>
      <w:r w:rsidR="007D7761">
        <w:rPr>
          <w:kern w:val="22"/>
          <w:sz w:val="22"/>
          <w:lang w:val="fr-FR"/>
        </w:rPr>
        <w:t>consentement préalable donné en connaissance de cause</w:t>
      </w:r>
      <w:r w:rsidR="00F742DD">
        <w:rPr>
          <w:kern w:val="22"/>
          <w:sz w:val="22"/>
          <w:lang w:val="fr-FR"/>
        </w:rPr>
        <w:t xml:space="preserve">, et de ceux qui recevront potentiellement </w:t>
      </w:r>
      <w:r w:rsidR="00BE4772">
        <w:rPr>
          <w:kern w:val="22"/>
          <w:sz w:val="22"/>
          <w:lang w:val="fr-FR"/>
        </w:rPr>
        <w:t>une part des ava</w:t>
      </w:r>
      <w:r w:rsidR="00F742DD">
        <w:rPr>
          <w:kern w:val="22"/>
          <w:sz w:val="22"/>
          <w:lang w:val="fr-FR"/>
        </w:rPr>
        <w:t xml:space="preserve">ntages résultant de </w:t>
      </w:r>
      <w:r w:rsidR="00BE4772">
        <w:rPr>
          <w:kern w:val="22"/>
          <w:sz w:val="22"/>
          <w:lang w:val="fr-FR"/>
        </w:rPr>
        <w:t>ces connaissances</w:t>
      </w:r>
      <w:r w:rsidR="00F742DD">
        <w:rPr>
          <w:kern w:val="22"/>
          <w:sz w:val="22"/>
          <w:lang w:val="fr-FR"/>
        </w:rPr>
        <w:t>, conformément au droit interne en vigueur.</w:t>
      </w:r>
    </w:p>
    <w:bookmarkEnd w:id="8"/>
    <w:p w14:paraId="4E364B06" w14:textId="032E2E69" w:rsidR="00A2431C" w:rsidRPr="009D43F1" w:rsidRDefault="00A77BB8" w:rsidP="00A2431C">
      <w:pPr>
        <w:rPr>
          <w:kern w:val="22"/>
          <w:sz w:val="22"/>
          <w:lang w:val="fr-FR"/>
        </w:rPr>
      </w:pPr>
      <w:r w:rsidRPr="00A77BB8">
        <w:rPr>
          <w:kern w:val="22"/>
          <w:sz w:val="22"/>
          <w:lang w:val="fr-FR"/>
        </w:rPr>
        <w:lastRenderedPageBreak/>
        <w:t>En ce qui concerne</w:t>
      </w:r>
      <w:r w:rsidR="00B07697" w:rsidRPr="00A77BB8">
        <w:rPr>
          <w:kern w:val="22"/>
          <w:sz w:val="22"/>
          <w:lang w:val="fr-FR"/>
        </w:rPr>
        <w:t xml:space="preserve"> </w:t>
      </w:r>
      <w:r w:rsidR="00BE4772">
        <w:rPr>
          <w:kern w:val="22"/>
          <w:sz w:val="22"/>
          <w:lang w:val="fr-FR"/>
        </w:rPr>
        <w:t xml:space="preserve">les </w:t>
      </w:r>
      <w:r w:rsidR="00D6232E" w:rsidRPr="00A77BB8">
        <w:rPr>
          <w:kern w:val="22"/>
          <w:sz w:val="22"/>
          <w:lang w:val="fr-FR"/>
        </w:rPr>
        <w:t>sous-groupe</w:t>
      </w:r>
      <w:r w:rsidR="00BE4772">
        <w:rPr>
          <w:kern w:val="22"/>
          <w:sz w:val="22"/>
          <w:lang w:val="fr-FR"/>
        </w:rPr>
        <w:t xml:space="preserve">s </w:t>
      </w:r>
      <w:r w:rsidR="00B07697" w:rsidRPr="00A77BB8">
        <w:rPr>
          <w:kern w:val="22"/>
          <w:sz w:val="22"/>
          <w:lang w:val="fr-FR"/>
        </w:rPr>
        <w:t>b)</w:t>
      </w:r>
      <w:r w:rsidR="00E3674F" w:rsidRPr="00A77BB8">
        <w:rPr>
          <w:kern w:val="22"/>
          <w:sz w:val="22"/>
          <w:lang w:val="fr-FR"/>
        </w:rPr>
        <w:t xml:space="preserve"> et </w:t>
      </w:r>
      <w:r w:rsidR="00BE4772">
        <w:rPr>
          <w:kern w:val="22"/>
          <w:sz w:val="22"/>
          <w:lang w:val="fr-FR"/>
        </w:rPr>
        <w:t>c), de nombreuses</w:t>
      </w:r>
      <w:r w:rsidR="14AC87FF" w:rsidRPr="00A77BB8">
        <w:rPr>
          <w:kern w:val="22"/>
          <w:sz w:val="22"/>
          <w:lang w:val="fr-FR"/>
        </w:rPr>
        <w:t xml:space="preserve"> publications</w:t>
      </w:r>
      <w:r w:rsidR="00E3674F" w:rsidRPr="00A77BB8">
        <w:rPr>
          <w:kern w:val="22"/>
          <w:sz w:val="22"/>
          <w:lang w:val="fr-FR"/>
        </w:rPr>
        <w:t xml:space="preserve"> et </w:t>
      </w:r>
      <w:r w:rsidR="00BE4772">
        <w:rPr>
          <w:kern w:val="22"/>
          <w:sz w:val="22"/>
          <w:lang w:val="fr-FR"/>
        </w:rPr>
        <w:t>revues</w:t>
      </w:r>
      <w:r w:rsidR="00F742DD">
        <w:rPr>
          <w:kern w:val="22"/>
          <w:sz w:val="22"/>
          <w:lang w:val="fr-FR"/>
        </w:rPr>
        <w:t xml:space="preserve"> scientifiques font un </w:t>
      </w:r>
      <w:r w:rsidR="00BE4772">
        <w:rPr>
          <w:kern w:val="22"/>
          <w:sz w:val="22"/>
          <w:lang w:val="fr-FR"/>
        </w:rPr>
        <w:t>inventaire des usages traditionnels de</w:t>
      </w:r>
      <w:r w:rsidR="00F742DD">
        <w:rPr>
          <w:kern w:val="22"/>
          <w:sz w:val="22"/>
          <w:lang w:val="fr-FR"/>
        </w:rPr>
        <w:t xml:space="preserve"> différentes</w:t>
      </w:r>
      <w:r w:rsidR="00BE4772">
        <w:rPr>
          <w:kern w:val="22"/>
          <w:sz w:val="22"/>
          <w:lang w:val="fr-FR"/>
        </w:rPr>
        <w:t xml:space="preserve"> plantes dans diffé</w:t>
      </w:r>
      <w:r w:rsidR="14AC87FF" w:rsidRPr="00A77BB8">
        <w:rPr>
          <w:kern w:val="22"/>
          <w:sz w:val="22"/>
          <w:lang w:val="fr-FR"/>
        </w:rPr>
        <w:t>rent</w:t>
      </w:r>
      <w:r w:rsidR="00BE4772">
        <w:rPr>
          <w:kern w:val="22"/>
          <w:sz w:val="22"/>
          <w:lang w:val="fr-FR"/>
        </w:rPr>
        <w:t>es ré</w:t>
      </w:r>
      <w:r w:rsidR="14AC87FF" w:rsidRPr="00A77BB8">
        <w:rPr>
          <w:kern w:val="22"/>
          <w:sz w:val="22"/>
          <w:lang w:val="fr-FR"/>
        </w:rPr>
        <w:t xml:space="preserve">gions, </w:t>
      </w:r>
      <w:r w:rsidR="00733DB1" w:rsidRPr="00A77BB8">
        <w:rPr>
          <w:kern w:val="22"/>
          <w:sz w:val="22"/>
          <w:lang w:val="fr-FR"/>
        </w:rPr>
        <w:t>tel</w:t>
      </w:r>
      <w:r w:rsidR="00BE4772">
        <w:rPr>
          <w:kern w:val="22"/>
          <w:sz w:val="22"/>
          <w:lang w:val="fr-FR"/>
        </w:rPr>
        <w:t>le</w:t>
      </w:r>
      <w:r w:rsidR="00733DB1" w:rsidRPr="00A77BB8">
        <w:rPr>
          <w:kern w:val="22"/>
          <w:sz w:val="22"/>
          <w:lang w:val="fr-FR"/>
        </w:rPr>
        <w:t>s que</w:t>
      </w:r>
      <w:r w:rsidR="00F742DD">
        <w:rPr>
          <w:kern w:val="22"/>
          <w:sz w:val="22"/>
          <w:lang w:val="fr-FR"/>
        </w:rPr>
        <w:t xml:space="preserve"> la</w:t>
      </w:r>
      <w:r w:rsidR="00F742DD">
        <w:rPr>
          <w:i/>
          <w:iCs/>
          <w:kern w:val="22"/>
          <w:sz w:val="22"/>
          <w:lang w:val="fr-FR"/>
        </w:rPr>
        <w:t xml:space="preserve"> Pharmacopée africaine</w:t>
      </w:r>
      <w:r w:rsidR="14AC87FF" w:rsidRPr="00A77BB8">
        <w:rPr>
          <w:kern w:val="22"/>
          <w:sz w:val="22"/>
          <w:lang w:val="fr-FR"/>
        </w:rPr>
        <w:t xml:space="preserve">. </w:t>
      </w:r>
      <w:r w:rsidR="00F742DD">
        <w:rPr>
          <w:kern w:val="22"/>
          <w:sz w:val="22"/>
          <w:lang w:val="fr-FR"/>
        </w:rPr>
        <w:t>Il apparaît que l’octroi ou l’obtention d’un</w:t>
      </w:r>
      <w:r w:rsidR="000E3236" w:rsidRPr="00A70F9B">
        <w:rPr>
          <w:kern w:val="22"/>
          <w:sz w:val="22"/>
          <w:lang w:val="fr-FR"/>
        </w:rPr>
        <w:t xml:space="preserve"> </w:t>
      </w:r>
      <w:r w:rsidR="007D7761">
        <w:rPr>
          <w:kern w:val="22"/>
          <w:sz w:val="22"/>
          <w:lang w:val="fr-FR"/>
        </w:rPr>
        <w:t>consentement préalable donné en connaissance de cause</w:t>
      </w:r>
      <w:r w:rsidR="00BE4772">
        <w:rPr>
          <w:kern w:val="22"/>
          <w:sz w:val="22"/>
          <w:lang w:val="fr-FR"/>
        </w:rPr>
        <w:t xml:space="preserve"> pour l’utilisation des </w:t>
      </w:r>
      <w:r w:rsidR="00E3674F" w:rsidRPr="00A70F9B">
        <w:rPr>
          <w:kern w:val="22"/>
          <w:sz w:val="22"/>
          <w:lang w:val="fr-FR"/>
        </w:rPr>
        <w:t>connaissances traditionnelles</w:t>
      </w:r>
      <w:r w:rsidR="00F742DD">
        <w:rPr>
          <w:kern w:val="22"/>
          <w:sz w:val="22"/>
          <w:lang w:val="fr-FR"/>
        </w:rPr>
        <w:t xml:space="preserve"> n’est pas toujours possible, lorsque</w:t>
      </w:r>
      <w:r w:rsidR="007E4DC3">
        <w:rPr>
          <w:kern w:val="22"/>
          <w:sz w:val="22"/>
          <w:lang w:val="fr-FR"/>
        </w:rPr>
        <w:t xml:space="preserve"> l’origine des connaissances ne peut pas être attri</w:t>
      </w:r>
      <w:r w:rsidR="00F742DD">
        <w:rPr>
          <w:kern w:val="22"/>
          <w:sz w:val="22"/>
          <w:lang w:val="fr-FR"/>
        </w:rPr>
        <w:t>buée à un dépositaire particulier</w:t>
      </w:r>
      <w:r w:rsidR="007E4DC3">
        <w:rPr>
          <w:kern w:val="22"/>
          <w:sz w:val="22"/>
          <w:lang w:val="fr-FR"/>
        </w:rPr>
        <w:t xml:space="preserve">. </w:t>
      </w:r>
      <w:r w:rsidR="007E4DC3" w:rsidRPr="007E4DC3">
        <w:rPr>
          <w:kern w:val="22"/>
          <w:sz w:val="22"/>
          <w:lang w:val="fr-FR"/>
        </w:rPr>
        <w:t xml:space="preserve">De même, de nombreux </w:t>
      </w:r>
      <w:r w:rsidR="00E40444" w:rsidRPr="007E4DC3">
        <w:rPr>
          <w:kern w:val="22"/>
          <w:sz w:val="22"/>
          <w:lang w:val="fr-FR"/>
        </w:rPr>
        <w:t>échantillons</w:t>
      </w:r>
      <w:r w:rsidR="004478A5">
        <w:rPr>
          <w:kern w:val="22"/>
          <w:sz w:val="22"/>
          <w:lang w:val="fr-FR"/>
        </w:rPr>
        <w:t xml:space="preserve"> de matériel génétique</w:t>
      </w:r>
      <w:r w:rsidR="14AC87FF" w:rsidRPr="007E4DC3">
        <w:rPr>
          <w:kern w:val="22"/>
          <w:sz w:val="22"/>
          <w:lang w:val="fr-FR"/>
        </w:rPr>
        <w:t xml:space="preserve"> </w:t>
      </w:r>
      <w:r w:rsidR="003F41C1">
        <w:rPr>
          <w:kern w:val="22"/>
          <w:sz w:val="22"/>
          <w:lang w:val="fr-FR"/>
        </w:rPr>
        <w:t>contenus dans l</w:t>
      </w:r>
      <w:r w:rsidR="004478A5">
        <w:rPr>
          <w:kern w:val="22"/>
          <w:sz w:val="22"/>
          <w:lang w:val="fr-FR"/>
        </w:rPr>
        <w:t xml:space="preserve">es </w:t>
      </w:r>
      <w:r w:rsidR="00FC7EA5" w:rsidRPr="003F41C1">
        <w:rPr>
          <w:iCs/>
          <w:kern w:val="22"/>
          <w:sz w:val="22"/>
          <w:lang w:val="fr-FR"/>
        </w:rPr>
        <w:t>collections</w:t>
      </w:r>
      <w:r w:rsidR="00FC7EA5" w:rsidRPr="007E4DC3">
        <w:rPr>
          <w:i/>
          <w:iCs/>
          <w:kern w:val="22"/>
          <w:sz w:val="22"/>
          <w:lang w:val="fr-FR"/>
        </w:rPr>
        <w:t xml:space="preserve"> ex situ</w:t>
      </w:r>
      <w:r w:rsidR="004478A5">
        <w:rPr>
          <w:kern w:val="22"/>
          <w:sz w:val="22"/>
          <w:lang w:val="fr-FR"/>
        </w:rPr>
        <w:t xml:space="preserve"> on</w:t>
      </w:r>
      <w:r w:rsidR="003F41C1">
        <w:rPr>
          <w:kern w:val="22"/>
          <w:sz w:val="22"/>
          <w:lang w:val="fr-FR"/>
        </w:rPr>
        <w:t>t été obtenu</w:t>
      </w:r>
      <w:r w:rsidR="004478A5">
        <w:rPr>
          <w:kern w:val="22"/>
          <w:sz w:val="22"/>
          <w:lang w:val="fr-FR"/>
        </w:rPr>
        <w:t>s par des</w:t>
      </w:r>
      <w:r w:rsidR="14AC87FF" w:rsidRPr="007E4DC3">
        <w:rPr>
          <w:kern w:val="22"/>
          <w:sz w:val="22"/>
          <w:lang w:val="fr-FR"/>
        </w:rPr>
        <w:t xml:space="preserve"> ethnobotanist</w:t>
      </w:r>
      <w:r w:rsidR="004478A5">
        <w:rPr>
          <w:kern w:val="22"/>
          <w:sz w:val="22"/>
          <w:lang w:val="fr-FR"/>
        </w:rPr>
        <w:t>e</w:t>
      </w:r>
      <w:r w:rsidR="14AC87FF" w:rsidRPr="007E4DC3">
        <w:rPr>
          <w:kern w:val="22"/>
          <w:sz w:val="22"/>
          <w:lang w:val="fr-FR"/>
        </w:rPr>
        <w:t>s</w:t>
      </w:r>
      <w:r w:rsidR="004478A5">
        <w:rPr>
          <w:kern w:val="22"/>
          <w:sz w:val="22"/>
          <w:lang w:val="fr-FR"/>
        </w:rPr>
        <w:t>, avec l’aide et sous la direction de</w:t>
      </w:r>
      <w:r w:rsidR="14AC87FF" w:rsidRPr="007E4DC3">
        <w:rPr>
          <w:kern w:val="22"/>
          <w:sz w:val="22"/>
          <w:lang w:val="fr-FR"/>
        </w:rPr>
        <w:t xml:space="preserve"> </w:t>
      </w:r>
      <w:r w:rsidR="001714C2" w:rsidRPr="007E4DC3">
        <w:rPr>
          <w:kern w:val="22"/>
          <w:sz w:val="22"/>
          <w:lang w:val="fr-FR"/>
        </w:rPr>
        <w:t>peuples autochtones et communautés locales</w:t>
      </w:r>
      <w:r w:rsidR="14AC87FF" w:rsidRPr="007E4DC3">
        <w:rPr>
          <w:kern w:val="22"/>
          <w:sz w:val="22"/>
          <w:lang w:val="fr-FR"/>
        </w:rPr>
        <w:t xml:space="preserve">. </w:t>
      </w:r>
      <w:r w:rsidR="003F41C1">
        <w:rPr>
          <w:kern w:val="22"/>
          <w:sz w:val="22"/>
          <w:lang w:val="fr-FR"/>
        </w:rPr>
        <w:t>En conséquence,</w:t>
      </w:r>
      <w:r w:rsidR="14AC87FF" w:rsidRPr="004478A5">
        <w:rPr>
          <w:kern w:val="22"/>
          <w:sz w:val="22"/>
          <w:lang w:val="fr-FR"/>
        </w:rPr>
        <w:t xml:space="preserve"> </w:t>
      </w:r>
      <w:r w:rsidR="004478A5" w:rsidRPr="004478A5">
        <w:rPr>
          <w:kern w:val="22"/>
          <w:sz w:val="22"/>
          <w:lang w:val="fr-FR"/>
        </w:rPr>
        <w:t>les utilisations traditionnelles</w:t>
      </w:r>
      <w:r w:rsidR="003F41C1">
        <w:rPr>
          <w:kern w:val="22"/>
          <w:sz w:val="22"/>
          <w:lang w:val="fr-FR"/>
        </w:rPr>
        <w:t xml:space="preserve"> sont parfois incluse</w:t>
      </w:r>
      <w:r w:rsidR="004478A5">
        <w:rPr>
          <w:kern w:val="22"/>
          <w:sz w:val="22"/>
          <w:lang w:val="fr-FR"/>
        </w:rPr>
        <w:t>s dans les</w:t>
      </w:r>
      <w:r w:rsidR="14AC87FF" w:rsidRPr="004478A5">
        <w:rPr>
          <w:kern w:val="22"/>
          <w:sz w:val="22"/>
          <w:lang w:val="fr-FR"/>
        </w:rPr>
        <w:t xml:space="preserve"> information</w:t>
      </w:r>
      <w:r w:rsidR="003F41C1">
        <w:rPr>
          <w:kern w:val="22"/>
          <w:sz w:val="22"/>
          <w:lang w:val="fr-FR"/>
        </w:rPr>
        <w:t>s fournies sur</w:t>
      </w:r>
      <w:r w:rsidR="004478A5">
        <w:rPr>
          <w:kern w:val="22"/>
          <w:sz w:val="22"/>
          <w:lang w:val="fr-FR"/>
        </w:rPr>
        <w:t xml:space="preserve"> l’identification des ressources</w:t>
      </w:r>
      <w:r w:rsidR="14AC87FF" w:rsidRPr="004478A5">
        <w:rPr>
          <w:kern w:val="22"/>
          <w:sz w:val="22"/>
          <w:lang w:val="fr-FR"/>
        </w:rPr>
        <w:t xml:space="preserve">. </w:t>
      </w:r>
      <w:r w:rsidR="00D70471" w:rsidRPr="00D70471">
        <w:rPr>
          <w:kern w:val="22"/>
          <w:sz w:val="22"/>
          <w:lang w:val="fr-FR"/>
        </w:rPr>
        <w:t>B</w:t>
      </w:r>
      <w:r w:rsidR="00D70471">
        <w:rPr>
          <w:kern w:val="22"/>
          <w:sz w:val="22"/>
          <w:lang w:val="fr-FR"/>
        </w:rPr>
        <w:t>ien que des informations sur le</w:t>
      </w:r>
      <w:r w:rsidR="14AC87FF" w:rsidRPr="00D70471">
        <w:rPr>
          <w:kern w:val="22"/>
          <w:sz w:val="22"/>
          <w:lang w:val="fr-FR"/>
        </w:rPr>
        <w:t xml:space="preserve"> </w:t>
      </w:r>
      <w:r w:rsidR="00D70471" w:rsidRPr="00D70471">
        <w:rPr>
          <w:kern w:val="22"/>
          <w:sz w:val="22"/>
          <w:lang w:val="fr-FR"/>
        </w:rPr>
        <w:t>pays fournisseur</w:t>
      </w:r>
      <w:r w:rsidR="14AC87FF" w:rsidRPr="00D70471">
        <w:rPr>
          <w:kern w:val="22"/>
          <w:sz w:val="22"/>
          <w:lang w:val="fr-FR"/>
        </w:rPr>
        <w:t xml:space="preserve"> </w:t>
      </w:r>
      <w:r w:rsidR="004A35A5">
        <w:rPr>
          <w:kern w:val="22"/>
          <w:sz w:val="22"/>
          <w:lang w:val="fr-FR"/>
        </w:rPr>
        <w:t xml:space="preserve">des ressources soient généralement fournies, ce n’est pas toujours </w:t>
      </w:r>
      <w:r w:rsidR="00521E9A">
        <w:rPr>
          <w:kern w:val="22"/>
          <w:sz w:val="22"/>
          <w:lang w:val="fr-FR"/>
        </w:rPr>
        <w:t>le cas pour l</w:t>
      </w:r>
      <w:r w:rsidR="004A35A5">
        <w:rPr>
          <w:kern w:val="22"/>
          <w:sz w:val="22"/>
          <w:lang w:val="fr-FR"/>
        </w:rPr>
        <w:t>es informations sur l’</w:t>
      </w:r>
      <w:r w:rsidR="00A71176">
        <w:rPr>
          <w:kern w:val="22"/>
          <w:sz w:val="22"/>
          <w:lang w:val="fr-FR"/>
        </w:rPr>
        <w:t>identification</w:t>
      </w:r>
      <w:r w:rsidR="004A35A5">
        <w:rPr>
          <w:kern w:val="22"/>
          <w:sz w:val="22"/>
          <w:lang w:val="fr-FR"/>
        </w:rPr>
        <w:t xml:space="preserve"> d</w:t>
      </w:r>
      <w:r w:rsidR="00D70471">
        <w:rPr>
          <w:kern w:val="22"/>
          <w:sz w:val="22"/>
          <w:lang w:val="fr-FR"/>
        </w:rPr>
        <w:t>es</w:t>
      </w:r>
      <w:r w:rsidR="14AC87FF" w:rsidRPr="00D70471">
        <w:rPr>
          <w:kern w:val="22"/>
          <w:sz w:val="22"/>
          <w:lang w:val="fr-FR"/>
        </w:rPr>
        <w:t xml:space="preserve"> </w:t>
      </w:r>
      <w:r w:rsidR="001714C2" w:rsidRPr="00D70471">
        <w:rPr>
          <w:kern w:val="22"/>
          <w:sz w:val="22"/>
          <w:lang w:val="fr-FR"/>
        </w:rPr>
        <w:t>peuples autochtones et communautés locales</w:t>
      </w:r>
      <w:r w:rsidR="00D70471">
        <w:rPr>
          <w:kern w:val="22"/>
          <w:sz w:val="22"/>
          <w:lang w:val="fr-FR"/>
        </w:rPr>
        <w:t xml:space="preserve"> à l’origine de </w:t>
      </w:r>
      <w:r w:rsidR="00E3674F" w:rsidRPr="00D70471">
        <w:rPr>
          <w:kern w:val="22"/>
          <w:sz w:val="22"/>
          <w:lang w:val="fr-FR"/>
        </w:rPr>
        <w:t>connaissances traditionnelles</w:t>
      </w:r>
      <w:r w:rsidR="00D70471">
        <w:rPr>
          <w:kern w:val="22"/>
          <w:sz w:val="22"/>
          <w:lang w:val="fr-FR"/>
        </w:rPr>
        <w:t xml:space="preserve">. </w:t>
      </w:r>
      <w:r w:rsidR="004A35A5">
        <w:rPr>
          <w:kern w:val="22"/>
          <w:sz w:val="22"/>
          <w:lang w:val="fr-FR"/>
        </w:rPr>
        <w:t xml:space="preserve">Ceci peut rendre impossible l’octroi ou l’obtention </w:t>
      </w:r>
      <w:r w:rsidR="00D70471">
        <w:rPr>
          <w:kern w:val="22"/>
          <w:sz w:val="22"/>
          <w:lang w:val="fr-FR"/>
        </w:rPr>
        <w:t xml:space="preserve">d’un </w:t>
      </w:r>
      <w:r w:rsidR="007D7761">
        <w:rPr>
          <w:kern w:val="22"/>
          <w:sz w:val="22"/>
          <w:lang w:val="fr-FR"/>
        </w:rPr>
        <w:t>consentement préalable donné en connaissance de cause</w:t>
      </w:r>
      <w:r w:rsidR="00521E9A">
        <w:rPr>
          <w:kern w:val="22"/>
          <w:sz w:val="22"/>
          <w:lang w:val="fr-FR"/>
        </w:rPr>
        <w:t xml:space="preserve"> pour l’</w:t>
      </w:r>
      <w:r w:rsidR="009D43F1" w:rsidRPr="009D43F1">
        <w:rPr>
          <w:kern w:val="22"/>
          <w:sz w:val="22"/>
          <w:lang w:val="fr-FR"/>
        </w:rPr>
        <w:t>utilisation</w:t>
      </w:r>
      <w:r w:rsidR="00D70471">
        <w:rPr>
          <w:kern w:val="22"/>
          <w:sz w:val="22"/>
          <w:lang w:val="fr-FR"/>
        </w:rPr>
        <w:t xml:space="preserve"> de ces</w:t>
      </w:r>
      <w:r w:rsidR="14AC87FF" w:rsidRPr="009D43F1">
        <w:rPr>
          <w:kern w:val="22"/>
          <w:sz w:val="22"/>
          <w:lang w:val="fr-FR"/>
        </w:rPr>
        <w:t xml:space="preserve"> </w:t>
      </w:r>
      <w:r w:rsidR="00E3674F" w:rsidRPr="009D43F1">
        <w:rPr>
          <w:kern w:val="22"/>
          <w:sz w:val="22"/>
          <w:lang w:val="fr-FR"/>
        </w:rPr>
        <w:t>connaissances traditionnelles</w:t>
      </w:r>
      <w:r w:rsidR="14AC87FF" w:rsidRPr="009D43F1">
        <w:rPr>
          <w:kern w:val="22"/>
          <w:sz w:val="22"/>
          <w:lang w:val="fr-FR"/>
        </w:rPr>
        <w:t>.</w:t>
      </w:r>
    </w:p>
    <w:p w14:paraId="59274A88" w14:textId="688F9284" w:rsidR="0017771C" w:rsidRPr="00D70471" w:rsidRDefault="003F41C1" w:rsidP="00A2431C">
      <w:pPr>
        <w:rPr>
          <w:kern w:val="22"/>
          <w:sz w:val="22"/>
          <w:lang w:val="fr-FR"/>
        </w:rPr>
      </w:pPr>
      <w:r>
        <w:rPr>
          <w:kern w:val="22"/>
          <w:sz w:val="22"/>
          <w:lang w:val="fr-FR"/>
        </w:rPr>
        <w:t>Sur la base des recherches</w:t>
      </w:r>
      <w:r w:rsidR="00D70471" w:rsidRPr="00D70471">
        <w:rPr>
          <w:kern w:val="22"/>
          <w:sz w:val="22"/>
          <w:lang w:val="fr-FR"/>
        </w:rPr>
        <w:t xml:space="preserve"> pr</w:t>
      </w:r>
      <w:r w:rsidR="00D70471">
        <w:rPr>
          <w:kern w:val="22"/>
          <w:sz w:val="22"/>
          <w:lang w:val="fr-FR"/>
        </w:rPr>
        <w:t>ésentée</w:t>
      </w:r>
      <w:r>
        <w:rPr>
          <w:kern w:val="22"/>
          <w:sz w:val="22"/>
          <w:lang w:val="fr-FR"/>
        </w:rPr>
        <w:t>s ci-dessous, l’</w:t>
      </w:r>
      <w:r w:rsidR="00E3674F" w:rsidRPr="00D70471">
        <w:rPr>
          <w:kern w:val="22"/>
          <w:sz w:val="22"/>
          <w:lang w:val="fr-FR"/>
        </w:rPr>
        <w:t>étude</w:t>
      </w:r>
      <w:r w:rsidR="00D70471">
        <w:rPr>
          <w:kern w:val="22"/>
          <w:sz w:val="22"/>
          <w:lang w:val="fr-FR"/>
        </w:rPr>
        <w:t xml:space="preserve"> conclut qu’il peut y avoir des </w:t>
      </w:r>
      <w:r w:rsidR="00E3674F" w:rsidRPr="00D70471">
        <w:rPr>
          <w:kern w:val="22"/>
          <w:sz w:val="22"/>
          <w:lang w:val="fr-FR"/>
        </w:rPr>
        <w:t>cas spécifiques</w:t>
      </w:r>
      <w:r w:rsidR="008F7A76" w:rsidRPr="00D70471">
        <w:rPr>
          <w:kern w:val="22"/>
          <w:sz w:val="22"/>
          <w:lang w:val="fr-FR"/>
        </w:rPr>
        <w:t xml:space="preserve"> </w:t>
      </w:r>
      <w:r>
        <w:rPr>
          <w:kern w:val="22"/>
          <w:sz w:val="22"/>
          <w:lang w:val="fr-FR"/>
        </w:rPr>
        <w:t>entra</w:t>
      </w:r>
      <w:r w:rsidR="00934A20" w:rsidRPr="00D70471">
        <w:rPr>
          <w:kern w:val="22"/>
          <w:sz w:val="22"/>
          <w:lang w:val="fr-FR"/>
        </w:rPr>
        <w:t>nt dans le champ d’application</w:t>
      </w:r>
      <w:r w:rsidR="00D70471">
        <w:rPr>
          <w:kern w:val="22"/>
          <w:sz w:val="22"/>
          <w:lang w:val="fr-FR"/>
        </w:rPr>
        <w:t xml:space="preserve"> de l’</w:t>
      </w:r>
      <w:r w:rsidR="00FD73A5" w:rsidRPr="00D70471">
        <w:rPr>
          <w:kern w:val="22"/>
          <w:sz w:val="22"/>
          <w:lang w:val="fr-FR"/>
        </w:rPr>
        <w:t>article</w:t>
      </w:r>
      <w:r w:rsidR="00BF027A" w:rsidRPr="00D70471">
        <w:rPr>
          <w:kern w:val="22"/>
          <w:sz w:val="22"/>
          <w:lang w:val="fr-FR"/>
        </w:rPr>
        <w:t xml:space="preserve"> 10</w:t>
      </w:r>
      <w:r>
        <w:rPr>
          <w:kern w:val="22"/>
          <w:sz w:val="22"/>
          <w:lang w:val="fr-FR"/>
        </w:rPr>
        <w:t xml:space="preserve"> du Protocole,</w:t>
      </w:r>
      <w:r w:rsidR="00D70471">
        <w:rPr>
          <w:kern w:val="22"/>
          <w:sz w:val="22"/>
          <w:lang w:val="fr-FR"/>
        </w:rPr>
        <w:t xml:space="preserve"> sans </w:t>
      </w:r>
      <w:r>
        <w:rPr>
          <w:kern w:val="22"/>
          <w:sz w:val="22"/>
          <w:lang w:val="fr-FR"/>
        </w:rPr>
        <w:t xml:space="preserve">remettre en cause toutefois </w:t>
      </w:r>
      <w:r w:rsidR="00D70471">
        <w:rPr>
          <w:kern w:val="22"/>
          <w:sz w:val="22"/>
          <w:lang w:val="fr-FR"/>
        </w:rPr>
        <w:t>l’</w:t>
      </w:r>
      <w:r w:rsidR="001A200E" w:rsidRPr="00D70471">
        <w:rPr>
          <w:kern w:val="22"/>
          <w:sz w:val="22"/>
          <w:lang w:val="fr-FR"/>
        </w:rPr>
        <w:t>approche bilatérale</w:t>
      </w:r>
      <w:r>
        <w:rPr>
          <w:kern w:val="22"/>
          <w:sz w:val="22"/>
          <w:lang w:val="fr-FR"/>
        </w:rPr>
        <w:t xml:space="preserve"> qui fonde la relation entre</w:t>
      </w:r>
      <w:r w:rsidR="00D70471">
        <w:rPr>
          <w:kern w:val="22"/>
          <w:sz w:val="22"/>
          <w:lang w:val="fr-FR"/>
        </w:rPr>
        <w:t xml:space="preserve"> la </w:t>
      </w:r>
      <w:r w:rsidR="00610687" w:rsidRPr="00D70471">
        <w:rPr>
          <w:kern w:val="22"/>
          <w:sz w:val="22"/>
          <w:lang w:val="fr-FR"/>
        </w:rPr>
        <w:t>C</w:t>
      </w:r>
      <w:r w:rsidR="00516AEE" w:rsidRPr="00D70471">
        <w:rPr>
          <w:kern w:val="22"/>
          <w:sz w:val="22"/>
          <w:lang w:val="fr-FR"/>
        </w:rPr>
        <w:t>onvention</w:t>
      </w:r>
      <w:r w:rsidR="00D70471">
        <w:rPr>
          <w:kern w:val="22"/>
          <w:sz w:val="22"/>
          <w:lang w:val="fr-FR"/>
        </w:rPr>
        <w:t xml:space="preserve"> et l</w:t>
      </w:r>
      <w:r w:rsidR="00E3674F" w:rsidRPr="00D70471">
        <w:rPr>
          <w:kern w:val="22"/>
          <w:sz w:val="22"/>
          <w:lang w:val="fr-FR"/>
        </w:rPr>
        <w:t>e Protocole de Nagoya</w:t>
      </w:r>
      <w:r w:rsidR="006078A3" w:rsidRPr="00D70471">
        <w:rPr>
          <w:kern w:val="22"/>
          <w:sz w:val="22"/>
          <w:lang w:val="fr-FR"/>
        </w:rPr>
        <w:t>.</w:t>
      </w:r>
    </w:p>
    <w:p w14:paraId="68E094BD" w14:textId="77777777" w:rsidR="00051012" w:rsidRPr="00D70471" w:rsidRDefault="00051012" w:rsidP="00A2431C">
      <w:pPr>
        <w:rPr>
          <w:kern w:val="22"/>
          <w:sz w:val="22"/>
          <w:lang w:val="fr-FR"/>
        </w:rPr>
      </w:pPr>
    </w:p>
    <w:p w14:paraId="25E0477B" w14:textId="0E3BE285" w:rsidR="00D56508" w:rsidRPr="000E3236" w:rsidRDefault="000E3236" w:rsidP="006F5515">
      <w:pPr>
        <w:keepNext/>
        <w:ind w:left="993" w:hanging="993"/>
        <w:jc w:val="left"/>
        <w:rPr>
          <w:kern w:val="22"/>
          <w:sz w:val="22"/>
          <w:lang w:val="fr-FR"/>
        </w:rPr>
      </w:pPr>
      <w:r w:rsidRPr="00D70471">
        <w:rPr>
          <w:kern w:val="22"/>
          <w:sz w:val="22"/>
          <w:lang w:val="fr-FR"/>
        </w:rPr>
        <w:t xml:space="preserve"> </w:t>
      </w:r>
      <w:r w:rsidRPr="000E3236">
        <w:rPr>
          <w:kern w:val="22"/>
          <w:sz w:val="22"/>
          <w:lang w:val="fr-FR"/>
        </w:rPr>
        <w:t>T</w:t>
      </w:r>
      <w:r w:rsidR="00770AB8" w:rsidRPr="000E3236">
        <w:rPr>
          <w:kern w:val="22"/>
          <w:sz w:val="22"/>
          <w:lang w:val="fr-FR"/>
        </w:rPr>
        <w:t xml:space="preserve">ableau </w:t>
      </w:r>
      <w:r w:rsidR="00D56508" w:rsidRPr="000E3236">
        <w:rPr>
          <w:kern w:val="22"/>
          <w:sz w:val="22"/>
          <w:lang w:val="fr-FR"/>
        </w:rPr>
        <w:t xml:space="preserve">1: </w:t>
      </w:r>
      <w:r w:rsidRPr="000E3236">
        <w:rPr>
          <w:kern w:val="22"/>
          <w:sz w:val="22"/>
          <w:lang w:val="fr-FR"/>
        </w:rPr>
        <w:t>Résumé d</w:t>
      </w:r>
      <w:r w:rsidR="006F5515">
        <w:rPr>
          <w:kern w:val="22"/>
          <w:sz w:val="22"/>
          <w:lang w:val="fr-FR"/>
        </w:rPr>
        <w:t>e</w:t>
      </w:r>
      <w:r w:rsidR="00E3674F" w:rsidRPr="000E3236">
        <w:rPr>
          <w:kern w:val="22"/>
          <w:sz w:val="22"/>
          <w:lang w:val="fr-FR"/>
        </w:rPr>
        <w:t xml:space="preserve"> cas spécifiques</w:t>
      </w:r>
      <w:r w:rsidR="0058634A">
        <w:rPr>
          <w:kern w:val="22"/>
          <w:sz w:val="22"/>
          <w:lang w:val="fr-FR"/>
        </w:rPr>
        <w:t xml:space="preserve"> susceptibles d’entrer dans le champ d’application de</w:t>
      </w:r>
      <w:r w:rsidR="00B90EF3">
        <w:rPr>
          <w:kern w:val="22"/>
          <w:sz w:val="22"/>
          <w:lang w:val="fr-FR"/>
        </w:rPr>
        <w:t xml:space="preserve"> l’</w:t>
      </w:r>
      <w:r w:rsidR="00FD73A5" w:rsidRPr="000E3236">
        <w:rPr>
          <w:kern w:val="22"/>
          <w:sz w:val="22"/>
          <w:lang w:val="fr-FR"/>
        </w:rPr>
        <w:t>article</w:t>
      </w:r>
      <w:r w:rsidR="001E631E" w:rsidRPr="000E3236">
        <w:rPr>
          <w:kern w:val="22"/>
          <w:sz w:val="22"/>
          <w:lang w:val="fr-FR"/>
        </w:rPr>
        <w:t xml:space="preserve"> 10</w:t>
      </w:r>
      <w:r w:rsidR="0058634A">
        <w:rPr>
          <w:kern w:val="22"/>
          <w:sz w:val="22"/>
          <w:lang w:val="fr-FR"/>
        </w:rPr>
        <w:t xml:space="preserve"> du Protocole de Nagoya</w:t>
      </w:r>
    </w:p>
    <w:tbl>
      <w:tblPr>
        <w:tblStyle w:val="GridTable1Light"/>
        <w:tblW w:w="9360" w:type="dxa"/>
        <w:tblLayout w:type="fixed"/>
        <w:tblLook w:val="06A0" w:firstRow="1" w:lastRow="0" w:firstColumn="1" w:lastColumn="0" w:noHBand="1" w:noVBand="1"/>
      </w:tblPr>
      <w:tblGrid>
        <w:gridCol w:w="2340"/>
        <w:gridCol w:w="2340"/>
        <w:gridCol w:w="2340"/>
        <w:gridCol w:w="2340"/>
      </w:tblGrid>
      <w:tr w:rsidR="6873B90E" w:rsidRPr="002364AB" w14:paraId="026CBF93" w14:textId="77777777" w:rsidTr="00F43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13834D66" w14:textId="2357CEC0" w:rsidR="6873B90E" w:rsidRPr="002364AB" w:rsidRDefault="6873B90E" w:rsidP="00F43F79">
            <w:pPr>
              <w:spacing w:before="40" w:after="40"/>
              <w:rPr>
                <w:rFonts w:eastAsia="Times New Roman" w:cs="Times New Roman"/>
                <w:color w:val="000000" w:themeColor="text1"/>
                <w:kern w:val="22"/>
                <w:sz w:val="20"/>
                <w:szCs w:val="20"/>
                <w:lang w:val="en-GB"/>
              </w:rPr>
            </w:pPr>
            <w:r w:rsidRPr="002364AB">
              <w:rPr>
                <w:rFonts w:eastAsia="Times New Roman" w:cs="Times New Roman"/>
                <w:color w:val="000000" w:themeColor="text1"/>
                <w:kern w:val="22"/>
                <w:sz w:val="20"/>
                <w:szCs w:val="20"/>
                <w:lang w:val="en-GB"/>
              </w:rPr>
              <w:t>Group</w:t>
            </w:r>
            <w:r w:rsidR="000B36BE">
              <w:rPr>
                <w:rFonts w:eastAsia="Times New Roman" w:cs="Times New Roman"/>
                <w:color w:val="000000" w:themeColor="text1"/>
                <w:kern w:val="22"/>
                <w:sz w:val="20"/>
                <w:szCs w:val="20"/>
                <w:lang w:val="en-GB"/>
              </w:rPr>
              <w:t>e</w:t>
            </w:r>
            <w:r w:rsidRPr="002364AB">
              <w:rPr>
                <w:rFonts w:eastAsia="Times New Roman" w:cs="Times New Roman"/>
                <w:color w:val="000000" w:themeColor="text1"/>
                <w:kern w:val="22"/>
                <w:sz w:val="20"/>
                <w:szCs w:val="20"/>
                <w:lang w:val="en-GB"/>
              </w:rPr>
              <w:t>s</w:t>
            </w:r>
            <w:r w:rsidR="000B36BE">
              <w:rPr>
                <w:rFonts w:eastAsia="Times New Roman" w:cs="Times New Roman"/>
                <w:color w:val="000000" w:themeColor="text1"/>
                <w:kern w:val="22"/>
                <w:sz w:val="20"/>
                <w:szCs w:val="20"/>
                <w:lang w:val="en-GB"/>
              </w:rPr>
              <w:t xml:space="preserve"> généraux</w:t>
            </w:r>
          </w:p>
        </w:tc>
        <w:tc>
          <w:tcPr>
            <w:tcW w:w="0" w:type="dxa"/>
            <w:shd w:val="clear" w:color="auto" w:fill="BFBFBF" w:themeFill="background1" w:themeFillShade="BF"/>
          </w:tcPr>
          <w:p w14:paraId="4CD78CB2" w14:textId="6849B105" w:rsidR="6873B90E" w:rsidRPr="002364AB" w:rsidRDefault="00D6232E" w:rsidP="00F43F79">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0"/>
                <w:szCs w:val="20"/>
                <w:lang w:val="en-GB"/>
              </w:rPr>
            </w:pPr>
            <w:r>
              <w:rPr>
                <w:rFonts w:eastAsia="Times New Roman" w:cs="Times New Roman"/>
                <w:b w:val="0"/>
                <w:color w:val="000000" w:themeColor="text1"/>
                <w:kern w:val="22"/>
                <w:sz w:val="20"/>
                <w:szCs w:val="20"/>
                <w:lang w:val="en-GB"/>
              </w:rPr>
              <w:t>Sous-groupe</w:t>
            </w:r>
            <w:r w:rsidR="6873B90E" w:rsidRPr="002364AB">
              <w:rPr>
                <w:rFonts w:eastAsia="Times New Roman" w:cs="Times New Roman"/>
                <w:b w:val="0"/>
                <w:color w:val="000000" w:themeColor="text1"/>
                <w:kern w:val="22"/>
                <w:sz w:val="20"/>
                <w:szCs w:val="20"/>
                <w:lang w:val="en-GB"/>
              </w:rPr>
              <w:t>s</w:t>
            </w:r>
          </w:p>
        </w:tc>
        <w:tc>
          <w:tcPr>
            <w:tcW w:w="0" w:type="dxa"/>
            <w:shd w:val="clear" w:color="auto" w:fill="BFBFBF" w:themeFill="background1" w:themeFillShade="BF"/>
          </w:tcPr>
          <w:p w14:paraId="5C50B4CD" w14:textId="638C00A4" w:rsidR="6873B90E" w:rsidRPr="002364AB" w:rsidRDefault="009D43F1" w:rsidP="00F43F79">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0"/>
                <w:szCs w:val="20"/>
                <w:lang w:val="en-GB"/>
              </w:rPr>
            </w:pPr>
            <w:r>
              <w:rPr>
                <w:rFonts w:eastAsia="Times New Roman" w:cs="Times New Roman"/>
                <w:b w:val="0"/>
                <w:color w:val="000000" w:themeColor="text1"/>
                <w:kern w:val="22"/>
                <w:sz w:val="20"/>
                <w:szCs w:val="20"/>
                <w:lang w:val="en-GB"/>
              </w:rPr>
              <w:t>Exemple</w:t>
            </w:r>
            <w:r w:rsidR="6873B90E" w:rsidRPr="002364AB">
              <w:rPr>
                <w:rFonts w:eastAsia="Times New Roman" w:cs="Times New Roman"/>
                <w:b w:val="0"/>
                <w:color w:val="000000" w:themeColor="text1"/>
                <w:kern w:val="22"/>
                <w:sz w:val="20"/>
                <w:szCs w:val="20"/>
                <w:lang w:val="en-GB"/>
              </w:rPr>
              <w:t>s</w:t>
            </w:r>
          </w:p>
        </w:tc>
        <w:tc>
          <w:tcPr>
            <w:tcW w:w="0" w:type="dxa"/>
            <w:shd w:val="clear" w:color="auto" w:fill="BFBFBF" w:themeFill="background1" w:themeFillShade="BF"/>
          </w:tcPr>
          <w:p w14:paraId="3187B024" w14:textId="35F84837" w:rsidR="6873B90E" w:rsidRPr="002364AB" w:rsidRDefault="000B36BE" w:rsidP="00F43F79">
            <w:pPr>
              <w:spacing w:before="40" w:after="4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0"/>
                <w:szCs w:val="20"/>
                <w:lang w:val="en-GB"/>
              </w:rPr>
            </w:pPr>
            <w:r>
              <w:rPr>
                <w:rFonts w:eastAsia="Times New Roman" w:cs="Times New Roman"/>
                <w:b w:val="0"/>
                <w:color w:val="000000" w:themeColor="text1"/>
                <w:kern w:val="22"/>
                <w:sz w:val="20"/>
                <w:szCs w:val="20"/>
                <w:lang w:val="en-GB"/>
              </w:rPr>
              <w:t>Considé</w:t>
            </w:r>
            <w:r w:rsidR="6873B90E" w:rsidRPr="002364AB">
              <w:rPr>
                <w:rFonts w:eastAsia="Times New Roman" w:cs="Times New Roman"/>
                <w:b w:val="0"/>
                <w:color w:val="000000" w:themeColor="text1"/>
                <w:kern w:val="22"/>
                <w:sz w:val="20"/>
                <w:szCs w:val="20"/>
                <w:lang w:val="en-GB"/>
              </w:rPr>
              <w:t>rations</w:t>
            </w:r>
          </w:p>
        </w:tc>
      </w:tr>
      <w:tr w:rsidR="6873B90E" w:rsidRPr="00E709D5" w14:paraId="7A8D3E40" w14:textId="77777777" w:rsidTr="00F43F79">
        <w:trPr>
          <w:trHeight w:val="1446"/>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412ACFAC" w14:textId="0F5B802C" w:rsidR="6873B90E" w:rsidRPr="00E3674F" w:rsidRDefault="00E3674F" w:rsidP="00F43F79">
            <w:pPr>
              <w:spacing w:before="40" w:after="40"/>
              <w:jc w:val="left"/>
              <w:rPr>
                <w:rFonts w:eastAsia="Times New Roman" w:cs="Times New Roman"/>
                <w:color w:val="000000" w:themeColor="text1"/>
                <w:kern w:val="22"/>
                <w:sz w:val="20"/>
                <w:szCs w:val="20"/>
                <w:lang w:val="fr-FR"/>
              </w:rPr>
            </w:pPr>
            <w:r w:rsidRPr="00E3674F">
              <w:rPr>
                <w:rFonts w:eastAsia="Times New Roman" w:cs="Times New Roman"/>
                <w:color w:val="000000" w:themeColor="text1"/>
                <w:kern w:val="22"/>
                <w:sz w:val="20"/>
                <w:szCs w:val="20"/>
                <w:lang w:val="fr-FR"/>
              </w:rPr>
              <w:t>Ressources génétiques</w:t>
            </w:r>
            <w:r w:rsidR="35733B0B" w:rsidRPr="00E3674F">
              <w:rPr>
                <w:rFonts w:eastAsia="Times New Roman" w:cs="Times New Roman"/>
                <w:color w:val="000000" w:themeColor="text1"/>
                <w:kern w:val="22"/>
                <w:sz w:val="20"/>
                <w:szCs w:val="20"/>
                <w:lang w:val="fr-FR"/>
              </w:rPr>
              <w:t xml:space="preserve"> </w:t>
            </w:r>
            <w:r w:rsidR="00770AB8">
              <w:rPr>
                <w:rFonts w:eastAsia="Times New Roman" w:cs="Times New Roman"/>
                <w:color w:val="000000" w:themeColor="text1"/>
                <w:kern w:val="22"/>
                <w:sz w:val="20"/>
                <w:szCs w:val="20"/>
                <w:lang w:val="fr-FR"/>
              </w:rPr>
              <w:t xml:space="preserve">qui se trouvent </w:t>
            </w:r>
            <w:r w:rsidR="002A127F">
              <w:rPr>
                <w:rFonts w:eastAsia="Times New Roman" w:cs="Times New Roman"/>
                <w:color w:val="000000" w:themeColor="text1"/>
                <w:kern w:val="22"/>
                <w:sz w:val="20"/>
                <w:szCs w:val="20"/>
                <w:lang w:val="fr-FR"/>
              </w:rPr>
              <w:t>dans des situations</w:t>
            </w:r>
            <w:r w:rsidRPr="00E3674F">
              <w:rPr>
                <w:rFonts w:eastAsia="Times New Roman" w:cs="Times New Roman"/>
                <w:color w:val="000000" w:themeColor="text1"/>
                <w:kern w:val="22"/>
                <w:sz w:val="20"/>
                <w:szCs w:val="20"/>
                <w:lang w:val="fr-FR"/>
              </w:rPr>
              <w:t xml:space="preserve"> transfrontières</w:t>
            </w:r>
          </w:p>
          <w:p w14:paraId="70B17D3A" w14:textId="169E4631" w:rsidR="6873B90E" w:rsidRPr="00E3674F" w:rsidRDefault="6873B90E" w:rsidP="00F43F79">
            <w:pPr>
              <w:spacing w:before="40" w:after="40"/>
              <w:rPr>
                <w:rFonts w:eastAsia="Times New Roman" w:cs="Times New Roman"/>
                <w:color w:val="000000" w:themeColor="text1"/>
                <w:kern w:val="22"/>
                <w:sz w:val="20"/>
                <w:szCs w:val="20"/>
                <w:lang w:val="fr-FR"/>
              </w:rPr>
            </w:pPr>
          </w:p>
        </w:tc>
        <w:tc>
          <w:tcPr>
            <w:tcW w:w="0" w:type="dxa"/>
          </w:tcPr>
          <w:p w14:paraId="37E0EA00" w14:textId="3FC7B892" w:rsidR="6873B90E" w:rsidRPr="00651FB0" w:rsidRDefault="16208E17"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651FB0">
              <w:rPr>
                <w:rFonts w:eastAsia="Times New Roman" w:cs="Times New Roman"/>
                <w:color w:val="000000" w:themeColor="text1"/>
                <w:kern w:val="22"/>
                <w:sz w:val="20"/>
                <w:szCs w:val="20"/>
                <w:lang w:val="fr-FR"/>
              </w:rPr>
              <w:t xml:space="preserve">a) </w:t>
            </w:r>
            <w:r w:rsidR="00651FB0" w:rsidRPr="00651FB0">
              <w:rPr>
                <w:rFonts w:eastAsia="Times New Roman" w:cs="Times New Roman"/>
                <w:color w:val="000000" w:themeColor="text1"/>
                <w:kern w:val="22"/>
                <w:sz w:val="20"/>
                <w:szCs w:val="20"/>
                <w:lang w:val="fr-FR"/>
              </w:rPr>
              <w:t xml:space="preserve">Écosystèmes et habitats/espèces </w:t>
            </w:r>
            <w:r w:rsidR="00CE14D6">
              <w:rPr>
                <w:rFonts w:eastAsia="Times New Roman" w:cs="Times New Roman"/>
                <w:color w:val="000000" w:themeColor="text1"/>
                <w:kern w:val="22"/>
                <w:sz w:val="20"/>
                <w:szCs w:val="20"/>
                <w:lang w:val="fr-FR"/>
              </w:rPr>
              <w:t>partagés entre plusieurs juridictions nationales</w:t>
            </w:r>
          </w:p>
        </w:tc>
        <w:tc>
          <w:tcPr>
            <w:tcW w:w="0" w:type="dxa"/>
          </w:tcPr>
          <w:p w14:paraId="473086D1" w14:textId="2DDD3D42" w:rsidR="6873B90E" w:rsidRPr="000D5072" w:rsidRDefault="00651FB0"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0D5072">
              <w:rPr>
                <w:rFonts w:eastAsia="Times New Roman" w:cs="Times New Roman"/>
                <w:color w:val="000000" w:themeColor="text1"/>
                <w:kern w:val="22"/>
                <w:sz w:val="20"/>
                <w:szCs w:val="20"/>
                <w:lang w:val="fr-FR"/>
              </w:rPr>
              <w:t>Espèces</w:t>
            </w:r>
            <w:r w:rsidR="00CE14D6">
              <w:rPr>
                <w:rFonts w:eastAsia="Times New Roman" w:cs="Times New Roman"/>
                <w:color w:val="000000" w:themeColor="text1"/>
                <w:kern w:val="22"/>
                <w:sz w:val="20"/>
                <w:szCs w:val="20"/>
                <w:lang w:val="fr-FR"/>
              </w:rPr>
              <w:t xml:space="preserve"> qui se trouvent</w:t>
            </w:r>
            <w:r w:rsidR="000D5072">
              <w:rPr>
                <w:rFonts w:eastAsia="Times New Roman" w:cs="Times New Roman"/>
                <w:color w:val="000000" w:themeColor="text1"/>
                <w:kern w:val="22"/>
                <w:sz w:val="20"/>
                <w:szCs w:val="20"/>
                <w:lang w:val="fr-FR"/>
              </w:rPr>
              <w:t xml:space="preserve"> dans des</w:t>
            </w:r>
            <w:r w:rsidR="16208E17" w:rsidRPr="000D5072">
              <w:rPr>
                <w:rFonts w:eastAsia="Times New Roman" w:cs="Times New Roman"/>
                <w:color w:val="000000" w:themeColor="text1"/>
                <w:kern w:val="22"/>
                <w:sz w:val="20"/>
                <w:szCs w:val="20"/>
                <w:lang w:val="fr-FR"/>
              </w:rPr>
              <w:t xml:space="preserve"> </w:t>
            </w:r>
            <w:r w:rsidR="000D5072">
              <w:rPr>
                <w:rFonts w:eastAsia="Times New Roman" w:cs="Times New Roman"/>
                <w:color w:val="000000" w:themeColor="text1"/>
                <w:kern w:val="22"/>
                <w:sz w:val="20"/>
                <w:szCs w:val="20"/>
                <w:lang w:val="fr-FR"/>
              </w:rPr>
              <w:t>pays voisin</w:t>
            </w:r>
            <w:r w:rsidR="00FB2FE9" w:rsidRPr="000D5072">
              <w:rPr>
                <w:rFonts w:eastAsia="Times New Roman" w:cs="Times New Roman"/>
                <w:color w:val="000000" w:themeColor="text1"/>
                <w:kern w:val="22"/>
                <w:sz w:val="20"/>
                <w:szCs w:val="20"/>
                <w:lang w:val="fr-FR"/>
              </w:rPr>
              <w:t>s</w:t>
            </w:r>
            <w:r w:rsidR="000D5072">
              <w:rPr>
                <w:rFonts w:eastAsia="Times New Roman" w:cs="Times New Roman"/>
                <w:color w:val="000000" w:themeColor="text1"/>
                <w:kern w:val="22"/>
                <w:sz w:val="20"/>
                <w:szCs w:val="20"/>
                <w:lang w:val="fr-FR"/>
              </w:rPr>
              <w:t xml:space="preserve"> (par exemple</w:t>
            </w:r>
            <w:r w:rsidR="16208E17" w:rsidRPr="000D5072">
              <w:rPr>
                <w:rFonts w:eastAsia="Times New Roman" w:cs="Times New Roman"/>
                <w:color w:val="000000" w:themeColor="text1"/>
                <w:kern w:val="22"/>
                <w:sz w:val="20"/>
                <w:szCs w:val="20"/>
                <w:lang w:val="fr-FR"/>
              </w:rPr>
              <w:t xml:space="preserve">, </w:t>
            </w:r>
            <w:r w:rsidR="16208E17" w:rsidRPr="000D5072">
              <w:rPr>
                <w:rFonts w:eastAsia="Times New Roman" w:cs="Times New Roman"/>
                <w:i/>
                <w:iCs/>
                <w:color w:val="000000" w:themeColor="text1"/>
                <w:kern w:val="22"/>
                <w:sz w:val="20"/>
                <w:szCs w:val="20"/>
                <w:lang w:val="fr-FR"/>
              </w:rPr>
              <w:t>Pentas longiflora</w:t>
            </w:r>
            <w:r w:rsidR="16208E17" w:rsidRPr="000D5072">
              <w:rPr>
                <w:rFonts w:eastAsia="Times New Roman" w:cs="Times New Roman"/>
                <w:color w:val="000000" w:themeColor="text1"/>
                <w:kern w:val="22"/>
                <w:sz w:val="20"/>
                <w:szCs w:val="20"/>
                <w:lang w:val="fr-FR"/>
              </w:rPr>
              <w:t xml:space="preserve">), </w:t>
            </w:r>
            <w:r w:rsidR="000D5072">
              <w:rPr>
                <w:rFonts w:eastAsia="Times New Roman" w:cs="Times New Roman"/>
                <w:color w:val="000000" w:themeColor="text1"/>
                <w:kern w:val="22"/>
                <w:sz w:val="20"/>
                <w:szCs w:val="20"/>
                <w:lang w:val="fr-FR"/>
              </w:rPr>
              <w:t>ou dans plusieurs</w:t>
            </w:r>
            <w:r w:rsidR="00CE14D6">
              <w:rPr>
                <w:rFonts w:eastAsia="Times New Roman" w:cs="Times New Roman"/>
                <w:color w:val="000000" w:themeColor="text1"/>
                <w:kern w:val="22"/>
                <w:sz w:val="20"/>
                <w:szCs w:val="20"/>
                <w:lang w:val="fr-FR"/>
              </w:rPr>
              <w:t xml:space="preserve"> juridiction</w:t>
            </w:r>
            <w:r w:rsidR="00E40444" w:rsidRPr="000D5072">
              <w:rPr>
                <w:rFonts w:eastAsia="Times New Roman" w:cs="Times New Roman"/>
                <w:color w:val="000000" w:themeColor="text1"/>
                <w:kern w:val="22"/>
                <w:sz w:val="20"/>
                <w:szCs w:val="20"/>
                <w:lang w:val="fr-FR"/>
              </w:rPr>
              <w:t>s</w:t>
            </w:r>
            <w:r w:rsidR="00CE14D6">
              <w:rPr>
                <w:rFonts w:eastAsia="Times New Roman" w:cs="Times New Roman"/>
                <w:color w:val="000000" w:themeColor="text1"/>
                <w:kern w:val="22"/>
                <w:sz w:val="20"/>
                <w:szCs w:val="20"/>
                <w:lang w:val="fr-FR"/>
              </w:rPr>
              <w:t xml:space="preserve"> nationales</w:t>
            </w:r>
            <w:r w:rsidR="000D5072">
              <w:rPr>
                <w:rFonts w:eastAsia="Times New Roman" w:cs="Times New Roman"/>
                <w:color w:val="000000" w:themeColor="text1"/>
                <w:kern w:val="22"/>
                <w:sz w:val="20"/>
                <w:szCs w:val="20"/>
                <w:lang w:val="fr-FR"/>
              </w:rPr>
              <w:t xml:space="preserve"> (par exemple</w:t>
            </w:r>
            <w:r w:rsidR="16208E17" w:rsidRPr="000D5072">
              <w:rPr>
                <w:rFonts w:eastAsia="Times New Roman" w:cs="Times New Roman"/>
                <w:color w:val="000000" w:themeColor="text1"/>
                <w:kern w:val="22"/>
                <w:sz w:val="20"/>
                <w:szCs w:val="20"/>
                <w:lang w:val="fr-FR"/>
              </w:rPr>
              <w:t xml:space="preserve">, </w:t>
            </w:r>
            <w:r w:rsidR="16208E17" w:rsidRPr="000D5072">
              <w:rPr>
                <w:rFonts w:eastAsia="Times New Roman" w:cs="Times New Roman"/>
                <w:i/>
                <w:iCs/>
                <w:color w:val="000000" w:themeColor="text1"/>
                <w:kern w:val="22"/>
                <w:sz w:val="20"/>
                <w:szCs w:val="20"/>
                <w:lang w:val="fr-FR"/>
              </w:rPr>
              <w:t>Heliotropium foertherianum</w:t>
            </w:r>
            <w:r w:rsidR="00CE14D6">
              <w:rPr>
                <w:rFonts w:eastAsia="Times New Roman" w:cs="Times New Roman"/>
                <w:color w:val="000000" w:themeColor="text1"/>
                <w:kern w:val="22"/>
                <w:sz w:val="20"/>
                <w:szCs w:val="20"/>
                <w:lang w:val="fr-FR"/>
              </w:rPr>
              <w:t>), ou dans</w:t>
            </w:r>
            <w:r w:rsidR="00AB6A02">
              <w:rPr>
                <w:rFonts w:eastAsia="Times New Roman" w:cs="Times New Roman"/>
                <w:color w:val="000000" w:themeColor="text1"/>
                <w:kern w:val="22"/>
                <w:sz w:val="20"/>
                <w:szCs w:val="20"/>
                <w:lang w:val="fr-FR"/>
              </w:rPr>
              <w:t xml:space="preserve"> plusieurs</w:t>
            </w:r>
            <w:r w:rsidR="16208E17" w:rsidRPr="000D5072">
              <w:rPr>
                <w:rFonts w:eastAsia="Times New Roman" w:cs="Times New Roman"/>
                <w:color w:val="000000" w:themeColor="text1"/>
                <w:kern w:val="22"/>
                <w:sz w:val="20"/>
                <w:szCs w:val="20"/>
                <w:lang w:val="fr-FR"/>
              </w:rPr>
              <w:t xml:space="preserve"> continents (</w:t>
            </w:r>
            <w:r w:rsidR="000D5072">
              <w:rPr>
                <w:rFonts w:eastAsia="Times New Roman" w:cs="Times New Roman"/>
                <w:color w:val="000000" w:themeColor="text1"/>
                <w:kern w:val="22"/>
                <w:sz w:val="20"/>
                <w:szCs w:val="20"/>
                <w:lang w:val="fr-FR"/>
              </w:rPr>
              <w:t>par exemple</w:t>
            </w:r>
            <w:r w:rsidR="00AB6A02">
              <w:rPr>
                <w:rFonts w:eastAsia="Times New Roman" w:cs="Times New Roman"/>
                <w:color w:val="000000" w:themeColor="text1"/>
                <w:kern w:val="22"/>
                <w:sz w:val="20"/>
                <w:szCs w:val="20"/>
                <w:lang w:val="fr-FR"/>
              </w:rPr>
              <w:t xml:space="preserve">, </w:t>
            </w:r>
            <w:r w:rsidR="16208E17" w:rsidRPr="000D5072">
              <w:rPr>
                <w:rFonts w:eastAsia="Times New Roman" w:cs="Times New Roman"/>
                <w:i/>
                <w:iCs/>
                <w:color w:val="000000" w:themeColor="text1"/>
                <w:kern w:val="22"/>
                <w:sz w:val="20"/>
                <w:szCs w:val="20"/>
                <w:lang w:val="fr-FR"/>
              </w:rPr>
              <w:t>Cathranthus roseus</w:t>
            </w:r>
            <w:r w:rsidR="16208E17" w:rsidRPr="000D5072">
              <w:rPr>
                <w:rFonts w:eastAsia="Times New Roman" w:cs="Times New Roman"/>
                <w:color w:val="000000" w:themeColor="text1"/>
                <w:kern w:val="22"/>
                <w:sz w:val="20"/>
                <w:szCs w:val="20"/>
                <w:lang w:val="fr-FR"/>
              </w:rPr>
              <w:t xml:space="preserve">). </w:t>
            </w:r>
          </w:p>
        </w:tc>
        <w:tc>
          <w:tcPr>
            <w:tcW w:w="0" w:type="dxa"/>
            <w:vMerge w:val="restart"/>
          </w:tcPr>
          <w:p w14:paraId="578A62E0" w14:textId="15645EC4" w:rsidR="6873B90E" w:rsidRPr="000B36BE" w:rsidRDefault="00CE14D6" w:rsidP="00193273">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Pr>
                <w:rFonts w:eastAsia="Times New Roman" w:cs="Times New Roman"/>
                <w:color w:val="000000" w:themeColor="text1"/>
                <w:kern w:val="22"/>
                <w:sz w:val="20"/>
                <w:szCs w:val="20"/>
                <w:lang w:val="fr-FR"/>
              </w:rPr>
              <w:t>Il n’existe aucun</w:t>
            </w:r>
            <w:r w:rsidR="000B36BE" w:rsidRPr="000B36BE">
              <w:rPr>
                <w:rFonts w:eastAsia="Times New Roman" w:cs="Times New Roman"/>
                <w:color w:val="000000" w:themeColor="text1"/>
                <w:kern w:val="22"/>
                <w:sz w:val="20"/>
                <w:szCs w:val="20"/>
                <w:lang w:val="fr-FR"/>
              </w:rPr>
              <w:t xml:space="preserve"> consensus sur le point de savoir si toutes ces</w:t>
            </w:r>
            <w:r w:rsidR="00CB6BE1" w:rsidRPr="000B36BE">
              <w:rPr>
                <w:rFonts w:eastAsia="Times New Roman" w:cs="Times New Roman"/>
                <w:color w:val="000000" w:themeColor="text1"/>
                <w:kern w:val="22"/>
                <w:sz w:val="20"/>
                <w:szCs w:val="20"/>
                <w:lang w:val="fr-FR"/>
              </w:rPr>
              <w:t xml:space="preserve"> situations </w:t>
            </w:r>
            <w:r>
              <w:rPr>
                <w:rFonts w:eastAsia="Times New Roman" w:cs="Times New Roman"/>
                <w:color w:val="000000" w:themeColor="text1"/>
                <w:kern w:val="22"/>
                <w:sz w:val="20"/>
                <w:szCs w:val="20"/>
                <w:lang w:val="fr-FR"/>
              </w:rPr>
              <w:t xml:space="preserve">sont sujettes aux </w:t>
            </w:r>
            <w:r w:rsidR="000B36BE">
              <w:rPr>
                <w:rFonts w:eastAsia="Times New Roman" w:cs="Times New Roman"/>
                <w:color w:val="000000" w:themeColor="text1"/>
                <w:kern w:val="22"/>
                <w:sz w:val="20"/>
                <w:szCs w:val="20"/>
                <w:lang w:val="fr-FR"/>
              </w:rPr>
              <w:t>obligation</w:t>
            </w:r>
            <w:r>
              <w:rPr>
                <w:rFonts w:eastAsia="Times New Roman" w:cs="Times New Roman"/>
                <w:color w:val="000000" w:themeColor="text1"/>
                <w:kern w:val="22"/>
                <w:sz w:val="20"/>
                <w:szCs w:val="20"/>
                <w:lang w:val="fr-FR"/>
              </w:rPr>
              <w:t>s relatives au</w:t>
            </w:r>
            <w:r w:rsidR="000B36BE">
              <w:rPr>
                <w:rFonts w:eastAsia="Times New Roman" w:cs="Times New Roman"/>
                <w:color w:val="000000" w:themeColor="text1"/>
                <w:kern w:val="22"/>
                <w:sz w:val="20"/>
                <w:szCs w:val="20"/>
                <w:lang w:val="fr-FR"/>
              </w:rPr>
              <w:t xml:space="preserve"> </w:t>
            </w:r>
            <w:r w:rsidR="00E3674F" w:rsidRPr="000B36BE">
              <w:rPr>
                <w:rFonts w:eastAsia="Times New Roman" w:cs="Times New Roman"/>
                <w:color w:val="000000" w:themeColor="text1"/>
                <w:kern w:val="22"/>
                <w:sz w:val="20"/>
                <w:szCs w:val="20"/>
                <w:lang w:val="fr-FR"/>
              </w:rPr>
              <w:t>partage des avantages</w:t>
            </w:r>
            <w:r w:rsidR="00CB6BE1" w:rsidRPr="000B36BE">
              <w:rPr>
                <w:rFonts w:eastAsia="Times New Roman" w:cs="Times New Roman"/>
                <w:color w:val="000000" w:themeColor="text1"/>
                <w:kern w:val="22"/>
                <w:sz w:val="20"/>
                <w:szCs w:val="20"/>
                <w:lang w:val="fr-FR"/>
              </w:rPr>
              <w:t xml:space="preserve">.  </w:t>
            </w:r>
            <w:r w:rsidR="000B36BE" w:rsidRPr="000B36BE">
              <w:rPr>
                <w:rFonts w:eastAsia="Times New Roman" w:cs="Times New Roman"/>
                <w:color w:val="000000" w:themeColor="text1"/>
                <w:kern w:val="22"/>
                <w:sz w:val="20"/>
                <w:szCs w:val="20"/>
                <w:lang w:val="fr-FR"/>
              </w:rPr>
              <w:t>Ainsi, certaines situations trans</w:t>
            </w:r>
            <w:r>
              <w:rPr>
                <w:rFonts w:eastAsia="Times New Roman" w:cs="Times New Roman"/>
                <w:color w:val="000000" w:themeColor="text1"/>
                <w:kern w:val="22"/>
                <w:sz w:val="20"/>
                <w:szCs w:val="20"/>
                <w:lang w:val="fr-FR"/>
              </w:rPr>
              <w:t>frontières pourraient être traitées dans le cadre</w:t>
            </w:r>
            <w:r w:rsidR="000B36BE">
              <w:rPr>
                <w:rFonts w:eastAsia="Times New Roman" w:cs="Times New Roman"/>
                <w:color w:val="000000" w:themeColor="text1"/>
                <w:kern w:val="22"/>
                <w:sz w:val="20"/>
                <w:szCs w:val="20"/>
                <w:lang w:val="fr-FR"/>
              </w:rPr>
              <w:t xml:space="preserve"> de l’</w:t>
            </w:r>
            <w:r w:rsidR="00FD73A5" w:rsidRPr="000B36BE">
              <w:rPr>
                <w:rFonts w:eastAsia="Times New Roman" w:cs="Times New Roman"/>
                <w:color w:val="000000" w:themeColor="text1"/>
                <w:kern w:val="22"/>
                <w:sz w:val="20"/>
                <w:szCs w:val="20"/>
                <w:lang w:val="fr-FR"/>
              </w:rPr>
              <w:t>article</w:t>
            </w:r>
            <w:r w:rsidR="00CB6BE1" w:rsidRPr="000B36BE">
              <w:rPr>
                <w:rFonts w:eastAsia="Times New Roman" w:cs="Times New Roman"/>
                <w:color w:val="000000" w:themeColor="text1"/>
                <w:kern w:val="22"/>
                <w:sz w:val="20"/>
                <w:szCs w:val="20"/>
                <w:lang w:val="fr-FR"/>
              </w:rPr>
              <w:t xml:space="preserve"> 10,</w:t>
            </w:r>
            <w:r>
              <w:rPr>
                <w:rFonts w:eastAsia="Times New Roman" w:cs="Times New Roman"/>
                <w:color w:val="000000" w:themeColor="text1"/>
                <w:kern w:val="22"/>
                <w:sz w:val="20"/>
                <w:szCs w:val="20"/>
                <w:lang w:val="fr-FR"/>
              </w:rPr>
              <w:t xml:space="preserve"> d’autres situations </w:t>
            </w:r>
            <w:r w:rsidR="000B36BE">
              <w:rPr>
                <w:rFonts w:eastAsia="Times New Roman" w:cs="Times New Roman"/>
                <w:color w:val="000000" w:themeColor="text1"/>
                <w:kern w:val="22"/>
                <w:sz w:val="20"/>
                <w:szCs w:val="20"/>
                <w:lang w:val="fr-FR"/>
              </w:rPr>
              <w:t>dans le cadre de</w:t>
            </w:r>
            <w:r w:rsidR="00B90EF3" w:rsidRPr="000B36BE">
              <w:rPr>
                <w:rFonts w:eastAsia="Times New Roman" w:cs="Times New Roman"/>
                <w:color w:val="000000" w:themeColor="text1"/>
                <w:kern w:val="22"/>
                <w:sz w:val="20"/>
                <w:szCs w:val="20"/>
                <w:lang w:val="fr-FR"/>
              </w:rPr>
              <w:t xml:space="preserve"> l’article</w:t>
            </w:r>
            <w:r w:rsidR="000B36BE">
              <w:rPr>
                <w:rFonts w:eastAsia="Times New Roman" w:cs="Times New Roman"/>
                <w:color w:val="000000" w:themeColor="text1"/>
                <w:kern w:val="22"/>
                <w:sz w:val="20"/>
                <w:szCs w:val="20"/>
                <w:lang w:val="fr-FR"/>
              </w:rPr>
              <w:t xml:space="preserve"> 11, et d’autres situations enco</w:t>
            </w:r>
            <w:r>
              <w:rPr>
                <w:rFonts w:eastAsia="Times New Roman" w:cs="Times New Roman"/>
                <w:color w:val="000000" w:themeColor="text1"/>
                <w:kern w:val="22"/>
                <w:sz w:val="20"/>
                <w:szCs w:val="20"/>
                <w:lang w:val="fr-FR"/>
              </w:rPr>
              <w:t xml:space="preserve">re pourraient être exclues </w:t>
            </w:r>
            <w:r w:rsidR="00193273">
              <w:rPr>
                <w:rFonts w:eastAsia="Times New Roman" w:cs="Times New Roman"/>
                <w:color w:val="000000" w:themeColor="text1"/>
                <w:kern w:val="22"/>
                <w:sz w:val="20"/>
                <w:szCs w:val="20"/>
                <w:lang w:val="fr-FR"/>
              </w:rPr>
              <w:t xml:space="preserve">en raison du fait qu’elles n’entrent </w:t>
            </w:r>
            <w:r w:rsidR="000B36BE">
              <w:rPr>
                <w:rFonts w:eastAsia="Times New Roman" w:cs="Times New Roman"/>
                <w:color w:val="000000" w:themeColor="text1"/>
                <w:kern w:val="22"/>
                <w:sz w:val="20"/>
                <w:szCs w:val="20"/>
                <w:lang w:val="fr-FR"/>
              </w:rPr>
              <w:t xml:space="preserve">pas dans le champ d’application du </w:t>
            </w:r>
            <w:r w:rsidR="00CB6BE1" w:rsidRPr="000B36BE">
              <w:rPr>
                <w:rFonts w:eastAsia="Times New Roman" w:cs="Times New Roman"/>
                <w:color w:val="000000" w:themeColor="text1"/>
                <w:kern w:val="22"/>
                <w:sz w:val="20"/>
                <w:szCs w:val="20"/>
                <w:lang w:val="fr-FR"/>
              </w:rPr>
              <w:t>Protocol</w:t>
            </w:r>
            <w:r w:rsidR="000B36BE">
              <w:rPr>
                <w:rFonts w:eastAsia="Times New Roman" w:cs="Times New Roman"/>
                <w:color w:val="000000" w:themeColor="text1"/>
                <w:kern w:val="22"/>
                <w:sz w:val="20"/>
                <w:szCs w:val="20"/>
                <w:lang w:val="fr-FR"/>
              </w:rPr>
              <w:t>e</w:t>
            </w:r>
            <w:r w:rsidR="00473377" w:rsidRPr="000B36BE">
              <w:rPr>
                <w:rFonts w:eastAsia="Times New Roman" w:cs="Times New Roman"/>
                <w:color w:val="000000" w:themeColor="text1"/>
                <w:kern w:val="22"/>
                <w:sz w:val="20"/>
                <w:szCs w:val="20"/>
                <w:lang w:val="fr-FR"/>
              </w:rPr>
              <w:t>.</w:t>
            </w:r>
          </w:p>
        </w:tc>
      </w:tr>
      <w:tr w:rsidR="6873B90E" w:rsidRPr="00E709D5" w14:paraId="5883E44C"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070F889F" w14:textId="77777777" w:rsidR="002D26CC" w:rsidRPr="000B36BE" w:rsidRDefault="002D26CC" w:rsidP="00F43F79">
            <w:pPr>
              <w:spacing w:before="40" w:after="40"/>
              <w:rPr>
                <w:kern w:val="22"/>
                <w:sz w:val="20"/>
                <w:szCs w:val="20"/>
                <w:lang w:val="fr-FR"/>
              </w:rPr>
            </w:pPr>
          </w:p>
        </w:tc>
        <w:tc>
          <w:tcPr>
            <w:tcW w:w="0" w:type="dxa"/>
          </w:tcPr>
          <w:p w14:paraId="672572B2" w14:textId="6D7FAB43" w:rsidR="6873B90E" w:rsidRPr="000D5072"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0D5072">
              <w:rPr>
                <w:rFonts w:eastAsia="Times New Roman" w:cs="Times New Roman"/>
                <w:color w:val="000000" w:themeColor="text1"/>
                <w:kern w:val="22"/>
                <w:sz w:val="20"/>
                <w:szCs w:val="20"/>
                <w:lang w:val="fr-FR"/>
              </w:rPr>
              <w:t xml:space="preserve">b) </w:t>
            </w:r>
            <w:r w:rsidR="00651FB0" w:rsidRPr="000D5072">
              <w:rPr>
                <w:rFonts w:eastAsia="Times New Roman" w:cs="Times New Roman"/>
                <w:color w:val="000000" w:themeColor="text1"/>
                <w:kern w:val="22"/>
                <w:sz w:val="20"/>
                <w:szCs w:val="20"/>
                <w:lang w:val="fr-FR"/>
              </w:rPr>
              <w:t>Espèces migratrices</w:t>
            </w:r>
            <w:r w:rsidR="00193273">
              <w:rPr>
                <w:rFonts w:eastAsia="Times New Roman" w:cs="Times New Roman"/>
                <w:color w:val="000000" w:themeColor="text1"/>
                <w:kern w:val="22"/>
                <w:sz w:val="20"/>
                <w:szCs w:val="20"/>
                <w:lang w:val="fr-FR"/>
              </w:rPr>
              <w:t xml:space="preserve"> qui transitent dans </w:t>
            </w:r>
            <w:r w:rsidR="000D5072" w:rsidRPr="000D5072">
              <w:rPr>
                <w:rFonts w:eastAsia="Times New Roman" w:cs="Times New Roman"/>
                <w:color w:val="000000" w:themeColor="text1"/>
                <w:kern w:val="22"/>
                <w:sz w:val="20"/>
                <w:szCs w:val="20"/>
                <w:lang w:val="fr-FR"/>
              </w:rPr>
              <w:t>plusieurs juridictions</w:t>
            </w:r>
            <w:r w:rsidR="00193273">
              <w:rPr>
                <w:rFonts w:eastAsia="Times New Roman" w:cs="Times New Roman"/>
                <w:color w:val="000000" w:themeColor="text1"/>
                <w:kern w:val="22"/>
                <w:sz w:val="20"/>
                <w:szCs w:val="20"/>
                <w:lang w:val="fr-FR"/>
              </w:rPr>
              <w:t xml:space="preserve"> nationales</w:t>
            </w:r>
          </w:p>
          <w:p w14:paraId="1204E36F" w14:textId="63598310" w:rsidR="6873B90E" w:rsidRPr="000D5072"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p>
        </w:tc>
        <w:tc>
          <w:tcPr>
            <w:tcW w:w="0" w:type="dxa"/>
          </w:tcPr>
          <w:p w14:paraId="2BEC7464" w14:textId="5D826246" w:rsidR="6873B90E" w:rsidRPr="00770AB8" w:rsidRDefault="00651FB0" w:rsidP="00A2063C">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770AB8">
              <w:rPr>
                <w:rFonts w:eastAsia="Times New Roman" w:cs="Times New Roman"/>
                <w:color w:val="000000" w:themeColor="text1"/>
                <w:kern w:val="22"/>
                <w:sz w:val="20"/>
                <w:szCs w:val="20"/>
                <w:lang w:val="fr-FR"/>
              </w:rPr>
              <w:t>Espèces migratrices</w:t>
            </w:r>
            <w:r w:rsidR="6873B90E" w:rsidRPr="00770AB8">
              <w:rPr>
                <w:rFonts w:eastAsia="Times New Roman" w:cs="Times New Roman"/>
                <w:color w:val="000000" w:themeColor="text1"/>
                <w:kern w:val="22"/>
                <w:sz w:val="20"/>
                <w:szCs w:val="20"/>
                <w:lang w:val="fr-FR"/>
              </w:rPr>
              <w:t xml:space="preserve"> </w:t>
            </w:r>
            <w:r w:rsidR="00770AB8" w:rsidRPr="00770AB8">
              <w:rPr>
                <w:rFonts w:eastAsia="Times New Roman" w:cs="Times New Roman"/>
                <w:color w:val="000000" w:themeColor="text1"/>
                <w:kern w:val="22"/>
                <w:sz w:val="20"/>
                <w:szCs w:val="20"/>
                <w:lang w:val="fr-FR"/>
              </w:rPr>
              <w:t>qui se trouvent dans</w:t>
            </w:r>
            <w:r w:rsidR="6873B90E" w:rsidRPr="00770AB8">
              <w:rPr>
                <w:rFonts w:eastAsia="Times New Roman" w:cs="Times New Roman"/>
                <w:color w:val="000000" w:themeColor="text1"/>
                <w:kern w:val="22"/>
                <w:sz w:val="20"/>
                <w:szCs w:val="20"/>
                <w:lang w:val="fr-FR"/>
              </w:rPr>
              <w:t xml:space="preserve"> </w:t>
            </w:r>
            <w:r w:rsidR="00AB6A02">
              <w:rPr>
                <w:rFonts w:eastAsia="Times New Roman" w:cs="Times New Roman"/>
                <w:color w:val="000000" w:themeColor="text1"/>
                <w:kern w:val="22"/>
                <w:sz w:val="20"/>
                <w:szCs w:val="20"/>
                <w:lang w:val="fr-FR"/>
              </w:rPr>
              <w:t>plusieurs</w:t>
            </w:r>
            <w:r w:rsidR="6873B90E" w:rsidRPr="00770AB8">
              <w:rPr>
                <w:rFonts w:eastAsia="Times New Roman" w:cs="Times New Roman"/>
                <w:color w:val="000000" w:themeColor="text1"/>
                <w:kern w:val="22"/>
                <w:sz w:val="20"/>
                <w:szCs w:val="20"/>
                <w:lang w:val="fr-FR"/>
              </w:rPr>
              <w:t xml:space="preserve"> </w:t>
            </w:r>
            <w:r w:rsidR="00E40444" w:rsidRPr="00770AB8">
              <w:rPr>
                <w:rFonts w:eastAsia="Times New Roman" w:cs="Times New Roman"/>
                <w:color w:val="000000" w:themeColor="text1"/>
                <w:kern w:val="22"/>
                <w:sz w:val="20"/>
                <w:szCs w:val="20"/>
                <w:lang w:val="fr-FR"/>
              </w:rPr>
              <w:t>pays</w:t>
            </w:r>
            <w:r w:rsidR="6873B90E" w:rsidRPr="00770AB8">
              <w:rPr>
                <w:rFonts w:eastAsia="Times New Roman" w:cs="Times New Roman"/>
                <w:color w:val="000000" w:themeColor="text1"/>
                <w:kern w:val="22"/>
                <w:sz w:val="20"/>
                <w:szCs w:val="20"/>
                <w:lang w:val="fr-FR"/>
              </w:rPr>
              <w:t xml:space="preserve"> (</w:t>
            </w:r>
            <w:r w:rsidR="000D5072">
              <w:rPr>
                <w:rFonts w:eastAsia="Times New Roman" w:cs="Times New Roman"/>
                <w:color w:val="000000" w:themeColor="text1"/>
                <w:kern w:val="22"/>
                <w:sz w:val="20"/>
                <w:szCs w:val="20"/>
                <w:lang w:val="fr-FR"/>
              </w:rPr>
              <w:t>par exemple</w:t>
            </w:r>
            <w:r w:rsidR="00AB6A02">
              <w:rPr>
                <w:rFonts w:eastAsia="Times New Roman" w:cs="Times New Roman"/>
                <w:color w:val="000000" w:themeColor="text1"/>
                <w:kern w:val="22"/>
                <w:sz w:val="20"/>
                <w:szCs w:val="20"/>
                <w:lang w:val="fr-FR"/>
              </w:rPr>
              <w:t>, l’a</w:t>
            </w:r>
            <w:r w:rsidR="00FB2FE9">
              <w:rPr>
                <w:rFonts w:eastAsia="Times New Roman" w:cs="Times New Roman"/>
                <w:color w:val="000000" w:themeColor="text1"/>
                <w:kern w:val="22"/>
                <w:sz w:val="20"/>
                <w:szCs w:val="20"/>
                <w:lang w:val="fr-FR"/>
              </w:rPr>
              <w:t>nguille d’Europe</w:t>
            </w:r>
            <w:r w:rsidR="6873B90E" w:rsidRPr="00770AB8">
              <w:rPr>
                <w:rFonts w:eastAsia="Times New Roman" w:cs="Times New Roman"/>
                <w:color w:val="000000" w:themeColor="text1"/>
                <w:kern w:val="22"/>
                <w:sz w:val="20"/>
                <w:szCs w:val="20"/>
                <w:lang w:val="fr-FR"/>
              </w:rPr>
              <w:t xml:space="preserve"> (</w:t>
            </w:r>
            <w:r w:rsidR="6873B90E" w:rsidRPr="00770AB8">
              <w:rPr>
                <w:rFonts w:eastAsia="Times New Roman" w:cs="Times New Roman"/>
                <w:i/>
                <w:iCs/>
                <w:color w:val="000000" w:themeColor="text1"/>
                <w:kern w:val="22"/>
                <w:sz w:val="20"/>
                <w:szCs w:val="20"/>
                <w:lang w:val="fr-FR"/>
              </w:rPr>
              <w:t>Anguilla</w:t>
            </w:r>
            <w:r w:rsidR="6873B90E" w:rsidRPr="00770AB8">
              <w:rPr>
                <w:rFonts w:eastAsia="Times New Roman" w:cs="Times New Roman"/>
                <w:color w:val="000000" w:themeColor="text1"/>
                <w:kern w:val="22"/>
                <w:sz w:val="20"/>
                <w:szCs w:val="20"/>
                <w:lang w:val="fr-FR"/>
              </w:rPr>
              <w:t xml:space="preserve">), </w:t>
            </w:r>
            <w:r w:rsidR="00146E5E">
              <w:rPr>
                <w:rFonts w:eastAsia="Times New Roman" w:cs="Times New Roman"/>
                <w:color w:val="000000" w:themeColor="text1"/>
                <w:kern w:val="22"/>
                <w:sz w:val="20"/>
                <w:szCs w:val="20"/>
                <w:lang w:val="fr-FR"/>
              </w:rPr>
              <w:t>le papillon M</w:t>
            </w:r>
            <w:r w:rsidR="00EC15BE">
              <w:rPr>
                <w:rFonts w:eastAsia="Times New Roman" w:cs="Times New Roman"/>
                <w:color w:val="000000" w:themeColor="text1"/>
                <w:kern w:val="22"/>
                <w:sz w:val="20"/>
                <w:szCs w:val="20"/>
                <w:lang w:val="fr-FR"/>
              </w:rPr>
              <w:t>onarque</w:t>
            </w:r>
            <w:r w:rsidR="6873B90E" w:rsidRPr="00770AB8">
              <w:rPr>
                <w:rFonts w:eastAsia="Times New Roman" w:cs="Times New Roman"/>
                <w:color w:val="000000" w:themeColor="text1"/>
                <w:kern w:val="22"/>
                <w:sz w:val="20"/>
                <w:szCs w:val="20"/>
                <w:lang w:val="fr-FR"/>
              </w:rPr>
              <w:t xml:space="preserve"> (</w:t>
            </w:r>
            <w:r w:rsidR="6873B90E" w:rsidRPr="00770AB8">
              <w:rPr>
                <w:rFonts w:eastAsia="Times New Roman" w:cs="Times New Roman"/>
                <w:i/>
                <w:iCs/>
                <w:color w:val="000000" w:themeColor="text1"/>
                <w:kern w:val="22"/>
                <w:sz w:val="20"/>
                <w:szCs w:val="20"/>
                <w:lang w:val="fr-FR"/>
              </w:rPr>
              <w:t>Danaus plexippus</w:t>
            </w:r>
            <w:r w:rsidR="00193273">
              <w:rPr>
                <w:rFonts w:eastAsia="Times New Roman" w:cs="Times New Roman"/>
                <w:color w:val="000000" w:themeColor="text1"/>
                <w:kern w:val="22"/>
                <w:sz w:val="20"/>
                <w:szCs w:val="20"/>
                <w:lang w:val="fr-FR"/>
              </w:rPr>
              <w:t>) et</w:t>
            </w:r>
            <w:r w:rsidR="00AB6A02">
              <w:rPr>
                <w:rFonts w:eastAsia="Times New Roman" w:cs="Times New Roman"/>
                <w:color w:val="000000" w:themeColor="text1"/>
                <w:kern w:val="22"/>
                <w:sz w:val="20"/>
                <w:szCs w:val="20"/>
                <w:lang w:val="fr-FR"/>
              </w:rPr>
              <w:t xml:space="preserve"> le</w:t>
            </w:r>
            <w:r w:rsidR="00E3674F" w:rsidRPr="00770AB8">
              <w:rPr>
                <w:rFonts w:eastAsia="Times New Roman" w:cs="Times New Roman"/>
                <w:color w:val="000000" w:themeColor="text1"/>
                <w:kern w:val="22"/>
                <w:sz w:val="20"/>
                <w:szCs w:val="20"/>
                <w:lang w:val="fr-FR"/>
              </w:rPr>
              <w:t xml:space="preserve"> </w:t>
            </w:r>
            <w:r w:rsidR="00146E5E">
              <w:rPr>
                <w:rFonts w:eastAsia="Times New Roman" w:cs="Times New Roman"/>
                <w:color w:val="000000" w:themeColor="text1"/>
                <w:kern w:val="22"/>
                <w:sz w:val="20"/>
                <w:szCs w:val="20"/>
                <w:lang w:val="fr-FR"/>
              </w:rPr>
              <w:t>canard C</w:t>
            </w:r>
            <w:r w:rsidR="00C151EC">
              <w:rPr>
                <w:rFonts w:eastAsia="Times New Roman" w:cs="Times New Roman"/>
                <w:color w:val="000000" w:themeColor="text1"/>
                <w:kern w:val="22"/>
                <w:sz w:val="20"/>
                <w:szCs w:val="20"/>
                <w:lang w:val="fr-FR"/>
              </w:rPr>
              <w:t>olvert</w:t>
            </w:r>
            <w:r w:rsidR="6873B90E" w:rsidRPr="00770AB8">
              <w:rPr>
                <w:rFonts w:eastAsia="Times New Roman" w:cs="Times New Roman"/>
                <w:color w:val="000000" w:themeColor="text1"/>
                <w:kern w:val="22"/>
                <w:sz w:val="20"/>
                <w:szCs w:val="20"/>
                <w:lang w:val="fr-FR"/>
              </w:rPr>
              <w:t xml:space="preserve"> (</w:t>
            </w:r>
            <w:r w:rsidR="6873B90E" w:rsidRPr="00770AB8">
              <w:rPr>
                <w:rFonts w:eastAsia="Times New Roman" w:cs="Times New Roman"/>
                <w:i/>
                <w:iCs/>
                <w:color w:val="000000" w:themeColor="text1"/>
                <w:kern w:val="22"/>
                <w:sz w:val="20"/>
                <w:szCs w:val="20"/>
                <w:lang w:val="fr-FR"/>
              </w:rPr>
              <w:t>Anas platyrhynchos</w:t>
            </w:r>
            <w:r w:rsidR="6873B90E" w:rsidRPr="00770AB8">
              <w:rPr>
                <w:rFonts w:eastAsia="Times New Roman" w:cs="Times New Roman"/>
                <w:color w:val="000000" w:themeColor="text1"/>
                <w:kern w:val="22"/>
                <w:sz w:val="20"/>
                <w:szCs w:val="20"/>
                <w:lang w:val="fr-FR"/>
              </w:rPr>
              <w:t>)</w:t>
            </w:r>
            <w:r w:rsidR="00B5747F" w:rsidRPr="00770AB8">
              <w:rPr>
                <w:rFonts w:eastAsia="Times New Roman" w:cs="Times New Roman"/>
                <w:color w:val="000000" w:themeColor="text1"/>
                <w:kern w:val="22"/>
                <w:sz w:val="20"/>
                <w:szCs w:val="20"/>
                <w:lang w:val="fr-FR"/>
              </w:rPr>
              <w:t>)</w:t>
            </w:r>
            <w:r w:rsidR="6873B90E" w:rsidRPr="00770AB8">
              <w:rPr>
                <w:rFonts w:eastAsia="Times New Roman" w:cs="Times New Roman"/>
                <w:color w:val="000000" w:themeColor="text1"/>
                <w:kern w:val="22"/>
                <w:sz w:val="20"/>
                <w:szCs w:val="20"/>
                <w:lang w:val="fr-FR"/>
              </w:rPr>
              <w:t>.</w:t>
            </w:r>
          </w:p>
        </w:tc>
        <w:tc>
          <w:tcPr>
            <w:tcW w:w="0" w:type="dxa"/>
            <w:vMerge/>
          </w:tcPr>
          <w:p w14:paraId="3D58E5FC" w14:textId="4F7161F2" w:rsidR="6873B90E" w:rsidRPr="00770AB8"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p>
        </w:tc>
      </w:tr>
      <w:tr w:rsidR="6873B90E" w:rsidRPr="00E709D5" w14:paraId="7DBCAC69"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2446B398" w14:textId="77777777" w:rsidR="002D26CC" w:rsidRPr="00770AB8" w:rsidRDefault="002D26CC" w:rsidP="00F43F79">
            <w:pPr>
              <w:spacing w:before="40" w:after="40"/>
              <w:rPr>
                <w:kern w:val="22"/>
                <w:sz w:val="20"/>
                <w:szCs w:val="20"/>
                <w:lang w:val="fr-FR"/>
              </w:rPr>
            </w:pPr>
          </w:p>
        </w:tc>
        <w:tc>
          <w:tcPr>
            <w:tcW w:w="0" w:type="dxa"/>
          </w:tcPr>
          <w:p w14:paraId="12571CB0" w14:textId="4F4325B4" w:rsidR="6873B90E" w:rsidRPr="00651FB0"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651FB0">
              <w:rPr>
                <w:rFonts w:eastAsia="Times New Roman" w:cs="Times New Roman"/>
                <w:color w:val="000000" w:themeColor="text1"/>
                <w:kern w:val="22"/>
                <w:sz w:val="20"/>
                <w:szCs w:val="20"/>
                <w:lang w:val="fr-FR"/>
              </w:rPr>
              <w:t xml:space="preserve">c) </w:t>
            </w:r>
            <w:r w:rsidR="00651FB0" w:rsidRPr="00651FB0">
              <w:rPr>
                <w:rFonts w:eastAsia="Times New Roman" w:cs="Times New Roman"/>
                <w:color w:val="000000" w:themeColor="text1"/>
                <w:kern w:val="22"/>
                <w:sz w:val="20"/>
                <w:szCs w:val="20"/>
                <w:lang w:val="fr-FR"/>
              </w:rPr>
              <w:t>Zones situées au-delà des limites de la juridiction nationale</w:t>
            </w:r>
          </w:p>
        </w:tc>
        <w:tc>
          <w:tcPr>
            <w:tcW w:w="0" w:type="dxa"/>
          </w:tcPr>
          <w:p w14:paraId="76026C3E" w14:textId="16320FC7" w:rsidR="6873B90E" w:rsidRPr="00D6232E" w:rsidRDefault="00193273" w:rsidP="00657E88">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Pr>
                <w:rFonts w:eastAsia="Times New Roman" w:cs="Times New Roman"/>
                <w:color w:val="000000" w:themeColor="text1"/>
                <w:kern w:val="22"/>
                <w:sz w:val="20"/>
                <w:szCs w:val="20"/>
                <w:lang w:val="fr-FR"/>
              </w:rPr>
              <w:t>R</w:t>
            </w:r>
            <w:r w:rsidR="00657E88">
              <w:rPr>
                <w:rFonts w:eastAsia="Times New Roman" w:cs="Times New Roman"/>
                <w:color w:val="000000" w:themeColor="text1"/>
                <w:kern w:val="22"/>
                <w:sz w:val="20"/>
                <w:szCs w:val="20"/>
                <w:lang w:val="fr-FR"/>
              </w:rPr>
              <w:t xml:space="preserve">essources </w:t>
            </w:r>
            <w:r>
              <w:rPr>
                <w:rFonts w:eastAsia="Times New Roman" w:cs="Times New Roman"/>
                <w:color w:val="000000" w:themeColor="text1"/>
                <w:kern w:val="22"/>
                <w:sz w:val="20"/>
                <w:szCs w:val="20"/>
                <w:lang w:val="fr-FR"/>
              </w:rPr>
              <w:t xml:space="preserve">dites </w:t>
            </w:r>
            <w:r w:rsidR="00F9515F" w:rsidRPr="00D6232E">
              <w:rPr>
                <w:rFonts w:eastAsia="Times New Roman" w:cs="Times New Roman"/>
                <w:color w:val="000000" w:themeColor="text1"/>
                <w:kern w:val="22"/>
                <w:sz w:val="20"/>
                <w:szCs w:val="20"/>
                <w:lang w:val="fr-FR"/>
              </w:rPr>
              <w:t>‘</w:t>
            </w:r>
            <w:r w:rsidR="00022CC1">
              <w:rPr>
                <w:rFonts w:eastAsia="Times New Roman" w:cs="Times New Roman"/>
                <w:color w:val="000000" w:themeColor="text1"/>
                <w:kern w:val="22"/>
                <w:sz w:val="20"/>
                <w:szCs w:val="20"/>
                <w:lang w:val="fr-FR"/>
              </w:rPr>
              <w:t>chevauchantes</w:t>
            </w:r>
            <w:r w:rsidR="00F9515F" w:rsidRPr="00D6232E">
              <w:rPr>
                <w:rFonts w:eastAsia="Times New Roman" w:cs="Times New Roman"/>
                <w:color w:val="000000" w:themeColor="text1"/>
                <w:kern w:val="22"/>
                <w:sz w:val="20"/>
                <w:szCs w:val="20"/>
                <w:lang w:val="fr-FR"/>
              </w:rPr>
              <w:t>’</w:t>
            </w:r>
            <w:r>
              <w:rPr>
                <w:rFonts w:eastAsia="Times New Roman" w:cs="Times New Roman"/>
                <w:color w:val="000000" w:themeColor="text1"/>
                <w:kern w:val="22"/>
                <w:sz w:val="20"/>
                <w:szCs w:val="20"/>
                <w:lang w:val="fr-FR"/>
              </w:rPr>
              <w:t>,</w:t>
            </w:r>
            <w:r w:rsidR="00F9515F" w:rsidRPr="00D6232E">
              <w:rPr>
                <w:rFonts w:eastAsia="Times New Roman" w:cs="Times New Roman"/>
                <w:color w:val="000000" w:themeColor="text1"/>
                <w:kern w:val="22"/>
                <w:sz w:val="20"/>
                <w:szCs w:val="20"/>
                <w:lang w:val="fr-FR"/>
              </w:rPr>
              <w:t xml:space="preserve"> </w:t>
            </w:r>
            <w:r w:rsidR="00651FB0" w:rsidRPr="00D6232E">
              <w:rPr>
                <w:rFonts w:eastAsia="Times New Roman" w:cs="Times New Roman"/>
                <w:color w:val="000000" w:themeColor="text1"/>
                <w:kern w:val="22"/>
                <w:sz w:val="20"/>
                <w:szCs w:val="20"/>
                <w:lang w:val="fr-FR"/>
              </w:rPr>
              <w:t>qui se trouvent</w:t>
            </w:r>
            <w:r>
              <w:rPr>
                <w:rFonts w:eastAsia="Times New Roman" w:cs="Times New Roman"/>
                <w:color w:val="000000" w:themeColor="text1"/>
                <w:kern w:val="22"/>
                <w:sz w:val="20"/>
                <w:szCs w:val="20"/>
                <w:lang w:val="fr-FR"/>
              </w:rPr>
              <w:t xml:space="preserve"> ou</w:t>
            </w:r>
            <w:r w:rsidR="005749B7" w:rsidRPr="00D6232E">
              <w:rPr>
                <w:rFonts w:eastAsia="Times New Roman" w:cs="Times New Roman"/>
                <w:color w:val="000000" w:themeColor="text1"/>
                <w:kern w:val="22"/>
                <w:sz w:val="20"/>
                <w:szCs w:val="20"/>
                <w:lang w:val="fr-FR"/>
              </w:rPr>
              <w:t xml:space="preserve"> transit</w:t>
            </w:r>
            <w:r w:rsidR="00657E88">
              <w:rPr>
                <w:rFonts w:eastAsia="Times New Roman" w:cs="Times New Roman"/>
                <w:color w:val="000000" w:themeColor="text1"/>
                <w:kern w:val="22"/>
                <w:sz w:val="20"/>
                <w:szCs w:val="20"/>
                <w:lang w:val="fr-FR"/>
              </w:rPr>
              <w:t>ent</w:t>
            </w:r>
            <w:r>
              <w:rPr>
                <w:rFonts w:eastAsia="Times New Roman" w:cs="Times New Roman"/>
                <w:color w:val="000000" w:themeColor="text1"/>
                <w:kern w:val="22"/>
                <w:sz w:val="20"/>
                <w:szCs w:val="20"/>
                <w:lang w:val="fr-FR"/>
              </w:rPr>
              <w:t xml:space="preserve"> dans</w:t>
            </w:r>
            <w:r w:rsidR="005749B7" w:rsidRPr="00D6232E">
              <w:rPr>
                <w:rFonts w:eastAsia="Times New Roman" w:cs="Times New Roman"/>
                <w:color w:val="000000" w:themeColor="text1"/>
                <w:kern w:val="22"/>
                <w:sz w:val="20"/>
                <w:szCs w:val="20"/>
                <w:lang w:val="fr-FR"/>
              </w:rPr>
              <w:t xml:space="preserve"> </w:t>
            </w:r>
            <w:r w:rsidR="00657E88">
              <w:rPr>
                <w:rFonts w:eastAsia="Times New Roman" w:cs="Times New Roman"/>
                <w:color w:val="000000" w:themeColor="text1"/>
                <w:kern w:val="22"/>
                <w:sz w:val="20"/>
                <w:szCs w:val="20"/>
                <w:lang w:val="fr-FR"/>
              </w:rPr>
              <w:t>la haute mer</w:t>
            </w:r>
            <w:r>
              <w:rPr>
                <w:rFonts w:eastAsia="Times New Roman" w:cs="Times New Roman"/>
                <w:color w:val="000000" w:themeColor="text1"/>
                <w:kern w:val="22"/>
                <w:sz w:val="20"/>
                <w:szCs w:val="20"/>
                <w:lang w:val="fr-FR"/>
              </w:rPr>
              <w:t xml:space="preserve"> et dans d</w:t>
            </w:r>
            <w:r w:rsidR="00657E88">
              <w:rPr>
                <w:rFonts w:eastAsia="Times New Roman" w:cs="Times New Roman"/>
                <w:color w:val="000000" w:themeColor="text1"/>
                <w:kern w:val="22"/>
                <w:sz w:val="20"/>
                <w:szCs w:val="20"/>
                <w:lang w:val="fr-FR"/>
              </w:rPr>
              <w:t>es zones qui relèvent</w:t>
            </w:r>
            <w:r w:rsidR="00753F69">
              <w:rPr>
                <w:rFonts w:eastAsia="Times New Roman" w:cs="Times New Roman"/>
                <w:color w:val="000000" w:themeColor="text1"/>
                <w:kern w:val="22"/>
                <w:sz w:val="20"/>
                <w:szCs w:val="20"/>
                <w:lang w:val="fr-FR"/>
              </w:rPr>
              <w:t xml:space="preserve"> de la juridiction nationale</w:t>
            </w:r>
            <w:r w:rsidR="6873B90E" w:rsidRPr="00D6232E">
              <w:rPr>
                <w:rFonts w:eastAsia="Times New Roman" w:cs="Times New Roman"/>
                <w:color w:val="000000" w:themeColor="text1"/>
                <w:kern w:val="22"/>
                <w:sz w:val="20"/>
                <w:szCs w:val="20"/>
                <w:lang w:val="fr-FR"/>
              </w:rPr>
              <w:t>.</w:t>
            </w:r>
          </w:p>
        </w:tc>
        <w:tc>
          <w:tcPr>
            <w:tcW w:w="0" w:type="dxa"/>
            <w:vMerge/>
          </w:tcPr>
          <w:p w14:paraId="655C62A2" w14:textId="32B1CC59" w:rsidR="6873B90E" w:rsidRPr="00D6232E"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p>
        </w:tc>
      </w:tr>
      <w:tr w:rsidR="6873B90E" w:rsidRPr="00E709D5" w14:paraId="6563BCD0" w14:textId="77777777" w:rsidTr="00F43F79">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6932084D" w14:textId="6882090E" w:rsidR="6873B90E" w:rsidRPr="00E3674F" w:rsidRDefault="00E3674F" w:rsidP="00F43F79">
            <w:pPr>
              <w:spacing w:before="40" w:after="40"/>
              <w:jc w:val="left"/>
              <w:rPr>
                <w:rFonts w:eastAsia="Times New Roman" w:cs="Times New Roman"/>
                <w:color w:val="000000" w:themeColor="text1"/>
                <w:kern w:val="22"/>
                <w:sz w:val="20"/>
                <w:szCs w:val="20"/>
                <w:lang w:val="fr-FR"/>
              </w:rPr>
            </w:pPr>
            <w:r w:rsidRPr="00E3674F">
              <w:rPr>
                <w:rFonts w:eastAsia="Times New Roman" w:cs="Times New Roman"/>
                <w:color w:val="000000" w:themeColor="text1"/>
                <w:kern w:val="22"/>
                <w:sz w:val="20"/>
                <w:szCs w:val="20"/>
                <w:lang w:val="fr-FR"/>
              </w:rPr>
              <w:t>Ressources génétiques</w:t>
            </w:r>
            <w:r w:rsidR="35733B0B" w:rsidRPr="00E3674F">
              <w:rPr>
                <w:rFonts w:eastAsia="Times New Roman" w:cs="Times New Roman"/>
                <w:color w:val="000000" w:themeColor="text1"/>
                <w:kern w:val="22"/>
                <w:sz w:val="20"/>
                <w:szCs w:val="20"/>
                <w:lang w:val="fr-FR"/>
              </w:rPr>
              <w:t xml:space="preserve"> </w:t>
            </w:r>
            <w:r w:rsidR="0020703A">
              <w:rPr>
                <w:rFonts w:eastAsia="Times New Roman" w:cs="Times New Roman"/>
                <w:color w:val="000000" w:themeColor="text1"/>
                <w:kern w:val="22"/>
                <w:sz w:val="20"/>
                <w:szCs w:val="20"/>
                <w:lang w:val="fr-FR"/>
              </w:rPr>
              <w:t>pour lesquel</w:t>
            </w:r>
            <w:r w:rsidR="00193273">
              <w:rPr>
                <w:rFonts w:eastAsia="Times New Roman" w:cs="Times New Roman"/>
                <w:color w:val="000000" w:themeColor="text1"/>
                <w:kern w:val="22"/>
                <w:sz w:val="20"/>
                <w:szCs w:val="20"/>
                <w:lang w:val="fr-FR"/>
              </w:rPr>
              <w:t>le</w:t>
            </w:r>
            <w:r w:rsidR="0020703A">
              <w:rPr>
                <w:rFonts w:eastAsia="Times New Roman" w:cs="Times New Roman"/>
                <w:color w:val="000000" w:themeColor="text1"/>
                <w:kern w:val="22"/>
                <w:sz w:val="20"/>
                <w:szCs w:val="20"/>
                <w:lang w:val="fr-FR"/>
              </w:rPr>
              <w:t xml:space="preserve">s </w:t>
            </w:r>
            <w:r w:rsidR="007D7761">
              <w:rPr>
                <w:rFonts w:eastAsia="Times New Roman" w:cs="Times New Roman"/>
                <w:color w:val="000000" w:themeColor="text1"/>
                <w:kern w:val="22"/>
                <w:sz w:val="20"/>
                <w:szCs w:val="20"/>
                <w:lang w:val="fr-FR"/>
              </w:rPr>
              <w:t>il n’est pas possible</w:t>
            </w:r>
            <w:r w:rsidR="35733B0B" w:rsidRPr="00E3674F">
              <w:rPr>
                <w:rFonts w:eastAsia="Times New Roman" w:cs="Times New Roman"/>
                <w:color w:val="000000" w:themeColor="text1"/>
                <w:kern w:val="22"/>
                <w:sz w:val="20"/>
                <w:szCs w:val="20"/>
                <w:lang w:val="fr-FR"/>
              </w:rPr>
              <w:t xml:space="preserve"> </w:t>
            </w:r>
            <w:r w:rsidR="00FB033A">
              <w:rPr>
                <w:rFonts w:eastAsia="Times New Roman" w:cs="Times New Roman"/>
                <w:color w:val="000000" w:themeColor="text1"/>
                <w:kern w:val="22"/>
                <w:sz w:val="20"/>
                <w:szCs w:val="20"/>
                <w:lang w:val="fr-FR"/>
              </w:rPr>
              <w:t xml:space="preserve">d’accorder ou </w:t>
            </w:r>
            <w:r w:rsidR="000E3236">
              <w:rPr>
                <w:rFonts w:eastAsia="Times New Roman" w:cs="Times New Roman"/>
                <w:color w:val="000000" w:themeColor="text1"/>
                <w:kern w:val="22"/>
                <w:sz w:val="20"/>
                <w:szCs w:val="20"/>
                <w:lang w:val="fr-FR"/>
              </w:rPr>
              <w:t xml:space="preserve">d’obtenir un </w:t>
            </w:r>
            <w:r w:rsidR="007D7761">
              <w:rPr>
                <w:rFonts w:eastAsia="Times New Roman" w:cs="Times New Roman"/>
                <w:color w:val="000000" w:themeColor="text1"/>
                <w:kern w:val="22"/>
                <w:sz w:val="20"/>
                <w:szCs w:val="20"/>
                <w:lang w:val="fr-FR"/>
              </w:rPr>
              <w:lastRenderedPageBreak/>
              <w:t>consentement préalable donné en connaissance de cause</w:t>
            </w:r>
          </w:p>
        </w:tc>
        <w:tc>
          <w:tcPr>
            <w:tcW w:w="0" w:type="dxa"/>
          </w:tcPr>
          <w:p w14:paraId="623E9C21" w14:textId="70BD1959" w:rsidR="6873B90E" w:rsidRPr="00E3674F"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E3674F">
              <w:rPr>
                <w:rFonts w:eastAsia="Times New Roman" w:cs="Times New Roman"/>
                <w:color w:val="000000" w:themeColor="text1"/>
                <w:kern w:val="22"/>
                <w:sz w:val="20"/>
                <w:szCs w:val="20"/>
                <w:lang w:val="fr-FR"/>
              </w:rPr>
              <w:lastRenderedPageBreak/>
              <w:t xml:space="preserve">a) </w:t>
            </w:r>
            <w:r w:rsidR="00E3674F" w:rsidRPr="00E3674F">
              <w:rPr>
                <w:rFonts w:eastAsia="Times New Roman" w:cs="Times New Roman"/>
                <w:color w:val="000000" w:themeColor="text1"/>
                <w:kern w:val="22"/>
                <w:sz w:val="20"/>
                <w:szCs w:val="20"/>
                <w:lang w:val="fr-FR"/>
              </w:rPr>
              <w:t>Ressources génétiques</w:t>
            </w:r>
            <w:r w:rsidRPr="00E3674F">
              <w:rPr>
                <w:rFonts w:eastAsia="Times New Roman" w:cs="Times New Roman"/>
                <w:color w:val="000000" w:themeColor="text1"/>
                <w:kern w:val="22"/>
                <w:sz w:val="20"/>
                <w:szCs w:val="20"/>
                <w:lang w:val="fr-FR"/>
              </w:rPr>
              <w:t xml:space="preserve"> </w:t>
            </w:r>
            <w:r w:rsidR="008D43E2">
              <w:rPr>
                <w:rFonts w:eastAsia="Times New Roman" w:cs="Times New Roman"/>
                <w:color w:val="000000" w:themeColor="text1"/>
                <w:kern w:val="22"/>
                <w:sz w:val="20"/>
                <w:szCs w:val="20"/>
                <w:lang w:val="fr-FR"/>
              </w:rPr>
              <w:t xml:space="preserve">dont on ne peut </w:t>
            </w:r>
            <w:r w:rsidR="00DB08F9">
              <w:rPr>
                <w:rFonts w:eastAsia="Times New Roman" w:cs="Times New Roman"/>
                <w:color w:val="000000" w:themeColor="text1"/>
                <w:kern w:val="22"/>
                <w:sz w:val="20"/>
                <w:szCs w:val="20"/>
                <w:lang w:val="fr-FR"/>
              </w:rPr>
              <w:t>déterminer la provenance</w:t>
            </w:r>
            <w:r w:rsidR="00AB6A02">
              <w:rPr>
                <w:rFonts w:eastAsia="Times New Roman" w:cs="Times New Roman"/>
                <w:color w:val="000000" w:themeColor="text1"/>
                <w:kern w:val="22"/>
                <w:sz w:val="20"/>
                <w:szCs w:val="20"/>
                <w:lang w:val="fr-FR"/>
              </w:rPr>
              <w:t xml:space="preserve"> </w:t>
            </w:r>
            <w:r w:rsidR="00AB6A02">
              <w:rPr>
                <w:rFonts w:eastAsia="Times New Roman" w:cs="Times New Roman"/>
                <w:color w:val="000000" w:themeColor="text1"/>
                <w:kern w:val="22"/>
                <w:sz w:val="20"/>
                <w:szCs w:val="20"/>
                <w:lang w:val="fr-FR"/>
              </w:rPr>
              <w:lastRenderedPageBreak/>
              <w:t>dans des</w:t>
            </w:r>
            <w:r w:rsidRPr="00E3674F">
              <w:rPr>
                <w:rFonts w:eastAsia="Times New Roman" w:cs="Times New Roman"/>
                <w:color w:val="000000" w:themeColor="text1"/>
                <w:kern w:val="22"/>
                <w:sz w:val="20"/>
                <w:szCs w:val="20"/>
                <w:lang w:val="fr-FR"/>
              </w:rPr>
              <w:t xml:space="preserve"> </w:t>
            </w:r>
            <w:r w:rsidR="00FC7EA5" w:rsidRPr="00193273">
              <w:rPr>
                <w:rFonts w:eastAsia="Times New Roman" w:cs="Times New Roman"/>
                <w:iCs/>
                <w:color w:val="000000" w:themeColor="text1"/>
                <w:kern w:val="22"/>
                <w:sz w:val="20"/>
                <w:szCs w:val="20"/>
                <w:lang w:val="fr-FR"/>
              </w:rPr>
              <w:t>collections</w:t>
            </w:r>
            <w:r w:rsidR="00FC7EA5">
              <w:rPr>
                <w:rFonts w:eastAsia="Times New Roman" w:cs="Times New Roman"/>
                <w:i/>
                <w:iCs/>
                <w:color w:val="000000" w:themeColor="text1"/>
                <w:kern w:val="22"/>
                <w:sz w:val="20"/>
                <w:szCs w:val="20"/>
                <w:lang w:val="fr-FR"/>
              </w:rPr>
              <w:t xml:space="preserve"> ex situ</w:t>
            </w:r>
          </w:p>
          <w:p w14:paraId="6A439248" w14:textId="211D0066" w:rsidR="6873B90E" w:rsidRPr="00E3674F"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E3674F">
              <w:rPr>
                <w:rFonts w:eastAsia="Times New Roman" w:cs="Times New Roman"/>
                <w:color w:val="000000" w:themeColor="text1"/>
                <w:kern w:val="22"/>
                <w:sz w:val="20"/>
                <w:szCs w:val="20"/>
                <w:lang w:val="fr-FR"/>
              </w:rPr>
              <w:t xml:space="preserve"> </w:t>
            </w:r>
          </w:p>
          <w:p w14:paraId="25067576" w14:textId="48A1AA02" w:rsidR="6873B90E" w:rsidRPr="00E3674F"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E3674F">
              <w:rPr>
                <w:rFonts w:eastAsia="Times New Roman" w:cs="Times New Roman"/>
                <w:color w:val="000000" w:themeColor="text1"/>
                <w:kern w:val="22"/>
                <w:sz w:val="20"/>
                <w:szCs w:val="20"/>
                <w:lang w:val="fr-FR"/>
              </w:rPr>
              <w:t xml:space="preserve"> </w:t>
            </w:r>
          </w:p>
          <w:p w14:paraId="6F089807" w14:textId="1AE53368" w:rsidR="6873B90E" w:rsidRPr="00E3674F"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E3674F">
              <w:rPr>
                <w:rFonts w:eastAsia="Times New Roman" w:cs="Times New Roman"/>
                <w:color w:val="000000" w:themeColor="text1"/>
                <w:kern w:val="22"/>
                <w:sz w:val="20"/>
                <w:szCs w:val="20"/>
                <w:lang w:val="fr-FR"/>
              </w:rPr>
              <w:t xml:space="preserve"> </w:t>
            </w:r>
          </w:p>
          <w:p w14:paraId="0F9A50D7" w14:textId="0DC85292" w:rsidR="6873B90E" w:rsidRPr="00E3674F"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E3674F">
              <w:rPr>
                <w:rFonts w:eastAsia="Times New Roman" w:cs="Times New Roman"/>
                <w:color w:val="000000" w:themeColor="text1"/>
                <w:kern w:val="22"/>
                <w:sz w:val="20"/>
                <w:szCs w:val="20"/>
                <w:lang w:val="fr-FR"/>
              </w:rPr>
              <w:t xml:space="preserve"> </w:t>
            </w:r>
          </w:p>
          <w:p w14:paraId="251AF363" w14:textId="69FF8C6D" w:rsidR="6873B90E" w:rsidRPr="00E3674F"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E3674F">
              <w:rPr>
                <w:rFonts w:eastAsia="Times New Roman" w:cs="Times New Roman"/>
                <w:color w:val="000000" w:themeColor="text1"/>
                <w:kern w:val="22"/>
                <w:sz w:val="20"/>
                <w:szCs w:val="20"/>
                <w:lang w:val="fr-FR"/>
              </w:rPr>
              <w:t xml:space="preserve"> </w:t>
            </w:r>
          </w:p>
          <w:p w14:paraId="31AEF625" w14:textId="0FA29656" w:rsidR="6873B90E" w:rsidRPr="00E3674F"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E3674F">
              <w:rPr>
                <w:rFonts w:eastAsia="Times New Roman" w:cs="Times New Roman"/>
                <w:color w:val="000000" w:themeColor="text1"/>
                <w:kern w:val="22"/>
                <w:sz w:val="20"/>
                <w:szCs w:val="20"/>
                <w:lang w:val="fr-FR"/>
              </w:rPr>
              <w:t xml:space="preserve"> </w:t>
            </w:r>
          </w:p>
        </w:tc>
        <w:tc>
          <w:tcPr>
            <w:tcW w:w="0" w:type="dxa"/>
          </w:tcPr>
          <w:p w14:paraId="1E005B01" w14:textId="56096C3A" w:rsidR="6873B90E" w:rsidRPr="00E3674F" w:rsidRDefault="00E3674F" w:rsidP="00657E88">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E3674F">
              <w:rPr>
                <w:rFonts w:eastAsia="Times New Roman" w:cs="Times New Roman"/>
                <w:color w:val="000000" w:themeColor="text1"/>
                <w:kern w:val="22"/>
                <w:sz w:val="20"/>
                <w:szCs w:val="20"/>
                <w:lang w:val="fr-FR"/>
              </w:rPr>
              <w:lastRenderedPageBreak/>
              <w:t>Ressources génétiques</w:t>
            </w:r>
            <w:r w:rsidR="00657E88">
              <w:rPr>
                <w:rFonts w:eastAsia="Times New Roman" w:cs="Times New Roman"/>
                <w:color w:val="000000" w:themeColor="text1"/>
                <w:kern w:val="22"/>
                <w:sz w:val="20"/>
                <w:szCs w:val="20"/>
                <w:lang w:val="fr-FR"/>
              </w:rPr>
              <w:t xml:space="preserve"> provenant de</w:t>
            </w:r>
            <w:r w:rsidR="16208E17" w:rsidRPr="00E3674F">
              <w:rPr>
                <w:rFonts w:eastAsia="Times New Roman" w:cs="Times New Roman"/>
                <w:color w:val="000000" w:themeColor="text1"/>
                <w:kern w:val="22"/>
                <w:sz w:val="20"/>
                <w:szCs w:val="20"/>
                <w:lang w:val="fr-FR"/>
              </w:rPr>
              <w:t xml:space="preserve"> </w:t>
            </w:r>
            <w:r w:rsidR="00D6232E">
              <w:rPr>
                <w:rFonts w:eastAsia="Times New Roman" w:cs="Times New Roman"/>
                <w:color w:val="000000" w:themeColor="text1"/>
                <w:kern w:val="22"/>
                <w:sz w:val="20"/>
                <w:szCs w:val="20"/>
                <w:lang w:val="fr-FR"/>
              </w:rPr>
              <w:t>jardins botaniques</w:t>
            </w:r>
            <w:r w:rsidR="16208E17" w:rsidRPr="00E3674F">
              <w:rPr>
                <w:rFonts w:eastAsia="Times New Roman" w:cs="Times New Roman"/>
                <w:color w:val="000000" w:themeColor="text1"/>
                <w:kern w:val="22"/>
                <w:sz w:val="20"/>
                <w:szCs w:val="20"/>
                <w:lang w:val="fr-FR"/>
              </w:rPr>
              <w:t xml:space="preserve"> (</w:t>
            </w:r>
            <w:r w:rsidR="000D5072">
              <w:rPr>
                <w:rFonts w:eastAsia="Times New Roman" w:cs="Times New Roman"/>
                <w:color w:val="000000" w:themeColor="text1"/>
                <w:kern w:val="22"/>
                <w:sz w:val="20"/>
                <w:szCs w:val="20"/>
                <w:lang w:val="fr-FR"/>
              </w:rPr>
              <w:t>par exemple</w:t>
            </w:r>
            <w:r w:rsidR="16208E17" w:rsidRPr="00E3674F">
              <w:rPr>
                <w:rFonts w:eastAsia="Times New Roman" w:cs="Times New Roman"/>
                <w:color w:val="000000" w:themeColor="text1"/>
                <w:kern w:val="22"/>
                <w:sz w:val="20"/>
                <w:szCs w:val="20"/>
                <w:lang w:val="fr-FR"/>
              </w:rPr>
              <w:t xml:space="preserve">, The </w:t>
            </w:r>
            <w:r w:rsidR="00F106D9">
              <w:rPr>
                <w:rFonts w:eastAsia="Times New Roman" w:cs="Times New Roman"/>
                <w:color w:val="000000" w:themeColor="text1"/>
                <w:kern w:val="22"/>
                <w:sz w:val="20"/>
                <w:szCs w:val="20"/>
                <w:lang w:val="fr-FR"/>
              </w:rPr>
              <w:t xml:space="preserve">Royal Botanic </w:t>
            </w:r>
            <w:r w:rsidR="00F106D9">
              <w:rPr>
                <w:rFonts w:eastAsia="Times New Roman" w:cs="Times New Roman"/>
                <w:color w:val="000000" w:themeColor="text1"/>
                <w:kern w:val="22"/>
                <w:sz w:val="20"/>
                <w:szCs w:val="20"/>
                <w:lang w:val="fr-FR"/>
              </w:rPr>
              <w:lastRenderedPageBreak/>
              <w:t>Gardens</w:t>
            </w:r>
            <w:r w:rsidR="16208E17" w:rsidRPr="00E3674F">
              <w:rPr>
                <w:rFonts w:eastAsia="Times New Roman" w:cs="Times New Roman"/>
                <w:color w:val="000000" w:themeColor="text1"/>
                <w:kern w:val="22"/>
                <w:sz w:val="20"/>
                <w:szCs w:val="20"/>
                <w:lang w:val="fr-FR"/>
              </w:rPr>
              <w:t xml:space="preserve">, Kew), </w:t>
            </w:r>
            <w:r w:rsidR="00A71176">
              <w:rPr>
                <w:rFonts w:eastAsia="Times New Roman" w:cs="Times New Roman"/>
                <w:color w:val="000000" w:themeColor="text1"/>
                <w:kern w:val="22"/>
                <w:sz w:val="20"/>
                <w:szCs w:val="20"/>
                <w:lang w:val="fr-FR"/>
              </w:rPr>
              <w:t>d’herbiers</w:t>
            </w:r>
            <w:r w:rsidR="16208E17" w:rsidRPr="00E3674F">
              <w:rPr>
                <w:rFonts w:eastAsia="Times New Roman" w:cs="Times New Roman"/>
                <w:color w:val="000000" w:themeColor="text1"/>
                <w:kern w:val="22"/>
                <w:sz w:val="20"/>
                <w:szCs w:val="20"/>
                <w:lang w:val="fr-FR"/>
              </w:rPr>
              <w:t xml:space="preserve"> (</w:t>
            </w:r>
            <w:r w:rsidR="000D5072">
              <w:rPr>
                <w:rFonts w:eastAsia="Times New Roman" w:cs="Times New Roman"/>
                <w:color w:val="000000" w:themeColor="text1"/>
                <w:kern w:val="22"/>
                <w:sz w:val="20"/>
                <w:szCs w:val="20"/>
                <w:lang w:val="fr-FR"/>
              </w:rPr>
              <w:t>par exemple</w:t>
            </w:r>
            <w:r w:rsidR="16208E17" w:rsidRPr="00E3674F">
              <w:rPr>
                <w:rFonts w:eastAsia="Times New Roman" w:cs="Times New Roman"/>
                <w:color w:val="000000" w:themeColor="text1"/>
                <w:kern w:val="22"/>
                <w:sz w:val="20"/>
                <w:szCs w:val="20"/>
                <w:lang w:val="fr-FR"/>
              </w:rPr>
              <w:t xml:space="preserve">, </w:t>
            </w:r>
            <w:r w:rsidR="00657E88">
              <w:rPr>
                <w:rFonts w:eastAsia="Times New Roman" w:cs="Times New Roman"/>
                <w:color w:val="000000" w:themeColor="text1"/>
                <w:kern w:val="22"/>
                <w:sz w:val="20"/>
                <w:szCs w:val="20"/>
                <w:lang w:val="fr-FR"/>
              </w:rPr>
              <w:t>les collections botaniques du Muséum national d’histoire n</w:t>
            </w:r>
            <w:r w:rsidR="16208E17" w:rsidRPr="00E3674F">
              <w:rPr>
                <w:rFonts w:eastAsia="Times New Roman" w:cs="Times New Roman"/>
                <w:color w:val="000000" w:themeColor="text1"/>
                <w:kern w:val="22"/>
                <w:sz w:val="20"/>
                <w:szCs w:val="20"/>
                <w:lang w:val="fr-FR"/>
              </w:rPr>
              <w:t xml:space="preserve">aturelle), </w:t>
            </w:r>
            <w:r w:rsidR="00657E88">
              <w:rPr>
                <w:rFonts w:eastAsia="Times New Roman" w:cs="Times New Roman"/>
                <w:color w:val="000000" w:themeColor="text1"/>
                <w:kern w:val="22"/>
                <w:sz w:val="20"/>
                <w:szCs w:val="20"/>
                <w:lang w:val="fr-FR"/>
              </w:rPr>
              <w:t xml:space="preserve">les </w:t>
            </w:r>
            <w:r w:rsidR="00E15AC0">
              <w:rPr>
                <w:rFonts w:eastAsia="Times New Roman" w:cs="Times New Roman"/>
                <w:color w:val="000000" w:themeColor="text1"/>
                <w:kern w:val="22"/>
                <w:sz w:val="20"/>
                <w:szCs w:val="20"/>
                <w:lang w:val="fr-FR"/>
              </w:rPr>
              <w:t>collections de cultures</w:t>
            </w:r>
            <w:r w:rsidR="16208E17" w:rsidRPr="00E3674F">
              <w:rPr>
                <w:rFonts w:eastAsia="Times New Roman" w:cs="Times New Roman"/>
                <w:color w:val="000000" w:themeColor="text1"/>
                <w:kern w:val="22"/>
                <w:sz w:val="20"/>
                <w:szCs w:val="20"/>
                <w:lang w:val="fr-FR"/>
              </w:rPr>
              <w:t xml:space="preserve"> (</w:t>
            </w:r>
            <w:r w:rsidR="000D5072">
              <w:rPr>
                <w:rFonts w:eastAsia="Times New Roman" w:cs="Times New Roman"/>
                <w:color w:val="000000" w:themeColor="text1"/>
                <w:kern w:val="22"/>
                <w:sz w:val="20"/>
                <w:szCs w:val="20"/>
                <w:lang w:val="fr-FR"/>
              </w:rPr>
              <w:t>par exemple</w:t>
            </w:r>
            <w:r w:rsidR="16208E17" w:rsidRPr="00E3674F">
              <w:rPr>
                <w:rFonts w:eastAsia="Times New Roman" w:cs="Times New Roman"/>
                <w:color w:val="000000" w:themeColor="text1"/>
                <w:kern w:val="22"/>
                <w:sz w:val="20"/>
                <w:szCs w:val="20"/>
                <w:lang w:val="fr-FR"/>
              </w:rPr>
              <w:t xml:space="preserve">, </w:t>
            </w:r>
            <w:r w:rsidR="00657E88">
              <w:rPr>
                <w:rFonts w:eastAsia="Times New Roman" w:cs="Times New Roman"/>
                <w:color w:val="000000" w:themeColor="text1"/>
                <w:kern w:val="22"/>
                <w:sz w:val="20"/>
                <w:szCs w:val="20"/>
                <w:lang w:val="fr-FR"/>
              </w:rPr>
              <w:t xml:space="preserve">la </w:t>
            </w:r>
            <w:r w:rsidR="00531804">
              <w:rPr>
                <w:rFonts w:eastAsia="Times New Roman" w:cs="Times New Roman"/>
                <w:color w:val="000000" w:themeColor="text1"/>
                <w:kern w:val="22"/>
                <w:sz w:val="20"/>
                <w:szCs w:val="20"/>
                <w:lang w:val="fr-FR"/>
              </w:rPr>
              <w:t>Fédération mondiale des collections de cultures</w:t>
            </w:r>
            <w:r w:rsidR="006F0580">
              <w:rPr>
                <w:rFonts w:eastAsia="Times New Roman" w:cs="Times New Roman"/>
                <w:color w:val="000000" w:themeColor="text1"/>
                <w:kern w:val="22"/>
                <w:sz w:val="20"/>
                <w:szCs w:val="20"/>
                <w:lang w:val="fr-FR"/>
              </w:rPr>
              <w:t>,</w:t>
            </w:r>
            <w:r w:rsidR="16208E17" w:rsidRPr="00E3674F">
              <w:rPr>
                <w:rFonts w:eastAsia="Times New Roman" w:cs="Times New Roman"/>
                <w:color w:val="000000" w:themeColor="text1"/>
                <w:kern w:val="22"/>
                <w:sz w:val="20"/>
                <w:szCs w:val="20"/>
                <w:lang w:val="fr-FR"/>
              </w:rPr>
              <w:t xml:space="preserve"> </w:t>
            </w:r>
            <w:r w:rsidR="00657E88">
              <w:rPr>
                <w:rFonts w:eastAsia="Times New Roman" w:cs="Times New Roman"/>
                <w:color w:val="000000" w:themeColor="text1"/>
                <w:kern w:val="22"/>
                <w:sz w:val="20"/>
                <w:szCs w:val="20"/>
                <w:lang w:val="fr-FR"/>
              </w:rPr>
              <w:t xml:space="preserve">les </w:t>
            </w:r>
            <w:r w:rsidR="16208E17" w:rsidRPr="00E3674F">
              <w:rPr>
                <w:rFonts w:eastAsia="Times New Roman" w:cs="Times New Roman"/>
                <w:color w:val="000000" w:themeColor="text1"/>
                <w:kern w:val="22"/>
                <w:sz w:val="20"/>
                <w:szCs w:val="20"/>
                <w:lang w:val="fr-FR"/>
              </w:rPr>
              <w:t>microorganism</w:t>
            </w:r>
            <w:r w:rsidR="00657E88">
              <w:rPr>
                <w:rFonts w:eastAsia="Times New Roman" w:cs="Times New Roman"/>
                <w:color w:val="000000" w:themeColor="text1"/>
                <w:kern w:val="22"/>
                <w:sz w:val="20"/>
                <w:szCs w:val="20"/>
                <w:lang w:val="fr-FR"/>
              </w:rPr>
              <w:t>es</w:t>
            </w:r>
            <w:r w:rsidR="16208E17" w:rsidRPr="00E3674F">
              <w:rPr>
                <w:rFonts w:eastAsia="Times New Roman" w:cs="Times New Roman"/>
                <w:color w:val="000000" w:themeColor="text1"/>
                <w:kern w:val="22"/>
                <w:sz w:val="20"/>
                <w:szCs w:val="20"/>
                <w:lang w:val="fr-FR"/>
              </w:rPr>
              <w:t xml:space="preserve">, </w:t>
            </w:r>
            <w:r w:rsidR="006F0580">
              <w:rPr>
                <w:rFonts w:eastAsia="Times New Roman" w:cs="Times New Roman"/>
                <w:color w:val="000000" w:themeColor="text1"/>
                <w:kern w:val="22"/>
                <w:sz w:val="20"/>
                <w:szCs w:val="20"/>
                <w:lang w:val="fr-FR"/>
              </w:rPr>
              <w:t>le</w:t>
            </w:r>
            <w:r w:rsidR="00310FB8">
              <w:rPr>
                <w:rFonts w:eastAsia="Times New Roman" w:cs="Times New Roman"/>
                <w:color w:val="000000" w:themeColor="text1"/>
                <w:kern w:val="22"/>
                <w:sz w:val="20"/>
                <w:szCs w:val="20"/>
                <w:lang w:val="fr-FR"/>
              </w:rPr>
              <w:t>s</w:t>
            </w:r>
            <w:r w:rsidR="006F0580">
              <w:rPr>
                <w:rFonts w:eastAsia="Times New Roman" w:cs="Times New Roman"/>
                <w:color w:val="000000" w:themeColor="text1"/>
                <w:kern w:val="22"/>
                <w:sz w:val="20"/>
                <w:szCs w:val="20"/>
                <w:lang w:val="fr-FR"/>
              </w:rPr>
              <w:t xml:space="preserve"> </w:t>
            </w:r>
            <w:r w:rsidR="16208E17" w:rsidRPr="00E3674F">
              <w:rPr>
                <w:rFonts w:eastAsia="Times New Roman" w:cs="Times New Roman"/>
                <w:color w:val="000000" w:themeColor="text1"/>
                <w:kern w:val="22"/>
                <w:sz w:val="20"/>
                <w:szCs w:val="20"/>
                <w:lang w:val="fr-FR"/>
              </w:rPr>
              <w:t>plasmid</w:t>
            </w:r>
            <w:r w:rsidR="00310FB8">
              <w:rPr>
                <w:rFonts w:eastAsia="Times New Roman" w:cs="Times New Roman"/>
                <w:color w:val="000000" w:themeColor="text1"/>
                <w:kern w:val="22"/>
                <w:sz w:val="20"/>
                <w:szCs w:val="20"/>
                <w:lang w:val="fr-FR"/>
              </w:rPr>
              <w:t>es</w:t>
            </w:r>
            <w:r w:rsidR="16208E17" w:rsidRPr="00E3674F">
              <w:rPr>
                <w:rFonts w:eastAsia="Times New Roman" w:cs="Times New Roman"/>
                <w:color w:val="000000" w:themeColor="text1"/>
                <w:kern w:val="22"/>
                <w:sz w:val="20"/>
                <w:szCs w:val="20"/>
                <w:lang w:val="fr-FR"/>
              </w:rPr>
              <w:t>,</w:t>
            </w:r>
            <w:r w:rsidRPr="00E3674F">
              <w:rPr>
                <w:rFonts w:eastAsia="Times New Roman" w:cs="Times New Roman"/>
                <w:color w:val="000000" w:themeColor="text1"/>
                <w:kern w:val="22"/>
                <w:sz w:val="20"/>
                <w:szCs w:val="20"/>
                <w:lang w:val="fr-FR"/>
              </w:rPr>
              <w:t xml:space="preserve"> et </w:t>
            </w:r>
            <w:r w:rsidR="006F0580">
              <w:rPr>
                <w:rFonts w:eastAsia="Times New Roman" w:cs="Times New Roman"/>
                <w:color w:val="000000" w:themeColor="text1"/>
                <w:kern w:val="22"/>
                <w:sz w:val="20"/>
                <w:szCs w:val="20"/>
                <w:lang w:val="fr-FR"/>
              </w:rPr>
              <w:t xml:space="preserve">les collections </w:t>
            </w:r>
            <w:r w:rsidR="00310FB8">
              <w:rPr>
                <w:rFonts w:eastAsia="Times New Roman" w:cs="Times New Roman"/>
                <w:color w:val="000000" w:themeColor="text1"/>
                <w:kern w:val="22"/>
                <w:sz w:val="20"/>
                <w:szCs w:val="20"/>
                <w:lang w:val="fr-FR"/>
              </w:rPr>
              <w:t>d’ADN complémentaire</w:t>
            </w:r>
            <w:r w:rsidR="16208E17" w:rsidRPr="00E3674F">
              <w:rPr>
                <w:rFonts w:eastAsia="Times New Roman" w:cs="Times New Roman"/>
                <w:color w:val="000000" w:themeColor="text1"/>
                <w:kern w:val="22"/>
                <w:sz w:val="20"/>
                <w:szCs w:val="20"/>
                <w:lang w:val="fr-FR"/>
              </w:rPr>
              <w:t xml:space="preserve">), </w:t>
            </w:r>
            <w:r w:rsidR="006F0580">
              <w:rPr>
                <w:rFonts w:eastAsia="Times New Roman" w:cs="Times New Roman"/>
                <w:color w:val="000000" w:themeColor="text1"/>
                <w:kern w:val="22"/>
                <w:sz w:val="20"/>
                <w:szCs w:val="20"/>
                <w:lang w:val="fr-FR"/>
              </w:rPr>
              <w:t xml:space="preserve">les </w:t>
            </w:r>
            <w:r w:rsidR="00D6232E">
              <w:rPr>
                <w:rFonts w:eastAsia="Times New Roman" w:cs="Times New Roman"/>
                <w:color w:val="000000" w:themeColor="text1"/>
                <w:kern w:val="22"/>
                <w:sz w:val="20"/>
                <w:szCs w:val="20"/>
                <w:lang w:val="fr-FR"/>
              </w:rPr>
              <w:t>banques de gènes</w:t>
            </w:r>
            <w:r w:rsidR="16208E17" w:rsidRPr="00E3674F">
              <w:rPr>
                <w:rFonts w:eastAsia="Times New Roman" w:cs="Times New Roman"/>
                <w:color w:val="000000" w:themeColor="text1"/>
                <w:kern w:val="22"/>
                <w:sz w:val="20"/>
                <w:szCs w:val="20"/>
                <w:lang w:val="fr-FR"/>
              </w:rPr>
              <w:t xml:space="preserve">, </w:t>
            </w:r>
            <w:r w:rsidR="006F0580">
              <w:rPr>
                <w:rFonts w:eastAsia="Times New Roman" w:cs="Times New Roman"/>
                <w:color w:val="000000" w:themeColor="text1"/>
                <w:kern w:val="22"/>
                <w:sz w:val="20"/>
                <w:szCs w:val="20"/>
                <w:lang w:val="fr-FR"/>
              </w:rPr>
              <w:t xml:space="preserve">les </w:t>
            </w:r>
            <w:r w:rsidR="00202126">
              <w:rPr>
                <w:rFonts w:eastAsia="Times New Roman" w:cs="Times New Roman"/>
                <w:color w:val="000000" w:themeColor="text1"/>
                <w:kern w:val="22"/>
                <w:sz w:val="20"/>
                <w:szCs w:val="20"/>
                <w:lang w:val="fr-FR"/>
              </w:rPr>
              <w:t>banques de semences</w:t>
            </w:r>
            <w:r w:rsidR="16208E17" w:rsidRPr="00E3674F">
              <w:rPr>
                <w:rFonts w:eastAsia="Times New Roman" w:cs="Times New Roman"/>
                <w:color w:val="000000" w:themeColor="text1"/>
                <w:kern w:val="22"/>
                <w:sz w:val="20"/>
                <w:szCs w:val="20"/>
                <w:lang w:val="fr-FR"/>
              </w:rPr>
              <w:t xml:space="preserve">, </w:t>
            </w:r>
            <w:r w:rsidR="006F0580">
              <w:rPr>
                <w:rFonts w:eastAsia="Times New Roman" w:cs="Times New Roman"/>
                <w:color w:val="000000" w:themeColor="text1"/>
                <w:kern w:val="22"/>
                <w:sz w:val="20"/>
                <w:szCs w:val="20"/>
                <w:lang w:val="fr-FR"/>
              </w:rPr>
              <w:t xml:space="preserve">les </w:t>
            </w:r>
            <w:r w:rsidR="16208E17" w:rsidRPr="00E3674F">
              <w:rPr>
                <w:rFonts w:eastAsia="Times New Roman" w:cs="Times New Roman"/>
                <w:color w:val="000000" w:themeColor="text1"/>
                <w:kern w:val="22"/>
                <w:sz w:val="20"/>
                <w:szCs w:val="20"/>
                <w:lang w:val="fr-FR"/>
              </w:rPr>
              <w:t xml:space="preserve">zoos, </w:t>
            </w:r>
            <w:r w:rsidR="006F0580">
              <w:rPr>
                <w:rFonts w:eastAsia="Times New Roman" w:cs="Times New Roman"/>
                <w:color w:val="000000" w:themeColor="text1"/>
                <w:kern w:val="22"/>
                <w:sz w:val="20"/>
                <w:szCs w:val="20"/>
                <w:lang w:val="fr-FR"/>
              </w:rPr>
              <w:t>les aquariums</w:t>
            </w:r>
            <w:r w:rsidR="16208E17" w:rsidRPr="00E3674F">
              <w:rPr>
                <w:rFonts w:eastAsia="Times New Roman" w:cs="Times New Roman"/>
                <w:color w:val="000000" w:themeColor="text1"/>
                <w:kern w:val="22"/>
                <w:sz w:val="20"/>
                <w:szCs w:val="20"/>
                <w:lang w:val="fr-FR"/>
              </w:rPr>
              <w:t>,</w:t>
            </w:r>
            <w:r w:rsidRPr="00E3674F">
              <w:rPr>
                <w:rFonts w:eastAsia="Times New Roman" w:cs="Times New Roman"/>
                <w:color w:val="000000" w:themeColor="text1"/>
                <w:kern w:val="22"/>
                <w:sz w:val="20"/>
                <w:szCs w:val="20"/>
                <w:lang w:val="fr-FR"/>
              </w:rPr>
              <w:t xml:space="preserve"> et </w:t>
            </w:r>
            <w:r w:rsidR="006F0580">
              <w:rPr>
                <w:rFonts w:eastAsia="Times New Roman" w:cs="Times New Roman"/>
                <w:color w:val="000000" w:themeColor="text1"/>
                <w:kern w:val="22"/>
                <w:sz w:val="20"/>
                <w:szCs w:val="20"/>
                <w:lang w:val="fr-FR"/>
              </w:rPr>
              <w:t>les collections privées</w:t>
            </w:r>
            <w:r w:rsidR="16208E17" w:rsidRPr="00E3674F">
              <w:rPr>
                <w:rFonts w:eastAsia="Times New Roman" w:cs="Times New Roman"/>
                <w:color w:val="000000" w:themeColor="text1"/>
                <w:kern w:val="22"/>
                <w:sz w:val="20"/>
                <w:szCs w:val="20"/>
                <w:lang w:val="fr-FR"/>
              </w:rPr>
              <w:t>.</w:t>
            </w:r>
          </w:p>
        </w:tc>
        <w:tc>
          <w:tcPr>
            <w:tcW w:w="0" w:type="dxa"/>
            <w:vMerge w:val="restart"/>
          </w:tcPr>
          <w:p w14:paraId="3B0AF618" w14:textId="3132EFAD" w:rsidR="6873B90E" w:rsidRPr="006F0580" w:rsidRDefault="00657E88" w:rsidP="00AA591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657E88">
              <w:rPr>
                <w:rFonts w:eastAsia="Times New Roman" w:cs="Times New Roman"/>
                <w:color w:val="000000" w:themeColor="text1"/>
                <w:kern w:val="22"/>
                <w:sz w:val="20"/>
                <w:szCs w:val="20"/>
                <w:lang w:val="fr-FR"/>
              </w:rPr>
              <w:lastRenderedPageBreak/>
              <w:t xml:space="preserve">Les </w:t>
            </w:r>
            <w:r w:rsidR="0070237C" w:rsidRPr="00657E88">
              <w:rPr>
                <w:rFonts w:eastAsia="Times New Roman" w:cs="Times New Roman"/>
                <w:color w:val="000000" w:themeColor="text1"/>
                <w:kern w:val="22"/>
                <w:sz w:val="20"/>
                <w:szCs w:val="20"/>
                <w:lang w:val="fr-FR"/>
              </w:rPr>
              <w:t xml:space="preserve">Parties </w:t>
            </w:r>
            <w:r w:rsidRPr="00657E88">
              <w:rPr>
                <w:rFonts w:eastAsia="Times New Roman" w:cs="Times New Roman"/>
                <w:color w:val="000000" w:themeColor="text1"/>
                <w:kern w:val="22"/>
                <w:sz w:val="20"/>
                <w:szCs w:val="20"/>
                <w:lang w:val="fr-FR"/>
              </w:rPr>
              <w:t>ne sont pas parvenu</w:t>
            </w:r>
            <w:r>
              <w:rPr>
                <w:rFonts w:eastAsia="Times New Roman" w:cs="Times New Roman"/>
                <w:color w:val="000000" w:themeColor="text1"/>
                <w:kern w:val="22"/>
                <w:sz w:val="20"/>
                <w:szCs w:val="20"/>
                <w:lang w:val="fr-FR"/>
              </w:rPr>
              <w:t>e</w:t>
            </w:r>
            <w:r w:rsidRPr="00657E88">
              <w:rPr>
                <w:rFonts w:eastAsia="Times New Roman" w:cs="Times New Roman"/>
                <w:color w:val="000000" w:themeColor="text1"/>
                <w:kern w:val="22"/>
                <w:sz w:val="20"/>
                <w:szCs w:val="20"/>
                <w:lang w:val="fr-FR"/>
              </w:rPr>
              <w:t>s à un consensus</w:t>
            </w:r>
            <w:r>
              <w:rPr>
                <w:rFonts w:eastAsia="Times New Roman" w:cs="Times New Roman"/>
                <w:color w:val="000000" w:themeColor="text1"/>
                <w:kern w:val="22"/>
                <w:sz w:val="20"/>
                <w:szCs w:val="20"/>
                <w:lang w:val="fr-FR"/>
              </w:rPr>
              <w:t xml:space="preserve"> </w:t>
            </w:r>
            <w:r w:rsidR="00193273">
              <w:rPr>
                <w:rFonts w:eastAsia="Times New Roman" w:cs="Times New Roman"/>
                <w:color w:val="000000" w:themeColor="text1"/>
                <w:kern w:val="22"/>
                <w:sz w:val="20"/>
                <w:szCs w:val="20"/>
                <w:lang w:val="fr-FR"/>
              </w:rPr>
              <w:t>sur le point de savoir si ou</w:t>
            </w:r>
            <w:r w:rsidR="006F0580">
              <w:rPr>
                <w:rFonts w:eastAsia="Times New Roman" w:cs="Times New Roman"/>
                <w:color w:val="000000" w:themeColor="text1"/>
                <w:kern w:val="22"/>
                <w:sz w:val="20"/>
                <w:szCs w:val="20"/>
                <w:lang w:val="fr-FR"/>
              </w:rPr>
              <w:t xml:space="preserve"> dans quelle mesure </w:t>
            </w:r>
            <w:r w:rsidR="00BC5F0A">
              <w:rPr>
                <w:rFonts w:eastAsia="Times New Roman" w:cs="Times New Roman"/>
                <w:color w:val="000000" w:themeColor="text1"/>
                <w:kern w:val="22"/>
                <w:sz w:val="20"/>
                <w:szCs w:val="20"/>
                <w:lang w:val="fr-FR"/>
              </w:rPr>
              <w:lastRenderedPageBreak/>
              <w:t>l’information de séquençage</w:t>
            </w:r>
            <w:r w:rsidR="00142D5A">
              <w:rPr>
                <w:rFonts w:eastAsia="Times New Roman" w:cs="Times New Roman"/>
                <w:color w:val="000000" w:themeColor="text1"/>
                <w:kern w:val="22"/>
                <w:sz w:val="20"/>
                <w:szCs w:val="20"/>
                <w:lang w:val="fr-FR"/>
              </w:rPr>
              <w:t xml:space="preserve"> numérique</w:t>
            </w:r>
            <w:r w:rsidR="00E3674F" w:rsidRPr="00657E88">
              <w:rPr>
                <w:rFonts w:eastAsia="Times New Roman" w:cs="Times New Roman"/>
                <w:color w:val="000000" w:themeColor="text1"/>
                <w:kern w:val="22"/>
                <w:sz w:val="20"/>
                <w:szCs w:val="20"/>
                <w:lang w:val="fr-FR"/>
              </w:rPr>
              <w:t xml:space="preserve"> et </w:t>
            </w:r>
            <w:r w:rsidR="002F47C3">
              <w:rPr>
                <w:rFonts w:eastAsia="Times New Roman" w:cs="Times New Roman"/>
                <w:color w:val="000000" w:themeColor="text1"/>
                <w:kern w:val="22"/>
                <w:sz w:val="20"/>
                <w:szCs w:val="20"/>
                <w:lang w:val="fr-FR"/>
              </w:rPr>
              <w:t xml:space="preserve">le </w:t>
            </w:r>
            <w:r w:rsidR="003474B6">
              <w:rPr>
                <w:rFonts w:eastAsia="Times New Roman" w:cs="Times New Roman"/>
                <w:color w:val="000000" w:themeColor="text1"/>
                <w:kern w:val="22"/>
                <w:sz w:val="20"/>
                <w:szCs w:val="20"/>
                <w:lang w:val="fr-FR"/>
              </w:rPr>
              <w:t>matériel</w:t>
            </w:r>
            <w:r w:rsidR="00193273">
              <w:rPr>
                <w:rFonts w:eastAsia="Times New Roman" w:cs="Times New Roman"/>
                <w:color w:val="000000" w:themeColor="text1"/>
                <w:kern w:val="22"/>
                <w:sz w:val="20"/>
                <w:szCs w:val="20"/>
                <w:lang w:val="fr-FR"/>
              </w:rPr>
              <w:t xml:space="preserve"> contenu </w:t>
            </w:r>
            <w:r w:rsidR="007A438A">
              <w:rPr>
                <w:rFonts w:eastAsia="Times New Roman" w:cs="Times New Roman"/>
                <w:color w:val="000000" w:themeColor="text1"/>
                <w:kern w:val="22"/>
                <w:sz w:val="20"/>
                <w:szCs w:val="20"/>
                <w:lang w:val="fr-FR"/>
              </w:rPr>
              <w:t>dans des collections</w:t>
            </w:r>
            <w:r w:rsidR="00FC7EA5" w:rsidRPr="00657E88">
              <w:rPr>
                <w:rFonts w:eastAsia="Times New Roman" w:cs="Times New Roman"/>
                <w:i/>
                <w:color w:val="000000" w:themeColor="text1"/>
                <w:kern w:val="22"/>
                <w:sz w:val="20"/>
                <w:szCs w:val="20"/>
                <w:lang w:val="fr-FR"/>
              </w:rPr>
              <w:t xml:space="preserve"> ex situ</w:t>
            </w:r>
            <w:r w:rsidR="006F0580">
              <w:rPr>
                <w:rFonts w:eastAsia="Times New Roman" w:cs="Times New Roman"/>
                <w:color w:val="000000" w:themeColor="text1"/>
                <w:kern w:val="22"/>
                <w:sz w:val="20"/>
                <w:szCs w:val="20"/>
                <w:lang w:val="fr-FR"/>
              </w:rPr>
              <w:t xml:space="preserve"> entre</w:t>
            </w:r>
            <w:r w:rsidR="00193273">
              <w:rPr>
                <w:rFonts w:eastAsia="Times New Roman" w:cs="Times New Roman"/>
                <w:color w:val="000000" w:themeColor="text1"/>
                <w:kern w:val="22"/>
                <w:sz w:val="20"/>
                <w:szCs w:val="20"/>
                <w:lang w:val="fr-FR"/>
              </w:rPr>
              <w:t>nt</w:t>
            </w:r>
            <w:r w:rsidR="006F0580">
              <w:rPr>
                <w:rFonts w:eastAsia="Times New Roman" w:cs="Times New Roman"/>
                <w:color w:val="000000" w:themeColor="text1"/>
                <w:kern w:val="22"/>
                <w:sz w:val="20"/>
                <w:szCs w:val="20"/>
                <w:lang w:val="fr-FR"/>
              </w:rPr>
              <w:t xml:space="preserve"> </w:t>
            </w:r>
            <w:r w:rsidR="00934A20" w:rsidRPr="00657E88">
              <w:rPr>
                <w:rFonts w:eastAsia="Times New Roman" w:cs="Times New Roman"/>
                <w:color w:val="000000" w:themeColor="text1"/>
                <w:kern w:val="22"/>
                <w:sz w:val="20"/>
                <w:szCs w:val="20"/>
                <w:lang w:val="fr-FR"/>
              </w:rPr>
              <w:t>dans le champ d’application</w:t>
            </w:r>
            <w:r w:rsidR="0070237C" w:rsidRPr="00657E88">
              <w:rPr>
                <w:rFonts w:eastAsia="Times New Roman" w:cs="Times New Roman"/>
                <w:color w:val="000000" w:themeColor="text1"/>
                <w:kern w:val="22"/>
                <w:sz w:val="20"/>
                <w:szCs w:val="20"/>
                <w:lang w:val="fr-FR"/>
              </w:rPr>
              <w:t xml:space="preserve"> </w:t>
            </w:r>
            <w:r w:rsidR="00F27467">
              <w:rPr>
                <w:rFonts w:eastAsia="Times New Roman" w:cs="Times New Roman"/>
                <w:color w:val="000000" w:themeColor="text1"/>
                <w:kern w:val="22"/>
                <w:sz w:val="20"/>
                <w:szCs w:val="20"/>
                <w:lang w:val="fr-FR"/>
              </w:rPr>
              <w:t>du Protocole</w:t>
            </w:r>
            <w:r w:rsidR="0070237C" w:rsidRPr="00657E88">
              <w:rPr>
                <w:rFonts w:eastAsia="Times New Roman" w:cs="Times New Roman"/>
                <w:color w:val="000000" w:themeColor="text1"/>
                <w:kern w:val="22"/>
                <w:sz w:val="20"/>
                <w:szCs w:val="20"/>
                <w:lang w:val="fr-FR"/>
              </w:rPr>
              <w:t xml:space="preserve">.  </w:t>
            </w:r>
            <w:r w:rsidR="006F0580" w:rsidRPr="006F0580">
              <w:rPr>
                <w:rFonts w:eastAsia="Times New Roman" w:cs="Times New Roman"/>
                <w:color w:val="000000" w:themeColor="text1"/>
                <w:kern w:val="22"/>
                <w:sz w:val="20"/>
                <w:szCs w:val="20"/>
                <w:lang w:val="fr-FR"/>
              </w:rPr>
              <w:t xml:space="preserve">Dans certains </w:t>
            </w:r>
            <w:r w:rsidR="00193273">
              <w:rPr>
                <w:rFonts w:eastAsia="Times New Roman" w:cs="Times New Roman"/>
                <w:color w:val="000000" w:themeColor="text1"/>
                <w:kern w:val="22"/>
                <w:sz w:val="20"/>
                <w:szCs w:val="20"/>
                <w:lang w:val="fr-FR"/>
              </w:rPr>
              <w:t>ca</w:t>
            </w:r>
            <w:r w:rsidR="0070237C" w:rsidRPr="006F0580">
              <w:rPr>
                <w:rFonts w:eastAsia="Times New Roman" w:cs="Times New Roman"/>
                <w:color w:val="000000" w:themeColor="text1"/>
                <w:kern w:val="22"/>
                <w:sz w:val="20"/>
                <w:szCs w:val="20"/>
                <w:lang w:val="fr-FR"/>
              </w:rPr>
              <w:t xml:space="preserve">s, </w:t>
            </w:r>
            <w:r w:rsidR="00BC5F0A">
              <w:rPr>
                <w:rFonts w:eastAsia="Times New Roman" w:cs="Times New Roman"/>
                <w:color w:val="000000" w:themeColor="text1"/>
                <w:kern w:val="22"/>
                <w:sz w:val="20"/>
                <w:szCs w:val="20"/>
                <w:lang w:val="fr-FR"/>
              </w:rPr>
              <w:t>de l’information de séquençage</w:t>
            </w:r>
            <w:r w:rsidR="00142D5A">
              <w:rPr>
                <w:rFonts w:eastAsia="Times New Roman" w:cs="Times New Roman"/>
                <w:color w:val="000000" w:themeColor="text1"/>
                <w:kern w:val="22"/>
                <w:sz w:val="20"/>
                <w:szCs w:val="20"/>
                <w:lang w:val="fr-FR"/>
              </w:rPr>
              <w:t xml:space="preserve"> numérique</w:t>
            </w:r>
            <w:r w:rsidR="0070237C" w:rsidRPr="006F0580">
              <w:rPr>
                <w:rFonts w:eastAsia="Times New Roman" w:cs="Times New Roman"/>
                <w:color w:val="000000" w:themeColor="text1"/>
                <w:kern w:val="22"/>
                <w:sz w:val="20"/>
                <w:szCs w:val="20"/>
                <w:lang w:val="fr-FR"/>
              </w:rPr>
              <w:t xml:space="preserve"> </w:t>
            </w:r>
            <w:r w:rsidR="00AA5919">
              <w:rPr>
                <w:rFonts w:eastAsia="Times New Roman" w:cs="Times New Roman"/>
                <w:color w:val="000000" w:themeColor="text1"/>
                <w:kern w:val="22"/>
                <w:sz w:val="20"/>
                <w:szCs w:val="20"/>
                <w:lang w:val="fr-FR"/>
              </w:rPr>
              <w:t xml:space="preserve">provenant de multiples </w:t>
            </w:r>
            <w:r w:rsidR="0070237C" w:rsidRPr="006F0580">
              <w:rPr>
                <w:rFonts w:eastAsia="Times New Roman" w:cs="Times New Roman"/>
                <w:color w:val="000000" w:themeColor="text1"/>
                <w:kern w:val="22"/>
                <w:sz w:val="20"/>
                <w:szCs w:val="20"/>
                <w:lang w:val="fr-FR"/>
              </w:rPr>
              <w:t>organism</w:t>
            </w:r>
            <w:r w:rsidR="00AA5919">
              <w:rPr>
                <w:rFonts w:eastAsia="Times New Roman" w:cs="Times New Roman"/>
                <w:color w:val="000000" w:themeColor="text1"/>
                <w:kern w:val="22"/>
                <w:sz w:val="20"/>
                <w:szCs w:val="20"/>
                <w:lang w:val="fr-FR"/>
              </w:rPr>
              <w:t>e</w:t>
            </w:r>
            <w:r w:rsidR="0070237C" w:rsidRPr="006F0580">
              <w:rPr>
                <w:rFonts w:eastAsia="Times New Roman" w:cs="Times New Roman"/>
                <w:color w:val="000000" w:themeColor="text1"/>
                <w:kern w:val="22"/>
                <w:sz w:val="20"/>
                <w:szCs w:val="20"/>
                <w:lang w:val="fr-FR"/>
              </w:rPr>
              <w:t>s</w:t>
            </w:r>
            <w:r w:rsidR="00193273">
              <w:rPr>
                <w:rFonts w:eastAsia="Times New Roman" w:cs="Times New Roman"/>
                <w:color w:val="000000" w:themeColor="text1"/>
                <w:kern w:val="22"/>
                <w:sz w:val="20"/>
                <w:szCs w:val="20"/>
                <w:lang w:val="fr-FR"/>
              </w:rPr>
              <w:t xml:space="preserve"> </w:t>
            </w:r>
            <w:r w:rsidR="002F47C3">
              <w:rPr>
                <w:rFonts w:eastAsia="Times New Roman" w:cs="Times New Roman"/>
                <w:color w:val="000000" w:themeColor="text1"/>
                <w:kern w:val="22"/>
                <w:sz w:val="20"/>
                <w:szCs w:val="20"/>
                <w:lang w:val="fr-FR"/>
              </w:rPr>
              <w:t>son</w:t>
            </w:r>
            <w:r w:rsidR="00AA5919">
              <w:rPr>
                <w:rFonts w:eastAsia="Times New Roman" w:cs="Times New Roman"/>
                <w:color w:val="000000" w:themeColor="text1"/>
                <w:kern w:val="22"/>
                <w:sz w:val="20"/>
                <w:szCs w:val="20"/>
                <w:lang w:val="fr-FR"/>
              </w:rPr>
              <w:t>t utilisée</w:t>
            </w:r>
            <w:r w:rsidR="002F47C3">
              <w:rPr>
                <w:rFonts w:eastAsia="Times New Roman" w:cs="Times New Roman"/>
                <w:color w:val="000000" w:themeColor="text1"/>
                <w:kern w:val="22"/>
                <w:sz w:val="20"/>
                <w:szCs w:val="20"/>
                <w:lang w:val="fr-FR"/>
              </w:rPr>
              <w:t xml:space="preserve">s </w:t>
            </w:r>
            <w:r w:rsidR="00E3674F" w:rsidRPr="006F0580">
              <w:rPr>
                <w:rFonts w:eastAsia="Times New Roman" w:cs="Times New Roman"/>
                <w:color w:val="000000" w:themeColor="text1"/>
                <w:kern w:val="22"/>
                <w:sz w:val="20"/>
                <w:szCs w:val="20"/>
                <w:lang w:val="fr-FR"/>
              </w:rPr>
              <w:t>et</w:t>
            </w:r>
            <w:r w:rsidR="009472F3">
              <w:rPr>
                <w:rFonts w:eastAsia="Times New Roman" w:cs="Times New Roman"/>
                <w:color w:val="000000" w:themeColor="text1"/>
                <w:kern w:val="22"/>
                <w:sz w:val="20"/>
                <w:szCs w:val="20"/>
                <w:lang w:val="fr-FR"/>
              </w:rPr>
              <w:t>, s’il était</w:t>
            </w:r>
            <w:r w:rsidR="00AA5919">
              <w:rPr>
                <w:rFonts w:eastAsia="Times New Roman" w:cs="Times New Roman"/>
                <w:color w:val="000000" w:themeColor="text1"/>
                <w:kern w:val="22"/>
                <w:sz w:val="20"/>
                <w:szCs w:val="20"/>
                <w:lang w:val="fr-FR"/>
              </w:rPr>
              <w:t xml:space="preserve"> décidé qu’elle</w:t>
            </w:r>
            <w:r w:rsidR="009472F3">
              <w:rPr>
                <w:rFonts w:eastAsia="Times New Roman" w:cs="Times New Roman"/>
                <w:color w:val="000000" w:themeColor="text1"/>
                <w:kern w:val="22"/>
                <w:sz w:val="20"/>
                <w:szCs w:val="20"/>
                <w:lang w:val="fr-FR"/>
              </w:rPr>
              <w:t>s</w:t>
            </w:r>
            <w:r w:rsidR="00AA5919">
              <w:rPr>
                <w:rFonts w:eastAsia="Times New Roman" w:cs="Times New Roman"/>
                <w:color w:val="000000" w:themeColor="text1"/>
                <w:kern w:val="22"/>
                <w:sz w:val="20"/>
                <w:szCs w:val="20"/>
                <w:lang w:val="fr-FR"/>
              </w:rPr>
              <w:t xml:space="preserve"> entre</w:t>
            </w:r>
            <w:r w:rsidR="009472F3">
              <w:rPr>
                <w:rFonts w:eastAsia="Times New Roman" w:cs="Times New Roman"/>
                <w:color w:val="000000" w:themeColor="text1"/>
                <w:kern w:val="22"/>
                <w:sz w:val="20"/>
                <w:szCs w:val="20"/>
                <w:lang w:val="fr-FR"/>
              </w:rPr>
              <w:t>nt</w:t>
            </w:r>
            <w:r w:rsidR="00AA5919">
              <w:rPr>
                <w:rFonts w:eastAsia="Times New Roman" w:cs="Times New Roman"/>
                <w:color w:val="000000" w:themeColor="text1"/>
                <w:kern w:val="22"/>
                <w:sz w:val="20"/>
                <w:szCs w:val="20"/>
                <w:lang w:val="fr-FR"/>
              </w:rPr>
              <w:t xml:space="preserve"> dans le</w:t>
            </w:r>
            <w:r w:rsidR="0070237C" w:rsidRPr="006F0580">
              <w:rPr>
                <w:rFonts w:eastAsia="Times New Roman" w:cs="Times New Roman"/>
                <w:color w:val="000000" w:themeColor="text1"/>
                <w:kern w:val="22"/>
                <w:sz w:val="20"/>
                <w:szCs w:val="20"/>
                <w:lang w:val="fr-FR"/>
              </w:rPr>
              <w:t xml:space="preserve"> </w:t>
            </w:r>
            <w:r w:rsidR="008F38B0" w:rsidRPr="006F0580">
              <w:rPr>
                <w:rFonts w:eastAsia="Times New Roman" w:cs="Times New Roman"/>
                <w:color w:val="000000" w:themeColor="text1"/>
                <w:kern w:val="22"/>
                <w:sz w:val="20"/>
                <w:szCs w:val="20"/>
                <w:lang w:val="fr-FR"/>
              </w:rPr>
              <w:t>champ d’application</w:t>
            </w:r>
            <w:r w:rsidR="009472F3">
              <w:rPr>
                <w:rFonts w:eastAsia="Times New Roman" w:cs="Times New Roman"/>
                <w:color w:val="000000" w:themeColor="text1"/>
                <w:kern w:val="22"/>
                <w:sz w:val="20"/>
                <w:szCs w:val="20"/>
                <w:lang w:val="fr-FR"/>
              </w:rPr>
              <w:t xml:space="preserve"> de l’article  1</w:t>
            </w:r>
            <w:r w:rsidR="00AA5919">
              <w:rPr>
                <w:rFonts w:eastAsia="Times New Roman" w:cs="Times New Roman"/>
                <w:color w:val="000000" w:themeColor="text1"/>
                <w:kern w:val="22"/>
                <w:sz w:val="20"/>
                <w:szCs w:val="20"/>
                <w:lang w:val="fr-FR"/>
              </w:rPr>
              <w:t>0</w:t>
            </w:r>
            <w:r w:rsidR="0070237C" w:rsidRPr="006F0580">
              <w:rPr>
                <w:rFonts w:eastAsia="Times New Roman" w:cs="Times New Roman"/>
                <w:color w:val="000000" w:themeColor="text1"/>
                <w:kern w:val="22"/>
                <w:sz w:val="20"/>
                <w:szCs w:val="20"/>
                <w:lang w:val="fr-FR"/>
              </w:rPr>
              <w:t>,</w:t>
            </w:r>
            <w:r w:rsidR="009472F3">
              <w:rPr>
                <w:rFonts w:eastAsia="Times New Roman" w:cs="Times New Roman"/>
                <w:color w:val="000000" w:themeColor="text1"/>
                <w:kern w:val="22"/>
                <w:sz w:val="20"/>
                <w:szCs w:val="20"/>
                <w:lang w:val="fr-FR"/>
              </w:rPr>
              <w:t xml:space="preserve"> certains utilisateurs pourront être obligés de</w:t>
            </w:r>
            <w:r w:rsidR="00AA5919">
              <w:rPr>
                <w:rFonts w:eastAsia="Times New Roman" w:cs="Times New Roman"/>
                <w:color w:val="000000" w:themeColor="text1"/>
                <w:kern w:val="22"/>
                <w:sz w:val="20"/>
                <w:szCs w:val="20"/>
                <w:lang w:val="fr-FR"/>
              </w:rPr>
              <w:t xml:space="preserve"> négocier des </w:t>
            </w:r>
            <w:r w:rsidR="000B36D3" w:rsidRPr="006F0580">
              <w:rPr>
                <w:rFonts w:eastAsia="Times New Roman" w:cs="Times New Roman"/>
                <w:color w:val="000000" w:themeColor="text1"/>
                <w:kern w:val="22"/>
                <w:sz w:val="20"/>
                <w:szCs w:val="20"/>
                <w:lang w:val="fr-FR"/>
              </w:rPr>
              <w:t>conditions convenues d’un commun accord</w:t>
            </w:r>
            <w:r w:rsidR="0070237C" w:rsidRPr="006F0580">
              <w:rPr>
                <w:rFonts w:eastAsia="Times New Roman" w:cs="Times New Roman"/>
                <w:color w:val="000000" w:themeColor="text1"/>
                <w:kern w:val="22"/>
                <w:sz w:val="20"/>
                <w:szCs w:val="20"/>
                <w:lang w:val="fr-FR"/>
              </w:rPr>
              <w:t xml:space="preserve"> </w:t>
            </w:r>
            <w:r w:rsidR="00AA5919">
              <w:rPr>
                <w:rFonts w:eastAsia="Times New Roman" w:cs="Times New Roman"/>
                <w:color w:val="000000" w:themeColor="text1"/>
                <w:kern w:val="22"/>
                <w:sz w:val="20"/>
                <w:szCs w:val="20"/>
                <w:lang w:val="fr-FR"/>
              </w:rPr>
              <w:t xml:space="preserve">avec plusieurs </w:t>
            </w:r>
            <w:r w:rsidR="00FB0054" w:rsidRPr="006F0580">
              <w:rPr>
                <w:rFonts w:eastAsia="Times New Roman" w:cs="Times New Roman"/>
                <w:color w:val="000000" w:themeColor="text1"/>
                <w:kern w:val="22"/>
                <w:sz w:val="20"/>
                <w:szCs w:val="20"/>
                <w:lang w:val="fr-FR"/>
              </w:rPr>
              <w:t>gouvernement</w:t>
            </w:r>
            <w:r w:rsidR="0070237C" w:rsidRPr="006F0580">
              <w:rPr>
                <w:rFonts w:eastAsia="Times New Roman" w:cs="Times New Roman"/>
                <w:color w:val="000000" w:themeColor="text1"/>
                <w:kern w:val="22"/>
                <w:sz w:val="20"/>
                <w:szCs w:val="20"/>
                <w:lang w:val="fr-FR"/>
              </w:rPr>
              <w:t>s</w:t>
            </w:r>
            <w:r w:rsidR="009472F3">
              <w:rPr>
                <w:rFonts w:eastAsia="Times New Roman" w:cs="Times New Roman"/>
                <w:color w:val="000000" w:themeColor="text1"/>
                <w:kern w:val="22"/>
                <w:sz w:val="20"/>
                <w:szCs w:val="20"/>
                <w:lang w:val="fr-FR"/>
              </w:rPr>
              <w:t>, tandis que de nombreux</w:t>
            </w:r>
            <w:r w:rsidR="00AA5919">
              <w:rPr>
                <w:rFonts w:eastAsia="Times New Roman" w:cs="Times New Roman"/>
                <w:color w:val="000000" w:themeColor="text1"/>
                <w:kern w:val="22"/>
                <w:sz w:val="20"/>
                <w:szCs w:val="20"/>
                <w:lang w:val="fr-FR"/>
              </w:rPr>
              <w:t xml:space="preserve"> utilisateurs ne pourront pas être identifiés ou retrouvés individuellement</w:t>
            </w:r>
            <w:r w:rsidR="00B46836" w:rsidRPr="006F0580">
              <w:rPr>
                <w:rFonts w:eastAsia="Times New Roman" w:cs="Times New Roman"/>
                <w:color w:val="000000" w:themeColor="text1"/>
                <w:kern w:val="22"/>
                <w:sz w:val="20"/>
                <w:szCs w:val="20"/>
                <w:lang w:val="fr-FR"/>
              </w:rPr>
              <w:t xml:space="preserve">. </w:t>
            </w:r>
          </w:p>
        </w:tc>
      </w:tr>
      <w:tr w:rsidR="6873B90E" w:rsidRPr="00E709D5" w14:paraId="2E1C88F6"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21672D23" w14:textId="77777777" w:rsidR="002D26CC" w:rsidRPr="006F0580" w:rsidRDefault="002D26CC" w:rsidP="00F43F79">
            <w:pPr>
              <w:spacing w:before="40" w:after="40"/>
              <w:rPr>
                <w:kern w:val="22"/>
                <w:sz w:val="20"/>
                <w:szCs w:val="20"/>
                <w:lang w:val="fr-FR"/>
              </w:rPr>
            </w:pPr>
          </w:p>
        </w:tc>
        <w:tc>
          <w:tcPr>
            <w:tcW w:w="0" w:type="dxa"/>
          </w:tcPr>
          <w:p w14:paraId="561B28CB" w14:textId="3BE3EDCA" w:rsidR="6873B90E" w:rsidRPr="00D04EC6"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D04EC6">
              <w:rPr>
                <w:rFonts w:eastAsia="Times New Roman" w:cs="Times New Roman"/>
                <w:color w:val="000000" w:themeColor="text1"/>
                <w:kern w:val="22"/>
                <w:sz w:val="20"/>
                <w:szCs w:val="20"/>
                <w:lang w:val="fr-FR"/>
              </w:rPr>
              <w:t xml:space="preserve">b) </w:t>
            </w:r>
            <w:r w:rsidR="008627A9" w:rsidRPr="00D04EC6">
              <w:rPr>
                <w:rFonts w:eastAsia="Times New Roman" w:cs="Times New Roman"/>
                <w:color w:val="000000" w:themeColor="text1"/>
                <w:kern w:val="22"/>
                <w:sz w:val="20"/>
                <w:szCs w:val="20"/>
                <w:lang w:val="fr-FR"/>
              </w:rPr>
              <w:t>Utilisation</w:t>
            </w:r>
            <w:r w:rsidR="006F0580">
              <w:rPr>
                <w:rFonts w:eastAsia="Times New Roman" w:cs="Times New Roman"/>
                <w:color w:val="000000" w:themeColor="text1"/>
                <w:kern w:val="22"/>
                <w:sz w:val="20"/>
                <w:szCs w:val="20"/>
                <w:lang w:val="fr-FR"/>
              </w:rPr>
              <w:t xml:space="preserve"> d’</w:t>
            </w:r>
            <w:r w:rsidR="00E40444" w:rsidRPr="00D04EC6">
              <w:rPr>
                <w:rFonts w:eastAsia="Times New Roman" w:cs="Times New Roman"/>
                <w:color w:val="000000" w:themeColor="text1"/>
                <w:kern w:val="22"/>
                <w:sz w:val="20"/>
                <w:szCs w:val="20"/>
                <w:lang w:val="fr-FR"/>
              </w:rPr>
              <w:t>échantillons</w:t>
            </w:r>
            <w:r w:rsidRPr="00D04EC6">
              <w:rPr>
                <w:rFonts w:eastAsia="Times New Roman" w:cs="Times New Roman"/>
                <w:color w:val="000000" w:themeColor="text1"/>
                <w:kern w:val="22"/>
                <w:sz w:val="20"/>
                <w:szCs w:val="20"/>
                <w:lang w:val="fr-FR"/>
              </w:rPr>
              <w:t xml:space="preserve"> </w:t>
            </w:r>
            <w:r w:rsidR="008D43E2">
              <w:rPr>
                <w:rFonts w:eastAsia="Times New Roman" w:cs="Times New Roman"/>
                <w:color w:val="000000" w:themeColor="text1"/>
                <w:kern w:val="22"/>
                <w:sz w:val="20"/>
                <w:szCs w:val="20"/>
                <w:lang w:val="fr-FR"/>
              </w:rPr>
              <w:t>de multiples organismes</w:t>
            </w:r>
            <w:r w:rsidR="00D04EC6" w:rsidRPr="00D04EC6">
              <w:rPr>
                <w:rFonts w:eastAsia="Times New Roman" w:cs="Times New Roman"/>
                <w:color w:val="000000" w:themeColor="text1"/>
                <w:kern w:val="22"/>
                <w:sz w:val="20"/>
                <w:szCs w:val="20"/>
                <w:lang w:val="fr-FR"/>
              </w:rPr>
              <w:t xml:space="preserve"> provenant de différentes zones géographiques</w:t>
            </w:r>
          </w:p>
          <w:p w14:paraId="3D5BD3C2" w14:textId="5B3D0234" w:rsidR="6873B90E" w:rsidRPr="00D04EC6" w:rsidRDefault="6873B90E" w:rsidP="00F43F79">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p>
        </w:tc>
        <w:tc>
          <w:tcPr>
            <w:tcW w:w="0" w:type="dxa"/>
          </w:tcPr>
          <w:p w14:paraId="0B70CF6C" w14:textId="2BDEE190" w:rsidR="6873B90E" w:rsidRPr="0028742E" w:rsidRDefault="000D5072" w:rsidP="006F0580">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Pr>
                <w:rFonts w:eastAsia="Times New Roman" w:cs="Times New Roman"/>
                <w:color w:val="000000" w:themeColor="text1"/>
                <w:kern w:val="22"/>
                <w:sz w:val="20"/>
                <w:szCs w:val="20"/>
                <w:lang w:val="fr-FR"/>
              </w:rPr>
              <w:t>Par exemple</w:t>
            </w:r>
            <w:r w:rsidR="006F0580">
              <w:rPr>
                <w:rFonts w:eastAsia="Times New Roman" w:cs="Times New Roman"/>
                <w:color w:val="000000" w:themeColor="text1"/>
                <w:kern w:val="22"/>
                <w:sz w:val="20"/>
                <w:szCs w:val="20"/>
                <w:lang w:val="fr-FR"/>
              </w:rPr>
              <w:t>, une</w:t>
            </w:r>
            <w:r w:rsidR="35733B0B" w:rsidRPr="00420B96">
              <w:rPr>
                <w:rFonts w:eastAsia="Times New Roman" w:cs="Times New Roman"/>
                <w:color w:val="000000" w:themeColor="text1"/>
                <w:kern w:val="22"/>
                <w:sz w:val="20"/>
                <w:szCs w:val="20"/>
                <w:lang w:val="fr-FR"/>
              </w:rPr>
              <w:t xml:space="preserve"> </w:t>
            </w:r>
            <w:r w:rsidR="00420B96" w:rsidRPr="00420B96">
              <w:rPr>
                <w:rFonts w:eastAsia="Times New Roman" w:cs="Times New Roman"/>
                <w:color w:val="000000" w:themeColor="text1"/>
                <w:kern w:val="22"/>
                <w:sz w:val="20"/>
                <w:szCs w:val="20"/>
                <w:lang w:val="fr-FR"/>
              </w:rPr>
              <w:t>demande de protection par brevet</w:t>
            </w:r>
            <w:r w:rsidR="35733B0B" w:rsidRPr="00420B96">
              <w:rPr>
                <w:rFonts w:eastAsia="Times New Roman" w:cs="Times New Roman"/>
                <w:color w:val="000000" w:themeColor="text1"/>
                <w:kern w:val="22"/>
                <w:sz w:val="20"/>
                <w:szCs w:val="20"/>
                <w:lang w:val="fr-FR"/>
              </w:rPr>
              <w:t xml:space="preserve"> </w:t>
            </w:r>
            <w:r w:rsidR="00D3678C">
              <w:rPr>
                <w:rFonts w:eastAsia="Times New Roman" w:cs="Times New Roman"/>
                <w:color w:val="000000" w:themeColor="text1"/>
                <w:kern w:val="22"/>
                <w:sz w:val="20"/>
                <w:szCs w:val="20"/>
                <w:lang w:val="fr-FR"/>
              </w:rPr>
              <w:t>d’une méthode de</w:t>
            </w:r>
            <w:r w:rsidR="006F0580">
              <w:rPr>
                <w:rFonts w:eastAsia="Times New Roman" w:cs="Times New Roman"/>
                <w:color w:val="000000" w:themeColor="text1"/>
                <w:kern w:val="22"/>
                <w:sz w:val="20"/>
                <w:szCs w:val="20"/>
                <w:lang w:val="fr-FR"/>
              </w:rPr>
              <w:t xml:space="preserve"> </w:t>
            </w:r>
            <w:r w:rsidR="00D3678C">
              <w:rPr>
                <w:rFonts w:eastAsia="Times New Roman" w:cs="Times New Roman"/>
                <w:color w:val="000000" w:themeColor="text1"/>
                <w:kern w:val="22"/>
                <w:sz w:val="20"/>
                <w:szCs w:val="20"/>
                <w:lang w:val="fr-FR"/>
              </w:rPr>
              <w:t>sélection</w:t>
            </w:r>
            <w:r w:rsidR="35733B0B" w:rsidRPr="00420B96">
              <w:rPr>
                <w:rFonts w:eastAsia="Times New Roman" w:cs="Times New Roman"/>
                <w:color w:val="000000" w:themeColor="text1"/>
                <w:kern w:val="22"/>
                <w:sz w:val="20"/>
                <w:szCs w:val="20"/>
                <w:lang w:val="fr-FR"/>
              </w:rPr>
              <w:t xml:space="preserve"> </w:t>
            </w:r>
            <w:r w:rsidR="00D3678C">
              <w:rPr>
                <w:rFonts w:eastAsia="Times New Roman" w:cs="Times New Roman"/>
                <w:color w:val="000000" w:themeColor="text1"/>
                <w:kern w:val="22"/>
                <w:sz w:val="20"/>
                <w:szCs w:val="20"/>
                <w:lang w:val="fr-FR"/>
              </w:rPr>
              <w:t>d</w:t>
            </w:r>
            <w:r w:rsidR="006F0580">
              <w:rPr>
                <w:rFonts w:eastAsia="Times New Roman" w:cs="Times New Roman"/>
                <w:color w:val="000000" w:themeColor="text1"/>
                <w:kern w:val="22"/>
                <w:sz w:val="20"/>
                <w:szCs w:val="20"/>
                <w:lang w:val="fr-FR"/>
              </w:rPr>
              <w:t xml:space="preserve">es </w:t>
            </w:r>
            <w:r w:rsidR="001B2CC8" w:rsidRPr="00420B96">
              <w:rPr>
                <w:rFonts w:eastAsia="Times New Roman" w:cs="Times New Roman"/>
                <w:color w:val="000000" w:themeColor="text1"/>
                <w:kern w:val="22"/>
                <w:sz w:val="20"/>
                <w:szCs w:val="20"/>
                <w:lang w:val="fr-FR"/>
              </w:rPr>
              <w:t>plantes</w:t>
            </w:r>
            <w:r w:rsidR="00E3674F" w:rsidRPr="00420B96">
              <w:rPr>
                <w:rFonts w:eastAsia="Times New Roman" w:cs="Times New Roman"/>
                <w:color w:val="000000" w:themeColor="text1"/>
                <w:kern w:val="22"/>
                <w:sz w:val="20"/>
                <w:szCs w:val="20"/>
                <w:lang w:val="fr-FR"/>
              </w:rPr>
              <w:t xml:space="preserve"> et </w:t>
            </w:r>
            <w:r w:rsidR="00D3678C">
              <w:rPr>
                <w:rFonts w:eastAsia="Times New Roman" w:cs="Times New Roman"/>
                <w:color w:val="000000" w:themeColor="text1"/>
                <w:kern w:val="22"/>
                <w:sz w:val="20"/>
                <w:szCs w:val="20"/>
                <w:lang w:val="fr-FR"/>
              </w:rPr>
              <w:t xml:space="preserve">des </w:t>
            </w:r>
            <w:r w:rsidR="001B2CC8" w:rsidRPr="00420B96">
              <w:rPr>
                <w:rFonts w:eastAsia="Times New Roman" w:cs="Times New Roman"/>
                <w:color w:val="000000" w:themeColor="text1"/>
                <w:kern w:val="22"/>
                <w:sz w:val="20"/>
                <w:szCs w:val="20"/>
                <w:lang w:val="fr-FR"/>
              </w:rPr>
              <w:t>semences</w:t>
            </w:r>
            <w:r w:rsidR="006F0580">
              <w:rPr>
                <w:rFonts w:eastAsia="Times New Roman" w:cs="Times New Roman"/>
                <w:color w:val="000000" w:themeColor="text1"/>
                <w:kern w:val="22"/>
                <w:sz w:val="20"/>
                <w:szCs w:val="20"/>
                <w:lang w:val="fr-FR"/>
              </w:rPr>
              <w:t xml:space="preserve"> du</w:t>
            </w:r>
            <w:r w:rsidR="35733B0B" w:rsidRPr="00420B96">
              <w:rPr>
                <w:rFonts w:eastAsia="Times New Roman" w:cs="Times New Roman"/>
                <w:color w:val="000000" w:themeColor="text1"/>
                <w:kern w:val="22"/>
                <w:sz w:val="20"/>
                <w:szCs w:val="20"/>
                <w:lang w:val="fr-FR"/>
              </w:rPr>
              <w:t xml:space="preserve"> </w:t>
            </w:r>
            <w:r w:rsidR="001B2CC8" w:rsidRPr="00420B96">
              <w:rPr>
                <w:rFonts w:eastAsia="Times New Roman" w:cs="Times New Roman"/>
                <w:color w:val="000000" w:themeColor="text1"/>
                <w:kern w:val="22"/>
                <w:sz w:val="20"/>
                <w:szCs w:val="20"/>
                <w:lang w:val="fr-FR"/>
              </w:rPr>
              <w:t>genre</w:t>
            </w:r>
            <w:r w:rsidR="35733B0B" w:rsidRPr="00420B96">
              <w:rPr>
                <w:rFonts w:eastAsia="Times New Roman" w:cs="Times New Roman"/>
                <w:color w:val="000000" w:themeColor="text1"/>
                <w:kern w:val="22"/>
                <w:sz w:val="20"/>
                <w:szCs w:val="20"/>
                <w:lang w:val="fr-FR"/>
              </w:rPr>
              <w:t xml:space="preserve"> </w:t>
            </w:r>
            <w:r w:rsidR="35733B0B" w:rsidRPr="00420B96">
              <w:rPr>
                <w:rFonts w:eastAsia="Times New Roman" w:cs="Times New Roman"/>
                <w:i/>
                <w:iCs/>
                <w:color w:val="000000" w:themeColor="text1"/>
                <w:kern w:val="22"/>
                <w:sz w:val="20"/>
                <w:szCs w:val="20"/>
                <w:lang w:val="fr-FR"/>
              </w:rPr>
              <w:t xml:space="preserve">Glycine </w:t>
            </w:r>
            <w:r w:rsidR="006F0580">
              <w:rPr>
                <w:rFonts w:eastAsia="Times New Roman" w:cs="Times New Roman"/>
                <w:color w:val="000000" w:themeColor="text1"/>
                <w:kern w:val="22"/>
                <w:sz w:val="20"/>
                <w:szCs w:val="20"/>
                <w:lang w:val="fr-FR"/>
              </w:rPr>
              <w:t>(soja) pour des</w:t>
            </w:r>
            <w:r w:rsidR="35733B0B" w:rsidRPr="00420B96">
              <w:rPr>
                <w:rFonts w:eastAsia="Times New Roman" w:cs="Times New Roman"/>
                <w:color w:val="000000" w:themeColor="text1"/>
                <w:kern w:val="22"/>
                <w:sz w:val="20"/>
                <w:szCs w:val="20"/>
                <w:lang w:val="fr-FR"/>
              </w:rPr>
              <w:t xml:space="preserve"> </w:t>
            </w:r>
            <w:r w:rsidR="00D3678C">
              <w:rPr>
                <w:rFonts w:eastAsia="Times New Roman" w:cs="Times New Roman"/>
                <w:color w:val="000000" w:themeColor="text1"/>
                <w:kern w:val="22"/>
                <w:sz w:val="20"/>
                <w:szCs w:val="20"/>
                <w:lang w:val="fr-FR"/>
              </w:rPr>
              <w:t>caractéristiques liées à</w:t>
            </w:r>
            <w:r w:rsidR="006F0580">
              <w:rPr>
                <w:rFonts w:eastAsia="Times New Roman" w:cs="Times New Roman"/>
                <w:color w:val="000000" w:themeColor="text1"/>
                <w:kern w:val="22"/>
                <w:sz w:val="20"/>
                <w:szCs w:val="20"/>
                <w:lang w:val="fr-FR"/>
              </w:rPr>
              <w:t xml:space="preserve"> la </w:t>
            </w:r>
            <w:r w:rsidR="001B2CC8" w:rsidRPr="00420B96">
              <w:rPr>
                <w:rFonts w:eastAsia="Times New Roman" w:cs="Times New Roman"/>
                <w:color w:val="000000" w:themeColor="text1"/>
                <w:kern w:val="22"/>
                <w:sz w:val="20"/>
                <w:szCs w:val="20"/>
                <w:lang w:val="fr-FR"/>
              </w:rPr>
              <w:t>maturité</w:t>
            </w:r>
            <w:r w:rsidR="00E3674F" w:rsidRPr="00420B96">
              <w:rPr>
                <w:rFonts w:eastAsia="Times New Roman" w:cs="Times New Roman"/>
                <w:color w:val="000000" w:themeColor="text1"/>
                <w:kern w:val="22"/>
                <w:sz w:val="20"/>
                <w:szCs w:val="20"/>
                <w:lang w:val="fr-FR"/>
              </w:rPr>
              <w:t xml:space="preserve"> et </w:t>
            </w:r>
            <w:r w:rsidR="001B2CC8" w:rsidRPr="00420B96">
              <w:rPr>
                <w:rFonts w:eastAsia="Times New Roman" w:cs="Times New Roman"/>
                <w:color w:val="000000" w:themeColor="text1"/>
                <w:kern w:val="22"/>
                <w:sz w:val="20"/>
                <w:szCs w:val="20"/>
                <w:lang w:val="fr-FR"/>
              </w:rPr>
              <w:t>la croissance des plantes</w:t>
            </w:r>
            <w:r w:rsidR="35733B0B" w:rsidRPr="00420B96">
              <w:rPr>
                <w:rFonts w:eastAsia="Times New Roman" w:cs="Times New Roman"/>
                <w:color w:val="000000" w:themeColor="text1"/>
                <w:kern w:val="22"/>
                <w:sz w:val="20"/>
                <w:szCs w:val="20"/>
                <w:lang w:val="fr-FR"/>
              </w:rPr>
              <w:t xml:space="preserve">, </w:t>
            </w:r>
            <w:r w:rsidR="00D3678C">
              <w:rPr>
                <w:rFonts w:eastAsia="Times New Roman" w:cs="Times New Roman"/>
                <w:color w:val="000000" w:themeColor="text1"/>
                <w:kern w:val="22"/>
                <w:sz w:val="20"/>
                <w:szCs w:val="20"/>
                <w:lang w:val="fr-FR"/>
              </w:rPr>
              <w:t>s’appuyant sur</w:t>
            </w:r>
            <w:r w:rsidR="006F0580">
              <w:rPr>
                <w:rFonts w:eastAsia="Times New Roman" w:cs="Times New Roman"/>
                <w:color w:val="000000" w:themeColor="text1"/>
                <w:kern w:val="22"/>
                <w:sz w:val="20"/>
                <w:szCs w:val="20"/>
                <w:lang w:val="fr-FR"/>
              </w:rPr>
              <w:t xml:space="preserve"> l’</w:t>
            </w:r>
            <w:r w:rsidR="008627A9" w:rsidRPr="00420B96">
              <w:rPr>
                <w:rFonts w:eastAsia="Times New Roman" w:cs="Times New Roman"/>
                <w:color w:val="000000" w:themeColor="text1"/>
                <w:kern w:val="22"/>
                <w:sz w:val="20"/>
                <w:szCs w:val="20"/>
                <w:lang w:val="fr-FR"/>
              </w:rPr>
              <w:t>utilisation</w:t>
            </w:r>
            <w:r w:rsidR="006F0580">
              <w:rPr>
                <w:rFonts w:eastAsia="Times New Roman" w:cs="Times New Roman"/>
                <w:color w:val="000000" w:themeColor="text1"/>
                <w:kern w:val="22"/>
                <w:sz w:val="20"/>
                <w:szCs w:val="20"/>
                <w:lang w:val="fr-FR"/>
              </w:rPr>
              <w:t xml:space="preserve"> de plus de </w:t>
            </w:r>
            <w:r w:rsidR="35733B0B" w:rsidRPr="00420B96">
              <w:rPr>
                <w:rFonts w:eastAsia="Times New Roman" w:cs="Times New Roman"/>
                <w:color w:val="000000" w:themeColor="text1"/>
                <w:kern w:val="22"/>
                <w:sz w:val="20"/>
                <w:szCs w:val="20"/>
                <w:lang w:val="fr-FR"/>
              </w:rPr>
              <w:t xml:space="preserve">250 </w:t>
            </w:r>
            <w:r w:rsidR="006F0580">
              <w:rPr>
                <w:rFonts w:eastAsia="Times New Roman" w:cs="Times New Roman"/>
                <w:color w:val="000000" w:themeColor="text1"/>
                <w:kern w:val="22"/>
                <w:sz w:val="20"/>
                <w:szCs w:val="20"/>
                <w:lang w:val="fr-FR"/>
              </w:rPr>
              <w:t xml:space="preserve">lignées </w:t>
            </w:r>
            <w:r w:rsidR="35733B0B" w:rsidRPr="00420B96">
              <w:rPr>
                <w:rFonts w:eastAsia="Times New Roman" w:cs="Times New Roman"/>
                <w:color w:val="000000" w:themeColor="text1"/>
                <w:kern w:val="22"/>
                <w:sz w:val="20"/>
                <w:szCs w:val="20"/>
                <w:lang w:val="fr-FR"/>
              </w:rPr>
              <w:t>distinct</w:t>
            </w:r>
            <w:r w:rsidR="006F0580">
              <w:rPr>
                <w:rFonts w:eastAsia="Times New Roman" w:cs="Times New Roman"/>
                <w:color w:val="000000" w:themeColor="text1"/>
                <w:kern w:val="22"/>
                <w:sz w:val="20"/>
                <w:szCs w:val="20"/>
                <w:lang w:val="fr-FR"/>
              </w:rPr>
              <w:t>es de graines de soja</w:t>
            </w:r>
            <w:r w:rsidR="35733B0B" w:rsidRPr="00420B96">
              <w:rPr>
                <w:rFonts w:eastAsia="Times New Roman" w:cs="Times New Roman"/>
                <w:color w:val="000000" w:themeColor="text1"/>
                <w:kern w:val="22"/>
                <w:sz w:val="20"/>
                <w:szCs w:val="20"/>
                <w:lang w:val="fr-FR"/>
              </w:rPr>
              <w:t xml:space="preserve">. </w:t>
            </w:r>
            <w:r w:rsidR="00D3678C">
              <w:rPr>
                <w:rFonts w:eastAsia="Times New Roman" w:cs="Times New Roman"/>
                <w:color w:val="000000" w:themeColor="text1"/>
                <w:kern w:val="22"/>
                <w:sz w:val="20"/>
                <w:szCs w:val="20"/>
                <w:lang w:val="fr-FR"/>
              </w:rPr>
              <w:t>C</w:t>
            </w:r>
            <w:r w:rsidR="35733B0B" w:rsidRPr="0028742E">
              <w:rPr>
                <w:rFonts w:eastAsia="Times New Roman" w:cs="Times New Roman"/>
                <w:color w:val="000000" w:themeColor="text1"/>
                <w:kern w:val="22"/>
                <w:sz w:val="20"/>
                <w:szCs w:val="20"/>
                <w:lang w:val="fr-FR"/>
              </w:rPr>
              <w:t>e</w:t>
            </w:r>
            <w:r w:rsidR="006F0580">
              <w:rPr>
                <w:rFonts w:eastAsia="Times New Roman" w:cs="Times New Roman"/>
                <w:color w:val="000000" w:themeColor="text1"/>
                <w:kern w:val="22"/>
                <w:sz w:val="20"/>
                <w:szCs w:val="20"/>
                <w:lang w:val="fr-FR"/>
              </w:rPr>
              <w:t>s lignées incluent des</w:t>
            </w:r>
            <w:r w:rsidR="35733B0B" w:rsidRPr="0028742E">
              <w:rPr>
                <w:rFonts w:eastAsia="Times New Roman" w:cs="Times New Roman"/>
                <w:color w:val="000000" w:themeColor="text1"/>
                <w:kern w:val="22"/>
                <w:sz w:val="20"/>
                <w:szCs w:val="20"/>
                <w:lang w:val="fr-FR"/>
              </w:rPr>
              <w:t xml:space="preserve"> </w:t>
            </w:r>
            <w:r w:rsidR="00A77BB8" w:rsidRPr="0028742E">
              <w:rPr>
                <w:rFonts w:eastAsia="Times New Roman" w:cs="Times New Roman"/>
                <w:color w:val="000000" w:themeColor="text1"/>
                <w:kern w:val="22"/>
                <w:sz w:val="20"/>
                <w:szCs w:val="20"/>
                <w:lang w:val="fr-FR"/>
              </w:rPr>
              <w:t>espèces sauvages et cultivées</w:t>
            </w:r>
            <w:r w:rsidR="006F0580">
              <w:rPr>
                <w:rFonts w:eastAsia="Times New Roman" w:cs="Times New Roman"/>
                <w:color w:val="000000" w:themeColor="text1"/>
                <w:kern w:val="22"/>
                <w:sz w:val="20"/>
                <w:szCs w:val="20"/>
                <w:lang w:val="fr-FR"/>
              </w:rPr>
              <w:t xml:space="preserve"> </w:t>
            </w:r>
            <w:r w:rsidR="00D3678C">
              <w:rPr>
                <w:rFonts w:eastAsia="Times New Roman" w:cs="Times New Roman"/>
                <w:color w:val="000000" w:themeColor="text1"/>
                <w:kern w:val="22"/>
                <w:sz w:val="20"/>
                <w:szCs w:val="20"/>
                <w:lang w:val="fr-FR"/>
              </w:rPr>
              <w:t xml:space="preserve">venant </w:t>
            </w:r>
            <w:r w:rsidR="006F0580">
              <w:rPr>
                <w:rFonts w:eastAsia="Times New Roman" w:cs="Times New Roman"/>
                <w:color w:val="000000" w:themeColor="text1"/>
                <w:kern w:val="22"/>
                <w:sz w:val="20"/>
                <w:szCs w:val="20"/>
                <w:lang w:val="fr-FR"/>
              </w:rPr>
              <w:t>d’Australie</w:t>
            </w:r>
            <w:r w:rsidR="00E3674F" w:rsidRPr="0028742E">
              <w:rPr>
                <w:rFonts w:eastAsia="Times New Roman" w:cs="Times New Roman"/>
                <w:color w:val="000000" w:themeColor="text1"/>
                <w:kern w:val="22"/>
                <w:sz w:val="20"/>
                <w:szCs w:val="20"/>
                <w:lang w:val="fr-FR"/>
              </w:rPr>
              <w:t xml:space="preserve"> et </w:t>
            </w:r>
            <w:r w:rsidR="006F0580">
              <w:rPr>
                <w:rFonts w:eastAsia="Times New Roman" w:cs="Times New Roman"/>
                <w:color w:val="000000" w:themeColor="text1"/>
                <w:kern w:val="22"/>
                <w:sz w:val="20"/>
                <w:szCs w:val="20"/>
                <w:lang w:val="fr-FR"/>
              </w:rPr>
              <w:t>d’Asie, mais le</w:t>
            </w:r>
            <w:r w:rsidR="35733B0B" w:rsidRPr="0028742E">
              <w:rPr>
                <w:rFonts w:eastAsia="Times New Roman" w:cs="Times New Roman"/>
                <w:color w:val="000000" w:themeColor="text1"/>
                <w:kern w:val="22"/>
                <w:sz w:val="20"/>
                <w:szCs w:val="20"/>
                <w:lang w:val="fr-FR"/>
              </w:rPr>
              <w:t xml:space="preserve"> </w:t>
            </w:r>
            <w:r w:rsidR="00B43E38" w:rsidRPr="0028742E">
              <w:rPr>
                <w:rFonts w:eastAsia="Times New Roman" w:cs="Times New Roman"/>
                <w:color w:val="000000" w:themeColor="text1"/>
                <w:kern w:val="22"/>
                <w:sz w:val="20"/>
                <w:szCs w:val="20"/>
                <w:lang w:val="fr-FR"/>
              </w:rPr>
              <w:t>brevet</w:t>
            </w:r>
            <w:r w:rsidR="00D3678C">
              <w:rPr>
                <w:rFonts w:eastAsia="Times New Roman" w:cs="Times New Roman"/>
                <w:color w:val="000000" w:themeColor="text1"/>
                <w:kern w:val="22"/>
                <w:sz w:val="20"/>
                <w:szCs w:val="20"/>
                <w:lang w:val="fr-FR"/>
              </w:rPr>
              <w:t xml:space="preserve"> ne divulgue ni comment ni</w:t>
            </w:r>
            <w:r w:rsidR="006F0580">
              <w:rPr>
                <w:rFonts w:eastAsia="Times New Roman" w:cs="Times New Roman"/>
                <w:color w:val="000000" w:themeColor="text1"/>
                <w:kern w:val="22"/>
                <w:sz w:val="20"/>
                <w:szCs w:val="20"/>
                <w:lang w:val="fr-FR"/>
              </w:rPr>
              <w:t xml:space="preserve"> l’endroit où ces </w:t>
            </w:r>
            <w:r w:rsidR="00D6232E" w:rsidRPr="0028742E">
              <w:rPr>
                <w:rFonts w:eastAsia="Times New Roman" w:cs="Times New Roman"/>
                <w:color w:val="000000" w:themeColor="text1"/>
                <w:kern w:val="22"/>
                <w:sz w:val="20"/>
                <w:szCs w:val="20"/>
                <w:lang w:val="fr-FR"/>
              </w:rPr>
              <w:t>spécimen</w:t>
            </w:r>
            <w:r w:rsidR="35733B0B" w:rsidRPr="0028742E">
              <w:rPr>
                <w:rFonts w:eastAsia="Times New Roman" w:cs="Times New Roman"/>
                <w:color w:val="000000" w:themeColor="text1"/>
                <w:kern w:val="22"/>
                <w:sz w:val="20"/>
                <w:szCs w:val="20"/>
                <w:lang w:val="fr-FR"/>
              </w:rPr>
              <w:t xml:space="preserve">s </w:t>
            </w:r>
            <w:r w:rsidR="00D3678C">
              <w:rPr>
                <w:rFonts w:eastAsia="Times New Roman" w:cs="Times New Roman"/>
                <w:color w:val="000000" w:themeColor="text1"/>
                <w:kern w:val="22"/>
                <w:sz w:val="20"/>
                <w:szCs w:val="20"/>
                <w:lang w:val="fr-FR"/>
              </w:rPr>
              <w:t>ont été collectés</w:t>
            </w:r>
            <w:r w:rsidR="35733B0B" w:rsidRPr="0028742E">
              <w:rPr>
                <w:rFonts w:eastAsia="Times New Roman" w:cs="Times New Roman"/>
                <w:color w:val="000000" w:themeColor="text1"/>
                <w:kern w:val="22"/>
                <w:sz w:val="20"/>
                <w:szCs w:val="20"/>
                <w:lang w:val="fr-FR"/>
              </w:rPr>
              <w:t>.</w:t>
            </w:r>
          </w:p>
        </w:tc>
        <w:tc>
          <w:tcPr>
            <w:tcW w:w="0" w:type="dxa"/>
            <w:vMerge/>
          </w:tcPr>
          <w:p w14:paraId="0CCA2F31" w14:textId="10E84D0F" w:rsidR="6873B90E" w:rsidRPr="0028742E"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p>
        </w:tc>
      </w:tr>
      <w:tr w:rsidR="6873B90E" w:rsidRPr="00E709D5" w14:paraId="72734C61"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56868E7F" w14:textId="77777777" w:rsidR="002D26CC" w:rsidRPr="0028742E" w:rsidRDefault="002D26CC" w:rsidP="00F43F79">
            <w:pPr>
              <w:spacing w:before="40" w:after="40"/>
              <w:rPr>
                <w:kern w:val="22"/>
                <w:sz w:val="20"/>
                <w:szCs w:val="20"/>
                <w:lang w:val="fr-FR"/>
              </w:rPr>
            </w:pPr>
          </w:p>
        </w:tc>
        <w:tc>
          <w:tcPr>
            <w:tcW w:w="0" w:type="dxa"/>
          </w:tcPr>
          <w:p w14:paraId="183082A1" w14:textId="04200708" w:rsidR="6873B90E" w:rsidRPr="009D43F1"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9D43F1">
              <w:rPr>
                <w:rFonts w:eastAsia="Times New Roman" w:cs="Times New Roman"/>
                <w:color w:val="000000" w:themeColor="text1"/>
                <w:kern w:val="22"/>
                <w:sz w:val="20"/>
                <w:szCs w:val="20"/>
                <w:lang w:val="fr-FR"/>
              </w:rPr>
              <w:t xml:space="preserve">c) </w:t>
            </w:r>
            <w:r w:rsidR="00D04EC6" w:rsidRPr="009D43F1">
              <w:rPr>
                <w:rFonts w:eastAsia="Times New Roman" w:cs="Times New Roman"/>
                <w:color w:val="000000" w:themeColor="text1"/>
                <w:kern w:val="22"/>
                <w:sz w:val="20"/>
                <w:szCs w:val="20"/>
                <w:lang w:val="fr-FR"/>
              </w:rPr>
              <w:t>Cas</w:t>
            </w:r>
            <w:r w:rsidR="000B36BE">
              <w:rPr>
                <w:rFonts w:eastAsia="Times New Roman" w:cs="Times New Roman"/>
                <w:color w:val="000000" w:themeColor="text1"/>
                <w:kern w:val="22"/>
                <w:sz w:val="20"/>
                <w:szCs w:val="20"/>
                <w:lang w:val="fr-FR"/>
              </w:rPr>
              <w:t xml:space="preserve"> concernant</w:t>
            </w:r>
            <w:r w:rsidRPr="009D43F1">
              <w:rPr>
                <w:rFonts w:eastAsia="Times New Roman" w:cs="Times New Roman"/>
                <w:color w:val="000000" w:themeColor="text1"/>
                <w:kern w:val="22"/>
                <w:sz w:val="20"/>
                <w:szCs w:val="20"/>
                <w:lang w:val="fr-FR"/>
              </w:rPr>
              <w:t xml:space="preserve"> </w:t>
            </w:r>
            <w:r w:rsidR="009D43F1" w:rsidRPr="009D43F1">
              <w:rPr>
                <w:rFonts w:eastAsia="Times New Roman" w:cs="Times New Roman"/>
                <w:color w:val="000000" w:themeColor="text1"/>
                <w:kern w:val="22"/>
                <w:sz w:val="20"/>
                <w:szCs w:val="20"/>
                <w:lang w:val="fr-FR"/>
              </w:rPr>
              <w:t>l’utilisation</w:t>
            </w:r>
            <w:r w:rsidR="004B3534">
              <w:rPr>
                <w:rFonts w:eastAsia="Times New Roman" w:cs="Times New Roman"/>
                <w:color w:val="000000" w:themeColor="text1"/>
                <w:kern w:val="22"/>
                <w:sz w:val="20"/>
                <w:szCs w:val="20"/>
                <w:lang w:val="fr-FR"/>
              </w:rPr>
              <w:t xml:space="preserve"> d’</w:t>
            </w:r>
            <w:r w:rsidRPr="009D43F1">
              <w:rPr>
                <w:rFonts w:eastAsia="Times New Roman" w:cs="Times New Roman"/>
                <w:color w:val="000000" w:themeColor="text1"/>
                <w:kern w:val="22"/>
                <w:sz w:val="20"/>
                <w:szCs w:val="20"/>
                <w:lang w:val="fr-FR"/>
              </w:rPr>
              <w:t>“</w:t>
            </w:r>
            <w:r w:rsidR="001E07A8">
              <w:rPr>
                <w:rFonts w:eastAsia="Times New Roman" w:cs="Times New Roman"/>
                <w:color w:val="000000" w:themeColor="text1"/>
                <w:kern w:val="22"/>
                <w:sz w:val="20"/>
                <w:szCs w:val="20"/>
                <w:lang w:val="fr-FR"/>
              </w:rPr>
              <w:t>information</w:t>
            </w:r>
            <w:r w:rsidR="004B3534">
              <w:rPr>
                <w:rFonts w:eastAsia="Times New Roman" w:cs="Times New Roman"/>
                <w:color w:val="000000" w:themeColor="text1"/>
                <w:kern w:val="22"/>
                <w:sz w:val="20"/>
                <w:szCs w:val="20"/>
                <w:lang w:val="fr-FR"/>
              </w:rPr>
              <w:t>s</w:t>
            </w:r>
            <w:r w:rsidR="00516613">
              <w:rPr>
                <w:rFonts w:eastAsia="Times New Roman" w:cs="Times New Roman"/>
                <w:color w:val="000000" w:themeColor="text1"/>
                <w:kern w:val="22"/>
                <w:sz w:val="20"/>
                <w:szCs w:val="20"/>
                <w:lang w:val="fr-FR"/>
              </w:rPr>
              <w:t xml:space="preserve"> de séquençage</w:t>
            </w:r>
            <w:r w:rsidR="00142D5A">
              <w:rPr>
                <w:rFonts w:eastAsia="Times New Roman" w:cs="Times New Roman"/>
                <w:color w:val="000000" w:themeColor="text1"/>
                <w:kern w:val="22"/>
                <w:sz w:val="20"/>
                <w:szCs w:val="20"/>
                <w:lang w:val="fr-FR"/>
              </w:rPr>
              <w:t xml:space="preserve"> numérique</w:t>
            </w:r>
            <w:r w:rsidR="004B3534">
              <w:rPr>
                <w:rFonts w:eastAsia="Times New Roman" w:cs="Times New Roman"/>
                <w:color w:val="000000" w:themeColor="text1"/>
                <w:kern w:val="22"/>
                <w:sz w:val="20"/>
                <w:szCs w:val="20"/>
                <w:lang w:val="fr-FR"/>
              </w:rPr>
              <w:t>”</w:t>
            </w:r>
          </w:p>
          <w:p w14:paraId="30B96643" w14:textId="7F111E8A" w:rsidR="6873B90E" w:rsidRPr="009D43F1"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p>
        </w:tc>
        <w:tc>
          <w:tcPr>
            <w:tcW w:w="0" w:type="dxa"/>
          </w:tcPr>
          <w:p w14:paraId="62070BC0" w14:textId="77BD1F9A" w:rsidR="6873B90E" w:rsidRPr="0072393B" w:rsidRDefault="00AA5919" w:rsidP="00D3678C">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Pr>
                <w:rFonts w:eastAsia="Times New Roman" w:cs="Times New Roman"/>
                <w:color w:val="000000" w:themeColor="text1"/>
                <w:kern w:val="22"/>
                <w:sz w:val="20"/>
                <w:szCs w:val="20"/>
                <w:lang w:val="fr-FR"/>
              </w:rPr>
              <w:t>Situations dans lesquelles</w:t>
            </w:r>
            <w:r w:rsidR="003F6B4A" w:rsidRPr="00A70F9B">
              <w:rPr>
                <w:rFonts w:eastAsia="Times New Roman" w:cs="Times New Roman"/>
                <w:color w:val="000000" w:themeColor="text1"/>
                <w:kern w:val="22"/>
                <w:sz w:val="20"/>
                <w:szCs w:val="20"/>
                <w:lang w:val="fr-FR"/>
              </w:rPr>
              <w:t xml:space="preserve"> aucun accès physique n’est nécessaire</w:t>
            </w:r>
            <w:r w:rsidR="35733B0B" w:rsidRPr="00A70F9B">
              <w:rPr>
                <w:rFonts w:eastAsia="Times New Roman" w:cs="Times New Roman"/>
                <w:color w:val="000000" w:themeColor="text1"/>
                <w:kern w:val="22"/>
                <w:sz w:val="20"/>
                <w:szCs w:val="20"/>
                <w:lang w:val="fr-FR"/>
              </w:rPr>
              <w:t xml:space="preserve"> </w:t>
            </w:r>
            <w:r>
              <w:rPr>
                <w:rFonts w:eastAsia="Times New Roman" w:cs="Times New Roman"/>
                <w:color w:val="000000" w:themeColor="text1"/>
                <w:kern w:val="22"/>
                <w:sz w:val="20"/>
                <w:szCs w:val="20"/>
                <w:lang w:val="fr-FR"/>
              </w:rPr>
              <w:t xml:space="preserve">pour utiliser </w:t>
            </w:r>
            <w:r w:rsidR="00A73B5B" w:rsidRPr="00A70F9B">
              <w:rPr>
                <w:rFonts w:eastAsia="Times New Roman" w:cs="Times New Roman"/>
                <w:color w:val="000000" w:themeColor="text1"/>
                <w:kern w:val="22"/>
                <w:sz w:val="20"/>
                <w:szCs w:val="20"/>
                <w:lang w:val="fr-FR"/>
              </w:rPr>
              <w:t>l’information génétique</w:t>
            </w:r>
            <w:r w:rsidR="35733B0B" w:rsidRPr="00A70F9B">
              <w:rPr>
                <w:rFonts w:eastAsia="Times New Roman" w:cs="Times New Roman"/>
                <w:color w:val="000000" w:themeColor="text1"/>
                <w:kern w:val="22"/>
                <w:sz w:val="20"/>
                <w:szCs w:val="20"/>
                <w:lang w:val="fr-FR"/>
              </w:rPr>
              <w:t xml:space="preserve"> (</w:t>
            </w:r>
            <w:r w:rsidR="000D5072">
              <w:rPr>
                <w:rFonts w:eastAsia="Times New Roman" w:cs="Times New Roman"/>
                <w:color w:val="000000" w:themeColor="text1"/>
                <w:kern w:val="22"/>
                <w:sz w:val="20"/>
                <w:szCs w:val="20"/>
                <w:lang w:val="fr-FR"/>
              </w:rPr>
              <w:t>par exemple</w:t>
            </w:r>
            <w:r>
              <w:rPr>
                <w:rFonts w:eastAsia="Times New Roman" w:cs="Times New Roman"/>
                <w:color w:val="000000" w:themeColor="text1"/>
                <w:kern w:val="22"/>
                <w:sz w:val="20"/>
                <w:szCs w:val="20"/>
                <w:lang w:val="fr-FR"/>
              </w:rPr>
              <w:t>, l’</w:t>
            </w:r>
            <w:r w:rsidR="35733B0B" w:rsidRPr="00A70F9B">
              <w:rPr>
                <w:rFonts w:eastAsia="Times New Roman" w:cs="Times New Roman"/>
                <w:color w:val="000000" w:themeColor="text1"/>
                <w:kern w:val="22"/>
                <w:sz w:val="20"/>
                <w:szCs w:val="20"/>
                <w:lang w:val="fr-FR"/>
              </w:rPr>
              <w:t xml:space="preserve">International Nucleotide </w:t>
            </w:r>
            <w:r w:rsidR="00D3678C">
              <w:rPr>
                <w:rFonts w:eastAsia="Times New Roman" w:cs="Times New Roman"/>
                <w:color w:val="000000" w:themeColor="text1"/>
                <w:kern w:val="22"/>
                <w:sz w:val="20"/>
                <w:szCs w:val="20"/>
                <w:lang w:val="fr-FR"/>
              </w:rPr>
              <w:t>Se</w:t>
            </w:r>
            <w:r w:rsidR="00974B88">
              <w:rPr>
                <w:rFonts w:eastAsia="Times New Roman" w:cs="Times New Roman"/>
                <w:color w:val="000000" w:themeColor="text1"/>
                <w:kern w:val="22"/>
                <w:sz w:val="20"/>
                <w:szCs w:val="20"/>
                <w:lang w:val="fr-FR"/>
              </w:rPr>
              <w:t>quence</w:t>
            </w:r>
            <w:r w:rsidR="35733B0B" w:rsidRPr="00A70F9B">
              <w:rPr>
                <w:rFonts w:eastAsia="Times New Roman" w:cs="Times New Roman"/>
                <w:color w:val="000000" w:themeColor="text1"/>
                <w:kern w:val="22"/>
                <w:sz w:val="20"/>
                <w:szCs w:val="20"/>
                <w:lang w:val="fr-FR"/>
              </w:rPr>
              <w:t xml:space="preserve"> </w:t>
            </w:r>
            <w:r w:rsidR="00D3678C">
              <w:rPr>
                <w:rFonts w:eastAsia="Times New Roman" w:cs="Times New Roman"/>
                <w:color w:val="000000" w:themeColor="text1"/>
                <w:kern w:val="22"/>
                <w:sz w:val="20"/>
                <w:szCs w:val="20"/>
                <w:lang w:val="fr-FR"/>
              </w:rPr>
              <w:t>Datab</w:t>
            </w:r>
            <w:r w:rsidR="00516613">
              <w:rPr>
                <w:rFonts w:eastAsia="Times New Roman" w:cs="Times New Roman"/>
                <w:color w:val="000000" w:themeColor="text1"/>
                <w:kern w:val="22"/>
                <w:sz w:val="20"/>
                <w:szCs w:val="20"/>
                <w:lang w:val="fr-FR"/>
              </w:rPr>
              <w:t>ase</w:t>
            </w:r>
            <w:r w:rsidR="00D3678C">
              <w:rPr>
                <w:rFonts w:eastAsia="Times New Roman" w:cs="Times New Roman"/>
                <w:color w:val="000000" w:themeColor="text1"/>
                <w:kern w:val="22"/>
                <w:sz w:val="20"/>
                <w:szCs w:val="20"/>
                <w:lang w:val="fr-FR"/>
              </w:rPr>
              <w:t xml:space="preserve"> </w:t>
            </w:r>
            <w:r w:rsidR="35733B0B" w:rsidRPr="00A70F9B">
              <w:rPr>
                <w:rFonts w:eastAsia="Times New Roman" w:cs="Times New Roman"/>
                <w:color w:val="000000" w:themeColor="text1"/>
                <w:kern w:val="22"/>
                <w:sz w:val="20"/>
                <w:szCs w:val="20"/>
                <w:lang w:val="fr-FR"/>
              </w:rPr>
              <w:t xml:space="preserve">Collaboration, the Earth Biogenome </w:t>
            </w:r>
            <w:r w:rsidR="0033537F">
              <w:rPr>
                <w:rFonts w:eastAsia="Times New Roman" w:cs="Times New Roman"/>
                <w:color w:val="000000" w:themeColor="text1"/>
                <w:kern w:val="22"/>
                <w:sz w:val="20"/>
                <w:szCs w:val="20"/>
                <w:lang w:val="fr-FR"/>
              </w:rPr>
              <w:t>Proje</w:t>
            </w:r>
            <w:r w:rsidR="00D3678C">
              <w:rPr>
                <w:rFonts w:eastAsia="Times New Roman" w:cs="Times New Roman"/>
                <w:color w:val="000000" w:themeColor="text1"/>
                <w:kern w:val="22"/>
                <w:sz w:val="20"/>
                <w:szCs w:val="20"/>
                <w:lang w:val="fr-FR"/>
              </w:rPr>
              <w:t>c</w:t>
            </w:r>
            <w:r w:rsidR="0033537F">
              <w:rPr>
                <w:rFonts w:eastAsia="Times New Roman" w:cs="Times New Roman"/>
                <w:color w:val="000000" w:themeColor="text1"/>
                <w:kern w:val="22"/>
                <w:sz w:val="20"/>
                <w:szCs w:val="20"/>
                <w:lang w:val="fr-FR"/>
              </w:rPr>
              <w:t>t</w:t>
            </w:r>
            <w:r w:rsidR="35733B0B" w:rsidRPr="00A70F9B">
              <w:rPr>
                <w:rFonts w:eastAsia="Times New Roman" w:cs="Times New Roman"/>
                <w:color w:val="000000" w:themeColor="text1"/>
                <w:kern w:val="22"/>
                <w:sz w:val="20"/>
                <w:szCs w:val="20"/>
                <w:lang w:val="fr-FR"/>
              </w:rPr>
              <w:t xml:space="preserve">, </w:t>
            </w:r>
            <w:r>
              <w:rPr>
                <w:rFonts w:eastAsia="Times New Roman" w:cs="Times New Roman"/>
                <w:color w:val="000000" w:themeColor="text1"/>
                <w:kern w:val="22"/>
                <w:sz w:val="20"/>
                <w:szCs w:val="20"/>
                <w:lang w:val="fr-FR"/>
              </w:rPr>
              <w:t>les recherches BLAST</w:t>
            </w:r>
            <w:r w:rsidR="35733B0B" w:rsidRPr="00A70F9B">
              <w:rPr>
                <w:rFonts w:eastAsia="Times New Roman" w:cs="Times New Roman"/>
                <w:color w:val="000000" w:themeColor="text1"/>
                <w:kern w:val="22"/>
                <w:sz w:val="20"/>
                <w:szCs w:val="20"/>
                <w:lang w:val="fr-FR"/>
              </w:rPr>
              <w:t>,</w:t>
            </w:r>
            <w:r w:rsidR="35733B0B" w:rsidRPr="00A70F9B">
              <w:rPr>
                <w:rFonts w:eastAsia="Times New Roman" w:cs="Times New Roman"/>
                <w:b/>
                <w:bCs/>
                <w:color w:val="000000" w:themeColor="text1"/>
                <w:kern w:val="22"/>
                <w:sz w:val="20"/>
                <w:szCs w:val="20"/>
                <w:lang w:val="fr-FR"/>
              </w:rPr>
              <w:t xml:space="preserve"> </w:t>
            </w:r>
            <w:r w:rsidR="00D3678C">
              <w:rPr>
                <w:rFonts w:eastAsia="Times New Roman" w:cs="Times New Roman"/>
                <w:color w:val="000000" w:themeColor="text1"/>
                <w:kern w:val="22"/>
                <w:sz w:val="20"/>
                <w:szCs w:val="20"/>
                <w:lang w:val="fr-FR"/>
              </w:rPr>
              <w:t xml:space="preserve">le </w:t>
            </w:r>
            <w:r>
              <w:rPr>
                <w:rFonts w:eastAsia="Times New Roman" w:cs="Times New Roman"/>
                <w:color w:val="000000" w:themeColor="text1"/>
                <w:kern w:val="22"/>
                <w:sz w:val="20"/>
                <w:szCs w:val="20"/>
                <w:lang w:val="fr-FR"/>
              </w:rPr>
              <w:t xml:space="preserve">traitement </w:t>
            </w:r>
            <w:r w:rsidR="35733B0B" w:rsidRPr="00A70F9B">
              <w:rPr>
                <w:rFonts w:eastAsia="Times New Roman" w:cs="Times New Roman"/>
                <w:color w:val="000000" w:themeColor="text1"/>
                <w:kern w:val="22"/>
                <w:sz w:val="20"/>
                <w:szCs w:val="20"/>
                <w:lang w:val="fr-FR"/>
              </w:rPr>
              <w:t>RGEN-EB3</w:t>
            </w:r>
            <w:r w:rsidR="00D3678C">
              <w:rPr>
                <w:rFonts w:eastAsia="Times New Roman" w:cs="Times New Roman"/>
                <w:color w:val="000000" w:themeColor="text1"/>
                <w:kern w:val="22"/>
                <w:sz w:val="20"/>
                <w:szCs w:val="20"/>
                <w:lang w:val="fr-FR"/>
              </w:rPr>
              <w:t xml:space="preserve"> contre Ebola</w:t>
            </w:r>
            <w:r w:rsidR="35733B0B" w:rsidRPr="00A70F9B">
              <w:rPr>
                <w:rFonts w:eastAsia="Times New Roman" w:cs="Times New Roman"/>
                <w:color w:val="000000" w:themeColor="text1"/>
                <w:kern w:val="22"/>
                <w:sz w:val="20"/>
                <w:szCs w:val="20"/>
                <w:lang w:val="fr-FR"/>
              </w:rPr>
              <w:t xml:space="preserve">, </w:t>
            </w:r>
            <w:r w:rsidR="00D3678C">
              <w:rPr>
                <w:rFonts w:eastAsia="Times New Roman" w:cs="Times New Roman"/>
                <w:color w:val="000000" w:themeColor="text1"/>
                <w:kern w:val="22"/>
                <w:sz w:val="20"/>
                <w:szCs w:val="20"/>
                <w:lang w:val="fr-FR"/>
              </w:rPr>
              <w:t xml:space="preserve">la </w:t>
            </w:r>
            <w:r w:rsidR="00376937">
              <w:rPr>
                <w:rFonts w:eastAsia="Times New Roman" w:cs="Times New Roman"/>
                <w:color w:val="000000" w:themeColor="text1"/>
                <w:kern w:val="22"/>
                <w:sz w:val="20"/>
                <w:szCs w:val="20"/>
                <w:lang w:val="fr-FR"/>
              </w:rPr>
              <w:t>Protein Data Bank</w:t>
            </w:r>
            <w:r w:rsidR="35733B0B" w:rsidRPr="00A70F9B">
              <w:rPr>
                <w:rFonts w:eastAsia="Times New Roman" w:cs="Times New Roman"/>
                <w:color w:val="000000" w:themeColor="text1"/>
                <w:kern w:val="22"/>
                <w:sz w:val="20"/>
                <w:szCs w:val="20"/>
                <w:lang w:val="fr-FR"/>
              </w:rPr>
              <w:t>,</w:t>
            </w:r>
            <w:r w:rsidR="00516613">
              <w:rPr>
                <w:rFonts w:eastAsia="Times New Roman" w:cs="Times New Roman"/>
                <w:color w:val="000000" w:themeColor="text1"/>
                <w:kern w:val="22"/>
                <w:sz w:val="20"/>
                <w:szCs w:val="20"/>
                <w:lang w:val="fr-FR"/>
              </w:rPr>
              <w:t xml:space="preserve"> ou</w:t>
            </w:r>
            <w:r w:rsidR="00E3674F" w:rsidRPr="00A70F9B">
              <w:rPr>
                <w:rFonts w:eastAsia="Times New Roman" w:cs="Times New Roman"/>
                <w:color w:val="000000" w:themeColor="text1"/>
                <w:kern w:val="22"/>
                <w:sz w:val="20"/>
                <w:szCs w:val="20"/>
                <w:lang w:val="fr-FR"/>
              </w:rPr>
              <w:t xml:space="preserve"> </w:t>
            </w:r>
            <w:r w:rsidR="00516613">
              <w:rPr>
                <w:rFonts w:eastAsia="Times New Roman" w:cs="Times New Roman"/>
                <w:color w:val="000000" w:themeColor="text1"/>
                <w:kern w:val="22"/>
                <w:sz w:val="20"/>
                <w:szCs w:val="20"/>
                <w:lang w:val="fr-FR"/>
              </w:rPr>
              <w:t xml:space="preserve">les </w:t>
            </w:r>
            <w:r w:rsidR="0058634A">
              <w:rPr>
                <w:rFonts w:eastAsia="Times New Roman" w:cs="Times New Roman"/>
                <w:color w:val="000000" w:themeColor="text1"/>
                <w:kern w:val="22"/>
                <w:sz w:val="20"/>
                <w:szCs w:val="20"/>
                <w:lang w:val="fr-FR"/>
              </w:rPr>
              <w:t>Bibliothèques de</w:t>
            </w:r>
            <w:r w:rsidR="003A7DE8">
              <w:rPr>
                <w:rFonts w:eastAsia="Times New Roman" w:cs="Times New Roman"/>
                <w:color w:val="000000" w:themeColor="text1"/>
                <w:kern w:val="22"/>
                <w:sz w:val="20"/>
                <w:szCs w:val="20"/>
                <w:lang w:val="fr-FR"/>
              </w:rPr>
              <w:t xml:space="preserve"> produits naturels</w:t>
            </w:r>
            <w:r w:rsidR="35733B0B" w:rsidRPr="00A70F9B">
              <w:rPr>
                <w:rFonts w:eastAsia="Times New Roman" w:cs="Times New Roman"/>
                <w:color w:val="000000" w:themeColor="text1"/>
                <w:kern w:val="22"/>
                <w:sz w:val="20"/>
                <w:szCs w:val="20"/>
                <w:lang w:val="fr-FR"/>
              </w:rPr>
              <w:t xml:space="preserve">). </w:t>
            </w:r>
            <w:r>
              <w:rPr>
                <w:rFonts w:eastAsia="Times New Roman" w:cs="Times New Roman"/>
                <w:color w:val="000000" w:themeColor="text1"/>
                <w:kern w:val="22"/>
                <w:sz w:val="20"/>
                <w:szCs w:val="20"/>
                <w:lang w:val="fr-FR"/>
              </w:rPr>
              <w:t>Les s</w:t>
            </w:r>
            <w:r w:rsidR="35733B0B" w:rsidRPr="0072393B">
              <w:rPr>
                <w:rFonts w:eastAsia="Times New Roman" w:cs="Times New Roman"/>
                <w:color w:val="000000" w:themeColor="text1"/>
                <w:kern w:val="22"/>
                <w:sz w:val="20"/>
                <w:szCs w:val="20"/>
                <w:lang w:val="fr-FR"/>
              </w:rPr>
              <w:t>ituations</w:t>
            </w:r>
            <w:r w:rsidR="00516613">
              <w:rPr>
                <w:rFonts w:eastAsia="Times New Roman" w:cs="Times New Roman"/>
                <w:color w:val="000000" w:themeColor="text1"/>
                <w:kern w:val="22"/>
                <w:sz w:val="20"/>
                <w:szCs w:val="20"/>
                <w:lang w:val="fr-FR"/>
              </w:rPr>
              <w:t xml:space="preserve"> dans lesquelles</w:t>
            </w:r>
            <w:r>
              <w:rPr>
                <w:rFonts w:eastAsia="Times New Roman" w:cs="Times New Roman"/>
                <w:color w:val="000000" w:themeColor="text1"/>
                <w:kern w:val="22"/>
                <w:sz w:val="20"/>
                <w:szCs w:val="20"/>
                <w:lang w:val="fr-FR"/>
              </w:rPr>
              <w:t xml:space="preserve"> des</w:t>
            </w:r>
            <w:r w:rsidR="35733B0B" w:rsidRPr="0072393B">
              <w:rPr>
                <w:rFonts w:eastAsia="Times New Roman" w:cs="Times New Roman"/>
                <w:color w:val="000000" w:themeColor="text1"/>
                <w:kern w:val="22"/>
                <w:sz w:val="20"/>
                <w:szCs w:val="20"/>
                <w:lang w:val="fr-FR"/>
              </w:rPr>
              <w:t xml:space="preserve"> </w:t>
            </w:r>
            <w:r w:rsidR="00516613">
              <w:rPr>
                <w:rFonts w:eastAsia="Times New Roman" w:cs="Times New Roman"/>
                <w:color w:val="000000" w:themeColor="text1"/>
                <w:kern w:val="22"/>
                <w:sz w:val="20"/>
                <w:szCs w:val="20"/>
                <w:lang w:val="fr-FR"/>
              </w:rPr>
              <w:t>composé</w:t>
            </w:r>
            <w:r w:rsidR="0072393B" w:rsidRPr="0072393B">
              <w:rPr>
                <w:rFonts w:eastAsia="Times New Roman" w:cs="Times New Roman"/>
                <w:color w:val="000000" w:themeColor="text1"/>
                <w:kern w:val="22"/>
                <w:sz w:val="20"/>
                <w:szCs w:val="20"/>
                <w:lang w:val="fr-FR"/>
              </w:rPr>
              <w:t>s génétiques</w:t>
            </w:r>
            <w:r w:rsidR="35733B0B" w:rsidRPr="0072393B">
              <w:rPr>
                <w:rFonts w:eastAsia="Times New Roman" w:cs="Times New Roman"/>
                <w:color w:val="000000" w:themeColor="text1"/>
                <w:kern w:val="22"/>
                <w:sz w:val="20"/>
                <w:szCs w:val="20"/>
                <w:lang w:val="fr-FR"/>
              </w:rPr>
              <w:t xml:space="preserve"> </w:t>
            </w:r>
            <w:r w:rsidR="00516613">
              <w:rPr>
                <w:rFonts w:eastAsia="Times New Roman" w:cs="Times New Roman"/>
                <w:color w:val="000000" w:themeColor="text1"/>
                <w:kern w:val="22"/>
                <w:sz w:val="20"/>
                <w:szCs w:val="20"/>
                <w:lang w:val="fr-FR"/>
              </w:rPr>
              <w:t xml:space="preserve">utilisés proviennent de </w:t>
            </w:r>
            <w:r w:rsidR="0072393B" w:rsidRPr="0072393B">
              <w:rPr>
                <w:rFonts w:eastAsia="Times New Roman" w:cs="Times New Roman"/>
                <w:color w:val="000000" w:themeColor="text1"/>
                <w:kern w:val="22"/>
                <w:sz w:val="20"/>
                <w:szCs w:val="20"/>
                <w:lang w:val="fr-FR"/>
              </w:rPr>
              <w:t>plusieurs organismes</w:t>
            </w:r>
            <w:r w:rsidR="35733B0B" w:rsidRPr="0072393B">
              <w:rPr>
                <w:rFonts w:eastAsia="Times New Roman" w:cs="Times New Roman"/>
                <w:color w:val="000000" w:themeColor="text1"/>
                <w:kern w:val="22"/>
                <w:sz w:val="20"/>
                <w:szCs w:val="20"/>
                <w:lang w:val="fr-FR"/>
              </w:rPr>
              <w:t xml:space="preserve"> (</w:t>
            </w:r>
            <w:r w:rsidR="000D5072" w:rsidRPr="0072393B">
              <w:rPr>
                <w:rFonts w:eastAsia="Times New Roman" w:cs="Times New Roman"/>
                <w:color w:val="000000" w:themeColor="text1"/>
                <w:kern w:val="22"/>
                <w:sz w:val="20"/>
                <w:szCs w:val="20"/>
                <w:lang w:val="fr-FR"/>
              </w:rPr>
              <w:t xml:space="preserve">par </w:t>
            </w:r>
            <w:r w:rsidR="000D5072" w:rsidRPr="0072393B">
              <w:rPr>
                <w:rFonts w:eastAsia="Times New Roman" w:cs="Times New Roman"/>
                <w:color w:val="000000" w:themeColor="text1"/>
                <w:kern w:val="22"/>
                <w:sz w:val="20"/>
                <w:szCs w:val="20"/>
                <w:lang w:val="fr-FR"/>
              </w:rPr>
              <w:lastRenderedPageBreak/>
              <w:t>exemple</w:t>
            </w:r>
            <w:r w:rsidR="35733B0B" w:rsidRPr="0072393B">
              <w:rPr>
                <w:rFonts w:eastAsia="Times New Roman" w:cs="Times New Roman"/>
                <w:color w:val="000000" w:themeColor="text1"/>
                <w:kern w:val="22"/>
                <w:sz w:val="20"/>
                <w:szCs w:val="20"/>
                <w:lang w:val="fr-FR"/>
              </w:rPr>
              <w:t xml:space="preserve">, </w:t>
            </w:r>
            <w:r>
              <w:rPr>
                <w:rFonts w:eastAsia="Times New Roman" w:cs="Times New Roman"/>
                <w:color w:val="000000" w:themeColor="text1"/>
                <w:kern w:val="22"/>
                <w:sz w:val="20"/>
                <w:szCs w:val="20"/>
                <w:lang w:val="fr-FR"/>
              </w:rPr>
              <w:t xml:space="preserve">la </w:t>
            </w:r>
            <w:r w:rsidR="00AA68B5">
              <w:rPr>
                <w:rFonts w:eastAsia="Times New Roman" w:cs="Times New Roman"/>
                <w:color w:val="000000" w:themeColor="text1"/>
                <w:kern w:val="22"/>
                <w:sz w:val="20"/>
                <w:szCs w:val="20"/>
                <w:lang w:val="fr-FR"/>
              </w:rPr>
              <w:t>production</w:t>
            </w:r>
            <w:r w:rsidR="00401E32">
              <w:rPr>
                <w:rFonts w:eastAsia="Times New Roman" w:cs="Times New Roman"/>
                <w:color w:val="000000" w:themeColor="text1"/>
                <w:kern w:val="22"/>
                <w:sz w:val="20"/>
                <w:szCs w:val="20"/>
                <w:lang w:val="fr-FR"/>
              </w:rPr>
              <w:t xml:space="preserve"> de</w:t>
            </w:r>
            <w:r w:rsidR="00AC58E9" w:rsidRPr="0072393B">
              <w:rPr>
                <w:rFonts w:eastAsia="Times New Roman" w:cs="Times New Roman"/>
                <w:color w:val="000000" w:themeColor="text1"/>
                <w:kern w:val="22"/>
                <w:sz w:val="20"/>
                <w:szCs w:val="20"/>
                <w:lang w:val="fr-FR"/>
              </w:rPr>
              <w:t xml:space="preserve"> </w:t>
            </w:r>
            <w:r w:rsidR="00CE3A0E">
              <w:rPr>
                <w:rFonts w:eastAsia="Times New Roman" w:cs="Times New Roman"/>
                <w:color w:val="000000" w:themeColor="text1"/>
                <w:kern w:val="22"/>
                <w:sz w:val="20"/>
                <w:szCs w:val="20"/>
                <w:lang w:val="fr-FR"/>
              </w:rPr>
              <w:t>glycosides de stéviol</w:t>
            </w:r>
            <w:r w:rsidR="35733B0B" w:rsidRPr="0072393B">
              <w:rPr>
                <w:rFonts w:eastAsia="Times New Roman" w:cs="Times New Roman"/>
                <w:color w:val="000000" w:themeColor="text1"/>
                <w:kern w:val="22"/>
                <w:sz w:val="20"/>
                <w:szCs w:val="20"/>
                <w:lang w:val="fr-FR"/>
              </w:rPr>
              <w:t xml:space="preserve">, </w:t>
            </w:r>
            <w:r w:rsidR="00401E32">
              <w:rPr>
                <w:rFonts w:eastAsia="Times New Roman" w:cs="Times New Roman"/>
                <w:color w:val="000000" w:themeColor="text1"/>
                <w:kern w:val="22"/>
                <w:sz w:val="20"/>
                <w:szCs w:val="20"/>
                <w:lang w:val="fr-FR"/>
              </w:rPr>
              <w:t>d</w:t>
            </w:r>
            <w:r w:rsidR="00D9629D">
              <w:rPr>
                <w:rFonts w:eastAsia="Times New Roman" w:cs="Times New Roman"/>
                <w:color w:val="000000" w:themeColor="text1"/>
                <w:kern w:val="22"/>
                <w:sz w:val="20"/>
                <w:szCs w:val="20"/>
                <w:lang w:val="fr-FR"/>
              </w:rPr>
              <w:t>’acide glucarique-D</w:t>
            </w:r>
            <w:r w:rsidR="00401E32">
              <w:rPr>
                <w:rFonts w:eastAsia="Times New Roman" w:cs="Times New Roman"/>
                <w:color w:val="000000" w:themeColor="text1"/>
                <w:kern w:val="22"/>
                <w:sz w:val="20"/>
                <w:szCs w:val="20"/>
                <w:lang w:val="fr-FR"/>
              </w:rPr>
              <w:t xml:space="preserve"> et de</w:t>
            </w:r>
            <w:r>
              <w:rPr>
                <w:rFonts w:eastAsia="Times New Roman" w:cs="Times New Roman"/>
                <w:color w:val="000000" w:themeColor="text1"/>
                <w:kern w:val="22"/>
                <w:sz w:val="20"/>
                <w:szCs w:val="20"/>
                <w:lang w:val="fr-FR"/>
              </w:rPr>
              <w:t xml:space="preserve"> bioéthanol</w:t>
            </w:r>
            <w:r w:rsidR="35733B0B" w:rsidRPr="0072393B">
              <w:rPr>
                <w:rFonts w:eastAsia="Times New Roman" w:cs="Times New Roman"/>
                <w:color w:val="000000" w:themeColor="text1"/>
                <w:kern w:val="22"/>
                <w:sz w:val="20"/>
                <w:szCs w:val="20"/>
                <w:lang w:val="fr-FR"/>
              </w:rPr>
              <w:t>).</w:t>
            </w:r>
          </w:p>
        </w:tc>
        <w:tc>
          <w:tcPr>
            <w:tcW w:w="0" w:type="dxa"/>
            <w:vMerge/>
          </w:tcPr>
          <w:p w14:paraId="07C591ED" w14:textId="6656DD01" w:rsidR="6873B90E" w:rsidRPr="0072393B"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p>
        </w:tc>
      </w:tr>
      <w:tr w:rsidR="6873B90E" w:rsidRPr="00E709D5" w14:paraId="2D09BDEC" w14:textId="77777777" w:rsidTr="00F43F79">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7ECC0081" w14:textId="6F399A65" w:rsidR="6873B90E" w:rsidRPr="00E3674F" w:rsidRDefault="00E3674F" w:rsidP="00F43F79">
            <w:pPr>
              <w:spacing w:before="40" w:after="40"/>
              <w:jc w:val="left"/>
              <w:rPr>
                <w:rFonts w:eastAsia="Times New Roman" w:cs="Times New Roman"/>
                <w:color w:val="000000" w:themeColor="text1"/>
                <w:kern w:val="22"/>
                <w:sz w:val="20"/>
                <w:szCs w:val="20"/>
                <w:lang w:val="fr-FR"/>
              </w:rPr>
            </w:pPr>
            <w:r w:rsidRPr="00E3674F">
              <w:rPr>
                <w:rFonts w:eastAsia="Times New Roman" w:cs="Times New Roman"/>
                <w:color w:val="000000" w:themeColor="text1"/>
                <w:kern w:val="22"/>
                <w:sz w:val="20"/>
                <w:szCs w:val="20"/>
                <w:lang w:val="fr-FR"/>
              </w:rPr>
              <w:t>Connaissances traditionnelles</w:t>
            </w:r>
            <w:r w:rsidR="35733B0B" w:rsidRPr="00E3674F">
              <w:rPr>
                <w:rFonts w:eastAsia="Times New Roman" w:cs="Times New Roman"/>
                <w:color w:val="000000" w:themeColor="text1"/>
                <w:kern w:val="22"/>
                <w:sz w:val="20"/>
                <w:szCs w:val="20"/>
                <w:lang w:val="fr-FR"/>
              </w:rPr>
              <w:t xml:space="preserve"> </w:t>
            </w:r>
            <w:r>
              <w:rPr>
                <w:rFonts w:eastAsia="Times New Roman" w:cs="Times New Roman"/>
                <w:color w:val="000000" w:themeColor="text1"/>
                <w:kern w:val="22"/>
                <w:sz w:val="20"/>
                <w:szCs w:val="20"/>
                <w:lang w:val="fr-FR"/>
              </w:rPr>
              <w:t>associées aux</w:t>
            </w:r>
            <w:r w:rsidR="35733B0B" w:rsidRPr="00E3674F">
              <w:rPr>
                <w:rFonts w:eastAsia="Times New Roman" w:cs="Times New Roman"/>
                <w:color w:val="000000" w:themeColor="text1"/>
                <w:kern w:val="22"/>
                <w:sz w:val="20"/>
                <w:szCs w:val="20"/>
                <w:lang w:val="fr-FR"/>
              </w:rPr>
              <w:t xml:space="preserve"> </w:t>
            </w:r>
            <w:r w:rsidRPr="00E3674F">
              <w:rPr>
                <w:rFonts w:eastAsia="Times New Roman" w:cs="Times New Roman"/>
                <w:color w:val="000000" w:themeColor="text1"/>
                <w:kern w:val="22"/>
                <w:sz w:val="20"/>
                <w:szCs w:val="20"/>
                <w:lang w:val="fr-FR"/>
              </w:rPr>
              <w:t>ressources génétiques</w:t>
            </w:r>
            <w:r w:rsidR="35733B0B" w:rsidRPr="00E3674F">
              <w:rPr>
                <w:rFonts w:eastAsia="Times New Roman" w:cs="Times New Roman"/>
                <w:color w:val="000000" w:themeColor="text1"/>
                <w:kern w:val="22"/>
                <w:sz w:val="20"/>
                <w:szCs w:val="20"/>
                <w:lang w:val="fr-FR"/>
              </w:rPr>
              <w:t xml:space="preserve"> </w:t>
            </w:r>
            <w:r w:rsidR="00651FB0">
              <w:rPr>
                <w:rFonts w:eastAsia="Times New Roman" w:cs="Times New Roman"/>
                <w:color w:val="000000" w:themeColor="text1"/>
                <w:kern w:val="22"/>
                <w:sz w:val="20"/>
                <w:szCs w:val="20"/>
                <w:lang w:val="fr-FR"/>
              </w:rPr>
              <w:t>qui se trouvent</w:t>
            </w:r>
            <w:r w:rsidR="00FB033A">
              <w:rPr>
                <w:rFonts w:eastAsia="Times New Roman" w:cs="Times New Roman"/>
                <w:color w:val="000000" w:themeColor="text1"/>
                <w:kern w:val="22"/>
                <w:sz w:val="20"/>
                <w:szCs w:val="20"/>
                <w:lang w:val="fr-FR"/>
              </w:rPr>
              <w:t xml:space="preserve"> </w:t>
            </w:r>
            <w:r w:rsidR="002A127F">
              <w:rPr>
                <w:rFonts w:eastAsia="Times New Roman" w:cs="Times New Roman"/>
                <w:color w:val="000000" w:themeColor="text1"/>
                <w:kern w:val="22"/>
                <w:sz w:val="20"/>
                <w:szCs w:val="20"/>
                <w:lang w:val="fr-FR"/>
              </w:rPr>
              <w:t>dans des situations</w:t>
            </w:r>
            <w:r w:rsidRPr="00E3674F">
              <w:rPr>
                <w:rFonts w:eastAsia="Times New Roman" w:cs="Times New Roman"/>
                <w:color w:val="000000" w:themeColor="text1"/>
                <w:kern w:val="22"/>
                <w:sz w:val="20"/>
                <w:szCs w:val="20"/>
                <w:lang w:val="fr-FR"/>
              </w:rPr>
              <w:t xml:space="preserve"> transfrontières</w:t>
            </w:r>
            <w:r w:rsidR="35733B0B" w:rsidRPr="00E3674F">
              <w:rPr>
                <w:rFonts w:eastAsia="Times New Roman" w:cs="Times New Roman"/>
                <w:color w:val="000000" w:themeColor="text1"/>
                <w:kern w:val="22"/>
                <w:sz w:val="20"/>
                <w:szCs w:val="20"/>
                <w:lang w:val="fr-FR"/>
              </w:rPr>
              <w:t xml:space="preserve"> </w:t>
            </w:r>
            <w:r w:rsidR="00755B2D">
              <w:rPr>
                <w:rFonts w:eastAsia="Times New Roman" w:cs="Times New Roman"/>
                <w:color w:val="000000" w:themeColor="text1"/>
                <w:kern w:val="22"/>
                <w:sz w:val="20"/>
                <w:szCs w:val="20"/>
                <w:lang w:val="fr-FR"/>
              </w:rPr>
              <w:t>ou pour lesquelles</w:t>
            </w:r>
            <w:r w:rsidR="0020703A">
              <w:rPr>
                <w:rFonts w:eastAsia="Times New Roman" w:cs="Times New Roman"/>
                <w:color w:val="000000" w:themeColor="text1"/>
                <w:kern w:val="22"/>
                <w:sz w:val="20"/>
                <w:szCs w:val="20"/>
                <w:lang w:val="fr-FR"/>
              </w:rPr>
              <w:t xml:space="preserve"> </w:t>
            </w:r>
            <w:r w:rsidR="007D7761">
              <w:rPr>
                <w:rFonts w:eastAsia="Times New Roman" w:cs="Times New Roman"/>
                <w:color w:val="000000" w:themeColor="text1"/>
                <w:kern w:val="22"/>
                <w:sz w:val="20"/>
                <w:szCs w:val="20"/>
                <w:lang w:val="fr-FR"/>
              </w:rPr>
              <w:t>il n’est pas possible</w:t>
            </w:r>
            <w:r w:rsidR="35733B0B" w:rsidRPr="00E3674F">
              <w:rPr>
                <w:rFonts w:eastAsia="Times New Roman" w:cs="Times New Roman"/>
                <w:color w:val="000000" w:themeColor="text1"/>
                <w:kern w:val="22"/>
                <w:sz w:val="20"/>
                <w:szCs w:val="20"/>
                <w:lang w:val="fr-FR"/>
              </w:rPr>
              <w:t xml:space="preserve"> </w:t>
            </w:r>
            <w:r w:rsidR="00FB033A">
              <w:rPr>
                <w:rFonts w:eastAsia="Times New Roman" w:cs="Times New Roman"/>
                <w:color w:val="000000" w:themeColor="text1"/>
                <w:kern w:val="22"/>
                <w:sz w:val="20"/>
                <w:szCs w:val="20"/>
                <w:lang w:val="fr-FR"/>
              </w:rPr>
              <w:t xml:space="preserve">d’accorder ou </w:t>
            </w:r>
            <w:r w:rsidR="000E3236">
              <w:rPr>
                <w:rFonts w:eastAsia="Times New Roman" w:cs="Times New Roman"/>
                <w:color w:val="000000" w:themeColor="text1"/>
                <w:kern w:val="22"/>
                <w:sz w:val="20"/>
                <w:szCs w:val="20"/>
                <w:lang w:val="fr-FR"/>
              </w:rPr>
              <w:t xml:space="preserve">d’obtenir un </w:t>
            </w:r>
            <w:r w:rsidR="007D7761">
              <w:rPr>
                <w:rFonts w:eastAsia="Times New Roman" w:cs="Times New Roman"/>
                <w:color w:val="000000" w:themeColor="text1"/>
                <w:kern w:val="22"/>
                <w:sz w:val="20"/>
                <w:szCs w:val="20"/>
                <w:lang w:val="fr-FR"/>
              </w:rPr>
              <w:t>consentement préalable donné en connaissance de cause</w:t>
            </w:r>
          </w:p>
        </w:tc>
        <w:tc>
          <w:tcPr>
            <w:tcW w:w="0" w:type="dxa"/>
          </w:tcPr>
          <w:p w14:paraId="6C897DD2" w14:textId="3E509AC9" w:rsidR="6873B90E" w:rsidRPr="00FB0054" w:rsidRDefault="35733B0B"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FB0054">
              <w:rPr>
                <w:rFonts w:eastAsia="Times New Roman" w:cs="Times New Roman"/>
                <w:color w:val="000000" w:themeColor="text1"/>
                <w:kern w:val="22"/>
                <w:sz w:val="20"/>
                <w:szCs w:val="20"/>
                <w:lang w:val="fr-FR"/>
              </w:rPr>
              <w:t xml:space="preserve">a) </w:t>
            </w:r>
            <w:r w:rsidR="00830BE4">
              <w:rPr>
                <w:rFonts w:eastAsia="Times New Roman" w:cs="Times New Roman"/>
                <w:color w:val="000000" w:themeColor="text1"/>
                <w:kern w:val="22"/>
                <w:sz w:val="20"/>
                <w:szCs w:val="20"/>
                <w:lang w:val="fr-FR"/>
              </w:rPr>
              <w:t>Connaissances traditionnelles connexes</w:t>
            </w:r>
            <w:r w:rsidRPr="00FB0054">
              <w:rPr>
                <w:rFonts w:eastAsia="Times New Roman" w:cs="Times New Roman"/>
                <w:color w:val="000000" w:themeColor="text1"/>
                <w:kern w:val="22"/>
                <w:sz w:val="20"/>
                <w:szCs w:val="20"/>
                <w:lang w:val="fr-FR"/>
              </w:rPr>
              <w:t xml:space="preserve"> </w:t>
            </w:r>
            <w:r w:rsidR="003F6B4A" w:rsidRPr="00FB0054">
              <w:rPr>
                <w:rFonts w:eastAsia="Times New Roman" w:cs="Times New Roman"/>
                <w:color w:val="000000" w:themeColor="text1"/>
                <w:kern w:val="22"/>
                <w:sz w:val="20"/>
                <w:szCs w:val="20"/>
                <w:lang w:val="fr-FR"/>
              </w:rPr>
              <w:t>détenues par</w:t>
            </w:r>
            <w:r w:rsidRPr="00FB0054">
              <w:rPr>
                <w:rFonts w:eastAsia="Times New Roman" w:cs="Times New Roman"/>
                <w:color w:val="000000" w:themeColor="text1"/>
                <w:kern w:val="22"/>
                <w:sz w:val="20"/>
                <w:szCs w:val="20"/>
                <w:lang w:val="fr-FR"/>
              </w:rPr>
              <w:t xml:space="preserve"> </w:t>
            </w:r>
            <w:r w:rsidR="00830BE4">
              <w:rPr>
                <w:rFonts w:eastAsia="Times New Roman" w:cs="Times New Roman"/>
                <w:color w:val="000000" w:themeColor="text1"/>
                <w:kern w:val="22"/>
                <w:sz w:val="20"/>
                <w:szCs w:val="20"/>
                <w:lang w:val="fr-FR"/>
              </w:rPr>
              <w:t>des peuples autochtones et communautés locales</w:t>
            </w:r>
            <w:r w:rsidRPr="00FB0054">
              <w:rPr>
                <w:rFonts w:eastAsia="Times New Roman" w:cs="Times New Roman"/>
                <w:color w:val="000000" w:themeColor="text1"/>
                <w:kern w:val="22"/>
                <w:sz w:val="20"/>
                <w:szCs w:val="20"/>
                <w:lang w:val="fr-FR"/>
              </w:rPr>
              <w:t xml:space="preserve"> </w:t>
            </w:r>
            <w:r w:rsidR="00401E32">
              <w:rPr>
                <w:rFonts w:eastAsia="Times New Roman" w:cs="Times New Roman"/>
                <w:color w:val="000000" w:themeColor="text1"/>
                <w:kern w:val="22"/>
                <w:sz w:val="20"/>
                <w:szCs w:val="20"/>
                <w:lang w:val="fr-FR"/>
              </w:rPr>
              <w:t>dans plusieurs juridiction</w:t>
            </w:r>
            <w:r w:rsidR="00AA5919">
              <w:rPr>
                <w:rFonts w:eastAsia="Times New Roman" w:cs="Times New Roman"/>
                <w:color w:val="000000" w:themeColor="text1"/>
                <w:kern w:val="22"/>
                <w:sz w:val="20"/>
                <w:szCs w:val="20"/>
                <w:lang w:val="fr-FR"/>
              </w:rPr>
              <w:t>s</w:t>
            </w:r>
            <w:r w:rsidR="00401E32">
              <w:rPr>
                <w:rFonts w:eastAsia="Times New Roman" w:cs="Times New Roman"/>
                <w:color w:val="000000" w:themeColor="text1"/>
                <w:kern w:val="22"/>
                <w:sz w:val="20"/>
                <w:szCs w:val="20"/>
                <w:lang w:val="fr-FR"/>
              </w:rPr>
              <w:t xml:space="preserve"> nationales</w:t>
            </w:r>
          </w:p>
        </w:tc>
        <w:tc>
          <w:tcPr>
            <w:tcW w:w="0" w:type="dxa"/>
          </w:tcPr>
          <w:p w14:paraId="059AF16D" w14:textId="3E349DB9" w:rsidR="6873B90E" w:rsidRPr="00FB0054" w:rsidRDefault="00830BE4"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Pr>
                <w:rFonts w:eastAsia="Times New Roman" w:cs="Times New Roman"/>
                <w:color w:val="000000" w:themeColor="text1"/>
                <w:kern w:val="22"/>
                <w:sz w:val="20"/>
                <w:szCs w:val="20"/>
                <w:lang w:val="fr-FR"/>
              </w:rPr>
              <w:t>Connaissances traditionnelles connexes</w:t>
            </w:r>
            <w:r w:rsidR="35733B0B" w:rsidRPr="00FB0054">
              <w:rPr>
                <w:rFonts w:eastAsia="Times New Roman" w:cs="Times New Roman"/>
                <w:color w:val="000000" w:themeColor="text1"/>
                <w:kern w:val="22"/>
                <w:sz w:val="20"/>
                <w:szCs w:val="20"/>
                <w:lang w:val="fr-FR"/>
              </w:rPr>
              <w:t xml:space="preserve"> </w:t>
            </w:r>
            <w:r w:rsidR="003F6B4A" w:rsidRPr="00FB0054">
              <w:rPr>
                <w:rFonts w:eastAsia="Times New Roman" w:cs="Times New Roman"/>
                <w:color w:val="000000" w:themeColor="text1"/>
                <w:kern w:val="22"/>
                <w:sz w:val="20"/>
                <w:szCs w:val="20"/>
                <w:lang w:val="fr-FR"/>
              </w:rPr>
              <w:t>détenues par</w:t>
            </w:r>
            <w:r w:rsidR="00401E32">
              <w:rPr>
                <w:rFonts w:eastAsia="Times New Roman" w:cs="Times New Roman"/>
                <w:color w:val="000000" w:themeColor="text1"/>
                <w:kern w:val="22"/>
                <w:sz w:val="20"/>
                <w:szCs w:val="20"/>
                <w:lang w:val="fr-FR"/>
              </w:rPr>
              <w:t xml:space="preserve"> un seul groupe</w:t>
            </w:r>
            <w:r w:rsidR="000B36BE">
              <w:rPr>
                <w:rFonts w:eastAsia="Times New Roman" w:cs="Times New Roman"/>
                <w:color w:val="000000" w:themeColor="text1"/>
                <w:kern w:val="22"/>
                <w:sz w:val="20"/>
                <w:szCs w:val="20"/>
                <w:lang w:val="fr-FR"/>
              </w:rPr>
              <w:t xml:space="preserve"> situé </w:t>
            </w:r>
            <w:r w:rsidR="00BE4772">
              <w:rPr>
                <w:rFonts w:eastAsia="Times New Roman" w:cs="Times New Roman"/>
                <w:color w:val="000000" w:themeColor="text1"/>
                <w:kern w:val="22"/>
                <w:sz w:val="20"/>
                <w:szCs w:val="20"/>
                <w:lang w:val="fr-FR"/>
              </w:rPr>
              <w:t>dans plusieurs pays</w:t>
            </w:r>
            <w:r w:rsidR="35733B0B" w:rsidRPr="00FB0054">
              <w:rPr>
                <w:rFonts w:eastAsia="Times New Roman" w:cs="Times New Roman"/>
                <w:color w:val="000000" w:themeColor="text1"/>
                <w:kern w:val="22"/>
                <w:sz w:val="20"/>
                <w:szCs w:val="20"/>
                <w:lang w:val="fr-FR"/>
              </w:rPr>
              <w:t xml:space="preserve"> (</w:t>
            </w:r>
            <w:r w:rsidR="000D5072">
              <w:rPr>
                <w:rFonts w:eastAsia="Times New Roman" w:cs="Times New Roman"/>
                <w:color w:val="000000" w:themeColor="text1"/>
                <w:kern w:val="22"/>
                <w:sz w:val="20"/>
                <w:szCs w:val="20"/>
                <w:lang w:val="fr-FR"/>
              </w:rPr>
              <w:t>par exemple</w:t>
            </w:r>
            <w:r w:rsidR="002E33B3">
              <w:rPr>
                <w:rFonts w:eastAsia="Times New Roman" w:cs="Times New Roman"/>
                <w:color w:val="000000" w:themeColor="text1"/>
                <w:kern w:val="22"/>
                <w:sz w:val="20"/>
                <w:szCs w:val="20"/>
                <w:lang w:val="fr-FR"/>
              </w:rPr>
              <w:t xml:space="preserve">, le peuple autochtone Guna </w:t>
            </w:r>
            <w:r w:rsidR="00401E32">
              <w:rPr>
                <w:rFonts w:eastAsia="Times New Roman" w:cs="Times New Roman"/>
                <w:color w:val="000000" w:themeColor="text1"/>
                <w:kern w:val="22"/>
                <w:sz w:val="20"/>
                <w:szCs w:val="20"/>
                <w:lang w:val="fr-FR"/>
              </w:rPr>
              <w:t xml:space="preserve">situé </w:t>
            </w:r>
            <w:r w:rsidR="002E33B3">
              <w:rPr>
                <w:rFonts w:eastAsia="Times New Roman" w:cs="Times New Roman"/>
                <w:color w:val="000000" w:themeColor="text1"/>
                <w:kern w:val="22"/>
                <w:sz w:val="20"/>
                <w:szCs w:val="20"/>
                <w:lang w:val="fr-FR"/>
              </w:rPr>
              <w:t>au</w:t>
            </w:r>
            <w:r w:rsidR="35733B0B" w:rsidRPr="00FB0054">
              <w:rPr>
                <w:rFonts w:eastAsia="Times New Roman" w:cs="Times New Roman"/>
                <w:color w:val="000000" w:themeColor="text1"/>
                <w:kern w:val="22"/>
                <w:sz w:val="20"/>
                <w:szCs w:val="20"/>
                <w:lang w:val="fr-FR"/>
              </w:rPr>
              <w:t xml:space="preserve"> Panama</w:t>
            </w:r>
            <w:r w:rsidR="00E3674F" w:rsidRPr="00FB0054">
              <w:rPr>
                <w:rFonts w:eastAsia="Times New Roman" w:cs="Times New Roman"/>
                <w:color w:val="000000" w:themeColor="text1"/>
                <w:kern w:val="22"/>
                <w:sz w:val="20"/>
                <w:szCs w:val="20"/>
                <w:lang w:val="fr-FR"/>
              </w:rPr>
              <w:t xml:space="preserve"> et </w:t>
            </w:r>
            <w:r w:rsidR="002E33B3">
              <w:rPr>
                <w:rFonts w:eastAsia="Times New Roman" w:cs="Times New Roman"/>
                <w:color w:val="000000" w:themeColor="text1"/>
                <w:kern w:val="22"/>
                <w:sz w:val="20"/>
                <w:szCs w:val="20"/>
                <w:lang w:val="fr-FR"/>
              </w:rPr>
              <w:t>en Colombie</w:t>
            </w:r>
            <w:r w:rsidR="00401E32">
              <w:rPr>
                <w:rFonts w:eastAsia="Times New Roman" w:cs="Times New Roman"/>
                <w:color w:val="000000" w:themeColor="text1"/>
                <w:kern w:val="22"/>
                <w:sz w:val="20"/>
                <w:szCs w:val="20"/>
                <w:lang w:val="fr-FR"/>
              </w:rPr>
              <w:t>), ou</w:t>
            </w:r>
            <w:r w:rsidR="35733B0B" w:rsidRPr="00FB0054">
              <w:rPr>
                <w:rFonts w:eastAsia="Times New Roman" w:cs="Times New Roman"/>
                <w:color w:val="000000" w:themeColor="text1"/>
                <w:kern w:val="22"/>
                <w:sz w:val="20"/>
                <w:szCs w:val="20"/>
                <w:lang w:val="fr-FR"/>
              </w:rPr>
              <w:t xml:space="preserve"> </w:t>
            </w:r>
            <w:r w:rsidR="00401E32">
              <w:rPr>
                <w:rFonts w:eastAsia="Times New Roman" w:cs="Times New Roman"/>
                <w:color w:val="000000" w:themeColor="text1"/>
                <w:kern w:val="22"/>
                <w:sz w:val="20"/>
                <w:szCs w:val="20"/>
                <w:lang w:val="fr-FR"/>
              </w:rPr>
              <w:t>c</w:t>
            </w:r>
            <w:r>
              <w:rPr>
                <w:rFonts w:eastAsia="Times New Roman" w:cs="Times New Roman"/>
                <w:color w:val="000000" w:themeColor="text1"/>
                <w:kern w:val="22"/>
                <w:sz w:val="20"/>
                <w:szCs w:val="20"/>
                <w:lang w:val="fr-FR"/>
              </w:rPr>
              <w:t>onnaissances traditionnelles connexes</w:t>
            </w:r>
            <w:r w:rsidR="35733B0B" w:rsidRPr="00FB0054">
              <w:rPr>
                <w:rFonts w:eastAsia="Times New Roman" w:cs="Times New Roman"/>
                <w:color w:val="000000" w:themeColor="text1"/>
                <w:kern w:val="22"/>
                <w:sz w:val="20"/>
                <w:szCs w:val="20"/>
                <w:lang w:val="fr-FR"/>
              </w:rPr>
              <w:t xml:space="preserve"> </w:t>
            </w:r>
            <w:r w:rsidR="003F6B4A" w:rsidRPr="00FB0054">
              <w:rPr>
                <w:rFonts w:eastAsia="Times New Roman" w:cs="Times New Roman"/>
                <w:color w:val="000000" w:themeColor="text1"/>
                <w:kern w:val="22"/>
                <w:sz w:val="20"/>
                <w:szCs w:val="20"/>
                <w:lang w:val="fr-FR"/>
              </w:rPr>
              <w:t>détenues par</w:t>
            </w:r>
            <w:r w:rsidR="35733B0B" w:rsidRPr="00FB0054">
              <w:rPr>
                <w:rFonts w:eastAsia="Times New Roman" w:cs="Times New Roman"/>
                <w:color w:val="000000" w:themeColor="text1"/>
                <w:kern w:val="22"/>
                <w:sz w:val="20"/>
                <w:szCs w:val="20"/>
                <w:lang w:val="fr-FR"/>
              </w:rPr>
              <w:t xml:space="preserve"> </w:t>
            </w:r>
            <w:r w:rsidR="0092735F">
              <w:rPr>
                <w:rFonts w:eastAsia="Times New Roman" w:cs="Times New Roman"/>
                <w:color w:val="000000" w:themeColor="text1"/>
                <w:kern w:val="22"/>
                <w:sz w:val="20"/>
                <w:szCs w:val="20"/>
                <w:lang w:val="fr-FR"/>
              </w:rPr>
              <w:t>plusieurs groupes</w:t>
            </w:r>
            <w:r w:rsidR="35733B0B" w:rsidRPr="00FB0054">
              <w:rPr>
                <w:rFonts w:eastAsia="Times New Roman" w:cs="Times New Roman"/>
                <w:color w:val="000000" w:themeColor="text1"/>
                <w:kern w:val="22"/>
                <w:sz w:val="20"/>
                <w:szCs w:val="20"/>
                <w:lang w:val="fr-FR"/>
              </w:rPr>
              <w:t xml:space="preserve"> </w:t>
            </w:r>
            <w:r w:rsidR="00C33E5E">
              <w:rPr>
                <w:rFonts w:eastAsia="Times New Roman" w:cs="Times New Roman"/>
                <w:color w:val="000000" w:themeColor="text1"/>
                <w:kern w:val="22"/>
                <w:sz w:val="20"/>
                <w:szCs w:val="20"/>
                <w:lang w:val="fr-FR"/>
              </w:rPr>
              <w:t>situés</w:t>
            </w:r>
            <w:r w:rsidR="35733B0B" w:rsidRPr="00FB0054">
              <w:rPr>
                <w:rFonts w:eastAsia="Times New Roman" w:cs="Times New Roman"/>
                <w:color w:val="000000" w:themeColor="text1"/>
                <w:kern w:val="22"/>
                <w:sz w:val="20"/>
                <w:szCs w:val="20"/>
                <w:lang w:val="fr-FR"/>
              </w:rPr>
              <w:t xml:space="preserve"> </w:t>
            </w:r>
            <w:r w:rsidR="00BE4772">
              <w:rPr>
                <w:rFonts w:eastAsia="Times New Roman" w:cs="Times New Roman"/>
                <w:color w:val="000000" w:themeColor="text1"/>
                <w:kern w:val="22"/>
                <w:sz w:val="20"/>
                <w:szCs w:val="20"/>
                <w:lang w:val="fr-FR"/>
              </w:rPr>
              <w:t>dans plusieurs pays</w:t>
            </w:r>
            <w:r w:rsidR="00401E32">
              <w:rPr>
                <w:rFonts w:eastAsia="Times New Roman" w:cs="Times New Roman"/>
                <w:color w:val="000000" w:themeColor="text1"/>
                <w:kern w:val="22"/>
                <w:sz w:val="20"/>
                <w:szCs w:val="20"/>
                <w:lang w:val="fr-FR"/>
              </w:rPr>
              <w:t>, ou</w:t>
            </w:r>
            <w:r w:rsidR="35733B0B" w:rsidRPr="00FB0054">
              <w:rPr>
                <w:rFonts w:eastAsia="Times New Roman" w:cs="Times New Roman"/>
                <w:b/>
                <w:bCs/>
                <w:color w:val="000000" w:themeColor="text1"/>
                <w:kern w:val="22"/>
                <w:sz w:val="20"/>
                <w:szCs w:val="20"/>
                <w:lang w:val="fr-FR"/>
              </w:rPr>
              <w:t xml:space="preserve"> </w:t>
            </w:r>
            <w:r w:rsidR="00401E32">
              <w:rPr>
                <w:rFonts w:eastAsia="Times New Roman" w:cs="Times New Roman"/>
                <w:color w:val="000000" w:themeColor="text1"/>
                <w:kern w:val="22"/>
                <w:sz w:val="20"/>
                <w:szCs w:val="20"/>
                <w:lang w:val="fr-FR"/>
              </w:rPr>
              <w:t>c</w:t>
            </w:r>
            <w:r>
              <w:rPr>
                <w:rFonts w:eastAsia="Times New Roman" w:cs="Times New Roman"/>
                <w:color w:val="000000" w:themeColor="text1"/>
                <w:kern w:val="22"/>
                <w:sz w:val="20"/>
                <w:szCs w:val="20"/>
                <w:lang w:val="fr-FR"/>
              </w:rPr>
              <w:t>onnaissances traditionnelles connexes</w:t>
            </w:r>
            <w:r w:rsidR="35733B0B" w:rsidRPr="00FB0054">
              <w:rPr>
                <w:rFonts w:eastAsia="Times New Roman" w:cs="Times New Roman"/>
                <w:color w:val="000000" w:themeColor="text1"/>
                <w:kern w:val="22"/>
                <w:sz w:val="20"/>
                <w:szCs w:val="20"/>
                <w:lang w:val="fr-FR"/>
              </w:rPr>
              <w:t xml:space="preserve"> </w:t>
            </w:r>
            <w:r w:rsidR="003F6B4A" w:rsidRPr="00FB0054">
              <w:rPr>
                <w:rFonts w:eastAsia="Times New Roman" w:cs="Times New Roman"/>
                <w:color w:val="000000" w:themeColor="text1"/>
                <w:kern w:val="22"/>
                <w:sz w:val="20"/>
                <w:szCs w:val="20"/>
                <w:lang w:val="fr-FR"/>
              </w:rPr>
              <w:t>détenues par</w:t>
            </w:r>
            <w:r w:rsidR="35733B0B" w:rsidRPr="00FB0054">
              <w:rPr>
                <w:rFonts w:eastAsia="Times New Roman" w:cs="Times New Roman"/>
                <w:color w:val="000000" w:themeColor="text1"/>
                <w:kern w:val="22"/>
                <w:sz w:val="20"/>
                <w:szCs w:val="20"/>
                <w:lang w:val="fr-FR"/>
              </w:rPr>
              <w:t xml:space="preserve"> </w:t>
            </w:r>
            <w:r w:rsidR="008A5BE1">
              <w:rPr>
                <w:rFonts w:eastAsia="Times New Roman" w:cs="Times New Roman"/>
                <w:color w:val="000000" w:themeColor="text1"/>
                <w:kern w:val="22"/>
                <w:sz w:val="20"/>
                <w:szCs w:val="20"/>
                <w:lang w:val="fr-FR"/>
              </w:rPr>
              <w:t>une communauté</w:t>
            </w:r>
            <w:r w:rsidR="35733B0B" w:rsidRPr="00FB0054">
              <w:rPr>
                <w:rFonts w:eastAsia="Times New Roman" w:cs="Times New Roman"/>
                <w:color w:val="000000" w:themeColor="text1"/>
                <w:kern w:val="22"/>
                <w:sz w:val="20"/>
                <w:szCs w:val="20"/>
                <w:lang w:val="fr-FR"/>
              </w:rPr>
              <w:t xml:space="preserve"> </w:t>
            </w:r>
            <w:r w:rsidR="008A5BE1">
              <w:rPr>
                <w:rFonts w:eastAsia="Times New Roman" w:cs="Times New Roman"/>
                <w:color w:val="000000" w:themeColor="text1"/>
                <w:kern w:val="22"/>
                <w:sz w:val="20"/>
                <w:szCs w:val="20"/>
                <w:lang w:val="fr-FR"/>
              </w:rPr>
              <w:t>dans un pays</w:t>
            </w:r>
            <w:r w:rsidR="00401E32">
              <w:rPr>
                <w:rFonts w:eastAsia="Times New Roman" w:cs="Times New Roman"/>
                <w:color w:val="000000" w:themeColor="text1"/>
                <w:kern w:val="22"/>
                <w:sz w:val="20"/>
                <w:szCs w:val="20"/>
                <w:lang w:val="fr-FR"/>
              </w:rPr>
              <w:t xml:space="preserve"> donné, concernant </w:t>
            </w:r>
            <w:r w:rsidR="00C33E5E">
              <w:rPr>
                <w:rFonts w:eastAsia="Times New Roman" w:cs="Times New Roman"/>
                <w:color w:val="000000" w:themeColor="text1"/>
                <w:kern w:val="22"/>
                <w:sz w:val="20"/>
                <w:szCs w:val="20"/>
                <w:lang w:val="fr-FR"/>
              </w:rPr>
              <w:t>une</w:t>
            </w:r>
            <w:r w:rsidR="35733B0B" w:rsidRPr="00FB0054">
              <w:rPr>
                <w:rFonts w:eastAsia="Times New Roman" w:cs="Times New Roman"/>
                <w:color w:val="000000" w:themeColor="text1"/>
                <w:kern w:val="22"/>
                <w:sz w:val="20"/>
                <w:szCs w:val="20"/>
                <w:lang w:val="fr-FR"/>
              </w:rPr>
              <w:t xml:space="preserve"> </w:t>
            </w:r>
            <w:r w:rsidR="00BE4772">
              <w:rPr>
                <w:rFonts w:eastAsia="Times New Roman" w:cs="Times New Roman"/>
                <w:color w:val="000000" w:themeColor="text1"/>
                <w:kern w:val="22"/>
                <w:sz w:val="20"/>
                <w:szCs w:val="20"/>
                <w:lang w:val="fr-FR"/>
              </w:rPr>
              <w:t xml:space="preserve">ressource génétique </w:t>
            </w:r>
            <w:r w:rsidR="00401E32">
              <w:rPr>
                <w:rFonts w:eastAsia="Times New Roman" w:cs="Times New Roman"/>
                <w:color w:val="000000" w:themeColor="text1"/>
                <w:kern w:val="22"/>
                <w:sz w:val="20"/>
                <w:szCs w:val="20"/>
                <w:lang w:val="fr-FR"/>
              </w:rPr>
              <w:t>originaire d’</w:t>
            </w:r>
            <w:r w:rsidR="008A5BE1">
              <w:rPr>
                <w:rFonts w:eastAsia="Times New Roman" w:cs="Times New Roman"/>
                <w:color w:val="000000" w:themeColor="text1"/>
                <w:kern w:val="22"/>
                <w:sz w:val="20"/>
                <w:szCs w:val="20"/>
                <w:lang w:val="fr-FR"/>
              </w:rPr>
              <w:t>un autre</w:t>
            </w:r>
            <w:r w:rsidR="35733B0B" w:rsidRPr="00FB0054">
              <w:rPr>
                <w:rFonts w:eastAsia="Times New Roman" w:cs="Times New Roman"/>
                <w:color w:val="000000" w:themeColor="text1"/>
                <w:kern w:val="22"/>
                <w:sz w:val="20"/>
                <w:szCs w:val="20"/>
                <w:lang w:val="fr-FR"/>
              </w:rPr>
              <w:t xml:space="preserve"> </w:t>
            </w:r>
            <w:r w:rsidR="008A5BE1">
              <w:rPr>
                <w:rFonts w:eastAsia="Times New Roman" w:cs="Times New Roman"/>
                <w:color w:val="000000" w:themeColor="text1"/>
                <w:kern w:val="22"/>
                <w:sz w:val="20"/>
                <w:szCs w:val="20"/>
                <w:lang w:val="fr-FR"/>
              </w:rPr>
              <w:t>pays</w:t>
            </w:r>
            <w:r w:rsidR="35733B0B" w:rsidRPr="00FB0054">
              <w:rPr>
                <w:rFonts w:eastAsia="Times New Roman" w:cs="Times New Roman"/>
                <w:color w:val="000000" w:themeColor="text1"/>
                <w:kern w:val="22"/>
                <w:sz w:val="20"/>
                <w:szCs w:val="20"/>
                <w:lang w:val="fr-FR"/>
              </w:rPr>
              <w:t xml:space="preserve"> (</w:t>
            </w:r>
            <w:r w:rsidR="000D5072">
              <w:rPr>
                <w:rFonts w:eastAsia="Times New Roman" w:cs="Times New Roman"/>
                <w:color w:val="000000" w:themeColor="text1"/>
                <w:kern w:val="22"/>
                <w:sz w:val="20"/>
                <w:szCs w:val="20"/>
                <w:lang w:val="fr-FR"/>
              </w:rPr>
              <w:t>par exemple</w:t>
            </w:r>
            <w:r w:rsidR="35733B0B" w:rsidRPr="00FB0054">
              <w:rPr>
                <w:rFonts w:eastAsia="Times New Roman" w:cs="Times New Roman"/>
                <w:color w:val="000000" w:themeColor="text1"/>
                <w:kern w:val="22"/>
                <w:sz w:val="20"/>
                <w:szCs w:val="20"/>
                <w:lang w:val="fr-FR"/>
              </w:rPr>
              <w:t xml:space="preserve">, </w:t>
            </w:r>
            <w:r w:rsidR="00E3674F" w:rsidRPr="00FB0054">
              <w:rPr>
                <w:rFonts w:eastAsia="Times New Roman" w:cs="Times New Roman"/>
                <w:color w:val="000000" w:themeColor="text1"/>
                <w:kern w:val="22"/>
                <w:sz w:val="20"/>
                <w:szCs w:val="20"/>
                <w:lang w:val="fr-FR"/>
              </w:rPr>
              <w:t>connaissances traditionnelles</w:t>
            </w:r>
            <w:r w:rsidR="35733B0B" w:rsidRPr="00FB0054">
              <w:rPr>
                <w:rFonts w:eastAsia="Times New Roman" w:cs="Times New Roman"/>
                <w:color w:val="000000" w:themeColor="text1"/>
                <w:kern w:val="22"/>
                <w:sz w:val="20"/>
                <w:szCs w:val="20"/>
                <w:lang w:val="fr-FR"/>
              </w:rPr>
              <w:t xml:space="preserve"> </w:t>
            </w:r>
            <w:r w:rsidR="00401E32">
              <w:rPr>
                <w:rFonts w:eastAsia="Times New Roman" w:cs="Times New Roman"/>
                <w:color w:val="000000" w:themeColor="text1"/>
                <w:kern w:val="22"/>
                <w:sz w:val="20"/>
                <w:szCs w:val="20"/>
                <w:lang w:val="fr-FR"/>
              </w:rPr>
              <w:t>li</w:t>
            </w:r>
            <w:r w:rsidR="00C33E5E">
              <w:rPr>
                <w:rFonts w:eastAsia="Times New Roman" w:cs="Times New Roman"/>
                <w:color w:val="000000" w:themeColor="text1"/>
                <w:kern w:val="22"/>
                <w:sz w:val="20"/>
                <w:szCs w:val="20"/>
                <w:lang w:val="fr-FR"/>
              </w:rPr>
              <w:t>ées à la Pervenche rose</w:t>
            </w:r>
            <w:r w:rsidR="35733B0B" w:rsidRPr="00FB0054">
              <w:rPr>
                <w:rFonts w:eastAsia="Times New Roman" w:cs="Times New Roman"/>
                <w:color w:val="000000" w:themeColor="text1"/>
                <w:kern w:val="22"/>
                <w:sz w:val="20"/>
                <w:szCs w:val="20"/>
                <w:lang w:val="fr-FR"/>
              </w:rPr>
              <w:t xml:space="preserve"> (</w:t>
            </w:r>
            <w:r w:rsidR="35733B0B" w:rsidRPr="00FB0054">
              <w:rPr>
                <w:rFonts w:eastAsia="Times New Roman" w:cs="Times New Roman"/>
                <w:i/>
                <w:iCs/>
                <w:color w:val="000000" w:themeColor="text1"/>
                <w:kern w:val="22"/>
                <w:sz w:val="20"/>
                <w:szCs w:val="20"/>
                <w:lang w:val="fr-FR"/>
              </w:rPr>
              <w:t>Catharanthus roseus)</w:t>
            </w:r>
            <w:r w:rsidR="00401E32">
              <w:rPr>
                <w:rFonts w:eastAsia="Times New Roman" w:cs="Times New Roman"/>
                <w:b/>
                <w:bCs/>
                <w:color w:val="000000" w:themeColor="text1"/>
                <w:kern w:val="22"/>
                <w:sz w:val="20"/>
                <w:szCs w:val="20"/>
                <w:lang w:val="fr-FR"/>
              </w:rPr>
              <w:t xml:space="preserve"> </w:t>
            </w:r>
            <w:r w:rsidR="00401E32">
              <w:rPr>
                <w:rFonts w:eastAsia="Times New Roman" w:cs="Times New Roman"/>
                <w:color w:val="000000" w:themeColor="text1"/>
                <w:kern w:val="22"/>
                <w:sz w:val="20"/>
                <w:szCs w:val="20"/>
                <w:lang w:val="fr-FR"/>
              </w:rPr>
              <w:t>et à l’</w:t>
            </w:r>
            <w:r w:rsidR="00EC2C07">
              <w:rPr>
                <w:rFonts w:eastAsia="Times New Roman" w:cs="Times New Roman"/>
                <w:color w:val="000000" w:themeColor="text1"/>
                <w:kern w:val="22"/>
                <w:sz w:val="20"/>
                <w:szCs w:val="20"/>
                <w:lang w:val="fr-FR"/>
              </w:rPr>
              <w:t>Armoise de Judée</w:t>
            </w:r>
            <w:r w:rsidR="35733B0B" w:rsidRPr="00FB0054">
              <w:rPr>
                <w:rFonts w:eastAsia="Times New Roman" w:cs="Times New Roman"/>
                <w:color w:val="000000" w:themeColor="text1"/>
                <w:kern w:val="22"/>
                <w:sz w:val="20"/>
                <w:szCs w:val="20"/>
                <w:lang w:val="fr-FR"/>
              </w:rPr>
              <w:t xml:space="preserve"> (</w:t>
            </w:r>
            <w:r w:rsidR="35733B0B" w:rsidRPr="00FB0054">
              <w:rPr>
                <w:rFonts w:eastAsia="Times New Roman" w:cs="Times New Roman"/>
                <w:i/>
                <w:iCs/>
                <w:color w:val="000000" w:themeColor="text1"/>
                <w:kern w:val="22"/>
                <w:sz w:val="20"/>
                <w:szCs w:val="20"/>
                <w:lang w:val="fr-FR"/>
              </w:rPr>
              <w:t>Artemesia judaica</w:t>
            </w:r>
            <w:r w:rsidR="35733B0B" w:rsidRPr="00FB0054">
              <w:rPr>
                <w:rFonts w:eastAsia="Times New Roman" w:cs="Times New Roman"/>
                <w:color w:val="000000" w:themeColor="text1"/>
                <w:kern w:val="22"/>
                <w:sz w:val="20"/>
                <w:szCs w:val="20"/>
                <w:lang w:val="fr-FR"/>
              </w:rPr>
              <w:t>)).</w:t>
            </w:r>
          </w:p>
        </w:tc>
        <w:tc>
          <w:tcPr>
            <w:tcW w:w="0" w:type="dxa"/>
            <w:vMerge w:val="restart"/>
          </w:tcPr>
          <w:p w14:paraId="5411124C" w14:textId="5EF2AE75" w:rsidR="004464E6" w:rsidRPr="000B36BE" w:rsidRDefault="00510766"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Pr>
                <w:rFonts w:eastAsia="Times New Roman" w:cs="Times New Roman"/>
                <w:iCs/>
                <w:color w:val="000000" w:themeColor="text1"/>
                <w:kern w:val="22"/>
                <w:sz w:val="20"/>
                <w:szCs w:val="20"/>
                <w:lang w:val="fr-FR"/>
              </w:rPr>
              <w:t xml:space="preserve">Les principales difficultés sont </w:t>
            </w:r>
            <w:r w:rsidR="000B36BE" w:rsidRPr="000B36BE">
              <w:rPr>
                <w:rFonts w:eastAsia="Times New Roman" w:cs="Times New Roman"/>
                <w:iCs/>
                <w:color w:val="000000" w:themeColor="text1"/>
                <w:kern w:val="22"/>
                <w:sz w:val="20"/>
                <w:szCs w:val="20"/>
                <w:lang w:val="fr-FR"/>
              </w:rPr>
              <w:t>d’identifier le</w:t>
            </w:r>
            <w:r>
              <w:rPr>
                <w:rFonts w:eastAsia="Times New Roman" w:cs="Times New Roman"/>
                <w:iCs/>
                <w:color w:val="000000" w:themeColor="text1"/>
                <w:kern w:val="22"/>
                <w:sz w:val="20"/>
                <w:szCs w:val="20"/>
                <w:lang w:val="fr-FR"/>
              </w:rPr>
              <w:t>s</w:t>
            </w:r>
            <w:r w:rsidR="000B36BE" w:rsidRPr="000B36BE">
              <w:rPr>
                <w:rFonts w:eastAsia="Times New Roman" w:cs="Times New Roman"/>
                <w:iCs/>
                <w:color w:val="000000" w:themeColor="text1"/>
                <w:kern w:val="22"/>
                <w:sz w:val="20"/>
                <w:szCs w:val="20"/>
                <w:lang w:val="fr-FR"/>
              </w:rPr>
              <w:t xml:space="preserve"> dépositaire</w:t>
            </w:r>
            <w:r>
              <w:rPr>
                <w:rFonts w:eastAsia="Times New Roman" w:cs="Times New Roman"/>
                <w:iCs/>
                <w:color w:val="000000" w:themeColor="text1"/>
                <w:kern w:val="22"/>
                <w:sz w:val="20"/>
                <w:szCs w:val="20"/>
                <w:lang w:val="fr-FR"/>
              </w:rPr>
              <w:t>s</w:t>
            </w:r>
            <w:r w:rsidR="000B36BE" w:rsidRPr="000B36BE">
              <w:rPr>
                <w:rFonts w:eastAsia="Times New Roman" w:cs="Times New Roman"/>
                <w:iCs/>
                <w:color w:val="000000" w:themeColor="text1"/>
                <w:kern w:val="22"/>
                <w:sz w:val="20"/>
                <w:szCs w:val="20"/>
                <w:lang w:val="fr-FR"/>
              </w:rPr>
              <w:t xml:space="preserve"> des</w:t>
            </w:r>
            <w:r w:rsidR="00D401E7" w:rsidRPr="000B36BE">
              <w:rPr>
                <w:rFonts w:eastAsia="Times New Roman" w:cs="Times New Roman"/>
                <w:color w:val="000000" w:themeColor="text1"/>
                <w:kern w:val="22"/>
                <w:sz w:val="20"/>
                <w:szCs w:val="20"/>
                <w:lang w:val="fr-FR"/>
              </w:rPr>
              <w:t xml:space="preserve"> </w:t>
            </w:r>
            <w:r w:rsidR="00830BE4" w:rsidRPr="000B36BE">
              <w:rPr>
                <w:rFonts w:eastAsia="Times New Roman" w:cs="Times New Roman"/>
                <w:iCs/>
                <w:color w:val="000000" w:themeColor="text1"/>
                <w:kern w:val="22"/>
                <w:sz w:val="20"/>
                <w:szCs w:val="20"/>
                <w:lang w:val="fr-FR"/>
              </w:rPr>
              <w:t>connaissances traditionnelles connexes</w:t>
            </w:r>
            <w:r w:rsidR="00D401E7" w:rsidRPr="000B36BE">
              <w:rPr>
                <w:rFonts w:eastAsia="Times New Roman" w:cs="Times New Roman"/>
                <w:iCs/>
                <w:color w:val="000000" w:themeColor="text1"/>
                <w:kern w:val="22"/>
                <w:sz w:val="20"/>
                <w:szCs w:val="20"/>
                <w:lang w:val="fr-FR"/>
              </w:rPr>
              <w:t>,</w:t>
            </w:r>
            <w:r w:rsidR="00D401E7" w:rsidRPr="000B36BE">
              <w:rPr>
                <w:rFonts w:eastAsia="Times New Roman" w:cs="Times New Roman"/>
                <w:color w:val="000000" w:themeColor="text1"/>
                <w:kern w:val="22"/>
                <w:sz w:val="20"/>
                <w:szCs w:val="20"/>
                <w:lang w:val="fr-FR"/>
              </w:rPr>
              <w:t xml:space="preserve"> </w:t>
            </w:r>
            <w:r>
              <w:rPr>
                <w:rFonts w:eastAsia="Times New Roman" w:cs="Times New Roman"/>
                <w:color w:val="000000" w:themeColor="text1"/>
                <w:kern w:val="22"/>
                <w:sz w:val="20"/>
                <w:szCs w:val="20"/>
                <w:lang w:val="fr-FR"/>
              </w:rPr>
              <w:t>qui sont</w:t>
            </w:r>
            <w:r w:rsidR="000B36BE">
              <w:rPr>
                <w:rFonts w:eastAsia="Times New Roman" w:cs="Times New Roman"/>
                <w:color w:val="000000" w:themeColor="text1"/>
                <w:kern w:val="22"/>
                <w:sz w:val="20"/>
                <w:szCs w:val="20"/>
                <w:lang w:val="fr-FR"/>
              </w:rPr>
              <w:t xml:space="preserve"> en droit d’accorder un </w:t>
            </w:r>
            <w:r w:rsidR="007D7761">
              <w:rPr>
                <w:rFonts w:eastAsia="Times New Roman" w:cs="Times New Roman"/>
                <w:color w:val="000000" w:themeColor="text1"/>
                <w:kern w:val="22"/>
                <w:sz w:val="20"/>
                <w:szCs w:val="20"/>
                <w:lang w:val="fr-FR"/>
              </w:rPr>
              <w:t>consentement préalable donné en connaissance de cause</w:t>
            </w:r>
            <w:r w:rsidR="00F57F9A" w:rsidRPr="000B36BE">
              <w:rPr>
                <w:rFonts w:eastAsia="Times New Roman" w:cs="Times New Roman"/>
                <w:color w:val="000000" w:themeColor="text1"/>
                <w:kern w:val="22"/>
                <w:sz w:val="20"/>
                <w:szCs w:val="20"/>
                <w:lang w:val="fr-FR"/>
              </w:rPr>
              <w:t>,</w:t>
            </w:r>
            <w:r w:rsidR="00E3674F" w:rsidRPr="000B36BE">
              <w:rPr>
                <w:rFonts w:eastAsia="Times New Roman" w:cs="Times New Roman"/>
                <w:color w:val="000000" w:themeColor="text1"/>
                <w:kern w:val="22"/>
                <w:sz w:val="20"/>
                <w:szCs w:val="20"/>
                <w:lang w:val="fr-FR"/>
              </w:rPr>
              <w:t xml:space="preserve"> et </w:t>
            </w:r>
            <w:r>
              <w:rPr>
                <w:rFonts w:eastAsia="Times New Roman" w:cs="Times New Roman"/>
                <w:color w:val="000000" w:themeColor="text1"/>
                <w:kern w:val="22"/>
                <w:sz w:val="20"/>
                <w:szCs w:val="20"/>
                <w:lang w:val="fr-FR"/>
              </w:rPr>
              <w:t>qui sont en</w:t>
            </w:r>
            <w:r w:rsidR="000B36BE">
              <w:rPr>
                <w:rFonts w:eastAsia="Times New Roman" w:cs="Times New Roman"/>
                <w:color w:val="000000" w:themeColor="text1"/>
                <w:kern w:val="22"/>
                <w:sz w:val="20"/>
                <w:szCs w:val="20"/>
                <w:lang w:val="fr-FR"/>
              </w:rPr>
              <w:t xml:space="preserve"> droit de recevoir une part des avantages</w:t>
            </w:r>
            <w:r w:rsidR="00D401E7" w:rsidRPr="000B36BE">
              <w:rPr>
                <w:rFonts w:eastAsia="Times New Roman" w:cs="Times New Roman"/>
                <w:color w:val="000000" w:themeColor="text1"/>
                <w:kern w:val="22"/>
                <w:sz w:val="20"/>
                <w:szCs w:val="20"/>
                <w:lang w:val="fr-FR"/>
              </w:rPr>
              <w:t xml:space="preserve"> </w:t>
            </w:r>
            <w:r w:rsidR="00C106C5">
              <w:rPr>
                <w:rFonts w:eastAsia="Times New Roman" w:cs="Times New Roman"/>
                <w:color w:val="000000" w:themeColor="text1"/>
                <w:kern w:val="22"/>
                <w:sz w:val="20"/>
                <w:szCs w:val="20"/>
                <w:lang w:val="fr-FR"/>
              </w:rPr>
              <w:t>qui peuvent résulter de</w:t>
            </w:r>
            <w:r w:rsidR="000B36BE">
              <w:rPr>
                <w:rFonts w:eastAsia="Times New Roman" w:cs="Times New Roman"/>
                <w:color w:val="000000" w:themeColor="text1"/>
                <w:kern w:val="22"/>
                <w:sz w:val="20"/>
                <w:szCs w:val="20"/>
                <w:lang w:val="fr-FR"/>
              </w:rPr>
              <w:t xml:space="preserve"> ces connaissances</w:t>
            </w:r>
            <w:r w:rsidR="00D401E7" w:rsidRPr="000B36BE">
              <w:rPr>
                <w:rFonts w:eastAsia="Times New Roman" w:cs="Times New Roman"/>
                <w:color w:val="000000" w:themeColor="text1"/>
                <w:kern w:val="22"/>
                <w:sz w:val="20"/>
                <w:szCs w:val="20"/>
                <w:lang w:val="fr-FR"/>
              </w:rPr>
              <w:t>.</w:t>
            </w:r>
            <w:r w:rsidR="005640B1" w:rsidRPr="000B36BE">
              <w:rPr>
                <w:rFonts w:eastAsia="Times New Roman" w:cs="Times New Roman"/>
                <w:color w:val="000000" w:themeColor="text1"/>
                <w:kern w:val="22"/>
                <w:sz w:val="20"/>
                <w:szCs w:val="20"/>
                <w:lang w:val="fr-FR"/>
              </w:rPr>
              <w:t xml:space="preserve"> </w:t>
            </w:r>
            <w:r w:rsidR="000B36BE">
              <w:rPr>
                <w:rFonts w:eastAsia="Times New Roman" w:cs="Times New Roman"/>
                <w:color w:val="000000" w:themeColor="text1"/>
                <w:kern w:val="22"/>
                <w:sz w:val="20"/>
                <w:szCs w:val="20"/>
                <w:lang w:val="fr-FR"/>
              </w:rPr>
              <w:t>L’</w:t>
            </w:r>
            <w:r w:rsidR="00FD73A5" w:rsidRPr="000B36BE">
              <w:rPr>
                <w:rFonts w:eastAsia="Times New Roman" w:cs="Times New Roman"/>
                <w:color w:val="000000" w:themeColor="text1"/>
                <w:kern w:val="22"/>
                <w:sz w:val="20"/>
                <w:szCs w:val="20"/>
                <w:lang w:val="fr-FR"/>
              </w:rPr>
              <w:t>article</w:t>
            </w:r>
            <w:r w:rsidR="00C106C5">
              <w:rPr>
                <w:rFonts w:eastAsia="Times New Roman" w:cs="Times New Roman"/>
                <w:color w:val="000000" w:themeColor="text1"/>
                <w:kern w:val="22"/>
                <w:sz w:val="20"/>
                <w:szCs w:val="20"/>
                <w:lang w:val="fr-FR"/>
              </w:rPr>
              <w:t> </w:t>
            </w:r>
            <w:r w:rsidR="000B36BE">
              <w:rPr>
                <w:rFonts w:eastAsia="Times New Roman" w:cs="Times New Roman"/>
                <w:color w:val="000000" w:themeColor="text1"/>
                <w:kern w:val="22"/>
                <w:sz w:val="20"/>
                <w:szCs w:val="20"/>
                <w:lang w:val="fr-FR"/>
              </w:rPr>
              <w:t>10 ou l’</w:t>
            </w:r>
            <w:r w:rsidR="00FD73A5" w:rsidRPr="000B36BE">
              <w:rPr>
                <w:rFonts w:eastAsia="Times New Roman" w:cs="Times New Roman"/>
                <w:color w:val="000000" w:themeColor="text1"/>
                <w:kern w:val="22"/>
                <w:sz w:val="20"/>
                <w:szCs w:val="20"/>
                <w:lang w:val="fr-FR"/>
              </w:rPr>
              <w:t>article</w:t>
            </w:r>
            <w:r w:rsidR="003F2CE6" w:rsidRPr="000B36BE">
              <w:rPr>
                <w:rFonts w:eastAsia="Times New Roman" w:cs="Times New Roman"/>
                <w:color w:val="000000" w:themeColor="text1"/>
                <w:kern w:val="22"/>
                <w:sz w:val="20"/>
                <w:szCs w:val="20"/>
                <w:lang w:val="fr-FR"/>
              </w:rPr>
              <w:t xml:space="preserve"> 11</w:t>
            </w:r>
            <w:r w:rsidR="00C106C5">
              <w:rPr>
                <w:rFonts w:eastAsia="Times New Roman" w:cs="Times New Roman"/>
                <w:color w:val="000000" w:themeColor="text1"/>
                <w:kern w:val="22"/>
                <w:sz w:val="20"/>
                <w:szCs w:val="20"/>
                <w:lang w:val="fr-FR"/>
              </w:rPr>
              <w:t xml:space="preserve"> du Protocole</w:t>
            </w:r>
            <w:r w:rsidR="003F2CE6" w:rsidRPr="000B36BE">
              <w:rPr>
                <w:rFonts w:eastAsia="Times New Roman" w:cs="Times New Roman"/>
                <w:color w:val="000000" w:themeColor="text1"/>
                <w:kern w:val="22"/>
                <w:sz w:val="20"/>
                <w:szCs w:val="20"/>
                <w:lang w:val="fr-FR"/>
              </w:rPr>
              <w:t xml:space="preserve"> </w:t>
            </w:r>
            <w:r w:rsidR="00C106C5">
              <w:rPr>
                <w:rFonts w:eastAsia="Times New Roman" w:cs="Times New Roman"/>
                <w:color w:val="000000" w:themeColor="text1"/>
                <w:kern w:val="22"/>
                <w:sz w:val="20"/>
                <w:szCs w:val="20"/>
                <w:lang w:val="fr-FR"/>
              </w:rPr>
              <w:t>pourraient s’appliquer</w:t>
            </w:r>
            <w:r w:rsidR="000B36BE">
              <w:rPr>
                <w:rFonts w:eastAsia="Times New Roman" w:cs="Times New Roman"/>
                <w:color w:val="000000" w:themeColor="text1"/>
                <w:kern w:val="22"/>
                <w:sz w:val="20"/>
                <w:szCs w:val="20"/>
                <w:lang w:val="fr-FR"/>
              </w:rPr>
              <w:t xml:space="preserve"> à certains </w:t>
            </w:r>
            <w:r w:rsidR="00D04EC6" w:rsidRPr="000B36BE">
              <w:rPr>
                <w:rFonts w:eastAsia="Times New Roman" w:cs="Times New Roman"/>
                <w:color w:val="000000" w:themeColor="text1"/>
                <w:kern w:val="22"/>
                <w:sz w:val="20"/>
                <w:szCs w:val="20"/>
                <w:lang w:val="fr-FR"/>
              </w:rPr>
              <w:t>cas</w:t>
            </w:r>
            <w:r w:rsidR="003F2CE6" w:rsidRPr="000B36BE">
              <w:rPr>
                <w:rFonts w:eastAsia="Times New Roman" w:cs="Times New Roman"/>
                <w:color w:val="000000" w:themeColor="text1"/>
                <w:kern w:val="22"/>
                <w:sz w:val="20"/>
                <w:szCs w:val="20"/>
                <w:lang w:val="fr-FR"/>
              </w:rPr>
              <w:t>.</w:t>
            </w:r>
          </w:p>
          <w:p w14:paraId="597AA197" w14:textId="73DA7148" w:rsidR="6873B90E" w:rsidRPr="000B36D3" w:rsidRDefault="000B36BE" w:rsidP="00DE6476">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0B36BE">
              <w:rPr>
                <w:rFonts w:eastAsia="Times New Roman" w:cs="Times New Roman"/>
                <w:color w:val="000000" w:themeColor="text1"/>
                <w:kern w:val="22"/>
                <w:sz w:val="20"/>
                <w:szCs w:val="20"/>
                <w:lang w:val="fr-FR"/>
              </w:rPr>
              <w:t>Les Parties ne sont pas parvenues à un consensus</w:t>
            </w:r>
            <w:r w:rsidR="000B36D3">
              <w:rPr>
                <w:rFonts w:eastAsia="Times New Roman" w:cs="Times New Roman"/>
                <w:color w:val="000000" w:themeColor="text1"/>
                <w:kern w:val="22"/>
                <w:sz w:val="20"/>
                <w:szCs w:val="20"/>
                <w:lang w:val="fr-FR"/>
              </w:rPr>
              <w:t xml:space="preserve"> sur le point de savoir si les obligations relatives au</w:t>
            </w:r>
            <w:r w:rsidR="004464E6" w:rsidRPr="000B36BE">
              <w:rPr>
                <w:rFonts w:eastAsia="Times New Roman" w:cs="Times New Roman"/>
                <w:color w:val="000000" w:themeColor="text1"/>
                <w:kern w:val="22"/>
                <w:sz w:val="20"/>
                <w:szCs w:val="20"/>
                <w:lang w:val="fr-FR"/>
              </w:rPr>
              <w:t xml:space="preserve"> </w:t>
            </w:r>
            <w:r w:rsidR="007D7761">
              <w:rPr>
                <w:rFonts w:eastAsia="Times New Roman" w:cs="Times New Roman"/>
                <w:color w:val="000000" w:themeColor="text1"/>
                <w:kern w:val="22"/>
                <w:sz w:val="20"/>
                <w:szCs w:val="20"/>
                <w:lang w:val="fr-FR"/>
              </w:rPr>
              <w:t>consentement préalable donné en connaissance de cause</w:t>
            </w:r>
            <w:r w:rsidR="000B36D3">
              <w:rPr>
                <w:rFonts w:eastAsia="Times New Roman" w:cs="Times New Roman"/>
                <w:color w:val="000000" w:themeColor="text1"/>
                <w:kern w:val="22"/>
                <w:sz w:val="20"/>
                <w:szCs w:val="20"/>
                <w:lang w:val="fr-FR"/>
              </w:rPr>
              <w:t xml:space="preserve"> et</w:t>
            </w:r>
            <w:r w:rsidR="003F2CE6" w:rsidRPr="000B36BE">
              <w:rPr>
                <w:rFonts w:eastAsia="Times New Roman" w:cs="Times New Roman"/>
                <w:color w:val="000000" w:themeColor="text1"/>
                <w:kern w:val="22"/>
                <w:sz w:val="20"/>
                <w:szCs w:val="20"/>
                <w:lang w:val="fr-FR"/>
              </w:rPr>
              <w:t>/</w:t>
            </w:r>
            <w:r w:rsidR="000B36D3">
              <w:rPr>
                <w:rFonts w:eastAsia="Times New Roman" w:cs="Times New Roman"/>
                <w:color w:val="000000" w:themeColor="text1"/>
                <w:kern w:val="22"/>
                <w:sz w:val="20"/>
                <w:szCs w:val="20"/>
                <w:lang w:val="fr-FR"/>
              </w:rPr>
              <w:t>ou aux conditions convenues d’un commun s’appliquent à toutes ces situations</w:t>
            </w:r>
            <w:r w:rsidR="003F2CE6" w:rsidRPr="000B36BE">
              <w:rPr>
                <w:rFonts w:eastAsia="Times New Roman" w:cs="Times New Roman"/>
                <w:color w:val="000000" w:themeColor="text1"/>
                <w:kern w:val="22"/>
                <w:sz w:val="20"/>
                <w:szCs w:val="20"/>
                <w:lang w:val="fr-FR"/>
              </w:rPr>
              <w:t xml:space="preserve">. </w:t>
            </w:r>
            <w:r w:rsidR="00DE6476">
              <w:rPr>
                <w:rFonts w:eastAsia="Times New Roman" w:cs="Times New Roman"/>
                <w:color w:val="000000" w:themeColor="text1"/>
                <w:kern w:val="22"/>
                <w:sz w:val="20"/>
                <w:szCs w:val="20"/>
                <w:lang w:val="fr-FR"/>
              </w:rPr>
              <w:t>D’autre part</w:t>
            </w:r>
            <w:r w:rsidR="003F2CE6" w:rsidRPr="000B36D3">
              <w:rPr>
                <w:rFonts w:eastAsia="Times New Roman" w:cs="Times New Roman"/>
                <w:color w:val="000000" w:themeColor="text1"/>
                <w:kern w:val="22"/>
                <w:sz w:val="20"/>
                <w:szCs w:val="20"/>
                <w:lang w:val="fr-FR"/>
              </w:rPr>
              <w:t xml:space="preserve">, </w:t>
            </w:r>
            <w:r w:rsidR="00DE6476">
              <w:rPr>
                <w:rFonts w:eastAsia="Times New Roman" w:cs="Times New Roman"/>
                <w:color w:val="000000" w:themeColor="text1"/>
                <w:kern w:val="22"/>
                <w:sz w:val="20"/>
                <w:szCs w:val="20"/>
                <w:lang w:val="fr-FR"/>
              </w:rPr>
              <w:t>on ne dispose pas toujours d’</w:t>
            </w:r>
            <w:r w:rsidR="00E23482">
              <w:rPr>
                <w:rFonts w:eastAsia="Times New Roman" w:cs="Times New Roman"/>
                <w:color w:val="000000" w:themeColor="text1"/>
                <w:kern w:val="22"/>
                <w:sz w:val="20"/>
                <w:szCs w:val="20"/>
                <w:lang w:val="fr-FR"/>
              </w:rPr>
              <w:t xml:space="preserve">informations sur l’identification </w:t>
            </w:r>
            <w:r w:rsidR="00830BE4" w:rsidRPr="000B36D3">
              <w:rPr>
                <w:rFonts w:eastAsia="Times New Roman" w:cs="Times New Roman"/>
                <w:color w:val="000000" w:themeColor="text1"/>
                <w:kern w:val="22"/>
                <w:sz w:val="20"/>
                <w:szCs w:val="20"/>
                <w:lang w:val="fr-FR"/>
              </w:rPr>
              <w:t>des peuples autochtones et communautés locales</w:t>
            </w:r>
            <w:r w:rsidR="003F2CE6" w:rsidRPr="000B36D3">
              <w:rPr>
                <w:rFonts w:eastAsia="Times New Roman" w:cs="Times New Roman"/>
                <w:color w:val="000000" w:themeColor="text1"/>
                <w:kern w:val="22"/>
                <w:sz w:val="20"/>
                <w:szCs w:val="20"/>
                <w:lang w:val="fr-FR"/>
              </w:rPr>
              <w:t xml:space="preserve"> </w:t>
            </w:r>
            <w:r w:rsidR="00E23482">
              <w:rPr>
                <w:rFonts w:eastAsia="Times New Roman" w:cs="Times New Roman"/>
                <w:color w:val="000000" w:themeColor="text1"/>
                <w:kern w:val="22"/>
                <w:sz w:val="20"/>
                <w:szCs w:val="20"/>
                <w:lang w:val="fr-FR"/>
              </w:rPr>
              <w:t xml:space="preserve">à l’origine de ces </w:t>
            </w:r>
            <w:r w:rsidR="00E3674F" w:rsidRPr="000B36D3">
              <w:rPr>
                <w:rFonts w:eastAsia="Times New Roman" w:cs="Times New Roman"/>
                <w:color w:val="000000" w:themeColor="text1"/>
                <w:kern w:val="22"/>
                <w:sz w:val="20"/>
                <w:szCs w:val="20"/>
                <w:lang w:val="fr-FR"/>
              </w:rPr>
              <w:t>connaissances traditionnelles</w:t>
            </w:r>
            <w:r w:rsidR="00E23482">
              <w:rPr>
                <w:rFonts w:eastAsia="Times New Roman" w:cs="Times New Roman"/>
                <w:color w:val="000000" w:themeColor="text1"/>
                <w:kern w:val="22"/>
                <w:sz w:val="20"/>
                <w:szCs w:val="20"/>
                <w:lang w:val="fr-FR"/>
              </w:rPr>
              <w:t xml:space="preserve">; </w:t>
            </w:r>
            <w:r w:rsidR="00F4156B">
              <w:rPr>
                <w:rFonts w:eastAsia="Times New Roman" w:cs="Times New Roman"/>
                <w:color w:val="000000" w:themeColor="text1"/>
                <w:kern w:val="22"/>
                <w:sz w:val="20"/>
                <w:szCs w:val="20"/>
                <w:lang w:val="fr-FR"/>
              </w:rPr>
              <w:t>ce</w:t>
            </w:r>
            <w:r w:rsidR="00E23482">
              <w:rPr>
                <w:rFonts w:eastAsia="Times New Roman" w:cs="Times New Roman"/>
                <w:color w:val="000000" w:themeColor="text1"/>
                <w:kern w:val="22"/>
                <w:sz w:val="20"/>
                <w:szCs w:val="20"/>
                <w:lang w:val="fr-FR"/>
              </w:rPr>
              <w:t xml:space="preserve">ci </w:t>
            </w:r>
            <w:r w:rsidR="00DE6476">
              <w:rPr>
                <w:rFonts w:eastAsia="Times New Roman" w:cs="Times New Roman"/>
                <w:color w:val="000000" w:themeColor="text1"/>
                <w:kern w:val="22"/>
                <w:sz w:val="20"/>
                <w:szCs w:val="20"/>
                <w:lang w:val="fr-FR"/>
              </w:rPr>
              <w:t xml:space="preserve">peut </w:t>
            </w:r>
            <w:r w:rsidR="00914A64" w:rsidRPr="000B36D3">
              <w:rPr>
                <w:rFonts w:eastAsia="Times New Roman" w:cs="Times New Roman"/>
                <w:color w:val="000000" w:themeColor="text1"/>
                <w:kern w:val="22"/>
                <w:sz w:val="20"/>
                <w:szCs w:val="20"/>
                <w:lang w:val="fr-FR"/>
              </w:rPr>
              <w:t>rend</w:t>
            </w:r>
            <w:r w:rsidR="00DE6476">
              <w:rPr>
                <w:rFonts w:eastAsia="Times New Roman" w:cs="Times New Roman"/>
                <w:color w:val="000000" w:themeColor="text1"/>
                <w:kern w:val="22"/>
                <w:sz w:val="20"/>
                <w:szCs w:val="20"/>
                <w:lang w:val="fr-FR"/>
              </w:rPr>
              <w:t>re</w:t>
            </w:r>
            <w:r w:rsidR="00F4156B">
              <w:rPr>
                <w:rFonts w:eastAsia="Times New Roman" w:cs="Times New Roman"/>
                <w:color w:val="000000" w:themeColor="text1"/>
                <w:kern w:val="22"/>
                <w:sz w:val="20"/>
                <w:szCs w:val="20"/>
                <w:lang w:val="fr-FR"/>
              </w:rPr>
              <w:t xml:space="preserve"> impossible la négociation d’un </w:t>
            </w:r>
            <w:r w:rsidR="007D7761">
              <w:rPr>
                <w:rFonts w:eastAsia="Times New Roman" w:cs="Times New Roman"/>
                <w:color w:val="000000" w:themeColor="text1"/>
                <w:kern w:val="22"/>
                <w:sz w:val="20"/>
                <w:szCs w:val="20"/>
                <w:lang w:val="fr-FR"/>
              </w:rPr>
              <w:t>consentement préalable donné en connaissance de cause</w:t>
            </w:r>
            <w:r w:rsidR="00F4156B">
              <w:rPr>
                <w:rFonts w:eastAsia="Times New Roman" w:cs="Times New Roman"/>
                <w:color w:val="000000" w:themeColor="text1"/>
                <w:kern w:val="22"/>
                <w:sz w:val="20"/>
                <w:szCs w:val="20"/>
                <w:lang w:val="fr-FR"/>
              </w:rPr>
              <w:t xml:space="preserve"> et</w:t>
            </w:r>
            <w:r w:rsidR="00914A64" w:rsidRPr="000B36D3">
              <w:rPr>
                <w:rFonts w:eastAsia="Times New Roman" w:cs="Times New Roman"/>
                <w:color w:val="000000" w:themeColor="text1"/>
                <w:kern w:val="22"/>
                <w:sz w:val="20"/>
                <w:szCs w:val="20"/>
                <w:lang w:val="fr-FR"/>
              </w:rPr>
              <w:t>/</w:t>
            </w:r>
            <w:r w:rsidR="00F4156B">
              <w:rPr>
                <w:rFonts w:eastAsia="Times New Roman" w:cs="Times New Roman"/>
                <w:color w:val="000000" w:themeColor="text1"/>
                <w:kern w:val="22"/>
                <w:sz w:val="20"/>
                <w:szCs w:val="20"/>
                <w:lang w:val="fr-FR"/>
              </w:rPr>
              <w:t xml:space="preserve">ou de </w:t>
            </w:r>
            <w:r w:rsidR="000B36D3" w:rsidRPr="000B36D3">
              <w:rPr>
                <w:rFonts w:eastAsia="Times New Roman" w:cs="Times New Roman"/>
                <w:color w:val="000000" w:themeColor="text1"/>
                <w:kern w:val="22"/>
                <w:sz w:val="20"/>
                <w:szCs w:val="20"/>
                <w:lang w:val="fr-FR"/>
              </w:rPr>
              <w:t>conditions convenues d’un commun accord</w:t>
            </w:r>
            <w:r w:rsidR="00F4156B">
              <w:rPr>
                <w:rFonts w:eastAsia="Times New Roman" w:cs="Times New Roman"/>
                <w:color w:val="000000" w:themeColor="text1"/>
                <w:kern w:val="22"/>
                <w:sz w:val="20"/>
                <w:szCs w:val="20"/>
                <w:lang w:val="fr-FR"/>
              </w:rPr>
              <w:t xml:space="preserve"> dans</w:t>
            </w:r>
            <w:r w:rsidR="00AA5919">
              <w:rPr>
                <w:rFonts w:eastAsia="Times New Roman" w:cs="Times New Roman"/>
                <w:color w:val="000000" w:themeColor="text1"/>
                <w:kern w:val="22"/>
                <w:sz w:val="20"/>
                <w:szCs w:val="20"/>
                <w:lang w:val="fr-FR"/>
              </w:rPr>
              <w:t xml:space="preserve"> certains </w:t>
            </w:r>
            <w:r w:rsidR="00D04EC6" w:rsidRPr="000B36D3">
              <w:rPr>
                <w:rFonts w:eastAsia="Times New Roman" w:cs="Times New Roman"/>
                <w:color w:val="000000" w:themeColor="text1"/>
                <w:kern w:val="22"/>
                <w:sz w:val="20"/>
                <w:szCs w:val="20"/>
                <w:lang w:val="fr-FR"/>
              </w:rPr>
              <w:t>cas</w:t>
            </w:r>
            <w:r w:rsidR="00914A64" w:rsidRPr="000B36D3">
              <w:rPr>
                <w:rFonts w:eastAsia="Times New Roman" w:cs="Times New Roman"/>
                <w:color w:val="000000" w:themeColor="text1"/>
                <w:kern w:val="22"/>
                <w:sz w:val="20"/>
                <w:szCs w:val="20"/>
                <w:lang w:val="fr-FR"/>
              </w:rPr>
              <w:t>.</w:t>
            </w:r>
          </w:p>
        </w:tc>
      </w:tr>
      <w:tr w:rsidR="6873B90E" w:rsidRPr="00E709D5" w14:paraId="48E8BBD0"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0DA222F1" w14:textId="77777777" w:rsidR="002D26CC" w:rsidRPr="000B36D3" w:rsidRDefault="002D26CC" w:rsidP="00F43F79">
            <w:pPr>
              <w:spacing w:before="40" w:after="40"/>
              <w:rPr>
                <w:kern w:val="22"/>
                <w:sz w:val="20"/>
                <w:szCs w:val="20"/>
                <w:lang w:val="fr-FR"/>
              </w:rPr>
            </w:pPr>
          </w:p>
        </w:tc>
        <w:tc>
          <w:tcPr>
            <w:tcW w:w="0" w:type="dxa"/>
          </w:tcPr>
          <w:p w14:paraId="09A25FE0" w14:textId="759AEA1D" w:rsidR="6873B90E" w:rsidRPr="00E3674F" w:rsidRDefault="007A438A"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Pr>
                <w:rFonts w:eastAsia="Times New Roman" w:cs="Times New Roman"/>
                <w:color w:val="000000" w:themeColor="text1"/>
                <w:kern w:val="22"/>
                <w:sz w:val="20"/>
                <w:szCs w:val="20"/>
                <w:lang w:val="fr-FR"/>
              </w:rPr>
              <w:t>b) C</w:t>
            </w:r>
            <w:r w:rsidR="00830BE4">
              <w:rPr>
                <w:rFonts w:eastAsia="Times New Roman" w:cs="Times New Roman"/>
                <w:color w:val="000000" w:themeColor="text1"/>
                <w:kern w:val="22"/>
                <w:sz w:val="20"/>
                <w:szCs w:val="20"/>
                <w:lang w:val="fr-FR"/>
              </w:rPr>
              <w:t>onnaissances traditionnelles connexes</w:t>
            </w:r>
            <w:r>
              <w:rPr>
                <w:rFonts w:eastAsia="Times New Roman" w:cs="Times New Roman"/>
                <w:color w:val="000000" w:themeColor="text1"/>
                <w:kern w:val="22"/>
                <w:sz w:val="20"/>
                <w:szCs w:val="20"/>
                <w:lang w:val="fr-FR"/>
              </w:rPr>
              <w:t xml:space="preserve"> accessibles au public</w:t>
            </w:r>
          </w:p>
        </w:tc>
        <w:tc>
          <w:tcPr>
            <w:tcW w:w="0" w:type="dxa"/>
          </w:tcPr>
          <w:p w14:paraId="746B3D3B" w14:textId="32C71738" w:rsidR="6873B90E" w:rsidRPr="00E23482" w:rsidRDefault="35733B0B" w:rsidP="00E23482">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E23482">
              <w:rPr>
                <w:rFonts w:eastAsia="Times New Roman" w:cs="Times New Roman"/>
                <w:color w:val="000000" w:themeColor="text1"/>
                <w:kern w:val="22"/>
                <w:sz w:val="20"/>
                <w:szCs w:val="20"/>
                <w:lang w:val="fr-FR"/>
              </w:rPr>
              <w:t>Publications</w:t>
            </w:r>
            <w:r w:rsidR="00E3674F" w:rsidRPr="00E23482">
              <w:rPr>
                <w:rFonts w:eastAsia="Times New Roman" w:cs="Times New Roman"/>
                <w:color w:val="000000" w:themeColor="text1"/>
                <w:kern w:val="22"/>
                <w:sz w:val="20"/>
                <w:szCs w:val="20"/>
                <w:lang w:val="fr-FR"/>
              </w:rPr>
              <w:t xml:space="preserve"> et </w:t>
            </w:r>
            <w:r w:rsidR="00E23482" w:rsidRPr="00E23482">
              <w:rPr>
                <w:rFonts w:eastAsia="Times New Roman" w:cs="Times New Roman"/>
                <w:color w:val="000000" w:themeColor="text1"/>
                <w:kern w:val="22"/>
                <w:sz w:val="20"/>
                <w:szCs w:val="20"/>
                <w:lang w:val="fr-FR"/>
              </w:rPr>
              <w:t xml:space="preserve">revues qui font l’inventaire des usages traditionnels de plantes dans </w:t>
            </w:r>
            <w:r w:rsidR="00E23482">
              <w:rPr>
                <w:rFonts w:eastAsia="Times New Roman" w:cs="Times New Roman"/>
                <w:color w:val="000000" w:themeColor="text1"/>
                <w:kern w:val="22"/>
                <w:sz w:val="20"/>
                <w:szCs w:val="20"/>
                <w:lang w:val="fr-FR"/>
              </w:rPr>
              <w:t>différentes</w:t>
            </w:r>
            <w:r w:rsidRPr="00E23482">
              <w:rPr>
                <w:rFonts w:eastAsia="Times New Roman" w:cs="Times New Roman"/>
                <w:color w:val="000000" w:themeColor="text1"/>
                <w:kern w:val="22"/>
                <w:sz w:val="20"/>
                <w:szCs w:val="20"/>
                <w:lang w:val="fr-FR"/>
              </w:rPr>
              <w:t xml:space="preserve"> </w:t>
            </w:r>
            <w:r w:rsidR="00E23482">
              <w:rPr>
                <w:rFonts w:eastAsia="Times New Roman" w:cs="Times New Roman"/>
                <w:color w:val="000000" w:themeColor="text1"/>
                <w:kern w:val="22"/>
                <w:sz w:val="20"/>
                <w:szCs w:val="20"/>
                <w:lang w:val="fr-FR"/>
              </w:rPr>
              <w:t>ré</w:t>
            </w:r>
            <w:r w:rsidRPr="00E23482">
              <w:rPr>
                <w:rFonts w:eastAsia="Times New Roman" w:cs="Times New Roman"/>
                <w:color w:val="000000" w:themeColor="text1"/>
                <w:kern w:val="22"/>
                <w:sz w:val="20"/>
                <w:szCs w:val="20"/>
                <w:lang w:val="fr-FR"/>
              </w:rPr>
              <w:t>gions (</w:t>
            </w:r>
            <w:r w:rsidR="000D5072" w:rsidRPr="00E23482">
              <w:rPr>
                <w:rFonts w:eastAsia="Times New Roman" w:cs="Times New Roman"/>
                <w:color w:val="000000" w:themeColor="text1"/>
                <w:kern w:val="22"/>
                <w:sz w:val="20"/>
                <w:szCs w:val="20"/>
                <w:lang w:val="fr-FR"/>
              </w:rPr>
              <w:t>par exemple</w:t>
            </w:r>
            <w:r w:rsidR="00EC2C07">
              <w:rPr>
                <w:rFonts w:eastAsia="Times New Roman" w:cs="Times New Roman"/>
                <w:color w:val="000000" w:themeColor="text1"/>
                <w:kern w:val="22"/>
                <w:sz w:val="20"/>
                <w:szCs w:val="20"/>
                <w:lang w:val="fr-FR"/>
              </w:rPr>
              <w:t>, la</w:t>
            </w:r>
            <w:r w:rsidR="00EC2C07">
              <w:rPr>
                <w:rFonts w:eastAsia="Times New Roman" w:cs="Times New Roman"/>
                <w:i/>
                <w:iCs/>
                <w:color w:val="000000" w:themeColor="text1"/>
                <w:kern w:val="22"/>
                <w:sz w:val="20"/>
                <w:szCs w:val="20"/>
                <w:lang w:val="fr-FR"/>
              </w:rPr>
              <w:t xml:space="preserve"> Pharmacopée africaine</w:t>
            </w:r>
            <w:r w:rsidRPr="00E23482">
              <w:rPr>
                <w:rFonts w:eastAsia="Times New Roman" w:cs="Times New Roman"/>
                <w:color w:val="000000" w:themeColor="text1"/>
                <w:kern w:val="22"/>
                <w:sz w:val="20"/>
                <w:szCs w:val="20"/>
                <w:lang w:val="fr-FR"/>
              </w:rPr>
              <w:t>).</w:t>
            </w:r>
          </w:p>
        </w:tc>
        <w:tc>
          <w:tcPr>
            <w:tcW w:w="0" w:type="dxa"/>
            <w:vMerge/>
          </w:tcPr>
          <w:p w14:paraId="712BC656" w14:textId="57DBE9F4" w:rsidR="6873B90E" w:rsidRPr="00E23482"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p>
        </w:tc>
      </w:tr>
      <w:tr w:rsidR="6873B90E" w:rsidRPr="00E709D5" w14:paraId="2EFF690E" w14:textId="77777777" w:rsidTr="00F43F79">
        <w:tc>
          <w:tcPr>
            <w:cnfStyle w:val="001000000000" w:firstRow="0" w:lastRow="0" w:firstColumn="1" w:lastColumn="0" w:oddVBand="0" w:evenVBand="0" w:oddHBand="0" w:evenHBand="0" w:firstRowFirstColumn="0" w:firstRowLastColumn="0" w:lastRowFirstColumn="0" w:lastRowLastColumn="0"/>
            <w:tcW w:w="0" w:type="dxa"/>
            <w:vMerge/>
          </w:tcPr>
          <w:p w14:paraId="459CD0C6" w14:textId="77777777" w:rsidR="002D26CC" w:rsidRPr="00E23482" w:rsidRDefault="002D26CC" w:rsidP="00F43F79">
            <w:pPr>
              <w:spacing w:before="40" w:after="40"/>
              <w:rPr>
                <w:kern w:val="22"/>
                <w:sz w:val="20"/>
                <w:szCs w:val="20"/>
                <w:lang w:val="fr-FR"/>
              </w:rPr>
            </w:pPr>
          </w:p>
        </w:tc>
        <w:tc>
          <w:tcPr>
            <w:tcW w:w="0" w:type="dxa"/>
          </w:tcPr>
          <w:p w14:paraId="6D32A04A" w14:textId="2A6D0618" w:rsidR="6873B90E" w:rsidRPr="00E3674F" w:rsidRDefault="35733B0B" w:rsidP="00A2063C">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E3674F">
              <w:rPr>
                <w:rFonts w:eastAsia="Times New Roman" w:cs="Times New Roman"/>
                <w:color w:val="000000" w:themeColor="text1"/>
                <w:kern w:val="22"/>
                <w:sz w:val="20"/>
                <w:szCs w:val="20"/>
                <w:lang w:val="fr-FR"/>
              </w:rPr>
              <w:t xml:space="preserve">c) </w:t>
            </w:r>
            <w:r w:rsidR="00830BE4">
              <w:rPr>
                <w:rFonts w:eastAsia="Times New Roman" w:cs="Times New Roman"/>
                <w:color w:val="000000" w:themeColor="text1"/>
                <w:kern w:val="22"/>
                <w:sz w:val="20"/>
                <w:szCs w:val="20"/>
                <w:lang w:val="fr-FR"/>
              </w:rPr>
              <w:t>Connaissances traditionnelles connexes</w:t>
            </w:r>
            <w:r w:rsidR="007A438A">
              <w:rPr>
                <w:rFonts w:eastAsia="Times New Roman" w:cs="Times New Roman"/>
                <w:color w:val="000000" w:themeColor="text1"/>
                <w:kern w:val="22"/>
                <w:sz w:val="20"/>
                <w:szCs w:val="20"/>
                <w:lang w:val="fr-FR"/>
              </w:rPr>
              <w:t xml:space="preserve"> </w:t>
            </w:r>
            <w:r w:rsidR="00E411BF">
              <w:rPr>
                <w:rFonts w:eastAsia="Times New Roman" w:cs="Times New Roman"/>
                <w:color w:val="000000" w:themeColor="text1"/>
                <w:kern w:val="22"/>
                <w:sz w:val="20"/>
                <w:szCs w:val="20"/>
                <w:lang w:val="fr-FR"/>
              </w:rPr>
              <w:t>dont on ne peut déterminer l’origine</w:t>
            </w:r>
            <w:r w:rsidR="007A438A">
              <w:rPr>
                <w:rFonts w:eastAsia="Times New Roman" w:cs="Times New Roman"/>
                <w:color w:val="000000" w:themeColor="text1"/>
                <w:kern w:val="22"/>
                <w:sz w:val="20"/>
                <w:szCs w:val="20"/>
                <w:lang w:val="fr-FR"/>
              </w:rPr>
              <w:t xml:space="preserve"> dans des</w:t>
            </w:r>
            <w:r w:rsidRPr="00E3674F">
              <w:rPr>
                <w:rFonts w:eastAsia="Times New Roman" w:cs="Times New Roman"/>
                <w:color w:val="000000" w:themeColor="text1"/>
                <w:kern w:val="22"/>
                <w:sz w:val="20"/>
                <w:szCs w:val="20"/>
                <w:lang w:val="fr-FR"/>
              </w:rPr>
              <w:t xml:space="preserve"> </w:t>
            </w:r>
            <w:r w:rsidR="00FC7EA5" w:rsidRPr="00EC2C07">
              <w:rPr>
                <w:rFonts w:eastAsia="Times New Roman" w:cs="Times New Roman"/>
                <w:iCs/>
                <w:color w:val="000000" w:themeColor="text1"/>
                <w:kern w:val="22"/>
                <w:sz w:val="20"/>
                <w:szCs w:val="20"/>
                <w:lang w:val="fr-FR"/>
              </w:rPr>
              <w:t>collections</w:t>
            </w:r>
            <w:r w:rsidR="00FC7EA5">
              <w:rPr>
                <w:rFonts w:eastAsia="Times New Roman" w:cs="Times New Roman"/>
                <w:i/>
                <w:iCs/>
                <w:color w:val="000000" w:themeColor="text1"/>
                <w:kern w:val="22"/>
                <w:sz w:val="20"/>
                <w:szCs w:val="20"/>
                <w:lang w:val="fr-FR"/>
              </w:rPr>
              <w:t xml:space="preserve"> ex situ</w:t>
            </w:r>
            <w:r w:rsidRPr="00E3674F">
              <w:rPr>
                <w:rFonts w:eastAsia="Times New Roman" w:cs="Times New Roman"/>
                <w:color w:val="000000" w:themeColor="text1"/>
                <w:kern w:val="22"/>
                <w:sz w:val="20"/>
                <w:szCs w:val="20"/>
                <w:lang w:val="fr-FR"/>
              </w:rPr>
              <w:t>.</w:t>
            </w:r>
          </w:p>
        </w:tc>
        <w:tc>
          <w:tcPr>
            <w:tcW w:w="0" w:type="dxa"/>
          </w:tcPr>
          <w:p w14:paraId="7F5D00D4" w14:textId="3BE6DCEC" w:rsidR="6873B90E" w:rsidRPr="007A438A" w:rsidRDefault="00E40444" w:rsidP="00E764CB">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r w:rsidRPr="007A438A">
              <w:rPr>
                <w:rFonts w:eastAsia="Times New Roman" w:cs="Times New Roman"/>
                <w:color w:val="000000" w:themeColor="text1"/>
                <w:kern w:val="22"/>
                <w:sz w:val="20"/>
                <w:szCs w:val="20"/>
                <w:lang w:val="fr-FR"/>
              </w:rPr>
              <w:t>Échantillons</w:t>
            </w:r>
            <w:r w:rsidR="007A438A" w:rsidRPr="007A438A">
              <w:rPr>
                <w:rFonts w:eastAsia="Times New Roman" w:cs="Times New Roman"/>
                <w:color w:val="000000" w:themeColor="text1"/>
                <w:kern w:val="22"/>
                <w:sz w:val="20"/>
                <w:szCs w:val="20"/>
                <w:lang w:val="fr-FR"/>
              </w:rPr>
              <w:t xml:space="preserve"> de</w:t>
            </w:r>
            <w:r w:rsidR="35733B0B" w:rsidRPr="007A438A">
              <w:rPr>
                <w:rFonts w:eastAsia="Times New Roman" w:cs="Times New Roman"/>
                <w:color w:val="000000" w:themeColor="text1"/>
                <w:kern w:val="22"/>
                <w:sz w:val="20"/>
                <w:szCs w:val="20"/>
                <w:lang w:val="fr-FR"/>
              </w:rPr>
              <w:t xml:space="preserve"> </w:t>
            </w:r>
            <w:r w:rsidR="004478A5" w:rsidRPr="007A438A">
              <w:rPr>
                <w:rFonts w:eastAsia="Times New Roman" w:cs="Times New Roman"/>
                <w:color w:val="000000" w:themeColor="text1"/>
                <w:kern w:val="22"/>
                <w:sz w:val="20"/>
                <w:szCs w:val="20"/>
                <w:lang w:val="fr-FR"/>
              </w:rPr>
              <w:t>matériel génétique</w:t>
            </w:r>
            <w:r w:rsidR="007A438A" w:rsidRPr="007A438A">
              <w:rPr>
                <w:rFonts w:eastAsia="Times New Roman" w:cs="Times New Roman"/>
                <w:color w:val="000000" w:themeColor="text1"/>
                <w:kern w:val="22"/>
                <w:sz w:val="20"/>
                <w:szCs w:val="20"/>
                <w:lang w:val="fr-FR"/>
              </w:rPr>
              <w:t xml:space="preserve"> contenus dans des</w:t>
            </w:r>
            <w:r w:rsidR="007A438A">
              <w:rPr>
                <w:rFonts w:eastAsia="Times New Roman" w:cs="Times New Roman"/>
                <w:color w:val="000000" w:themeColor="text1"/>
                <w:kern w:val="22"/>
                <w:sz w:val="20"/>
                <w:szCs w:val="20"/>
                <w:lang w:val="fr-FR"/>
              </w:rPr>
              <w:t xml:space="preserve"> </w:t>
            </w:r>
            <w:r w:rsidR="00FC7EA5" w:rsidRPr="00EC2C07">
              <w:rPr>
                <w:rFonts w:eastAsia="Times New Roman" w:cs="Times New Roman"/>
                <w:iCs/>
                <w:color w:val="000000" w:themeColor="text1"/>
                <w:kern w:val="22"/>
                <w:sz w:val="20"/>
                <w:szCs w:val="20"/>
                <w:lang w:val="fr-FR"/>
              </w:rPr>
              <w:t>collections</w:t>
            </w:r>
            <w:r w:rsidR="00FC7EA5" w:rsidRPr="007A438A">
              <w:rPr>
                <w:rFonts w:eastAsia="Times New Roman" w:cs="Times New Roman"/>
                <w:i/>
                <w:iCs/>
                <w:color w:val="000000" w:themeColor="text1"/>
                <w:kern w:val="22"/>
                <w:sz w:val="20"/>
                <w:szCs w:val="20"/>
                <w:lang w:val="fr-FR"/>
              </w:rPr>
              <w:t xml:space="preserve"> ex situ</w:t>
            </w:r>
            <w:r w:rsidR="0054340A">
              <w:rPr>
                <w:rFonts w:eastAsia="Times New Roman" w:cs="Times New Roman"/>
                <w:color w:val="000000" w:themeColor="text1"/>
                <w:kern w:val="22"/>
                <w:sz w:val="20"/>
                <w:szCs w:val="20"/>
                <w:lang w:val="fr-FR"/>
              </w:rPr>
              <w:t xml:space="preserve"> et</w:t>
            </w:r>
            <w:r w:rsidR="00EC2C07">
              <w:rPr>
                <w:rFonts w:eastAsia="Times New Roman" w:cs="Times New Roman"/>
                <w:color w:val="000000" w:themeColor="text1"/>
                <w:kern w:val="22"/>
                <w:sz w:val="20"/>
                <w:szCs w:val="20"/>
                <w:lang w:val="fr-FR"/>
              </w:rPr>
              <w:t xml:space="preserve"> obtenu</w:t>
            </w:r>
            <w:r w:rsidR="00E764CB">
              <w:rPr>
                <w:rFonts w:eastAsia="Times New Roman" w:cs="Times New Roman"/>
                <w:color w:val="000000" w:themeColor="text1"/>
                <w:kern w:val="22"/>
                <w:sz w:val="20"/>
                <w:szCs w:val="20"/>
                <w:lang w:val="fr-FR"/>
              </w:rPr>
              <w:t>s par des</w:t>
            </w:r>
            <w:r w:rsidR="35733B0B" w:rsidRPr="007A438A">
              <w:rPr>
                <w:rFonts w:eastAsia="Times New Roman" w:cs="Times New Roman"/>
                <w:color w:val="000000" w:themeColor="text1"/>
                <w:kern w:val="22"/>
                <w:sz w:val="20"/>
                <w:szCs w:val="20"/>
                <w:lang w:val="fr-FR"/>
              </w:rPr>
              <w:t xml:space="preserve"> ethnobotanist</w:t>
            </w:r>
            <w:r w:rsidR="00E764CB">
              <w:rPr>
                <w:rFonts w:eastAsia="Times New Roman" w:cs="Times New Roman"/>
                <w:color w:val="000000" w:themeColor="text1"/>
                <w:kern w:val="22"/>
                <w:sz w:val="20"/>
                <w:szCs w:val="20"/>
                <w:lang w:val="fr-FR"/>
              </w:rPr>
              <w:t>e</w:t>
            </w:r>
            <w:r w:rsidR="35733B0B" w:rsidRPr="007A438A">
              <w:rPr>
                <w:rFonts w:eastAsia="Times New Roman" w:cs="Times New Roman"/>
                <w:color w:val="000000" w:themeColor="text1"/>
                <w:kern w:val="22"/>
                <w:sz w:val="20"/>
                <w:szCs w:val="20"/>
                <w:lang w:val="fr-FR"/>
              </w:rPr>
              <w:t>s</w:t>
            </w:r>
            <w:r w:rsidR="00D6232E" w:rsidRPr="007A438A">
              <w:rPr>
                <w:rFonts w:eastAsia="Times New Roman" w:cs="Times New Roman"/>
                <w:color w:val="000000" w:themeColor="text1"/>
                <w:kern w:val="22"/>
                <w:sz w:val="20"/>
                <w:szCs w:val="20"/>
                <w:lang w:val="fr-FR"/>
              </w:rPr>
              <w:t xml:space="preserve"> avec </w:t>
            </w:r>
            <w:r w:rsidR="00E764CB">
              <w:rPr>
                <w:rFonts w:eastAsia="Times New Roman" w:cs="Times New Roman"/>
                <w:color w:val="000000" w:themeColor="text1"/>
                <w:kern w:val="22"/>
                <w:sz w:val="20"/>
                <w:szCs w:val="20"/>
                <w:lang w:val="fr-FR"/>
              </w:rPr>
              <w:t>l’aide</w:t>
            </w:r>
            <w:r w:rsidR="00E3674F" w:rsidRPr="007A438A">
              <w:rPr>
                <w:rFonts w:eastAsia="Times New Roman" w:cs="Times New Roman"/>
                <w:color w:val="000000" w:themeColor="text1"/>
                <w:kern w:val="22"/>
                <w:sz w:val="20"/>
                <w:szCs w:val="20"/>
                <w:lang w:val="fr-FR"/>
              </w:rPr>
              <w:t xml:space="preserve"> et </w:t>
            </w:r>
            <w:r w:rsidR="00E764CB">
              <w:rPr>
                <w:rFonts w:eastAsia="Times New Roman" w:cs="Times New Roman"/>
                <w:color w:val="000000" w:themeColor="text1"/>
                <w:kern w:val="22"/>
                <w:sz w:val="20"/>
                <w:szCs w:val="20"/>
                <w:lang w:val="fr-FR"/>
              </w:rPr>
              <w:t xml:space="preserve">sous la direction de </w:t>
            </w:r>
            <w:r w:rsidR="001714C2" w:rsidRPr="007A438A">
              <w:rPr>
                <w:rFonts w:eastAsia="Times New Roman" w:cs="Times New Roman"/>
                <w:color w:val="000000" w:themeColor="text1"/>
                <w:kern w:val="22"/>
                <w:sz w:val="20"/>
                <w:szCs w:val="20"/>
                <w:lang w:val="fr-FR"/>
              </w:rPr>
              <w:t>peuples autochtones et communautés locales</w:t>
            </w:r>
            <w:r w:rsidR="00EC2C07">
              <w:rPr>
                <w:rFonts w:eastAsia="Times New Roman" w:cs="Times New Roman"/>
                <w:color w:val="000000" w:themeColor="text1"/>
                <w:kern w:val="22"/>
                <w:sz w:val="20"/>
                <w:szCs w:val="20"/>
                <w:lang w:val="fr-FR"/>
              </w:rPr>
              <w:t>, pour lesquels on ne dispose d’aucune information</w:t>
            </w:r>
            <w:r w:rsidR="0054340A">
              <w:rPr>
                <w:rFonts w:eastAsia="Times New Roman" w:cs="Times New Roman"/>
                <w:color w:val="000000" w:themeColor="text1"/>
                <w:kern w:val="22"/>
                <w:sz w:val="20"/>
                <w:szCs w:val="20"/>
                <w:lang w:val="fr-FR"/>
              </w:rPr>
              <w:t xml:space="preserve"> identifiant l</w:t>
            </w:r>
            <w:r w:rsidR="35733B0B" w:rsidRPr="007A438A">
              <w:rPr>
                <w:rFonts w:eastAsia="Times New Roman" w:cs="Times New Roman"/>
                <w:color w:val="000000" w:themeColor="text1"/>
                <w:kern w:val="22"/>
                <w:sz w:val="20"/>
                <w:szCs w:val="20"/>
                <w:lang w:val="fr-FR"/>
              </w:rPr>
              <w:t>e</w:t>
            </w:r>
            <w:r w:rsidR="00E764CB">
              <w:rPr>
                <w:rFonts w:eastAsia="Times New Roman" w:cs="Times New Roman"/>
                <w:color w:val="000000" w:themeColor="text1"/>
                <w:kern w:val="22"/>
                <w:sz w:val="20"/>
                <w:szCs w:val="20"/>
                <w:lang w:val="fr-FR"/>
              </w:rPr>
              <w:t>s</w:t>
            </w:r>
            <w:r w:rsidR="35733B0B" w:rsidRPr="007A438A">
              <w:rPr>
                <w:rFonts w:eastAsia="Times New Roman" w:cs="Times New Roman"/>
                <w:color w:val="000000" w:themeColor="text1"/>
                <w:kern w:val="22"/>
                <w:sz w:val="20"/>
                <w:szCs w:val="20"/>
                <w:lang w:val="fr-FR"/>
              </w:rPr>
              <w:t xml:space="preserve"> </w:t>
            </w:r>
            <w:r w:rsidR="001714C2" w:rsidRPr="007A438A">
              <w:rPr>
                <w:rFonts w:eastAsia="Times New Roman" w:cs="Times New Roman"/>
                <w:color w:val="000000" w:themeColor="text1"/>
                <w:kern w:val="22"/>
                <w:sz w:val="20"/>
                <w:szCs w:val="20"/>
                <w:lang w:val="fr-FR"/>
              </w:rPr>
              <w:t>peuples autochtones et communautés locales</w:t>
            </w:r>
            <w:r w:rsidR="00E764CB">
              <w:rPr>
                <w:rFonts w:eastAsia="Times New Roman" w:cs="Times New Roman"/>
                <w:color w:val="000000" w:themeColor="text1"/>
                <w:kern w:val="22"/>
                <w:sz w:val="20"/>
                <w:szCs w:val="20"/>
                <w:lang w:val="fr-FR"/>
              </w:rPr>
              <w:t xml:space="preserve"> à l’origine de ces</w:t>
            </w:r>
            <w:r w:rsidR="35733B0B" w:rsidRPr="007A438A">
              <w:rPr>
                <w:rFonts w:eastAsia="Times New Roman" w:cs="Times New Roman"/>
                <w:color w:val="000000" w:themeColor="text1"/>
                <w:kern w:val="22"/>
                <w:sz w:val="20"/>
                <w:szCs w:val="20"/>
                <w:lang w:val="fr-FR"/>
              </w:rPr>
              <w:t xml:space="preserve"> </w:t>
            </w:r>
            <w:r w:rsidR="00E3674F" w:rsidRPr="007A438A">
              <w:rPr>
                <w:rFonts w:eastAsia="Times New Roman" w:cs="Times New Roman"/>
                <w:color w:val="000000" w:themeColor="text1"/>
                <w:kern w:val="22"/>
                <w:sz w:val="20"/>
                <w:szCs w:val="20"/>
                <w:lang w:val="fr-FR"/>
              </w:rPr>
              <w:t>connaissances traditionnelles</w:t>
            </w:r>
            <w:r w:rsidR="00E764CB">
              <w:rPr>
                <w:rFonts w:eastAsia="Times New Roman" w:cs="Times New Roman"/>
                <w:color w:val="000000" w:themeColor="text1"/>
                <w:kern w:val="22"/>
                <w:sz w:val="20"/>
                <w:szCs w:val="20"/>
                <w:lang w:val="fr-FR"/>
              </w:rPr>
              <w:t xml:space="preserve"> </w:t>
            </w:r>
            <w:r w:rsidR="35733B0B" w:rsidRPr="007A438A">
              <w:rPr>
                <w:rFonts w:eastAsia="Times New Roman" w:cs="Times New Roman"/>
                <w:color w:val="000000" w:themeColor="text1"/>
                <w:kern w:val="22"/>
                <w:sz w:val="20"/>
                <w:szCs w:val="20"/>
                <w:lang w:val="fr-FR"/>
              </w:rPr>
              <w:t>(</w:t>
            </w:r>
            <w:r w:rsidR="000D5072" w:rsidRPr="007A438A">
              <w:rPr>
                <w:rFonts w:eastAsia="Times New Roman" w:cs="Times New Roman"/>
                <w:color w:val="000000" w:themeColor="text1"/>
                <w:kern w:val="22"/>
                <w:sz w:val="20"/>
                <w:szCs w:val="20"/>
                <w:lang w:val="fr-FR"/>
              </w:rPr>
              <w:t>par exemple</w:t>
            </w:r>
            <w:r w:rsidR="0054340A">
              <w:rPr>
                <w:rFonts w:eastAsia="Times New Roman" w:cs="Times New Roman"/>
                <w:color w:val="000000" w:themeColor="text1"/>
                <w:kern w:val="22"/>
                <w:sz w:val="20"/>
                <w:szCs w:val="20"/>
                <w:lang w:val="fr-FR"/>
              </w:rPr>
              <w:t xml:space="preserve">, lorsqu’un grand nombre d’individus </w:t>
            </w:r>
            <w:r w:rsidR="00E764CB">
              <w:rPr>
                <w:rFonts w:eastAsia="Times New Roman" w:cs="Times New Roman"/>
                <w:color w:val="000000" w:themeColor="text1"/>
                <w:kern w:val="22"/>
                <w:sz w:val="20"/>
                <w:szCs w:val="20"/>
                <w:lang w:val="fr-FR"/>
              </w:rPr>
              <w:t xml:space="preserve">venant d’une </w:t>
            </w:r>
            <w:r w:rsidR="0054340A">
              <w:rPr>
                <w:rFonts w:eastAsia="Times New Roman" w:cs="Times New Roman"/>
                <w:color w:val="000000" w:themeColor="text1"/>
                <w:kern w:val="22"/>
                <w:sz w:val="20"/>
                <w:szCs w:val="20"/>
                <w:lang w:val="fr-FR"/>
              </w:rPr>
              <w:t xml:space="preserve">communauté </w:t>
            </w:r>
            <w:r w:rsidR="0054340A">
              <w:rPr>
                <w:rFonts w:eastAsia="Times New Roman" w:cs="Times New Roman"/>
                <w:color w:val="000000" w:themeColor="text1"/>
                <w:kern w:val="22"/>
                <w:sz w:val="20"/>
                <w:szCs w:val="20"/>
                <w:lang w:val="fr-FR"/>
              </w:rPr>
              <w:lastRenderedPageBreak/>
              <w:t>donnée ou</w:t>
            </w:r>
            <w:r w:rsidR="00E764CB">
              <w:rPr>
                <w:rFonts w:eastAsia="Times New Roman" w:cs="Times New Roman"/>
                <w:color w:val="000000" w:themeColor="text1"/>
                <w:kern w:val="22"/>
                <w:sz w:val="20"/>
                <w:szCs w:val="20"/>
                <w:lang w:val="fr-FR"/>
              </w:rPr>
              <w:t xml:space="preserve"> d’ailleurs ont</w:t>
            </w:r>
            <w:r w:rsidR="35733B0B" w:rsidRPr="007A438A">
              <w:rPr>
                <w:rFonts w:eastAsia="Times New Roman" w:cs="Times New Roman"/>
                <w:color w:val="000000" w:themeColor="text1"/>
                <w:kern w:val="22"/>
                <w:sz w:val="20"/>
                <w:szCs w:val="20"/>
                <w:lang w:val="fr-FR"/>
              </w:rPr>
              <w:t xml:space="preserve"> </w:t>
            </w:r>
            <w:r w:rsidR="0054340A">
              <w:rPr>
                <w:rFonts w:eastAsia="Times New Roman" w:cs="Times New Roman"/>
                <w:color w:val="000000" w:themeColor="text1"/>
                <w:kern w:val="22"/>
                <w:sz w:val="20"/>
                <w:szCs w:val="20"/>
                <w:lang w:val="fr-FR"/>
              </w:rPr>
              <w:t xml:space="preserve">fourni des pistes sur les </w:t>
            </w:r>
            <w:r w:rsidR="00E764CB">
              <w:rPr>
                <w:rFonts w:eastAsia="Times New Roman" w:cs="Times New Roman"/>
                <w:color w:val="000000" w:themeColor="text1"/>
                <w:kern w:val="22"/>
                <w:sz w:val="20"/>
                <w:szCs w:val="20"/>
                <w:lang w:val="fr-FR"/>
              </w:rPr>
              <w:t>usage</w:t>
            </w:r>
            <w:r w:rsidR="0054340A">
              <w:rPr>
                <w:rFonts w:eastAsia="Times New Roman" w:cs="Times New Roman"/>
                <w:color w:val="000000" w:themeColor="text1"/>
                <w:kern w:val="22"/>
                <w:sz w:val="20"/>
                <w:szCs w:val="20"/>
                <w:lang w:val="fr-FR"/>
              </w:rPr>
              <w:t>s</w:t>
            </w:r>
            <w:r w:rsidR="00E764CB">
              <w:rPr>
                <w:rFonts w:eastAsia="Times New Roman" w:cs="Times New Roman"/>
                <w:color w:val="000000" w:themeColor="text1"/>
                <w:kern w:val="22"/>
                <w:sz w:val="20"/>
                <w:szCs w:val="20"/>
                <w:lang w:val="fr-FR"/>
              </w:rPr>
              <w:t xml:space="preserve"> mé</w:t>
            </w:r>
            <w:r w:rsidR="0054340A">
              <w:rPr>
                <w:rFonts w:eastAsia="Times New Roman" w:cs="Times New Roman"/>
                <w:color w:val="000000" w:themeColor="text1"/>
                <w:kern w:val="22"/>
                <w:sz w:val="20"/>
                <w:szCs w:val="20"/>
                <w:lang w:val="fr-FR"/>
              </w:rPr>
              <w:t>dicinaux</w:t>
            </w:r>
            <w:r w:rsidR="00E764CB">
              <w:rPr>
                <w:rFonts w:eastAsia="Times New Roman" w:cs="Times New Roman"/>
                <w:color w:val="000000" w:themeColor="text1"/>
                <w:kern w:val="22"/>
                <w:sz w:val="20"/>
                <w:szCs w:val="20"/>
                <w:lang w:val="fr-FR"/>
              </w:rPr>
              <w:t xml:space="preserve"> de certaines plantes, ou</w:t>
            </w:r>
            <w:r w:rsidR="0054340A">
              <w:rPr>
                <w:rFonts w:eastAsia="Times New Roman" w:cs="Times New Roman"/>
                <w:color w:val="000000" w:themeColor="text1"/>
                <w:kern w:val="22"/>
                <w:sz w:val="20"/>
                <w:szCs w:val="20"/>
                <w:lang w:val="fr-FR"/>
              </w:rPr>
              <w:t xml:space="preserve"> lorsque </w:t>
            </w:r>
            <w:r w:rsidR="00E764CB">
              <w:rPr>
                <w:rFonts w:eastAsia="Times New Roman" w:cs="Times New Roman"/>
                <w:color w:val="000000" w:themeColor="text1"/>
                <w:kern w:val="22"/>
                <w:sz w:val="20"/>
                <w:szCs w:val="20"/>
                <w:lang w:val="fr-FR"/>
              </w:rPr>
              <w:t>l’</w:t>
            </w:r>
            <w:r w:rsidR="35733B0B" w:rsidRPr="007A438A">
              <w:rPr>
                <w:rFonts w:eastAsia="Times New Roman" w:cs="Times New Roman"/>
                <w:color w:val="000000" w:themeColor="text1"/>
                <w:kern w:val="22"/>
                <w:sz w:val="20"/>
                <w:szCs w:val="20"/>
                <w:lang w:val="fr-FR"/>
              </w:rPr>
              <w:t xml:space="preserve">information </w:t>
            </w:r>
            <w:r w:rsidR="00E764CB">
              <w:rPr>
                <w:rFonts w:eastAsia="Times New Roman" w:cs="Times New Roman"/>
                <w:color w:val="000000" w:themeColor="text1"/>
                <w:kern w:val="22"/>
                <w:sz w:val="20"/>
                <w:szCs w:val="20"/>
                <w:lang w:val="fr-FR"/>
              </w:rPr>
              <w:t>sur les usages médicinaux provi</w:t>
            </w:r>
            <w:r w:rsidR="0054340A">
              <w:rPr>
                <w:rFonts w:eastAsia="Times New Roman" w:cs="Times New Roman"/>
                <w:color w:val="000000" w:themeColor="text1"/>
                <w:kern w:val="22"/>
                <w:sz w:val="20"/>
                <w:szCs w:val="20"/>
                <w:lang w:val="fr-FR"/>
              </w:rPr>
              <w:t>ent</w:t>
            </w:r>
            <w:r w:rsidR="00E764CB">
              <w:rPr>
                <w:rFonts w:eastAsia="Times New Roman" w:cs="Times New Roman"/>
                <w:color w:val="000000" w:themeColor="text1"/>
                <w:kern w:val="22"/>
                <w:sz w:val="20"/>
                <w:szCs w:val="20"/>
                <w:lang w:val="fr-FR"/>
              </w:rPr>
              <w:t xml:space="preserve"> d’une source secondaire</w:t>
            </w:r>
            <w:r w:rsidR="35733B0B" w:rsidRPr="007A438A">
              <w:rPr>
                <w:rFonts w:eastAsia="Times New Roman" w:cs="Times New Roman"/>
                <w:color w:val="000000" w:themeColor="text1"/>
                <w:kern w:val="22"/>
                <w:sz w:val="20"/>
                <w:szCs w:val="20"/>
                <w:lang w:val="fr-FR"/>
              </w:rPr>
              <w:t xml:space="preserve">, </w:t>
            </w:r>
            <w:r w:rsidR="00E764CB">
              <w:rPr>
                <w:rFonts w:eastAsia="Times New Roman" w:cs="Times New Roman"/>
                <w:color w:val="000000" w:themeColor="text1"/>
                <w:kern w:val="22"/>
                <w:sz w:val="20"/>
                <w:szCs w:val="20"/>
                <w:lang w:val="fr-FR"/>
              </w:rPr>
              <w:t xml:space="preserve">comme la </w:t>
            </w:r>
            <w:r w:rsidR="35733B0B" w:rsidRPr="007A438A">
              <w:rPr>
                <w:rFonts w:eastAsia="Times New Roman" w:cs="Times New Roman"/>
                <w:color w:val="000000" w:themeColor="text1"/>
                <w:kern w:val="22"/>
                <w:sz w:val="20"/>
                <w:szCs w:val="20"/>
                <w:lang w:val="fr-FR"/>
              </w:rPr>
              <w:t>pharmacop</w:t>
            </w:r>
            <w:r w:rsidR="00E764CB">
              <w:rPr>
                <w:rFonts w:eastAsia="Times New Roman" w:cs="Times New Roman"/>
                <w:color w:val="000000" w:themeColor="text1"/>
                <w:kern w:val="22"/>
                <w:sz w:val="20"/>
                <w:szCs w:val="20"/>
                <w:lang w:val="fr-FR"/>
              </w:rPr>
              <w:t>ée</w:t>
            </w:r>
            <w:r w:rsidR="0028742E">
              <w:rPr>
                <w:rFonts w:eastAsia="Times New Roman" w:cs="Times New Roman"/>
                <w:color w:val="000000" w:themeColor="text1"/>
                <w:kern w:val="22"/>
                <w:sz w:val="20"/>
                <w:szCs w:val="20"/>
                <w:lang w:val="fr-FR"/>
              </w:rPr>
              <w:t xml:space="preserve"> ou</w:t>
            </w:r>
            <w:r w:rsidR="002518EB">
              <w:rPr>
                <w:rFonts w:eastAsia="Times New Roman" w:cs="Times New Roman"/>
                <w:color w:val="000000" w:themeColor="text1"/>
                <w:kern w:val="22"/>
                <w:sz w:val="20"/>
                <w:szCs w:val="20"/>
                <w:lang w:val="fr-FR"/>
              </w:rPr>
              <w:t xml:space="preserve"> d’autres </w:t>
            </w:r>
            <w:r w:rsidR="0054340A">
              <w:rPr>
                <w:rFonts w:eastAsia="Times New Roman" w:cs="Times New Roman"/>
                <w:color w:val="000000" w:themeColor="text1"/>
                <w:kern w:val="22"/>
                <w:sz w:val="20"/>
                <w:szCs w:val="20"/>
                <w:lang w:val="fr-FR"/>
              </w:rPr>
              <w:t>travaux externes</w:t>
            </w:r>
            <w:r w:rsidR="35733B0B" w:rsidRPr="007A438A">
              <w:rPr>
                <w:rFonts w:eastAsia="Times New Roman" w:cs="Times New Roman"/>
                <w:color w:val="000000" w:themeColor="text1"/>
                <w:kern w:val="22"/>
                <w:sz w:val="20"/>
                <w:szCs w:val="20"/>
                <w:lang w:val="fr-FR"/>
              </w:rPr>
              <w:t xml:space="preserve"> </w:t>
            </w:r>
            <w:r w:rsidR="0054340A">
              <w:rPr>
                <w:rFonts w:eastAsia="Times New Roman" w:cs="Times New Roman"/>
                <w:color w:val="000000" w:themeColor="text1"/>
                <w:kern w:val="22"/>
                <w:sz w:val="20"/>
                <w:szCs w:val="20"/>
                <w:lang w:val="fr-FR"/>
              </w:rPr>
              <w:t>qui ne donnent</w:t>
            </w:r>
            <w:r w:rsidR="00E764CB">
              <w:rPr>
                <w:rFonts w:eastAsia="Times New Roman" w:cs="Times New Roman"/>
                <w:color w:val="000000" w:themeColor="text1"/>
                <w:kern w:val="22"/>
                <w:sz w:val="20"/>
                <w:szCs w:val="20"/>
                <w:lang w:val="fr-FR"/>
              </w:rPr>
              <w:t xml:space="preserve"> pas une </w:t>
            </w:r>
            <w:r w:rsidR="0054340A">
              <w:rPr>
                <w:rFonts w:eastAsia="Times New Roman" w:cs="Times New Roman"/>
                <w:color w:val="000000" w:themeColor="text1"/>
                <w:kern w:val="22"/>
                <w:sz w:val="20"/>
                <w:szCs w:val="20"/>
                <w:lang w:val="fr-FR"/>
              </w:rPr>
              <w:t>liste des dépositaires à l’origine</w:t>
            </w:r>
            <w:r w:rsidR="00E764CB">
              <w:rPr>
                <w:rFonts w:eastAsia="Times New Roman" w:cs="Times New Roman"/>
                <w:color w:val="000000" w:themeColor="text1"/>
                <w:kern w:val="22"/>
                <w:sz w:val="20"/>
                <w:szCs w:val="20"/>
                <w:lang w:val="fr-FR"/>
              </w:rPr>
              <w:t xml:space="preserve"> des </w:t>
            </w:r>
            <w:r w:rsidR="00830BE4" w:rsidRPr="007A438A">
              <w:rPr>
                <w:rFonts w:eastAsia="Times New Roman" w:cs="Times New Roman"/>
                <w:color w:val="000000" w:themeColor="text1"/>
                <w:kern w:val="22"/>
                <w:sz w:val="20"/>
                <w:szCs w:val="20"/>
                <w:lang w:val="fr-FR"/>
              </w:rPr>
              <w:t>connaissances traditionnelles connexes</w:t>
            </w:r>
            <w:r w:rsidR="35733B0B" w:rsidRPr="007A438A">
              <w:rPr>
                <w:rFonts w:eastAsia="Times New Roman" w:cs="Times New Roman"/>
                <w:color w:val="000000" w:themeColor="text1"/>
                <w:kern w:val="22"/>
                <w:sz w:val="20"/>
                <w:szCs w:val="20"/>
                <w:lang w:val="fr-FR"/>
              </w:rPr>
              <w:t>).</w:t>
            </w:r>
          </w:p>
        </w:tc>
        <w:tc>
          <w:tcPr>
            <w:tcW w:w="0" w:type="dxa"/>
            <w:vMerge/>
          </w:tcPr>
          <w:p w14:paraId="61361790" w14:textId="5319CC99" w:rsidR="6873B90E" w:rsidRPr="007A438A" w:rsidRDefault="6873B90E" w:rsidP="00F43F79">
            <w:pPr>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0"/>
                <w:szCs w:val="20"/>
                <w:lang w:val="fr-FR"/>
              </w:rPr>
            </w:pPr>
          </w:p>
        </w:tc>
      </w:tr>
    </w:tbl>
    <w:p w14:paraId="3D255DFC" w14:textId="76549294" w:rsidR="6873B90E" w:rsidRPr="007A438A" w:rsidRDefault="6873B90E" w:rsidP="35733B0B">
      <w:pPr>
        <w:jc w:val="left"/>
        <w:rPr>
          <w:kern w:val="22"/>
          <w:sz w:val="22"/>
          <w:lang w:val="fr-FR"/>
        </w:rPr>
      </w:pPr>
    </w:p>
    <w:p w14:paraId="2C171DE0" w14:textId="5D04182E" w:rsidR="6873B90E" w:rsidRPr="007A438A" w:rsidRDefault="00AF0A79">
      <w:pPr>
        <w:spacing w:line="259" w:lineRule="auto"/>
        <w:jc w:val="left"/>
        <w:rPr>
          <w:kern w:val="22"/>
          <w:sz w:val="22"/>
          <w:lang w:val="fr-FR"/>
        </w:rPr>
      </w:pPr>
      <w:r w:rsidRPr="007A438A">
        <w:rPr>
          <w:kern w:val="22"/>
          <w:sz w:val="22"/>
          <w:lang w:val="fr-FR"/>
        </w:rPr>
        <w:br w:type="page"/>
      </w:r>
    </w:p>
    <w:p w14:paraId="5D9AEF86" w14:textId="77777777" w:rsidR="001C1C45" w:rsidRPr="002364AB" w:rsidRDefault="35733B0B" w:rsidP="35733B0B">
      <w:pPr>
        <w:pStyle w:val="Heading1"/>
        <w:numPr>
          <w:ilvl w:val="0"/>
          <w:numId w:val="27"/>
        </w:numPr>
        <w:jc w:val="left"/>
        <w:rPr>
          <w:kern w:val="22"/>
          <w:sz w:val="22"/>
          <w:szCs w:val="22"/>
          <w:lang w:val="en-GB"/>
        </w:rPr>
      </w:pPr>
      <w:bookmarkStart w:id="9" w:name="_Toc39579102"/>
      <w:bookmarkStart w:id="10" w:name="_Toc39653340"/>
      <w:bookmarkStart w:id="11" w:name="_Toc41551367"/>
      <w:bookmarkStart w:id="12" w:name="_Toc41551440"/>
      <w:bookmarkStart w:id="13" w:name="_Toc41571295"/>
      <w:bookmarkStart w:id="14" w:name="_Toc41571324"/>
      <w:bookmarkStart w:id="15" w:name="_Toc41571353"/>
      <w:bookmarkStart w:id="16" w:name="_Toc41571382"/>
      <w:bookmarkStart w:id="17" w:name="_Toc41571417"/>
      <w:bookmarkStart w:id="18" w:name="_Toc41571446"/>
      <w:bookmarkStart w:id="19" w:name="_Toc41571475"/>
      <w:bookmarkStart w:id="20" w:name="_Toc41571504"/>
      <w:bookmarkStart w:id="21" w:name="_Toc41571533"/>
      <w:bookmarkStart w:id="22" w:name="_Toc41571562"/>
      <w:bookmarkStart w:id="23" w:name="_Toc41571591"/>
      <w:bookmarkStart w:id="24" w:name="_Toc41571662"/>
      <w:bookmarkStart w:id="25" w:name="_Toc41571877"/>
      <w:bookmarkStart w:id="26" w:name="_Toc41571954"/>
      <w:bookmarkStart w:id="27" w:name="_Toc42261084"/>
      <w:bookmarkStart w:id="28" w:name="_Toc39579103"/>
      <w:bookmarkStart w:id="29" w:name="_Toc39653341"/>
      <w:bookmarkStart w:id="30" w:name="_Toc41551368"/>
      <w:bookmarkStart w:id="31" w:name="_Toc41551441"/>
      <w:bookmarkStart w:id="32" w:name="_Toc41571296"/>
      <w:bookmarkStart w:id="33" w:name="_Toc41571325"/>
      <w:bookmarkStart w:id="34" w:name="_Toc41571354"/>
      <w:bookmarkStart w:id="35" w:name="_Toc41571383"/>
      <w:bookmarkStart w:id="36" w:name="_Toc41571418"/>
      <w:bookmarkStart w:id="37" w:name="_Toc41571447"/>
      <w:bookmarkStart w:id="38" w:name="_Toc41571476"/>
      <w:bookmarkStart w:id="39" w:name="_Toc41571505"/>
      <w:bookmarkStart w:id="40" w:name="_Toc41571534"/>
      <w:bookmarkStart w:id="41" w:name="_Toc41571563"/>
      <w:bookmarkStart w:id="42" w:name="_Toc41571592"/>
      <w:bookmarkStart w:id="43" w:name="_Toc41571663"/>
      <w:bookmarkStart w:id="44" w:name="_Toc41571878"/>
      <w:bookmarkStart w:id="45" w:name="_Toc41571955"/>
      <w:bookmarkStart w:id="46" w:name="_Toc42261085"/>
      <w:bookmarkStart w:id="47" w:name="_Toc34249581"/>
      <w:bookmarkStart w:id="48" w:name="_Toc39580424"/>
      <w:bookmarkStart w:id="49" w:name="_Toc4891479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364AB">
        <w:rPr>
          <w:kern w:val="22"/>
          <w:sz w:val="22"/>
          <w:szCs w:val="22"/>
          <w:lang w:val="en-GB"/>
        </w:rPr>
        <w:lastRenderedPageBreak/>
        <w:t>Introduction</w:t>
      </w:r>
      <w:bookmarkEnd w:id="47"/>
      <w:bookmarkEnd w:id="48"/>
      <w:bookmarkEnd w:id="49"/>
    </w:p>
    <w:p w14:paraId="55CD2847" w14:textId="02E795FD" w:rsidR="00FC5588" w:rsidRPr="007A438A" w:rsidRDefault="007A438A" w:rsidP="00FC5588">
      <w:pPr>
        <w:pBdr>
          <w:top w:val="nil"/>
          <w:left w:val="nil"/>
          <w:bottom w:val="nil"/>
          <w:right w:val="nil"/>
          <w:between w:val="nil"/>
        </w:pBdr>
        <w:spacing w:after="120"/>
        <w:rPr>
          <w:rFonts w:eastAsia="Times New Roman" w:cs="Times New Roman"/>
          <w:kern w:val="22"/>
          <w:sz w:val="22"/>
          <w:lang w:val="fr-FR" w:eastAsia="en-CA"/>
        </w:rPr>
      </w:pPr>
      <w:r w:rsidRPr="007A438A">
        <w:rPr>
          <w:rFonts w:eastAsia="Times New Roman" w:cs="Times New Roman"/>
          <w:kern w:val="22"/>
          <w:sz w:val="22"/>
          <w:lang w:val="fr-FR" w:eastAsia="en-CA"/>
        </w:rPr>
        <w:t>En n</w:t>
      </w:r>
      <w:r>
        <w:rPr>
          <w:rFonts w:eastAsia="Times New Roman" w:cs="Times New Roman"/>
          <w:kern w:val="22"/>
          <w:sz w:val="22"/>
          <w:lang w:val="fr-FR" w:eastAsia="en-CA"/>
        </w:rPr>
        <w:t>ovembre</w:t>
      </w:r>
      <w:r w:rsidR="00FC5588" w:rsidRPr="00E3674F">
        <w:rPr>
          <w:rFonts w:eastAsia="Times New Roman" w:cs="Times New Roman"/>
          <w:kern w:val="22"/>
          <w:sz w:val="22"/>
          <w:lang w:val="fr-FR" w:eastAsia="en-CA"/>
        </w:rPr>
        <w:t xml:space="preserve"> 2018</w:t>
      </w:r>
      <w:r w:rsidR="0054340A">
        <w:rPr>
          <w:rFonts w:eastAsia="Times New Roman" w:cs="Times New Roman"/>
          <w:kern w:val="22"/>
          <w:sz w:val="22"/>
          <w:lang w:val="fr-FR" w:eastAsia="en-CA"/>
        </w:rPr>
        <w:t xml:space="preserve">, à </w:t>
      </w:r>
      <w:r>
        <w:rPr>
          <w:rFonts w:eastAsia="Times New Roman" w:cs="Times New Roman"/>
          <w:kern w:val="22"/>
          <w:sz w:val="22"/>
          <w:lang w:val="fr-FR" w:eastAsia="en-CA"/>
        </w:rPr>
        <w:t>la</w:t>
      </w:r>
      <w:r w:rsidR="00FC5588" w:rsidRPr="00E3674F">
        <w:rPr>
          <w:rFonts w:eastAsia="Times New Roman" w:cs="Times New Roman"/>
          <w:kern w:val="22"/>
          <w:sz w:val="22"/>
          <w:lang w:val="fr-FR" w:eastAsia="en-CA"/>
        </w:rPr>
        <w:t xml:space="preserve"> </w:t>
      </w:r>
      <w:r w:rsidR="00E3674F">
        <w:rPr>
          <w:rFonts w:eastAsia="Times New Roman" w:cs="Times New Roman"/>
          <w:kern w:val="22"/>
          <w:sz w:val="22"/>
          <w:lang w:val="fr-FR" w:eastAsia="en-CA"/>
        </w:rPr>
        <w:t>troisième</w:t>
      </w:r>
      <w:r w:rsidR="00FC5588" w:rsidRPr="00E3674F">
        <w:rPr>
          <w:rFonts w:eastAsia="Times New Roman" w:cs="Times New Roman"/>
          <w:kern w:val="22"/>
          <w:sz w:val="22"/>
          <w:lang w:val="fr-FR" w:eastAsia="en-CA"/>
        </w:rPr>
        <w:t xml:space="preserve"> </w:t>
      </w:r>
      <w:r w:rsidR="00E3674F">
        <w:rPr>
          <w:rFonts w:eastAsia="Times New Roman" w:cs="Times New Roman"/>
          <w:kern w:val="22"/>
          <w:sz w:val="22"/>
          <w:lang w:val="fr-FR" w:eastAsia="en-CA"/>
        </w:rPr>
        <w:t>réunion</w:t>
      </w:r>
      <w:r w:rsidR="00FC5588" w:rsidRPr="00E3674F">
        <w:rPr>
          <w:rFonts w:eastAsia="Times New Roman" w:cs="Times New Roman"/>
          <w:kern w:val="22"/>
          <w:sz w:val="22"/>
          <w:lang w:val="fr-FR" w:eastAsia="en-CA"/>
        </w:rPr>
        <w:t xml:space="preserve"> </w:t>
      </w:r>
      <w:r w:rsidR="0020703A">
        <w:rPr>
          <w:rFonts w:eastAsia="Times New Roman" w:cs="Times New Roman"/>
          <w:kern w:val="22"/>
          <w:sz w:val="22"/>
          <w:lang w:val="fr-FR" w:eastAsia="en-CA"/>
        </w:rPr>
        <w:t>de la</w:t>
      </w:r>
      <w:r w:rsidR="00E3674F" w:rsidRPr="00E3674F">
        <w:rPr>
          <w:rFonts w:eastAsia="Times New Roman" w:cs="Times New Roman"/>
          <w:kern w:val="22"/>
          <w:sz w:val="22"/>
          <w:lang w:val="fr-FR" w:eastAsia="en-CA"/>
        </w:rPr>
        <w:t xml:space="preserve"> Conférence des Parties</w:t>
      </w:r>
      <w:r w:rsidR="00FC5588" w:rsidRPr="00E3674F">
        <w:rPr>
          <w:rFonts w:eastAsia="Times New Roman" w:cs="Times New Roman"/>
          <w:kern w:val="22"/>
          <w:sz w:val="22"/>
          <w:lang w:val="fr-FR" w:eastAsia="en-CA"/>
        </w:rPr>
        <w:t xml:space="preserve"> </w:t>
      </w:r>
      <w:r w:rsidR="00E3674F" w:rsidRPr="00E3674F">
        <w:rPr>
          <w:rFonts w:eastAsia="Times New Roman" w:cs="Times New Roman"/>
          <w:kern w:val="22"/>
          <w:sz w:val="22"/>
          <w:lang w:val="fr-FR" w:eastAsia="en-CA"/>
        </w:rPr>
        <w:t>siégeant en tant que réunion des Parties</w:t>
      </w:r>
      <w:r w:rsidR="00FC5588" w:rsidRPr="00E3674F">
        <w:rPr>
          <w:rFonts w:eastAsia="Times New Roman" w:cs="Times New Roman"/>
          <w:kern w:val="22"/>
          <w:sz w:val="22"/>
          <w:lang w:val="fr-FR" w:eastAsia="en-CA"/>
        </w:rPr>
        <w:t xml:space="preserve"> </w:t>
      </w:r>
      <w:r w:rsidR="00E3674F" w:rsidRPr="00E3674F">
        <w:rPr>
          <w:rFonts w:eastAsia="Times New Roman" w:cs="Times New Roman"/>
          <w:kern w:val="22"/>
          <w:sz w:val="22"/>
          <w:lang w:val="fr-FR" w:eastAsia="en-CA"/>
        </w:rPr>
        <w:t>au Protocole de Nagoya</w:t>
      </w:r>
      <w:r w:rsidR="00FC5588" w:rsidRPr="00E3674F">
        <w:rPr>
          <w:rFonts w:eastAsia="Times New Roman" w:cs="Times New Roman"/>
          <w:kern w:val="22"/>
          <w:sz w:val="22"/>
          <w:lang w:val="fr-FR" w:eastAsia="en-CA"/>
        </w:rPr>
        <w:t xml:space="preserve"> </w:t>
      </w:r>
      <w:r w:rsidR="006030C1" w:rsidRPr="00E3674F">
        <w:rPr>
          <w:rFonts w:eastAsia="Times New Roman" w:cs="Times New Roman"/>
          <w:kern w:val="22"/>
          <w:sz w:val="22"/>
          <w:lang w:val="fr-FR" w:eastAsia="en-CA"/>
        </w:rPr>
        <w:t>(COP-MOP)</w:t>
      </w:r>
      <w:r>
        <w:rPr>
          <w:rFonts w:eastAsia="Times New Roman" w:cs="Times New Roman"/>
          <w:kern w:val="22"/>
          <w:sz w:val="22"/>
          <w:lang w:val="fr-FR" w:eastAsia="en-CA"/>
        </w:rPr>
        <w:t>, les</w:t>
      </w:r>
      <w:r w:rsidR="00FC5588" w:rsidRPr="00E3674F">
        <w:rPr>
          <w:rFonts w:eastAsia="Times New Roman" w:cs="Times New Roman"/>
          <w:kern w:val="22"/>
          <w:sz w:val="22"/>
          <w:lang w:val="fr-FR" w:eastAsia="en-CA"/>
        </w:rPr>
        <w:t xml:space="preserve"> Parties </w:t>
      </w:r>
      <w:r>
        <w:rPr>
          <w:rFonts w:eastAsia="Times New Roman" w:cs="Times New Roman"/>
          <w:kern w:val="22"/>
          <w:sz w:val="22"/>
          <w:lang w:val="fr-FR" w:eastAsia="en-CA"/>
        </w:rPr>
        <w:t>au Protocole</w:t>
      </w:r>
      <w:r w:rsidR="00FC5588" w:rsidRPr="00E3674F">
        <w:rPr>
          <w:rFonts w:eastAsia="Times New Roman" w:cs="Times New Roman"/>
          <w:kern w:val="22"/>
          <w:sz w:val="22"/>
          <w:lang w:val="fr-FR" w:eastAsia="en-CA"/>
        </w:rPr>
        <w:t xml:space="preserve"> </w:t>
      </w:r>
      <w:r>
        <w:rPr>
          <w:rFonts w:eastAsia="Times New Roman" w:cs="Times New Roman"/>
          <w:kern w:val="22"/>
          <w:sz w:val="22"/>
          <w:lang w:val="fr-FR" w:eastAsia="en-CA"/>
        </w:rPr>
        <w:t>ont</w:t>
      </w:r>
      <w:r w:rsidR="00E3674F">
        <w:rPr>
          <w:rFonts w:eastAsia="Times New Roman" w:cs="Times New Roman"/>
          <w:kern w:val="22"/>
          <w:sz w:val="22"/>
          <w:lang w:val="fr-FR" w:eastAsia="en-CA"/>
        </w:rPr>
        <w:t xml:space="preserve"> adopté</w:t>
      </w:r>
      <w:r w:rsidR="00FC5588" w:rsidRPr="00E3674F">
        <w:rPr>
          <w:rFonts w:eastAsia="Times New Roman" w:cs="Times New Roman"/>
          <w:kern w:val="22"/>
          <w:sz w:val="22"/>
          <w:lang w:val="fr-FR" w:eastAsia="en-CA"/>
        </w:rPr>
        <w:t xml:space="preserve"> </w:t>
      </w:r>
      <w:r>
        <w:rPr>
          <w:rFonts w:eastAsia="Times New Roman" w:cs="Times New Roman"/>
          <w:kern w:val="22"/>
          <w:sz w:val="22"/>
          <w:lang w:val="fr-FR" w:eastAsia="en-CA"/>
        </w:rPr>
        <w:t xml:space="preserve">la </w:t>
      </w:r>
      <w:r w:rsidR="00E3674F">
        <w:rPr>
          <w:rFonts w:eastAsia="Times New Roman" w:cs="Times New Roman"/>
          <w:kern w:val="22"/>
          <w:sz w:val="22"/>
          <w:lang w:val="fr-FR" w:eastAsia="en-CA"/>
        </w:rPr>
        <w:t>décision</w:t>
      </w:r>
      <w:r w:rsidR="00FC5588" w:rsidRPr="00E3674F">
        <w:rPr>
          <w:rFonts w:eastAsia="Times New Roman" w:cs="Times New Roman"/>
          <w:kern w:val="22"/>
          <w:sz w:val="22"/>
          <w:lang w:val="fr-FR" w:eastAsia="en-CA"/>
        </w:rPr>
        <w:t xml:space="preserve"> </w:t>
      </w:r>
      <w:r w:rsidR="00552599">
        <w:rPr>
          <w:rFonts w:eastAsia="Times New Roman" w:cs="Times New Roman"/>
          <w:kern w:val="22"/>
          <w:sz w:val="22"/>
          <w:lang w:val="fr-FR" w:eastAsia="en-CA"/>
        </w:rPr>
        <w:t>NP</w:t>
      </w:r>
      <w:r w:rsidR="00FC5588" w:rsidRPr="00E3674F">
        <w:rPr>
          <w:rFonts w:eastAsia="Times New Roman" w:cs="Times New Roman"/>
          <w:kern w:val="22"/>
          <w:sz w:val="22"/>
          <w:lang w:val="fr-FR" w:eastAsia="en-CA"/>
        </w:rPr>
        <w:t>-3/13</w:t>
      </w:r>
      <w:r>
        <w:rPr>
          <w:rFonts w:eastAsia="Times New Roman" w:cs="Times New Roman"/>
          <w:kern w:val="22"/>
          <w:sz w:val="22"/>
          <w:lang w:val="fr-FR" w:eastAsia="en-CA"/>
        </w:rPr>
        <w:t xml:space="preserve"> sur un</w:t>
      </w:r>
      <w:r w:rsidR="00FC5588" w:rsidRPr="00E3674F">
        <w:rPr>
          <w:rFonts w:eastAsia="Times New Roman" w:cs="Times New Roman"/>
          <w:kern w:val="22"/>
          <w:sz w:val="22"/>
          <w:lang w:val="fr-FR" w:eastAsia="en-CA"/>
        </w:rPr>
        <w:t xml:space="preserve"> </w:t>
      </w:r>
      <w:r w:rsidR="001A200E">
        <w:rPr>
          <w:rFonts w:eastAsia="Times New Roman" w:cs="Times New Roman"/>
          <w:kern w:val="22"/>
          <w:sz w:val="22"/>
          <w:lang w:val="fr-FR" w:eastAsia="en-CA"/>
        </w:rPr>
        <w:t>mécanisme multilatéral mondial</w:t>
      </w:r>
      <w:r w:rsidR="00E3674F" w:rsidRPr="00E3674F">
        <w:rPr>
          <w:rFonts w:eastAsia="Times New Roman" w:cs="Times New Roman"/>
          <w:kern w:val="22"/>
          <w:sz w:val="22"/>
          <w:lang w:val="fr-FR" w:eastAsia="en-CA"/>
        </w:rPr>
        <w:t xml:space="preserve"> de partage des avantages</w:t>
      </w:r>
      <w:r w:rsidR="00FC5588" w:rsidRPr="00E3674F">
        <w:rPr>
          <w:rFonts w:eastAsia="Times New Roman" w:cs="Times New Roman"/>
          <w:kern w:val="22"/>
          <w:sz w:val="22"/>
          <w:lang w:val="fr-FR" w:eastAsia="en-CA"/>
        </w:rPr>
        <w:t xml:space="preserve"> (</w:t>
      </w:r>
      <w:r w:rsidR="00FD73A5">
        <w:rPr>
          <w:rFonts w:eastAsia="Times New Roman" w:cs="Times New Roman"/>
          <w:kern w:val="22"/>
          <w:sz w:val="22"/>
          <w:lang w:val="fr-FR" w:eastAsia="en-CA"/>
        </w:rPr>
        <w:t>article</w:t>
      </w:r>
      <w:r>
        <w:rPr>
          <w:rFonts w:eastAsia="Times New Roman" w:cs="Times New Roman"/>
          <w:kern w:val="22"/>
          <w:sz w:val="22"/>
          <w:lang w:val="fr-FR" w:eastAsia="en-CA"/>
        </w:rPr>
        <w:t xml:space="preserve"> 10). Au</w:t>
      </w:r>
      <w:r w:rsidR="00FC5588" w:rsidRPr="00E3674F">
        <w:rPr>
          <w:rFonts w:eastAsia="Times New Roman" w:cs="Times New Roman"/>
          <w:kern w:val="22"/>
          <w:sz w:val="22"/>
          <w:lang w:val="fr-FR" w:eastAsia="en-CA"/>
        </w:rPr>
        <w:t xml:space="preserve"> </w:t>
      </w:r>
      <w:r w:rsidR="0020703A">
        <w:rPr>
          <w:rFonts w:eastAsia="Times New Roman" w:cs="Times New Roman"/>
          <w:kern w:val="22"/>
          <w:sz w:val="22"/>
          <w:lang w:val="fr-FR" w:eastAsia="en-CA"/>
        </w:rPr>
        <w:t xml:space="preserve">paragraphe </w:t>
      </w:r>
      <w:r>
        <w:rPr>
          <w:rFonts w:eastAsia="Times New Roman" w:cs="Times New Roman"/>
          <w:kern w:val="22"/>
          <w:sz w:val="22"/>
          <w:lang w:val="fr-FR" w:eastAsia="en-CA"/>
        </w:rPr>
        <w:t>5a) de la</w:t>
      </w:r>
      <w:r w:rsidR="00FC5588" w:rsidRPr="00E3674F">
        <w:rPr>
          <w:rFonts w:eastAsia="Times New Roman" w:cs="Times New Roman"/>
          <w:kern w:val="22"/>
          <w:sz w:val="22"/>
          <w:lang w:val="fr-FR" w:eastAsia="en-CA"/>
        </w:rPr>
        <w:t xml:space="preserve"> </w:t>
      </w:r>
      <w:r w:rsidR="00E3674F" w:rsidRPr="00E3674F">
        <w:rPr>
          <w:rFonts w:eastAsia="Times New Roman" w:cs="Times New Roman"/>
          <w:kern w:val="22"/>
          <w:sz w:val="22"/>
          <w:lang w:val="fr-FR" w:eastAsia="en-CA"/>
        </w:rPr>
        <w:t>décision</w:t>
      </w:r>
      <w:r>
        <w:rPr>
          <w:rFonts w:eastAsia="Times New Roman" w:cs="Times New Roman"/>
          <w:kern w:val="22"/>
          <w:sz w:val="22"/>
          <w:lang w:val="fr-FR" w:eastAsia="en-CA"/>
        </w:rPr>
        <w:t>, l</w:t>
      </w:r>
      <w:r w:rsidR="00FC5588" w:rsidRPr="00E3674F">
        <w:rPr>
          <w:rFonts w:eastAsia="Times New Roman" w:cs="Times New Roman"/>
          <w:kern w:val="22"/>
          <w:sz w:val="22"/>
          <w:lang w:val="fr-FR" w:eastAsia="en-CA"/>
        </w:rPr>
        <w:t>e</w:t>
      </w:r>
      <w:r>
        <w:rPr>
          <w:rFonts w:eastAsia="Times New Roman" w:cs="Times New Roman"/>
          <w:kern w:val="22"/>
          <w:sz w:val="22"/>
          <w:lang w:val="fr-FR" w:eastAsia="en-CA"/>
        </w:rPr>
        <w:t>s</w:t>
      </w:r>
      <w:r w:rsidR="00FC5588" w:rsidRPr="00E3674F">
        <w:rPr>
          <w:rFonts w:eastAsia="Times New Roman" w:cs="Times New Roman"/>
          <w:kern w:val="22"/>
          <w:sz w:val="22"/>
          <w:lang w:val="fr-FR" w:eastAsia="en-CA"/>
        </w:rPr>
        <w:t xml:space="preserve"> Parties </w:t>
      </w:r>
      <w:r>
        <w:rPr>
          <w:rFonts w:eastAsia="Times New Roman" w:cs="Times New Roman"/>
          <w:kern w:val="22"/>
          <w:sz w:val="22"/>
          <w:lang w:val="fr-FR" w:eastAsia="en-CA"/>
        </w:rPr>
        <w:t>ont</w:t>
      </w:r>
      <w:r w:rsidR="00770AB8">
        <w:rPr>
          <w:rFonts w:eastAsia="Times New Roman" w:cs="Times New Roman"/>
          <w:kern w:val="22"/>
          <w:sz w:val="22"/>
          <w:lang w:val="fr-FR" w:eastAsia="en-CA"/>
        </w:rPr>
        <w:t xml:space="preserve"> demandé</w:t>
      </w:r>
      <w:r w:rsidR="0054340A">
        <w:rPr>
          <w:rFonts w:eastAsia="Times New Roman" w:cs="Times New Roman"/>
          <w:kern w:val="22"/>
          <w:sz w:val="22"/>
          <w:lang w:val="fr-FR" w:eastAsia="en-CA"/>
        </w:rPr>
        <w:t xml:space="preserve"> la réalisation d’</w:t>
      </w:r>
      <w:r>
        <w:rPr>
          <w:rFonts w:eastAsia="Times New Roman" w:cs="Times New Roman"/>
          <w:kern w:val="22"/>
          <w:sz w:val="22"/>
          <w:lang w:val="fr-FR" w:eastAsia="en-CA"/>
        </w:rPr>
        <w:t>une</w:t>
      </w:r>
      <w:r w:rsidR="00FC5588" w:rsidRPr="00E3674F">
        <w:rPr>
          <w:rFonts w:eastAsia="Times New Roman" w:cs="Times New Roman"/>
          <w:kern w:val="22"/>
          <w:sz w:val="22"/>
          <w:lang w:val="fr-FR" w:eastAsia="en-CA"/>
        </w:rPr>
        <w:t xml:space="preserve"> </w:t>
      </w:r>
      <w:r w:rsidR="00E3674F">
        <w:rPr>
          <w:rFonts w:eastAsia="Times New Roman" w:cs="Times New Roman"/>
          <w:kern w:val="22"/>
          <w:sz w:val="22"/>
          <w:lang w:val="fr-FR" w:eastAsia="en-CA"/>
        </w:rPr>
        <w:t>étu</w:t>
      </w:r>
      <w:r w:rsidR="0054340A">
        <w:rPr>
          <w:rFonts w:eastAsia="Times New Roman" w:cs="Times New Roman"/>
          <w:kern w:val="22"/>
          <w:sz w:val="22"/>
          <w:lang w:val="fr-FR" w:eastAsia="en-CA"/>
        </w:rPr>
        <w:t xml:space="preserve">de, </w:t>
      </w:r>
      <w:r>
        <w:rPr>
          <w:rFonts w:eastAsia="Times New Roman" w:cs="Times New Roman"/>
          <w:kern w:val="22"/>
          <w:sz w:val="22"/>
          <w:lang w:val="fr-FR" w:eastAsia="en-CA"/>
        </w:rPr>
        <w:t>révisée par des pairs, afin d’</w:t>
      </w:r>
      <w:r w:rsidR="00E3674F">
        <w:rPr>
          <w:rFonts w:eastAsia="Times New Roman" w:cs="Times New Roman"/>
          <w:kern w:val="22"/>
          <w:sz w:val="22"/>
          <w:lang w:val="fr-FR" w:eastAsia="en-CA"/>
        </w:rPr>
        <w:t>identifier</w:t>
      </w:r>
      <w:r w:rsidR="00FC5588" w:rsidRPr="00E3674F">
        <w:rPr>
          <w:rFonts w:eastAsia="Times New Roman" w:cs="Times New Roman"/>
          <w:kern w:val="22"/>
          <w:sz w:val="22"/>
          <w:lang w:val="fr-FR" w:eastAsia="en-CA"/>
        </w:rPr>
        <w:t xml:space="preserve"> </w:t>
      </w:r>
      <w:r w:rsidR="00E3674F">
        <w:rPr>
          <w:rFonts w:eastAsia="Times New Roman" w:cs="Times New Roman"/>
          <w:kern w:val="22"/>
          <w:sz w:val="22"/>
          <w:lang w:val="fr-FR" w:eastAsia="en-CA"/>
        </w:rPr>
        <w:t>des cas spécifiques</w:t>
      </w:r>
      <w:r w:rsidR="00FC5588" w:rsidRPr="00E3674F">
        <w:rPr>
          <w:rFonts w:eastAsia="Times New Roman" w:cs="Times New Roman"/>
          <w:kern w:val="22"/>
          <w:sz w:val="22"/>
          <w:lang w:val="fr-FR" w:eastAsia="en-CA"/>
        </w:rPr>
        <w:t xml:space="preserve"> </w:t>
      </w:r>
      <w:r w:rsidR="00D6232E">
        <w:rPr>
          <w:rFonts w:eastAsia="Times New Roman" w:cs="Times New Roman"/>
          <w:kern w:val="22"/>
          <w:sz w:val="22"/>
          <w:lang w:val="fr-FR" w:eastAsia="en-CA"/>
        </w:rPr>
        <w:t>de ressources</w:t>
      </w:r>
      <w:r w:rsidR="00E3674F" w:rsidRPr="00E3674F">
        <w:rPr>
          <w:rFonts w:eastAsia="Times New Roman" w:cs="Times New Roman"/>
          <w:kern w:val="22"/>
          <w:sz w:val="22"/>
          <w:lang w:val="fr-FR" w:eastAsia="en-CA"/>
        </w:rPr>
        <w:t xml:space="preserve"> génétiques et </w:t>
      </w:r>
      <w:r w:rsidR="0054340A">
        <w:rPr>
          <w:rFonts w:eastAsia="Times New Roman" w:cs="Times New Roman"/>
          <w:kern w:val="22"/>
          <w:sz w:val="22"/>
          <w:lang w:val="fr-FR" w:eastAsia="en-CA"/>
        </w:rPr>
        <w:t xml:space="preserve">de </w:t>
      </w:r>
      <w:r w:rsidR="00E3674F" w:rsidRPr="00E3674F">
        <w:rPr>
          <w:rFonts w:eastAsia="Times New Roman" w:cs="Times New Roman"/>
          <w:kern w:val="22"/>
          <w:sz w:val="22"/>
          <w:lang w:val="fr-FR" w:eastAsia="en-CA"/>
        </w:rPr>
        <w:t>connaissances traditionnelles</w:t>
      </w:r>
      <w:r w:rsidR="00FC5588" w:rsidRPr="00E3674F">
        <w:rPr>
          <w:rFonts w:eastAsia="Times New Roman" w:cs="Times New Roman"/>
          <w:kern w:val="22"/>
          <w:sz w:val="22"/>
          <w:lang w:val="fr-FR" w:eastAsia="en-CA"/>
        </w:rPr>
        <w:t xml:space="preserve"> </w:t>
      </w:r>
      <w:r w:rsidR="00E3674F">
        <w:rPr>
          <w:rFonts w:eastAsia="Times New Roman" w:cs="Times New Roman"/>
          <w:kern w:val="22"/>
          <w:sz w:val="22"/>
          <w:lang w:val="fr-FR" w:eastAsia="en-CA"/>
        </w:rPr>
        <w:t>associées aux</w:t>
      </w:r>
      <w:r w:rsidR="00FC5588" w:rsidRPr="00E3674F">
        <w:rPr>
          <w:rFonts w:eastAsia="Times New Roman" w:cs="Times New Roman"/>
          <w:kern w:val="22"/>
          <w:sz w:val="22"/>
          <w:lang w:val="fr-FR" w:eastAsia="en-CA"/>
        </w:rPr>
        <w:t xml:space="preserve"> </w:t>
      </w:r>
      <w:r w:rsidR="00E3674F" w:rsidRPr="00E3674F">
        <w:rPr>
          <w:rFonts w:eastAsia="Times New Roman" w:cs="Times New Roman"/>
          <w:kern w:val="22"/>
          <w:sz w:val="22"/>
          <w:lang w:val="fr-FR" w:eastAsia="en-CA"/>
        </w:rPr>
        <w:t>ressources génétiques</w:t>
      </w:r>
      <w:r w:rsidR="00FC5588" w:rsidRPr="00E3674F">
        <w:rPr>
          <w:rFonts w:eastAsia="Times New Roman" w:cs="Times New Roman"/>
          <w:kern w:val="22"/>
          <w:sz w:val="22"/>
          <w:lang w:val="fr-FR" w:eastAsia="en-CA"/>
        </w:rPr>
        <w:t xml:space="preserve"> </w:t>
      </w:r>
      <w:r w:rsidR="00651FB0">
        <w:rPr>
          <w:rFonts w:eastAsia="Times New Roman" w:cs="Times New Roman"/>
          <w:kern w:val="22"/>
          <w:sz w:val="22"/>
          <w:lang w:val="fr-FR" w:eastAsia="en-CA"/>
        </w:rPr>
        <w:t>qui se trouvent</w:t>
      </w:r>
      <w:r w:rsidR="00FB033A">
        <w:rPr>
          <w:rFonts w:eastAsia="Times New Roman" w:cs="Times New Roman"/>
          <w:kern w:val="22"/>
          <w:sz w:val="22"/>
          <w:lang w:val="fr-FR" w:eastAsia="en-CA"/>
        </w:rPr>
        <w:t xml:space="preserve"> </w:t>
      </w:r>
      <w:r w:rsidR="002A127F">
        <w:rPr>
          <w:rFonts w:eastAsia="Times New Roman" w:cs="Times New Roman"/>
          <w:kern w:val="22"/>
          <w:sz w:val="22"/>
          <w:lang w:val="fr-FR" w:eastAsia="en-CA"/>
        </w:rPr>
        <w:t>dans des situations</w:t>
      </w:r>
      <w:r w:rsidR="00E3674F" w:rsidRPr="00E3674F">
        <w:rPr>
          <w:rFonts w:eastAsia="Times New Roman" w:cs="Times New Roman"/>
          <w:kern w:val="22"/>
          <w:sz w:val="22"/>
          <w:lang w:val="fr-FR" w:eastAsia="en-CA"/>
        </w:rPr>
        <w:t xml:space="preserve"> transfrontières</w:t>
      </w:r>
      <w:r w:rsidR="00FC5588" w:rsidRPr="00E3674F">
        <w:rPr>
          <w:rFonts w:eastAsia="Times New Roman" w:cs="Times New Roman"/>
          <w:kern w:val="22"/>
          <w:sz w:val="22"/>
          <w:lang w:val="fr-FR" w:eastAsia="en-CA"/>
        </w:rPr>
        <w:t xml:space="preserve"> </w:t>
      </w:r>
      <w:r w:rsidR="00755B2D">
        <w:rPr>
          <w:rFonts w:eastAsia="Times New Roman" w:cs="Times New Roman"/>
          <w:kern w:val="22"/>
          <w:sz w:val="22"/>
          <w:lang w:val="fr-FR" w:eastAsia="en-CA"/>
        </w:rPr>
        <w:t>ou pour lesquelles</w:t>
      </w:r>
      <w:r w:rsidR="0020703A">
        <w:rPr>
          <w:rFonts w:eastAsia="Times New Roman" w:cs="Times New Roman"/>
          <w:kern w:val="22"/>
          <w:sz w:val="22"/>
          <w:lang w:val="fr-FR" w:eastAsia="en-CA"/>
        </w:rPr>
        <w:t xml:space="preserve"> </w:t>
      </w:r>
      <w:r w:rsidR="007D7761">
        <w:rPr>
          <w:rFonts w:eastAsia="Times New Roman" w:cs="Times New Roman"/>
          <w:kern w:val="22"/>
          <w:sz w:val="22"/>
          <w:lang w:val="fr-FR" w:eastAsia="en-CA"/>
        </w:rPr>
        <w:t>il n’est pas possible</w:t>
      </w:r>
      <w:r w:rsidR="00FC5588" w:rsidRPr="00E3674F">
        <w:rPr>
          <w:rFonts w:eastAsia="Times New Roman" w:cs="Times New Roman"/>
          <w:kern w:val="22"/>
          <w:sz w:val="22"/>
          <w:lang w:val="fr-FR" w:eastAsia="en-CA"/>
        </w:rPr>
        <w:t xml:space="preserve"> </w:t>
      </w:r>
      <w:r w:rsidR="00FB033A">
        <w:rPr>
          <w:rFonts w:eastAsia="Times New Roman" w:cs="Times New Roman"/>
          <w:kern w:val="22"/>
          <w:sz w:val="22"/>
          <w:lang w:val="fr-FR" w:eastAsia="en-CA"/>
        </w:rPr>
        <w:t xml:space="preserve">d’accorder ou </w:t>
      </w:r>
      <w:r w:rsidR="000E3236">
        <w:rPr>
          <w:rFonts w:eastAsia="Times New Roman" w:cs="Times New Roman"/>
          <w:kern w:val="22"/>
          <w:sz w:val="22"/>
          <w:lang w:val="fr-FR" w:eastAsia="en-CA"/>
        </w:rPr>
        <w:t xml:space="preserve">d’obtenir un </w:t>
      </w:r>
      <w:r w:rsidR="007D7761">
        <w:rPr>
          <w:rFonts w:eastAsia="Times New Roman" w:cs="Times New Roman"/>
          <w:kern w:val="22"/>
          <w:sz w:val="22"/>
          <w:lang w:val="fr-FR" w:eastAsia="en-CA"/>
        </w:rPr>
        <w:t>consentement préalable donné en connaissance de cause</w:t>
      </w:r>
      <w:r w:rsidR="00FC5588" w:rsidRPr="00E3674F">
        <w:rPr>
          <w:rFonts w:eastAsia="Times New Roman" w:cs="Times New Roman"/>
          <w:kern w:val="22"/>
          <w:sz w:val="22"/>
          <w:lang w:val="fr-FR" w:eastAsia="en-CA"/>
        </w:rPr>
        <w:t xml:space="preserve">. </w:t>
      </w:r>
      <w:r w:rsidRPr="007A438A">
        <w:rPr>
          <w:rFonts w:eastAsia="Times New Roman" w:cs="Times New Roman"/>
          <w:kern w:val="22"/>
          <w:sz w:val="22"/>
          <w:lang w:val="fr-FR" w:eastAsia="en-CA"/>
        </w:rPr>
        <w:t>L</w:t>
      </w:r>
      <w:r>
        <w:rPr>
          <w:rFonts w:eastAsia="Times New Roman" w:cs="Times New Roman"/>
          <w:kern w:val="22"/>
          <w:sz w:val="22"/>
          <w:lang w:val="fr-FR" w:eastAsia="en-CA"/>
        </w:rPr>
        <w:t>a présente</w:t>
      </w:r>
      <w:r w:rsidR="00FC5588" w:rsidRPr="007A438A">
        <w:rPr>
          <w:rFonts w:eastAsia="Times New Roman" w:cs="Times New Roman"/>
          <w:kern w:val="22"/>
          <w:sz w:val="22"/>
          <w:lang w:val="fr-FR" w:eastAsia="en-CA"/>
        </w:rPr>
        <w:t xml:space="preserve"> </w:t>
      </w:r>
      <w:r w:rsidR="00E3674F" w:rsidRPr="007A438A">
        <w:rPr>
          <w:rFonts w:eastAsia="Times New Roman" w:cs="Times New Roman"/>
          <w:kern w:val="22"/>
          <w:sz w:val="22"/>
          <w:lang w:val="fr-FR" w:eastAsia="en-CA"/>
        </w:rPr>
        <w:t>étude</w:t>
      </w:r>
      <w:r w:rsidR="0054340A">
        <w:rPr>
          <w:rFonts w:eastAsia="Times New Roman" w:cs="Times New Roman"/>
          <w:kern w:val="22"/>
          <w:sz w:val="22"/>
          <w:lang w:val="fr-FR" w:eastAsia="en-CA"/>
        </w:rPr>
        <w:t xml:space="preserve"> constitue une réponse</w:t>
      </w:r>
      <w:r w:rsidRPr="007A438A">
        <w:rPr>
          <w:rFonts w:eastAsia="Times New Roman" w:cs="Times New Roman"/>
          <w:kern w:val="22"/>
          <w:sz w:val="22"/>
          <w:lang w:val="fr-FR" w:eastAsia="en-CA"/>
        </w:rPr>
        <w:t xml:space="preserve"> à cette demande. </w:t>
      </w:r>
      <w:r w:rsidR="0054340A">
        <w:rPr>
          <w:rFonts w:eastAsia="Times New Roman" w:cs="Times New Roman"/>
          <w:kern w:val="22"/>
          <w:sz w:val="22"/>
          <w:lang w:val="fr-FR" w:eastAsia="en-CA"/>
        </w:rPr>
        <w:t>Il est prévu que l’étude soit mise à disposition pour examen à</w:t>
      </w:r>
      <w:r>
        <w:rPr>
          <w:rFonts w:eastAsia="Times New Roman" w:cs="Times New Roman"/>
          <w:kern w:val="22"/>
          <w:sz w:val="22"/>
          <w:lang w:val="fr-FR" w:eastAsia="en-CA"/>
        </w:rPr>
        <w:t xml:space="preserve"> la</w:t>
      </w:r>
      <w:r w:rsidR="00FC5588" w:rsidRPr="007A438A">
        <w:rPr>
          <w:rFonts w:eastAsia="Times New Roman" w:cs="Times New Roman"/>
          <w:kern w:val="22"/>
          <w:sz w:val="22"/>
          <w:lang w:val="fr-FR" w:eastAsia="en-CA"/>
        </w:rPr>
        <w:t xml:space="preserve"> </w:t>
      </w:r>
      <w:r w:rsidR="00E3674F" w:rsidRPr="007A438A">
        <w:rPr>
          <w:rFonts w:eastAsia="Times New Roman" w:cs="Times New Roman"/>
          <w:kern w:val="22"/>
          <w:sz w:val="22"/>
          <w:lang w:val="fr-FR" w:eastAsia="en-CA"/>
        </w:rPr>
        <w:t>troisième</w:t>
      </w:r>
      <w:r w:rsidR="00F47962" w:rsidRPr="007A438A">
        <w:rPr>
          <w:rFonts w:eastAsia="Times New Roman" w:cs="Times New Roman"/>
          <w:kern w:val="22"/>
          <w:sz w:val="22"/>
          <w:lang w:val="fr-FR" w:eastAsia="en-CA"/>
        </w:rPr>
        <w:t xml:space="preserve"> </w:t>
      </w:r>
      <w:r w:rsidR="00E3674F" w:rsidRPr="007A438A">
        <w:rPr>
          <w:rFonts w:eastAsia="Times New Roman" w:cs="Times New Roman"/>
          <w:kern w:val="22"/>
          <w:sz w:val="22"/>
          <w:lang w:val="fr-FR" w:eastAsia="en-CA"/>
        </w:rPr>
        <w:t>réunion</w:t>
      </w:r>
      <w:r>
        <w:rPr>
          <w:rFonts w:eastAsia="Times New Roman" w:cs="Times New Roman"/>
          <w:kern w:val="22"/>
          <w:sz w:val="22"/>
          <w:lang w:val="fr-FR" w:eastAsia="en-CA"/>
        </w:rPr>
        <w:t xml:space="preserve"> de l’</w:t>
      </w:r>
      <w:r w:rsidR="007A0B5B" w:rsidRPr="007A438A">
        <w:rPr>
          <w:rFonts w:eastAsia="Times New Roman" w:cs="Times New Roman"/>
          <w:kern w:val="22"/>
          <w:sz w:val="22"/>
          <w:lang w:val="fr-FR" w:eastAsia="en-CA"/>
        </w:rPr>
        <w:t>Organe subsidiaire chargé de l’application</w:t>
      </w:r>
      <w:r w:rsidR="0054340A">
        <w:rPr>
          <w:rFonts w:eastAsia="Times New Roman" w:cs="Times New Roman"/>
          <w:kern w:val="22"/>
          <w:sz w:val="22"/>
          <w:lang w:val="fr-FR" w:eastAsia="en-CA"/>
        </w:rPr>
        <w:t xml:space="preserve"> à l’</w:t>
      </w:r>
      <w:r>
        <w:rPr>
          <w:rFonts w:eastAsia="Times New Roman" w:cs="Times New Roman"/>
          <w:kern w:val="22"/>
          <w:sz w:val="22"/>
          <w:lang w:val="fr-FR" w:eastAsia="en-CA"/>
        </w:rPr>
        <w:t xml:space="preserve">automne </w:t>
      </w:r>
      <w:r w:rsidR="00FC5588" w:rsidRPr="007A438A">
        <w:rPr>
          <w:rFonts w:eastAsia="Times New Roman" w:cs="Times New Roman"/>
          <w:kern w:val="22"/>
          <w:sz w:val="22"/>
          <w:lang w:val="fr-FR" w:eastAsia="en-CA"/>
        </w:rPr>
        <w:t xml:space="preserve">2020.  </w:t>
      </w:r>
    </w:p>
    <w:p w14:paraId="5CA9508C" w14:textId="59B3764D" w:rsidR="00631691" w:rsidRPr="00367430" w:rsidRDefault="00752272" w:rsidP="00FC5588">
      <w:pPr>
        <w:pBdr>
          <w:top w:val="nil"/>
          <w:left w:val="nil"/>
          <w:bottom w:val="nil"/>
          <w:right w:val="nil"/>
          <w:between w:val="nil"/>
        </w:pBdr>
        <w:spacing w:after="120"/>
        <w:rPr>
          <w:rFonts w:eastAsia="Times New Roman" w:cs="Times New Roman"/>
          <w:i/>
          <w:kern w:val="22"/>
          <w:sz w:val="22"/>
          <w:lang w:val="fr-FR" w:eastAsia="en-CA"/>
        </w:rPr>
      </w:pPr>
      <w:r>
        <w:rPr>
          <w:rFonts w:eastAsia="Times New Roman" w:cs="Times New Roman"/>
          <w:i/>
          <w:kern w:val="22"/>
          <w:sz w:val="22"/>
          <w:lang w:val="fr-FR" w:eastAsia="en-CA"/>
        </w:rPr>
        <w:t>Mé</w:t>
      </w:r>
      <w:r w:rsidR="007A438A" w:rsidRPr="00367430">
        <w:rPr>
          <w:rFonts w:eastAsia="Times New Roman" w:cs="Times New Roman"/>
          <w:i/>
          <w:kern w:val="22"/>
          <w:sz w:val="22"/>
          <w:lang w:val="fr-FR" w:eastAsia="en-CA"/>
        </w:rPr>
        <w:t>thodologie</w:t>
      </w:r>
    </w:p>
    <w:p w14:paraId="178A32BD" w14:textId="56466E7A" w:rsidR="00636F7E" w:rsidRPr="008735FC" w:rsidRDefault="0054340A" w:rsidP="00561DFE">
      <w:pPr>
        <w:pBdr>
          <w:top w:val="nil"/>
          <w:left w:val="nil"/>
          <w:bottom w:val="nil"/>
          <w:right w:val="nil"/>
          <w:between w:val="nil"/>
        </w:pBdr>
        <w:spacing w:after="120"/>
        <w:rPr>
          <w:rFonts w:eastAsia="Times New Roman" w:cs="Times New Roman"/>
          <w:color w:val="000000"/>
          <w:kern w:val="22"/>
          <w:sz w:val="22"/>
          <w:lang w:val="fr-FR" w:eastAsia="en-CA"/>
        </w:rPr>
      </w:pPr>
      <w:r>
        <w:rPr>
          <w:rFonts w:eastAsia="Times New Roman" w:cs="Times New Roman"/>
          <w:color w:val="000000"/>
          <w:kern w:val="22"/>
          <w:sz w:val="22"/>
          <w:lang w:val="fr-FR" w:eastAsia="en-CA"/>
        </w:rPr>
        <w:t xml:space="preserve">Afin de </w:t>
      </w:r>
      <w:r w:rsidR="00B83E01">
        <w:rPr>
          <w:rFonts w:eastAsia="Times New Roman" w:cs="Times New Roman"/>
          <w:color w:val="000000"/>
          <w:kern w:val="22"/>
          <w:sz w:val="22"/>
          <w:lang w:val="fr-FR" w:eastAsia="en-CA"/>
        </w:rPr>
        <w:t>réaliser cette</w:t>
      </w:r>
      <w:r w:rsidR="00561DFE" w:rsidRPr="00367430">
        <w:rPr>
          <w:rFonts w:eastAsia="Times New Roman" w:cs="Times New Roman"/>
          <w:color w:val="000000"/>
          <w:kern w:val="22"/>
          <w:sz w:val="22"/>
          <w:lang w:val="fr-FR" w:eastAsia="en-CA"/>
        </w:rPr>
        <w:t xml:space="preserve"> </w:t>
      </w:r>
      <w:r w:rsidR="00E3674F" w:rsidRPr="00367430">
        <w:rPr>
          <w:rFonts w:eastAsia="Times New Roman" w:cs="Times New Roman"/>
          <w:color w:val="000000"/>
          <w:kern w:val="22"/>
          <w:sz w:val="22"/>
          <w:lang w:val="fr-FR" w:eastAsia="en-CA"/>
        </w:rPr>
        <w:t>étude</w:t>
      </w:r>
      <w:r w:rsidR="00561DFE" w:rsidRPr="00367430">
        <w:rPr>
          <w:rFonts w:eastAsia="Times New Roman" w:cs="Times New Roman"/>
          <w:color w:val="000000"/>
          <w:kern w:val="22"/>
          <w:sz w:val="22"/>
          <w:lang w:val="fr-FR" w:eastAsia="en-CA"/>
        </w:rPr>
        <w:t xml:space="preserve">, </w:t>
      </w:r>
      <w:r w:rsidR="00367430">
        <w:rPr>
          <w:rFonts w:eastAsia="Times New Roman" w:cs="Times New Roman"/>
          <w:color w:val="000000"/>
          <w:kern w:val="22"/>
          <w:sz w:val="22"/>
          <w:lang w:val="fr-FR" w:eastAsia="en-CA"/>
        </w:rPr>
        <w:t>les auteurs</w:t>
      </w:r>
      <w:r w:rsidR="00561DFE" w:rsidRPr="00367430">
        <w:rPr>
          <w:rFonts w:eastAsia="Times New Roman" w:cs="Times New Roman"/>
          <w:color w:val="000000"/>
          <w:kern w:val="22"/>
          <w:sz w:val="22"/>
          <w:lang w:val="fr-FR" w:eastAsia="en-CA"/>
        </w:rPr>
        <w:t xml:space="preserve"> </w:t>
      </w:r>
      <w:r>
        <w:rPr>
          <w:rFonts w:eastAsia="Times New Roman" w:cs="Times New Roman"/>
          <w:color w:val="000000"/>
          <w:kern w:val="22"/>
          <w:sz w:val="22"/>
          <w:lang w:val="fr-FR" w:eastAsia="en-CA"/>
        </w:rPr>
        <w:t>ont commencé par analyser</w:t>
      </w:r>
      <w:r w:rsidR="00B83E01">
        <w:rPr>
          <w:rFonts w:eastAsia="Times New Roman" w:cs="Times New Roman"/>
          <w:color w:val="000000"/>
          <w:kern w:val="22"/>
          <w:sz w:val="22"/>
          <w:lang w:val="fr-FR" w:eastAsia="en-CA"/>
        </w:rPr>
        <w:t xml:space="preserve"> la demande faite par </w:t>
      </w:r>
      <w:r>
        <w:rPr>
          <w:rFonts w:eastAsia="Times New Roman" w:cs="Times New Roman"/>
          <w:color w:val="000000"/>
          <w:kern w:val="22"/>
          <w:sz w:val="22"/>
          <w:lang w:val="fr-FR" w:eastAsia="en-CA"/>
        </w:rPr>
        <w:t xml:space="preserve">les </w:t>
      </w:r>
      <w:r w:rsidR="00B83E01">
        <w:rPr>
          <w:rFonts w:eastAsia="Times New Roman" w:cs="Times New Roman"/>
          <w:color w:val="000000"/>
          <w:kern w:val="22"/>
          <w:sz w:val="22"/>
          <w:lang w:val="fr-FR" w:eastAsia="en-CA"/>
        </w:rPr>
        <w:t>Parties</w:t>
      </w:r>
      <w:r w:rsidR="00DB5669" w:rsidRPr="00367430">
        <w:rPr>
          <w:rFonts w:eastAsia="Times New Roman" w:cs="Times New Roman"/>
          <w:color w:val="000000"/>
          <w:kern w:val="22"/>
          <w:sz w:val="22"/>
          <w:lang w:val="fr-FR" w:eastAsia="en-CA"/>
        </w:rPr>
        <w:t xml:space="preserve"> “</w:t>
      </w:r>
      <w:r w:rsidR="00B83E01">
        <w:rPr>
          <w:rFonts w:eastAsia="Times New Roman" w:cs="Times New Roman"/>
          <w:color w:val="000000"/>
          <w:kern w:val="22"/>
          <w:sz w:val="22"/>
          <w:lang w:val="fr-FR" w:eastAsia="en-CA"/>
        </w:rPr>
        <w:t>d’</w:t>
      </w:r>
      <w:r w:rsidR="00E3674F" w:rsidRPr="00367430">
        <w:rPr>
          <w:rFonts w:eastAsia="Times New Roman" w:cs="Times New Roman"/>
          <w:color w:val="000000"/>
          <w:kern w:val="22"/>
          <w:sz w:val="22"/>
          <w:lang w:val="fr-FR" w:eastAsia="en-CA"/>
        </w:rPr>
        <w:t>identifier</w:t>
      </w:r>
      <w:r w:rsidR="00DB5669" w:rsidRPr="00367430">
        <w:rPr>
          <w:rFonts w:eastAsia="Times New Roman" w:cs="Times New Roman"/>
          <w:color w:val="000000"/>
          <w:kern w:val="22"/>
          <w:sz w:val="22"/>
          <w:lang w:val="fr-FR" w:eastAsia="en-CA"/>
        </w:rPr>
        <w:t xml:space="preserve"> </w:t>
      </w:r>
      <w:r w:rsidR="00E3674F" w:rsidRPr="00367430">
        <w:rPr>
          <w:rFonts w:eastAsia="Times New Roman" w:cs="Times New Roman"/>
          <w:color w:val="000000"/>
          <w:kern w:val="22"/>
          <w:sz w:val="22"/>
          <w:lang w:val="fr-FR" w:eastAsia="en-CA"/>
        </w:rPr>
        <w:t>des cas spécifiques</w:t>
      </w:r>
      <w:r w:rsidR="00DB5669" w:rsidRPr="00367430">
        <w:rPr>
          <w:rFonts w:eastAsia="Times New Roman" w:cs="Times New Roman"/>
          <w:color w:val="000000"/>
          <w:kern w:val="22"/>
          <w:sz w:val="22"/>
          <w:lang w:val="fr-FR" w:eastAsia="en-CA"/>
        </w:rPr>
        <w:t xml:space="preserve">” </w:t>
      </w:r>
      <w:r w:rsidR="00B83E01">
        <w:rPr>
          <w:rFonts w:eastAsia="Times New Roman" w:cs="Times New Roman"/>
          <w:color w:val="000000"/>
          <w:kern w:val="22"/>
          <w:sz w:val="22"/>
          <w:lang w:val="fr-FR" w:eastAsia="en-CA"/>
        </w:rPr>
        <w:t>susceptibles d’entrer</w:t>
      </w:r>
      <w:r w:rsidR="00934A20" w:rsidRPr="00367430">
        <w:rPr>
          <w:rFonts w:eastAsia="Times New Roman" w:cs="Times New Roman"/>
          <w:color w:val="000000"/>
          <w:kern w:val="22"/>
          <w:sz w:val="22"/>
          <w:lang w:val="fr-FR" w:eastAsia="en-CA"/>
        </w:rPr>
        <w:t xml:space="preserve"> dans le champ d’application</w:t>
      </w:r>
      <w:r w:rsidR="00DB5669" w:rsidRPr="00367430">
        <w:rPr>
          <w:rFonts w:eastAsia="Times New Roman" w:cs="Times New Roman"/>
          <w:color w:val="000000"/>
          <w:kern w:val="22"/>
          <w:sz w:val="22"/>
          <w:lang w:val="fr-FR" w:eastAsia="en-CA"/>
        </w:rPr>
        <w:t xml:space="preserve"> </w:t>
      </w:r>
      <w:r w:rsidR="0028742E">
        <w:rPr>
          <w:rFonts w:eastAsia="Times New Roman" w:cs="Times New Roman"/>
          <w:color w:val="000000"/>
          <w:kern w:val="22"/>
          <w:sz w:val="22"/>
          <w:lang w:val="fr-FR" w:eastAsia="en-CA"/>
        </w:rPr>
        <w:t>de l’article</w:t>
      </w:r>
      <w:r w:rsidR="00DB5669" w:rsidRPr="00367430">
        <w:rPr>
          <w:rFonts w:eastAsia="Times New Roman" w:cs="Times New Roman"/>
          <w:color w:val="000000"/>
          <w:kern w:val="22"/>
          <w:sz w:val="22"/>
          <w:lang w:val="fr-FR" w:eastAsia="en-CA"/>
        </w:rPr>
        <w:t xml:space="preserve"> 10. </w:t>
      </w:r>
      <w:r>
        <w:rPr>
          <w:rFonts w:eastAsia="Times New Roman" w:cs="Times New Roman"/>
          <w:color w:val="000000"/>
          <w:kern w:val="22"/>
          <w:sz w:val="22"/>
          <w:lang w:val="fr-FR" w:eastAsia="en-CA"/>
        </w:rPr>
        <w:t>A l’issue d’un examen attentif</w:t>
      </w:r>
      <w:r w:rsidR="00B83E01">
        <w:rPr>
          <w:rFonts w:eastAsia="Times New Roman" w:cs="Times New Roman"/>
          <w:color w:val="000000"/>
          <w:kern w:val="22"/>
          <w:sz w:val="22"/>
          <w:lang w:val="fr-FR" w:eastAsia="en-CA"/>
        </w:rPr>
        <w:t xml:space="preserve">, </w:t>
      </w:r>
      <w:r w:rsidR="00367430" w:rsidRPr="008735FC">
        <w:rPr>
          <w:rFonts w:eastAsia="Times New Roman" w:cs="Times New Roman"/>
          <w:color w:val="000000"/>
          <w:kern w:val="22"/>
          <w:sz w:val="22"/>
          <w:lang w:val="fr-FR" w:eastAsia="en-CA"/>
        </w:rPr>
        <w:t>les auteurs</w:t>
      </w:r>
      <w:r w:rsidR="00DB5669" w:rsidRPr="008735FC">
        <w:rPr>
          <w:rFonts w:eastAsia="Times New Roman" w:cs="Times New Roman"/>
          <w:color w:val="000000"/>
          <w:kern w:val="22"/>
          <w:sz w:val="22"/>
          <w:lang w:val="fr-FR" w:eastAsia="en-CA"/>
        </w:rPr>
        <w:t xml:space="preserve"> </w:t>
      </w:r>
      <w:r w:rsidR="00B83E01">
        <w:rPr>
          <w:rFonts w:eastAsia="Times New Roman" w:cs="Times New Roman"/>
          <w:color w:val="000000"/>
          <w:kern w:val="22"/>
          <w:sz w:val="22"/>
          <w:lang w:val="fr-FR" w:eastAsia="en-CA"/>
        </w:rPr>
        <w:t>ont interprété la</w:t>
      </w:r>
      <w:r w:rsidR="00561DFE" w:rsidRPr="008735FC">
        <w:rPr>
          <w:rFonts w:eastAsia="Times New Roman" w:cs="Times New Roman"/>
          <w:color w:val="000000"/>
          <w:kern w:val="22"/>
          <w:sz w:val="22"/>
          <w:lang w:val="fr-FR" w:eastAsia="en-CA"/>
        </w:rPr>
        <w:t xml:space="preserve"> </w:t>
      </w:r>
      <w:r w:rsidR="008735FC" w:rsidRPr="008735FC">
        <w:rPr>
          <w:rFonts w:eastAsia="Times New Roman" w:cs="Times New Roman"/>
          <w:color w:val="000000"/>
          <w:kern w:val="22"/>
          <w:sz w:val="22"/>
          <w:lang w:val="fr-FR" w:eastAsia="en-CA"/>
        </w:rPr>
        <w:t xml:space="preserve">demande </w:t>
      </w:r>
      <w:r w:rsidR="00DB5669" w:rsidRPr="008735FC">
        <w:rPr>
          <w:rFonts w:eastAsia="Times New Roman" w:cs="Times New Roman"/>
          <w:color w:val="000000"/>
          <w:kern w:val="22"/>
          <w:sz w:val="22"/>
          <w:lang w:val="fr-FR" w:eastAsia="en-CA"/>
        </w:rPr>
        <w:t>“</w:t>
      </w:r>
      <w:r w:rsidR="00B83E01">
        <w:rPr>
          <w:rFonts w:eastAsia="Times New Roman" w:cs="Times New Roman"/>
          <w:color w:val="000000"/>
          <w:kern w:val="22"/>
          <w:sz w:val="22"/>
          <w:lang w:val="fr-FR" w:eastAsia="en-CA"/>
        </w:rPr>
        <w:t>d’</w:t>
      </w:r>
      <w:r w:rsidR="00E3674F" w:rsidRPr="008735FC">
        <w:rPr>
          <w:rFonts w:eastAsia="Times New Roman" w:cs="Times New Roman"/>
          <w:color w:val="000000"/>
          <w:kern w:val="22"/>
          <w:sz w:val="22"/>
          <w:lang w:val="fr-FR" w:eastAsia="en-CA"/>
        </w:rPr>
        <w:t>identifier</w:t>
      </w:r>
      <w:r w:rsidR="00561DFE" w:rsidRPr="008735FC">
        <w:rPr>
          <w:rFonts w:eastAsia="Times New Roman" w:cs="Times New Roman"/>
          <w:color w:val="000000"/>
          <w:kern w:val="22"/>
          <w:sz w:val="22"/>
          <w:lang w:val="fr-FR" w:eastAsia="en-CA"/>
        </w:rPr>
        <w:t xml:space="preserve"> </w:t>
      </w:r>
      <w:r w:rsidR="00E3674F" w:rsidRPr="008735FC">
        <w:rPr>
          <w:rFonts w:eastAsia="Times New Roman" w:cs="Times New Roman"/>
          <w:color w:val="000000"/>
          <w:kern w:val="22"/>
          <w:sz w:val="22"/>
          <w:lang w:val="fr-FR" w:eastAsia="en-CA"/>
        </w:rPr>
        <w:t>des cas spécifiques</w:t>
      </w:r>
      <w:r w:rsidR="00561DFE" w:rsidRPr="008735FC">
        <w:rPr>
          <w:rFonts w:eastAsia="Times New Roman" w:cs="Times New Roman"/>
          <w:color w:val="000000"/>
          <w:kern w:val="22"/>
          <w:sz w:val="22"/>
          <w:lang w:val="fr-FR" w:eastAsia="en-CA"/>
        </w:rPr>
        <w:t xml:space="preserve">” </w:t>
      </w:r>
      <w:r w:rsidR="00B83E01">
        <w:rPr>
          <w:rFonts w:eastAsia="Times New Roman" w:cs="Times New Roman"/>
          <w:color w:val="000000"/>
          <w:kern w:val="22"/>
          <w:sz w:val="22"/>
          <w:lang w:val="fr-FR" w:eastAsia="en-CA"/>
        </w:rPr>
        <w:t xml:space="preserve">comme signifiant une </w:t>
      </w:r>
      <w:r w:rsidR="008735FC" w:rsidRPr="008735FC">
        <w:rPr>
          <w:rFonts w:eastAsia="Times New Roman" w:cs="Times New Roman"/>
          <w:color w:val="000000"/>
          <w:kern w:val="22"/>
          <w:sz w:val="22"/>
          <w:lang w:val="fr-FR" w:eastAsia="en-CA"/>
        </w:rPr>
        <w:t xml:space="preserve">demande </w:t>
      </w:r>
      <w:r w:rsidR="00B83E01">
        <w:rPr>
          <w:rFonts w:eastAsia="Times New Roman" w:cs="Times New Roman"/>
          <w:color w:val="000000"/>
          <w:kern w:val="22"/>
          <w:sz w:val="22"/>
          <w:lang w:val="fr-FR" w:eastAsia="en-CA"/>
        </w:rPr>
        <w:t>d’</w:t>
      </w:r>
      <w:r w:rsidR="00E3674F" w:rsidRPr="008735FC">
        <w:rPr>
          <w:rFonts w:eastAsia="Times New Roman" w:cs="Times New Roman"/>
          <w:color w:val="000000"/>
          <w:kern w:val="22"/>
          <w:sz w:val="22"/>
          <w:lang w:val="fr-FR" w:eastAsia="en-CA"/>
        </w:rPr>
        <w:t>identifier</w:t>
      </w:r>
      <w:r w:rsidR="00B83E01">
        <w:rPr>
          <w:rFonts w:eastAsia="Times New Roman" w:cs="Times New Roman"/>
          <w:color w:val="000000"/>
          <w:kern w:val="22"/>
          <w:sz w:val="22"/>
          <w:lang w:val="fr-FR" w:eastAsia="en-CA"/>
        </w:rPr>
        <w:t xml:space="preserve"> des</w:t>
      </w:r>
      <w:r w:rsidR="00561DFE" w:rsidRPr="008735FC">
        <w:rPr>
          <w:rFonts w:eastAsia="Times New Roman" w:cs="Times New Roman"/>
          <w:color w:val="000000"/>
          <w:kern w:val="22"/>
          <w:sz w:val="22"/>
          <w:lang w:val="fr-FR" w:eastAsia="en-CA"/>
        </w:rPr>
        <w:t xml:space="preserve"> </w:t>
      </w:r>
      <w:r w:rsidR="00D8317B">
        <w:rPr>
          <w:rFonts w:eastAsia="Times New Roman" w:cs="Times New Roman"/>
          <w:i/>
          <w:iCs/>
          <w:color w:val="000000"/>
          <w:kern w:val="22"/>
          <w:sz w:val="22"/>
          <w:lang w:val="fr-FR" w:eastAsia="en-CA"/>
        </w:rPr>
        <w:t>catégorie</w:t>
      </w:r>
      <w:r>
        <w:rPr>
          <w:rFonts w:eastAsia="Times New Roman" w:cs="Times New Roman"/>
          <w:i/>
          <w:iCs/>
          <w:color w:val="000000"/>
          <w:kern w:val="22"/>
          <w:sz w:val="22"/>
          <w:lang w:val="fr-FR" w:eastAsia="en-CA"/>
        </w:rPr>
        <w:t xml:space="preserve">s </w:t>
      </w:r>
      <w:r w:rsidR="00B83E01">
        <w:rPr>
          <w:rFonts w:eastAsia="Times New Roman" w:cs="Times New Roman"/>
          <w:i/>
          <w:iCs/>
          <w:color w:val="000000"/>
          <w:kern w:val="22"/>
          <w:sz w:val="22"/>
          <w:lang w:val="fr-FR" w:eastAsia="en-CA"/>
        </w:rPr>
        <w:t xml:space="preserve">de </w:t>
      </w:r>
      <w:r w:rsidR="00D04EC6" w:rsidRPr="008735FC">
        <w:rPr>
          <w:rFonts w:eastAsia="Times New Roman" w:cs="Times New Roman"/>
          <w:i/>
          <w:iCs/>
          <w:color w:val="000000"/>
          <w:kern w:val="22"/>
          <w:sz w:val="22"/>
          <w:lang w:val="fr-FR" w:eastAsia="en-CA"/>
        </w:rPr>
        <w:t>cas</w:t>
      </w:r>
      <w:r>
        <w:rPr>
          <w:rFonts w:eastAsia="Times New Roman" w:cs="Times New Roman"/>
          <w:i/>
          <w:iCs/>
          <w:color w:val="000000"/>
          <w:kern w:val="22"/>
          <w:sz w:val="22"/>
          <w:lang w:val="fr-FR" w:eastAsia="en-CA"/>
        </w:rPr>
        <w:t xml:space="preserve"> distinctes</w:t>
      </w:r>
      <w:r w:rsidR="00561DFE" w:rsidRPr="008735FC">
        <w:rPr>
          <w:rFonts w:eastAsia="Times New Roman" w:cs="Times New Roman"/>
          <w:color w:val="000000"/>
          <w:kern w:val="22"/>
          <w:sz w:val="22"/>
          <w:lang w:val="fr-FR" w:eastAsia="en-CA"/>
        </w:rPr>
        <w:t xml:space="preserve">, </w:t>
      </w:r>
      <w:r>
        <w:rPr>
          <w:rFonts w:eastAsia="Times New Roman" w:cs="Times New Roman"/>
          <w:color w:val="000000"/>
          <w:kern w:val="22"/>
          <w:sz w:val="22"/>
          <w:lang w:val="fr-FR" w:eastAsia="en-CA"/>
        </w:rPr>
        <w:t xml:space="preserve">plutôt que </w:t>
      </w:r>
      <w:r w:rsidR="00B83E01">
        <w:rPr>
          <w:rFonts w:eastAsia="Times New Roman" w:cs="Times New Roman"/>
          <w:color w:val="000000"/>
          <w:kern w:val="22"/>
          <w:sz w:val="22"/>
          <w:lang w:val="fr-FR" w:eastAsia="en-CA"/>
        </w:rPr>
        <w:t>d’</w:t>
      </w:r>
      <w:r w:rsidR="00E3674F" w:rsidRPr="008735FC">
        <w:rPr>
          <w:rFonts w:eastAsia="Times New Roman" w:cs="Times New Roman"/>
          <w:color w:val="000000"/>
          <w:kern w:val="22"/>
          <w:sz w:val="22"/>
          <w:lang w:val="fr-FR" w:eastAsia="en-CA"/>
        </w:rPr>
        <w:t>identifier</w:t>
      </w:r>
      <w:r>
        <w:rPr>
          <w:rFonts w:eastAsia="Times New Roman" w:cs="Times New Roman"/>
          <w:color w:val="000000"/>
          <w:kern w:val="22"/>
          <w:sz w:val="22"/>
          <w:lang w:val="fr-FR" w:eastAsia="en-CA"/>
        </w:rPr>
        <w:t xml:space="preserve"> uniquement</w:t>
      </w:r>
      <w:r w:rsidR="00561DFE" w:rsidRPr="008735FC">
        <w:rPr>
          <w:rFonts w:eastAsia="Times New Roman" w:cs="Times New Roman"/>
          <w:color w:val="000000"/>
          <w:kern w:val="22"/>
          <w:sz w:val="22"/>
          <w:lang w:val="fr-FR" w:eastAsia="en-CA"/>
        </w:rPr>
        <w:t xml:space="preserve"> </w:t>
      </w:r>
      <w:r w:rsidR="00B83E01">
        <w:rPr>
          <w:rFonts w:eastAsia="Times New Roman" w:cs="Times New Roman"/>
          <w:color w:val="000000"/>
          <w:kern w:val="22"/>
          <w:sz w:val="22"/>
          <w:lang w:val="fr-FR" w:eastAsia="en-CA"/>
        </w:rPr>
        <w:t xml:space="preserve">des </w:t>
      </w:r>
      <w:r>
        <w:rPr>
          <w:rFonts w:eastAsia="Times New Roman" w:cs="Times New Roman"/>
          <w:i/>
          <w:iCs/>
          <w:color w:val="000000"/>
          <w:kern w:val="22"/>
          <w:sz w:val="22"/>
          <w:lang w:val="fr-FR" w:eastAsia="en-CA"/>
        </w:rPr>
        <w:t xml:space="preserve">exemples </w:t>
      </w:r>
      <w:r w:rsidR="00B83E01">
        <w:rPr>
          <w:rFonts w:eastAsia="Times New Roman" w:cs="Times New Roman"/>
          <w:i/>
          <w:iCs/>
          <w:color w:val="000000"/>
          <w:kern w:val="22"/>
          <w:sz w:val="22"/>
          <w:lang w:val="fr-FR" w:eastAsia="en-CA"/>
        </w:rPr>
        <w:t>individuels</w:t>
      </w:r>
      <w:r w:rsidR="00561DFE" w:rsidRPr="008735FC">
        <w:rPr>
          <w:rFonts w:eastAsia="Times New Roman" w:cs="Times New Roman"/>
          <w:color w:val="000000"/>
          <w:kern w:val="22"/>
          <w:sz w:val="22"/>
          <w:lang w:val="fr-FR" w:eastAsia="en-CA"/>
        </w:rPr>
        <w:t xml:space="preserve">. </w:t>
      </w:r>
    </w:p>
    <w:p w14:paraId="256A36A7" w14:textId="6041B29E" w:rsidR="00BE1ADD" w:rsidRPr="00B83E01" w:rsidRDefault="0054340A" w:rsidP="00561DFE">
      <w:pPr>
        <w:pBdr>
          <w:top w:val="nil"/>
          <w:left w:val="nil"/>
          <w:bottom w:val="nil"/>
          <w:right w:val="nil"/>
          <w:between w:val="nil"/>
        </w:pBdr>
        <w:spacing w:after="120"/>
        <w:rPr>
          <w:rFonts w:eastAsia="Times New Roman" w:cs="Times New Roman"/>
          <w:color w:val="000000"/>
          <w:kern w:val="22"/>
          <w:sz w:val="22"/>
          <w:lang w:val="fr-FR" w:eastAsia="en-CA"/>
        </w:rPr>
      </w:pPr>
      <w:r>
        <w:rPr>
          <w:rFonts w:eastAsia="Times New Roman" w:cs="Times New Roman"/>
          <w:color w:val="000000"/>
          <w:kern w:val="22"/>
          <w:sz w:val="22"/>
          <w:lang w:val="fr-FR" w:eastAsia="en-CA"/>
        </w:rPr>
        <w:t xml:space="preserve">Une telle </w:t>
      </w:r>
      <w:r w:rsidR="00B83E01" w:rsidRPr="00B83E01">
        <w:rPr>
          <w:rFonts w:eastAsia="Times New Roman" w:cs="Times New Roman"/>
          <w:color w:val="000000"/>
          <w:kern w:val="22"/>
          <w:sz w:val="22"/>
          <w:lang w:val="fr-FR" w:eastAsia="en-CA"/>
        </w:rPr>
        <w:t>interpré</w:t>
      </w:r>
      <w:r w:rsidR="00636F7E" w:rsidRPr="00B83E01">
        <w:rPr>
          <w:rFonts w:eastAsia="Times New Roman" w:cs="Times New Roman"/>
          <w:color w:val="000000"/>
          <w:kern w:val="22"/>
          <w:sz w:val="22"/>
          <w:lang w:val="fr-FR" w:eastAsia="en-CA"/>
        </w:rPr>
        <w:t xml:space="preserve">tation </w:t>
      </w:r>
      <w:r w:rsidR="00B83E01" w:rsidRPr="00B83E01">
        <w:rPr>
          <w:rFonts w:eastAsia="Times New Roman" w:cs="Times New Roman"/>
          <w:color w:val="000000"/>
          <w:kern w:val="22"/>
          <w:sz w:val="22"/>
          <w:lang w:val="fr-FR" w:eastAsia="en-CA"/>
        </w:rPr>
        <w:t>a deux fondements</w:t>
      </w:r>
      <w:r w:rsidR="008B008A" w:rsidRPr="00B83E01">
        <w:rPr>
          <w:rFonts w:eastAsia="Times New Roman" w:cs="Times New Roman"/>
          <w:color w:val="000000"/>
          <w:kern w:val="22"/>
          <w:sz w:val="22"/>
          <w:lang w:val="fr-FR" w:eastAsia="en-CA"/>
        </w:rPr>
        <w:t xml:space="preserve">. </w:t>
      </w:r>
      <w:r w:rsidR="00B83E01" w:rsidRPr="00B83E01">
        <w:rPr>
          <w:rFonts w:eastAsia="Times New Roman" w:cs="Times New Roman"/>
          <w:color w:val="000000"/>
          <w:kern w:val="22"/>
          <w:sz w:val="22"/>
          <w:lang w:val="fr-FR" w:eastAsia="en-CA"/>
        </w:rPr>
        <w:t>Tout d’abord</w:t>
      </w:r>
      <w:r w:rsidR="008B008A" w:rsidRPr="00B83E01">
        <w:rPr>
          <w:rFonts w:eastAsia="Times New Roman" w:cs="Times New Roman"/>
          <w:color w:val="000000"/>
          <w:kern w:val="22"/>
          <w:sz w:val="22"/>
          <w:lang w:val="fr-FR" w:eastAsia="en-CA"/>
        </w:rPr>
        <w:t xml:space="preserve">, </w:t>
      </w:r>
      <w:r w:rsidR="00367430" w:rsidRPr="00B83E01">
        <w:rPr>
          <w:rFonts w:eastAsia="Times New Roman" w:cs="Times New Roman"/>
          <w:color w:val="000000"/>
          <w:kern w:val="22"/>
          <w:sz w:val="22"/>
          <w:lang w:val="fr-FR" w:eastAsia="en-CA"/>
        </w:rPr>
        <w:t>les auteurs</w:t>
      </w:r>
      <w:r w:rsidR="008B008A" w:rsidRPr="00B83E01">
        <w:rPr>
          <w:rFonts w:eastAsia="Times New Roman" w:cs="Times New Roman"/>
          <w:color w:val="000000"/>
          <w:kern w:val="22"/>
          <w:sz w:val="22"/>
          <w:lang w:val="fr-FR" w:eastAsia="en-CA"/>
        </w:rPr>
        <w:t xml:space="preserve"> </w:t>
      </w:r>
      <w:r w:rsidR="00B83E01" w:rsidRPr="00B83E01">
        <w:rPr>
          <w:rFonts w:eastAsia="Times New Roman" w:cs="Times New Roman"/>
          <w:color w:val="000000"/>
          <w:kern w:val="22"/>
          <w:sz w:val="22"/>
          <w:lang w:val="fr-FR" w:eastAsia="en-CA"/>
        </w:rPr>
        <w:t>ont</w:t>
      </w:r>
      <w:r w:rsidR="00E3674F" w:rsidRPr="00B83E01">
        <w:rPr>
          <w:rFonts w:eastAsia="Times New Roman" w:cs="Times New Roman"/>
          <w:color w:val="000000"/>
          <w:kern w:val="22"/>
          <w:sz w:val="22"/>
          <w:lang w:val="fr-FR" w:eastAsia="en-CA"/>
        </w:rPr>
        <w:t xml:space="preserve"> examiné</w:t>
      </w:r>
      <w:r w:rsidR="00636F7E" w:rsidRPr="00B83E01">
        <w:rPr>
          <w:rFonts w:eastAsia="Times New Roman" w:cs="Times New Roman"/>
          <w:color w:val="000000"/>
          <w:kern w:val="22"/>
          <w:sz w:val="22"/>
          <w:lang w:val="fr-FR" w:eastAsia="en-CA"/>
        </w:rPr>
        <w:t xml:space="preserve"> </w:t>
      </w:r>
      <w:r w:rsidR="00B83E01" w:rsidRPr="00B83E01">
        <w:rPr>
          <w:rFonts w:eastAsia="Times New Roman" w:cs="Times New Roman"/>
          <w:color w:val="000000"/>
          <w:kern w:val="22"/>
          <w:sz w:val="22"/>
          <w:lang w:val="fr-FR" w:eastAsia="en-CA"/>
        </w:rPr>
        <w:t xml:space="preserve">les </w:t>
      </w:r>
      <w:r w:rsidR="0028742E" w:rsidRPr="00B83E01">
        <w:rPr>
          <w:rFonts w:eastAsia="Times New Roman" w:cs="Times New Roman"/>
          <w:color w:val="000000"/>
          <w:kern w:val="22"/>
          <w:sz w:val="22"/>
          <w:lang w:val="fr-FR" w:eastAsia="en-CA"/>
        </w:rPr>
        <w:t>définition</w:t>
      </w:r>
      <w:r w:rsidR="00B83E01">
        <w:rPr>
          <w:rFonts w:eastAsia="Times New Roman" w:cs="Times New Roman"/>
          <w:color w:val="000000"/>
          <w:kern w:val="22"/>
          <w:sz w:val="22"/>
          <w:lang w:val="fr-FR" w:eastAsia="en-CA"/>
        </w:rPr>
        <w:t>s les plus pertinentes des termes “spécifique</w:t>
      </w:r>
      <w:r w:rsidR="00561DFE" w:rsidRPr="00B83E01">
        <w:rPr>
          <w:rFonts w:eastAsia="Times New Roman" w:cs="Times New Roman"/>
          <w:color w:val="000000"/>
          <w:kern w:val="22"/>
          <w:sz w:val="22"/>
          <w:lang w:val="fr-FR" w:eastAsia="en-CA"/>
        </w:rPr>
        <w:t>”</w:t>
      </w:r>
      <w:r w:rsidR="00561DFE" w:rsidRPr="002364AB">
        <w:rPr>
          <w:rFonts w:eastAsia="Times New Roman" w:cs="Times New Roman"/>
          <w:color w:val="000000"/>
          <w:kern w:val="22"/>
          <w:sz w:val="22"/>
          <w:vertAlign w:val="superscript"/>
          <w:lang w:val="en-GB" w:eastAsia="en-CA"/>
        </w:rPr>
        <w:footnoteReference w:id="9"/>
      </w:r>
      <w:r w:rsidR="00E3674F" w:rsidRPr="00B83E01">
        <w:rPr>
          <w:rFonts w:eastAsia="Times New Roman" w:cs="Times New Roman"/>
          <w:color w:val="000000"/>
          <w:kern w:val="22"/>
          <w:sz w:val="22"/>
          <w:lang w:val="fr-FR" w:eastAsia="en-CA"/>
        </w:rPr>
        <w:t xml:space="preserve"> et </w:t>
      </w:r>
      <w:r w:rsidR="00B83E01">
        <w:rPr>
          <w:rFonts w:eastAsia="Times New Roman" w:cs="Times New Roman"/>
          <w:color w:val="000000"/>
          <w:kern w:val="22"/>
          <w:sz w:val="22"/>
          <w:lang w:val="fr-FR" w:eastAsia="en-CA"/>
        </w:rPr>
        <w:t>“cas</w:t>
      </w:r>
      <w:r w:rsidR="00561DFE" w:rsidRPr="00B83E01">
        <w:rPr>
          <w:rFonts w:eastAsia="Times New Roman" w:cs="Times New Roman"/>
          <w:color w:val="000000"/>
          <w:kern w:val="22"/>
          <w:sz w:val="22"/>
          <w:lang w:val="fr-FR" w:eastAsia="en-CA"/>
        </w:rPr>
        <w:t>”</w:t>
      </w:r>
      <w:r w:rsidR="00561DFE" w:rsidRPr="002364AB">
        <w:rPr>
          <w:rFonts w:eastAsia="Times New Roman" w:cs="Times New Roman"/>
          <w:color w:val="000000"/>
          <w:kern w:val="22"/>
          <w:sz w:val="22"/>
          <w:vertAlign w:val="superscript"/>
          <w:lang w:val="en-GB" w:eastAsia="en-CA"/>
        </w:rPr>
        <w:footnoteReference w:id="10"/>
      </w:r>
      <w:r w:rsidR="00561DFE" w:rsidRPr="00B83E01">
        <w:rPr>
          <w:rFonts w:eastAsia="Times New Roman" w:cs="Times New Roman"/>
          <w:color w:val="000000"/>
          <w:kern w:val="22"/>
          <w:sz w:val="22"/>
          <w:lang w:val="fr-FR" w:eastAsia="en-CA"/>
        </w:rPr>
        <w:t xml:space="preserve"> </w:t>
      </w:r>
      <w:r w:rsidR="00B83E01">
        <w:rPr>
          <w:rFonts w:eastAsia="Times New Roman" w:cs="Times New Roman"/>
          <w:color w:val="000000"/>
          <w:kern w:val="22"/>
          <w:sz w:val="22"/>
          <w:lang w:val="fr-FR" w:eastAsia="en-CA"/>
        </w:rPr>
        <w:t>dans l’</w:t>
      </w:r>
      <w:r w:rsidR="00561DFE" w:rsidRPr="00B83E01">
        <w:rPr>
          <w:rFonts w:eastAsia="Times New Roman" w:cs="Times New Roman"/>
          <w:color w:val="000000"/>
          <w:kern w:val="22"/>
          <w:sz w:val="22"/>
          <w:lang w:val="fr-FR" w:eastAsia="en-CA"/>
        </w:rPr>
        <w:t>Oxford English Dictionary</w:t>
      </w:r>
      <w:r w:rsidR="00CB13D2" w:rsidRPr="00B83E01">
        <w:rPr>
          <w:rFonts w:eastAsia="Times New Roman" w:cs="Times New Roman"/>
          <w:color w:val="000000"/>
          <w:kern w:val="22"/>
          <w:sz w:val="22"/>
          <w:lang w:val="fr-FR" w:eastAsia="en-CA"/>
        </w:rPr>
        <w:t xml:space="preserve">. </w:t>
      </w:r>
      <w:r w:rsidR="00B83E01" w:rsidRPr="00B83E01">
        <w:rPr>
          <w:rFonts w:eastAsia="Times New Roman" w:cs="Times New Roman"/>
          <w:color w:val="000000"/>
          <w:kern w:val="22"/>
          <w:sz w:val="22"/>
          <w:lang w:val="fr-FR" w:eastAsia="en-CA"/>
        </w:rPr>
        <w:t xml:space="preserve">Ensuite, les </w:t>
      </w:r>
      <w:r w:rsidR="00367430" w:rsidRPr="00B83E01">
        <w:rPr>
          <w:rFonts w:eastAsia="Times New Roman" w:cs="Times New Roman"/>
          <w:color w:val="000000"/>
          <w:kern w:val="22"/>
          <w:sz w:val="22"/>
          <w:lang w:val="fr-FR" w:eastAsia="en-CA"/>
        </w:rPr>
        <w:t>auteurs</w:t>
      </w:r>
      <w:r>
        <w:rPr>
          <w:rFonts w:eastAsia="Times New Roman" w:cs="Times New Roman"/>
          <w:color w:val="000000"/>
          <w:kern w:val="22"/>
          <w:sz w:val="22"/>
          <w:lang w:val="fr-FR" w:eastAsia="en-CA"/>
        </w:rPr>
        <w:t xml:space="preserve"> ont identifié</w:t>
      </w:r>
      <w:r w:rsidR="00B83E01" w:rsidRPr="00B83E01">
        <w:rPr>
          <w:rFonts w:eastAsia="Times New Roman" w:cs="Times New Roman"/>
          <w:color w:val="000000"/>
          <w:kern w:val="22"/>
          <w:sz w:val="22"/>
          <w:lang w:val="fr-FR" w:eastAsia="en-CA"/>
        </w:rPr>
        <w:t xml:space="preserve"> quels exemples individuels</w:t>
      </w:r>
      <w:r w:rsidR="008B008A" w:rsidRPr="00B83E01">
        <w:rPr>
          <w:rFonts w:eastAsia="Times New Roman" w:cs="Times New Roman"/>
          <w:color w:val="000000"/>
          <w:kern w:val="22"/>
          <w:sz w:val="22"/>
          <w:lang w:val="fr-FR" w:eastAsia="en-CA"/>
        </w:rPr>
        <w:t xml:space="preserve"> </w:t>
      </w:r>
      <w:r w:rsidR="00B83E01" w:rsidRPr="00B83E01">
        <w:rPr>
          <w:rFonts w:eastAsia="Times New Roman" w:cs="Times New Roman"/>
          <w:color w:val="000000"/>
          <w:kern w:val="22"/>
          <w:sz w:val="22"/>
          <w:lang w:val="fr-FR" w:eastAsia="en-CA"/>
        </w:rPr>
        <w:t>ne justifieraient pas, en toute</w:t>
      </w:r>
      <w:r w:rsidR="00B83E01">
        <w:rPr>
          <w:rFonts w:eastAsia="Times New Roman" w:cs="Times New Roman"/>
          <w:color w:val="000000"/>
          <w:kern w:val="22"/>
          <w:sz w:val="22"/>
          <w:lang w:val="fr-FR" w:eastAsia="en-CA"/>
        </w:rPr>
        <w:t xml:space="preserve"> logique, une approche multilaté</w:t>
      </w:r>
      <w:r w:rsidR="008B008A" w:rsidRPr="00B83E01">
        <w:rPr>
          <w:rFonts w:eastAsia="Times New Roman" w:cs="Times New Roman"/>
          <w:color w:val="000000"/>
          <w:kern w:val="22"/>
          <w:sz w:val="22"/>
          <w:lang w:val="fr-FR" w:eastAsia="en-CA"/>
        </w:rPr>
        <w:t>ral</w:t>
      </w:r>
      <w:r w:rsidR="00B83E01">
        <w:rPr>
          <w:rFonts w:eastAsia="Times New Roman" w:cs="Times New Roman"/>
          <w:color w:val="000000"/>
          <w:kern w:val="22"/>
          <w:sz w:val="22"/>
          <w:lang w:val="fr-FR" w:eastAsia="en-CA"/>
        </w:rPr>
        <w:t xml:space="preserve">e à l’échelle mondiale, </w:t>
      </w:r>
      <w:r>
        <w:rPr>
          <w:rFonts w:eastAsia="Times New Roman" w:cs="Times New Roman"/>
          <w:color w:val="000000"/>
          <w:kern w:val="22"/>
          <w:sz w:val="22"/>
          <w:lang w:val="fr-FR" w:eastAsia="en-CA"/>
        </w:rPr>
        <w:t>en raison du fait qu’ils pourraient</w:t>
      </w:r>
      <w:r w:rsidR="00B83E01">
        <w:rPr>
          <w:rFonts w:eastAsia="Times New Roman" w:cs="Times New Roman"/>
          <w:color w:val="000000"/>
          <w:kern w:val="22"/>
          <w:sz w:val="22"/>
          <w:lang w:val="fr-FR" w:eastAsia="en-CA"/>
        </w:rPr>
        <w:t xml:space="preserve"> être traités, théoriquement, au cas par cas. </w:t>
      </w:r>
      <w:r w:rsidR="00B83E01" w:rsidRPr="00B83E01">
        <w:rPr>
          <w:rFonts w:eastAsia="Times New Roman" w:cs="Times New Roman"/>
          <w:color w:val="000000"/>
          <w:kern w:val="22"/>
          <w:sz w:val="22"/>
          <w:lang w:val="fr-FR" w:eastAsia="en-CA"/>
        </w:rPr>
        <w:t xml:space="preserve">Ainsi, les </w:t>
      </w:r>
      <w:r w:rsidR="008B008A" w:rsidRPr="00B83E01">
        <w:rPr>
          <w:rFonts w:eastAsia="Times New Roman" w:cs="Times New Roman"/>
          <w:color w:val="000000"/>
          <w:kern w:val="22"/>
          <w:sz w:val="22"/>
          <w:lang w:val="fr-FR" w:eastAsia="en-CA"/>
        </w:rPr>
        <w:t xml:space="preserve"> </w:t>
      </w:r>
      <w:r w:rsidR="009D43F1" w:rsidRPr="00B83E01">
        <w:rPr>
          <w:rFonts w:eastAsia="Times New Roman" w:cs="Times New Roman"/>
          <w:color w:val="000000"/>
          <w:kern w:val="22"/>
          <w:sz w:val="22"/>
          <w:lang w:val="fr-FR" w:eastAsia="en-CA"/>
        </w:rPr>
        <w:t>exemple</w:t>
      </w:r>
      <w:r w:rsidR="00561DFE" w:rsidRPr="00B83E01">
        <w:rPr>
          <w:rFonts w:eastAsia="Times New Roman" w:cs="Times New Roman"/>
          <w:color w:val="000000"/>
          <w:kern w:val="22"/>
          <w:sz w:val="22"/>
          <w:lang w:val="fr-FR" w:eastAsia="en-CA"/>
        </w:rPr>
        <w:t xml:space="preserve">s </w:t>
      </w:r>
      <w:r>
        <w:rPr>
          <w:rFonts w:eastAsia="Times New Roman" w:cs="Times New Roman"/>
          <w:color w:val="000000"/>
          <w:kern w:val="22"/>
          <w:sz w:val="22"/>
          <w:lang w:val="fr-FR" w:eastAsia="en-CA"/>
        </w:rPr>
        <w:t xml:space="preserve">fournis dans la présente </w:t>
      </w:r>
      <w:r w:rsidR="00E3674F" w:rsidRPr="00B83E01">
        <w:rPr>
          <w:rFonts w:eastAsia="Times New Roman" w:cs="Times New Roman"/>
          <w:color w:val="000000"/>
          <w:kern w:val="22"/>
          <w:sz w:val="22"/>
          <w:lang w:val="fr-FR" w:eastAsia="en-CA"/>
        </w:rPr>
        <w:t>étude</w:t>
      </w:r>
      <w:r w:rsidR="00561DFE" w:rsidRPr="00B83E01">
        <w:rPr>
          <w:rFonts w:eastAsia="Times New Roman" w:cs="Times New Roman"/>
          <w:color w:val="000000"/>
          <w:kern w:val="22"/>
          <w:sz w:val="22"/>
          <w:lang w:val="fr-FR" w:eastAsia="en-CA"/>
        </w:rPr>
        <w:t xml:space="preserve"> </w:t>
      </w:r>
      <w:r w:rsidR="00B83E01">
        <w:rPr>
          <w:rFonts w:eastAsia="Times New Roman" w:cs="Times New Roman"/>
          <w:color w:val="000000"/>
          <w:kern w:val="22"/>
          <w:sz w:val="22"/>
          <w:lang w:val="fr-FR" w:eastAsia="en-CA"/>
        </w:rPr>
        <w:t xml:space="preserve">ont une vocation </w:t>
      </w:r>
      <w:r w:rsidR="00C44C86">
        <w:rPr>
          <w:rFonts w:eastAsia="Times New Roman" w:cs="Times New Roman"/>
          <w:color w:val="000000"/>
          <w:kern w:val="22"/>
          <w:sz w:val="22"/>
          <w:lang w:val="fr-FR" w:eastAsia="en-CA"/>
        </w:rPr>
        <w:t>illustrative,</w:t>
      </w:r>
      <w:r w:rsidR="00561DFE" w:rsidRPr="00B83E01">
        <w:rPr>
          <w:rFonts w:eastAsia="Times New Roman" w:cs="Times New Roman"/>
          <w:color w:val="000000"/>
          <w:kern w:val="22"/>
          <w:sz w:val="22"/>
          <w:lang w:val="fr-FR" w:eastAsia="en-CA"/>
        </w:rPr>
        <w:t xml:space="preserve"> </w:t>
      </w:r>
      <w:r w:rsidR="00C44C86">
        <w:rPr>
          <w:rFonts w:eastAsia="Times New Roman" w:cs="Times New Roman"/>
          <w:color w:val="000000"/>
          <w:kern w:val="22"/>
          <w:sz w:val="22"/>
          <w:lang w:val="fr-FR" w:eastAsia="en-CA"/>
        </w:rPr>
        <w:t>et ne constituent pas des</w:t>
      </w:r>
      <w:r w:rsidR="00B83E01">
        <w:rPr>
          <w:rFonts w:eastAsia="Times New Roman" w:cs="Times New Roman"/>
          <w:color w:val="000000"/>
          <w:kern w:val="22"/>
          <w:sz w:val="22"/>
          <w:lang w:val="fr-FR" w:eastAsia="en-CA"/>
        </w:rPr>
        <w:t xml:space="preserve"> cas unique</w:t>
      </w:r>
      <w:r w:rsidR="00C44C86">
        <w:rPr>
          <w:rFonts w:eastAsia="Times New Roman" w:cs="Times New Roman"/>
          <w:color w:val="000000"/>
          <w:kern w:val="22"/>
          <w:sz w:val="22"/>
          <w:lang w:val="fr-FR" w:eastAsia="en-CA"/>
        </w:rPr>
        <w:t>s</w:t>
      </w:r>
      <w:r w:rsidR="00B83E01">
        <w:rPr>
          <w:rFonts w:eastAsia="Times New Roman" w:cs="Times New Roman"/>
          <w:color w:val="000000"/>
          <w:kern w:val="22"/>
          <w:sz w:val="22"/>
          <w:lang w:val="fr-FR" w:eastAsia="en-CA"/>
        </w:rPr>
        <w:t xml:space="preserve"> de </w:t>
      </w:r>
      <w:r w:rsidR="00F27467" w:rsidRPr="00B83E01">
        <w:rPr>
          <w:rFonts w:eastAsia="Times New Roman" w:cs="Times New Roman"/>
          <w:color w:val="000000"/>
          <w:kern w:val="22"/>
          <w:sz w:val="22"/>
          <w:lang w:val="fr-FR" w:eastAsia="en-CA"/>
        </w:rPr>
        <w:t>ressource</w:t>
      </w:r>
      <w:r w:rsidR="00C44C86">
        <w:rPr>
          <w:rFonts w:eastAsia="Times New Roman" w:cs="Times New Roman"/>
          <w:color w:val="000000"/>
          <w:kern w:val="22"/>
          <w:sz w:val="22"/>
          <w:lang w:val="fr-FR" w:eastAsia="en-CA"/>
        </w:rPr>
        <w:t>s</w:t>
      </w:r>
      <w:r w:rsidR="00F27467" w:rsidRPr="00B83E01">
        <w:rPr>
          <w:rFonts w:eastAsia="Times New Roman" w:cs="Times New Roman"/>
          <w:color w:val="000000"/>
          <w:kern w:val="22"/>
          <w:sz w:val="22"/>
          <w:lang w:val="fr-FR" w:eastAsia="en-CA"/>
        </w:rPr>
        <w:t xml:space="preserve"> génétique</w:t>
      </w:r>
      <w:r w:rsidR="00C44C86">
        <w:rPr>
          <w:rFonts w:eastAsia="Times New Roman" w:cs="Times New Roman"/>
          <w:color w:val="000000"/>
          <w:kern w:val="22"/>
          <w:sz w:val="22"/>
          <w:lang w:val="fr-FR" w:eastAsia="en-CA"/>
        </w:rPr>
        <w:t>s</w:t>
      </w:r>
      <w:r w:rsidR="0028742E" w:rsidRPr="00B83E01">
        <w:rPr>
          <w:rFonts w:eastAsia="Times New Roman" w:cs="Times New Roman"/>
          <w:color w:val="000000"/>
          <w:kern w:val="22"/>
          <w:sz w:val="22"/>
          <w:lang w:val="fr-FR" w:eastAsia="en-CA"/>
        </w:rPr>
        <w:t xml:space="preserve"> ou </w:t>
      </w:r>
      <w:r w:rsidR="00B83E01">
        <w:rPr>
          <w:rFonts w:eastAsia="Times New Roman" w:cs="Times New Roman"/>
          <w:color w:val="000000"/>
          <w:kern w:val="22"/>
          <w:sz w:val="22"/>
          <w:lang w:val="fr-FR" w:eastAsia="en-CA"/>
        </w:rPr>
        <w:t xml:space="preserve">de </w:t>
      </w:r>
      <w:r w:rsidR="00E3674F" w:rsidRPr="00B83E01">
        <w:rPr>
          <w:rFonts w:eastAsia="Times New Roman" w:cs="Times New Roman"/>
          <w:color w:val="000000"/>
          <w:kern w:val="22"/>
          <w:sz w:val="22"/>
          <w:lang w:val="fr-FR" w:eastAsia="en-CA"/>
        </w:rPr>
        <w:t>connaissances traditionnelles</w:t>
      </w:r>
      <w:r w:rsidR="00561DFE" w:rsidRPr="00B83E01">
        <w:rPr>
          <w:rFonts w:eastAsia="Times New Roman" w:cs="Times New Roman"/>
          <w:color w:val="000000"/>
          <w:kern w:val="22"/>
          <w:sz w:val="22"/>
          <w:lang w:val="fr-FR" w:eastAsia="en-CA"/>
        </w:rPr>
        <w:t xml:space="preserve"> </w:t>
      </w:r>
      <w:r w:rsidR="00B83E01">
        <w:rPr>
          <w:rFonts w:eastAsia="Times New Roman" w:cs="Times New Roman"/>
          <w:color w:val="000000"/>
          <w:kern w:val="22"/>
          <w:sz w:val="22"/>
          <w:lang w:val="fr-FR" w:eastAsia="en-CA"/>
        </w:rPr>
        <w:t>associées à une</w:t>
      </w:r>
      <w:r w:rsidR="00561DFE" w:rsidRPr="00B83E01">
        <w:rPr>
          <w:rFonts w:eastAsia="Times New Roman" w:cs="Times New Roman"/>
          <w:color w:val="000000"/>
          <w:kern w:val="22"/>
          <w:sz w:val="22"/>
          <w:lang w:val="fr-FR" w:eastAsia="en-CA"/>
        </w:rPr>
        <w:t xml:space="preserve"> </w:t>
      </w:r>
      <w:r w:rsidR="00F27467" w:rsidRPr="00B83E01">
        <w:rPr>
          <w:rFonts w:eastAsia="Times New Roman" w:cs="Times New Roman"/>
          <w:color w:val="000000"/>
          <w:kern w:val="22"/>
          <w:sz w:val="22"/>
          <w:lang w:val="fr-FR" w:eastAsia="en-CA"/>
        </w:rPr>
        <w:t>ressource génétique</w:t>
      </w:r>
      <w:r w:rsidR="00C44C86">
        <w:rPr>
          <w:rFonts w:eastAsia="Times New Roman" w:cs="Times New Roman"/>
          <w:color w:val="000000"/>
          <w:kern w:val="22"/>
          <w:sz w:val="22"/>
          <w:lang w:val="fr-FR" w:eastAsia="en-CA"/>
        </w:rPr>
        <w:t>,</w:t>
      </w:r>
      <w:r w:rsidR="00561DFE" w:rsidRPr="00B83E01">
        <w:rPr>
          <w:rFonts w:eastAsia="Times New Roman" w:cs="Times New Roman"/>
          <w:color w:val="000000"/>
          <w:kern w:val="22"/>
          <w:sz w:val="22"/>
          <w:lang w:val="fr-FR" w:eastAsia="en-CA"/>
        </w:rPr>
        <w:t xml:space="preserve"> </w:t>
      </w:r>
      <w:r w:rsidR="00B83E01">
        <w:rPr>
          <w:rFonts w:eastAsia="Times New Roman" w:cs="Times New Roman"/>
          <w:color w:val="000000"/>
          <w:kern w:val="22"/>
          <w:sz w:val="22"/>
          <w:lang w:val="fr-FR" w:eastAsia="en-CA"/>
        </w:rPr>
        <w:t>susceptibles d’entrer dans</w:t>
      </w:r>
      <w:r w:rsidR="00934A20" w:rsidRPr="00B83E01">
        <w:rPr>
          <w:rFonts w:eastAsia="Times New Roman" w:cs="Times New Roman"/>
          <w:color w:val="000000"/>
          <w:kern w:val="22"/>
          <w:sz w:val="22"/>
          <w:lang w:val="fr-FR" w:eastAsia="en-CA"/>
        </w:rPr>
        <w:t xml:space="preserve"> le champ d’application</w:t>
      </w:r>
      <w:r w:rsidR="00561DFE" w:rsidRPr="00B83E01">
        <w:rPr>
          <w:rFonts w:eastAsia="Times New Roman" w:cs="Times New Roman"/>
          <w:color w:val="000000"/>
          <w:kern w:val="22"/>
          <w:sz w:val="22"/>
          <w:lang w:val="fr-FR" w:eastAsia="en-CA"/>
        </w:rPr>
        <w:t xml:space="preserve"> </w:t>
      </w:r>
      <w:r w:rsidR="0028742E" w:rsidRPr="00B83E01">
        <w:rPr>
          <w:rFonts w:eastAsia="Times New Roman" w:cs="Times New Roman"/>
          <w:color w:val="000000"/>
          <w:kern w:val="22"/>
          <w:sz w:val="22"/>
          <w:lang w:val="fr-FR" w:eastAsia="en-CA"/>
        </w:rPr>
        <w:t>de l’article</w:t>
      </w:r>
      <w:r w:rsidR="00561DFE" w:rsidRPr="00B83E01">
        <w:rPr>
          <w:rFonts w:eastAsia="Times New Roman" w:cs="Times New Roman"/>
          <w:color w:val="000000"/>
          <w:kern w:val="22"/>
          <w:sz w:val="22"/>
          <w:lang w:val="fr-FR" w:eastAsia="en-CA"/>
        </w:rPr>
        <w:t xml:space="preserve"> 10</w:t>
      </w:r>
      <w:r w:rsidR="00C44C86">
        <w:rPr>
          <w:rFonts w:eastAsia="Times New Roman" w:cs="Times New Roman"/>
          <w:color w:val="000000"/>
          <w:kern w:val="22"/>
          <w:sz w:val="22"/>
          <w:lang w:val="fr-FR" w:eastAsia="en-CA"/>
        </w:rPr>
        <w:t xml:space="preserve"> du Protocole</w:t>
      </w:r>
      <w:r w:rsidR="00561DFE" w:rsidRPr="00B83E01">
        <w:rPr>
          <w:rFonts w:eastAsia="Times New Roman" w:cs="Times New Roman"/>
          <w:color w:val="000000"/>
          <w:kern w:val="22"/>
          <w:sz w:val="22"/>
          <w:lang w:val="fr-FR" w:eastAsia="en-CA"/>
        </w:rPr>
        <w:t xml:space="preserve">. </w:t>
      </w:r>
    </w:p>
    <w:p w14:paraId="37C5ACB5" w14:textId="043B542F" w:rsidR="00636F7E" w:rsidRPr="00EF0B66" w:rsidRDefault="00C44C86" w:rsidP="00561DFE">
      <w:pPr>
        <w:pBdr>
          <w:top w:val="nil"/>
          <w:left w:val="nil"/>
          <w:bottom w:val="nil"/>
          <w:right w:val="nil"/>
          <w:between w:val="nil"/>
        </w:pBdr>
        <w:spacing w:after="120"/>
        <w:rPr>
          <w:rFonts w:eastAsia="Times New Roman" w:cs="Times New Roman"/>
          <w:color w:val="000000"/>
          <w:kern w:val="22"/>
          <w:sz w:val="22"/>
          <w:lang w:val="fr-FR" w:eastAsia="en-CA"/>
        </w:rPr>
      </w:pPr>
      <w:r>
        <w:rPr>
          <w:rFonts w:eastAsia="Times New Roman" w:cs="Times New Roman"/>
          <w:color w:val="000000"/>
          <w:kern w:val="22"/>
          <w:sz w:val="22"/>
          <w:lang w:val="fr-FR" w:eastAsia="en-CA"/>
        </w:rPr>
        <w:t>Ensuite</w:t>
      </w:r>
      <w:r w:rsidR="00EF0B66" w:rsidRPr="00EF0B66">
        <w:rPr>
          <w:rFonts w:eastAsia="Times New Roman" w:cs="Times New Roman"/>
          <w:color w:val="000000"/>
          <w:kern w:val="22"/>
          <w:sz w:val="22"/>
          <w:lang w:val="fr-FR" w:eastAsia="en-CA"/>
        </w:rPr>
        <w:t>, l</w:t>
      </w:r>
      <w:r w:rsidR="00FC2875" w:rsidRPr="00EF0B66">
        <w:rPr>
          <w:rFonts w:eastAsia="Times New Roman" w:cs="Times New Roman"/>
          <w:color w:val="000000"/>
          <w:kern w:val="22"/>
          <w:sz w:val="22"/>
          <w:lang w:val="fr-FR" w:eastAsia="en-CA"/>
        </w:rPr>
        <w:t>e</w:t>
      </w:r>
      <w:r w:rsidR="00EF0B66" w:rsidRPr="00EF0B66">
        <w:rPr>
          <w:rFonts w:eastAsia="Times New Roman" w:cs="Times New Roman"/>
          <w:color w:val="000000"/>
          <w:kern w:val="22"/>
          <w:sz w:val="22"/>
          <w:lang w:val="fr-FR" w:eastAsia="en-CA"/>
        </w:rPr>
        <w:t>s</w:t>
      </w:r>
      <w:r w:rsidR="00FC2875" w:rsidRPr="00EF0B66">
        <w:rPr>
          <w:rFonts w:eastAsia="Times New Roman" w:cs="Times New Roman"/>
          <w:color w:val="000000"/>
          <w:kern w:val="22"/>
          <w:sz w:val="22"/>
          <w:lang w:val="fr-FR" w:eastAsia="en-CA"/>
        </w:rPr>
        <w:t xml:space="preserve"> </w:t>
      </w:r>
      <w:r w:rsidR="00934A20" w:rsidRPr="00EF0B66">
        <w:rPr>
          <w:rFonts w:eastAsia="Times New Roman" w:cs="Times New Roman"/>
          <w:color w:val="000000"/>
          <w:kern w:val="22"/>
          <w:sz w:val="22"/>
          <w:lang w:val="fr-FR" w:eastAsia="en-CA"/>
        </w:rPr>
        <w:t>auteurs</w:t>
      </w:r>
      <w:r w:rsidR="00CA29C9" w:rsidRPr="00EF0B66">
        <w:rPr>
          <w:rFonts w:eastAsia="Times New Roman" w:cs="Times New Roman"/>
          <w:color w:val="000000"/>
          <w:kern w:val="22"/>
          <w:sz w:val="22"/>
          <w:lang w:val="fr-FR" w:eastAsia="en-CA"/>
        </w:rPr>
        <w:t xml:space="preserve"> </w:t>
      </w:r>
      <w:r w:rsidR="00EF0B66" w:rsidRPr="00EF0B66">
        <w:rPr>
          <w:rFonts w:eastAsia="Times New Roman" w:cs="Times New Roman"/>
          <w:color w:val="000000"/>
          <w:kern w:val="22"/>
          <w:sz w:val="22"/>
          <w:lang w:val="fr-FR" w:eastAsia="en-CA"/>
        </w:rPr>
        <w:t>ont analysé la signification potentie</w:t>
      </w:r>
      <w:r w:rsidR="00BC39F8" w:rsidRPr="00EF0B66">
        <w:rPr>
          <w:rFonts w:eastAsia="Times New Roman" w:cs="Times New Roman"/>
          <w:color w:val="000000"/>
          <w:kern w:val="22"/>
          <w:sz w:val="22"/>
          <w:lang w:val="fr-FR" w:eastAsia="en-CA"/>
        </w:rPr>
        <w:t>l</w:t>
      </w:r>
      <w:r w:rsidR="00EF0B66" w:rsidRPr="00EF0B66">
        <w:rPr>
          <w:rFonts w:eastAsia="Times New Roman" w:cs="Times New Roman"/>
          <w:color w:val="000000"/>
          <w:kern w:val="22"/>
          <w:sz w:val="22"/>
          <w:lang w:val="fr-FR" w:eastAsia="en-CA"/>
        </w:rPr>
        <w:t xml:space="preserve">le du terme </w:t>
      </w:r>
      <w:r w:rsidR="00EF0B66">
        <w:rPr>
          <w:rFonts w:eastAsia="Times New Roman" w:cs="Times New Roman"/>
          <w:color w:val="000000"/>
          <w:kern w:val="22"/>
          <w:sz w:val="22"/>
          <w:lang w:val="fr-FR" w:eastAsia="en-CA"/>
        </w:rPr>
        <w:t>“impossible” dans l’</w:t>
      </w:r>
      <w:r w:rsidR="00FD73A5" w:rsidRPr="00EF0B66">
        <w:rPr>
          <w:rFonts w:eastAsia="Times New Roman" w:cs="Times New Roman"/>
          <w:color w:val="000000"/>
          <w:kern w:val="22"/>
          <w:sz w:val="22"/>
          <w:lang w:val="fr-FR" w:eastAsia="en-CA"/>
        </w:rPr>
        <w:t>article</w:t>
      </w:r>
      <w:r w:rsidR="00BC39F8" w:rsidRPr="00EF0B66">
        <w:rPr>
          <w:rFonts w:eastAsia="Times New Roman" w:cs="Times New Roman"/>
          <w:color w:val="000000"/>
          <w:kern w:val="22"/>
          <w:sz w:val="22"/>
          <w:lang w:val="fr-FR" w:eastAsia="en-CA"/>
        </w:rPr>
        <w:t xml:space="preserve"> 10</w:t>
      </w:r>
      <w:r>
        <w:rPr>
          <w:rFonts w:eastAsia="Times New Roman" w:cs="Times New Roman"/>
          <w:color w:val="000000"/>
          <w:kern w:val="22"/>
          <w:sz w:val="22"/>
          <w:lang w:val="fr-FR" w:eastAsia="en-CA"/>
        </w:rPr>
        <w:t xml:space="preserve"> du Protocole</w:t>
      </w:r>
      <w:r w:rsidR="00CB208C" w:rsidRPr="00EF0B66">
        <w:rPr>
          <w:rFonts w:eastAsia="Times New Roman" w:cs="Times New Roman"/>
          <w:color w:val="000000"/>
          <w:kern w:val="22"/>
          <w:sz w:val="22"/>
          <w:lang w:val="fr-FR" w:eastAsia="en-CA"/>
        </w:rPr>
        <w:t xml:space="preserve">. </w:t>
      </w:r>
      <w:r w:rsidR="00EF0B66" w:rsidRPr="00EF0B66">
        <w:rPr>
          <w:rFonts w:eastAsia="Times New Roman" w:cs="Times New Roman"/>
          <w:color w:val="000000"/>
          <w:kern w:val="22"/>
          <w:sz w:val="22"/>
          <w:lang w:val="fr-FR" w:eastAsia="en-CA"/>
        </w:rPr>
        <w:t>Les rè</w:t>
      </w:r>
      <w:r w:rsidR="00EF0B66">
        <w:rPr>
          <w:rFonts w:eastAsia="Times New Roman" w:cs="Times New Roman"/>
          <w:color w:val="000000"/>
          <w:kern w:val="22"/>
          <w:sz w:val="22"/>
          <w:lang w:val="fr-FR" w:eastAsia="en-CA"/>
        </w:rPr>
        <w:t xml:space="preserve">gles </w:t>
      </w:r>
      <w:r w:rsidR="00EF0B66" w:rsidRPr="00EF0B66">
        <w:rPr>
          <w:rFonts w:eastAsia="Times New Roman" w:cs="Times New Roman"/>
          <w:color w:val="000000"/>
          <w:kern w:val="22"/>
          <w:sz w:val="22"/>
          <w:lang w:val="fr-FR" w:eastAsia="en-CA"/>
        </w:rPr>
        <w:t>générales d’</w:t>
      </w:r>
      <w:r w:rsidR="008F38B0">
        <w:rPr>
          <w:rFonts w:eastAsia="Times New Roman" w:cs="Times New Roman"/>
          <w:color w:val="000000"/>
          <w:kern w:val="22"/>
          <w:sz w:val="22"/>
          <w:lang w:val="fr-FR" w:eastAsia="en-CA"/>
        </w:rPr>
        <w:t>interprétation</w:t>
      </w:r>
      <w:r w:rsidR="00EF0B66" w:rsidRPr="00EF0B66">
        <w:rPr>
          <w:rFonts w:eastAsia="Times New Roman" w:cs="Times New Roman"/>
          <w:color w:val="000000"/>
          <w:kern w:val="22"/>
          <w:sz w:val="22"/>
          <w:lang w:val="fr-FR" w:eastAsia="en-CA"/>
        </w:rPr>
        <w:t xml:space="preserve"> des t</w:t>
      </w:r>
      <w:r>
        <w:rPr>
          <w:rFonts w:eastAsia="Times New Roman" w:cs="Times New Roman"/>
          <w:color w:val="000000"/>
          <w:kern w:val="22"/>
          <w:sz w:val="22"/>
          <w:lang w:val="fr-FR" w:eastAsia="en-CA"/>
        </w:rPr>
        <w:t>raités énoncées dans</w:t>
      </w:r>
      <w:r w:rsidR="00EF0B66" w:rsidRPr="00EF0B66">
        <w:rPr>
          <w:rFonts w:eastAsia="Times New Roman" w:cs="Times New Roman"/>
          <w:color w:val="000000"/>
          <w:kern w:val="22"/>
          <w:sz w:val="22"/>
          <w:lang w:val="fr-FR" w:eastAsia="en-CA"/>
        </w:rPr>
        <w:t xml:space="preserve"> la Convention de Vienne sur le droit des trai</w:t>
      </w:r>
      <w:r w:rsidR="00EF0B66">
        <w:rPr>
          <w:rFonts w:eastAsia="Times New Roman" w:cs="Times New Roman"/>
          <w:color w:val="000000"/>
          <w:kern w:val="22"/>
          <w:sz w:val="22"/>
          <w:lang w:val="fr-FR" w:eastAsia="en-CA"/>
        </w:rPr>
        <w:t xml:space="preserve">tés </w:t>
      </w:r>
      <w:r>
        <w:rPr>
          <w:rFonts w:eastAsia="Times New Roman" w:cs="Times New Roman"/>
          <w:color w:val="000000"/>
          <w:kern w:val="22"/>
          <w:sz w:val="22"/>
          <w:lang w:val="fr-FR" w:eastAsia="en-CA"/>
        </w:rPr>
        <w:t>se fondent sur une évaluation de</w:t>
      </w:r>
      <w:r w:rsidR="00B83E01">
        <w:rPr>
          <w:rFonts w:eastAsia="Times New Roman" w:cs="Times New Roman"/>
          <w:color w:val="000000"/>
          <w:kern w:val="22"/>
          <w:sz w:val="22"/>
          <w:lang w:val="fr-FR" w:eastAsia="en-CA"/>
        </w:rPr>
        <w:t xml:space="preserve"> bonne foi</w:t>
      </w:r>
      <w:r>
        <w:rPr>
          <w:rFonts w:eastAsia="Times New Roman" w:cs="Times New Roman"/>
          <w:color w:val="000000"/>
          <w:kern w:val="22"/>
          <w:sz w:val="22"/>
          <w:lang w:val="fr-FR" w:eastAsia="en-CA"/>
        </w:rPr>
        <w:t xml:space="preserve">, comprenant </w:t>
      </w:r>
      <w:r w:rsidR="00B83E01">
        <w:rPr>
          <w:rFonts w:eastAsia="Times New Roman" w:cs="Times New Roman"/>
          <w:color w:val="000000"/>
          <w:kern w:val="22"/>
          <w:sz w:val="22"/>
          <w:lang w:val="fr-FR" w:eastAsia="en-CA"/>
        </w:rPr>
        <w:t xml:space="preserve">trois étapes </w:t>
      </w:r>
      <w:r w:rsidR="009D6FAD" w:rsidRPr="00EF0B66">
        <w:rPr>
          <w:rFonts w:eastAsia="Times New Roman" w:cs="Times New Roman"/>
          <w:color w:val="000000"/>
          <w:kern w:val="22"/>
          <w:sz w:val="22"/>
          <w:lang w:val="fr-FR" w:eastAsia="en-CA"/>
        </w:rPr>
        <w:t>:</w:t>
      </w:r>
      <w:r w:rsidR="00EA59A8" w:rsidRPr="00EF0B66">
        <w:rPr>
          <w:rFonts w:eastAsia="Times New Roman" w:cs="Times New Roman"/>
          <w:color w:val="000000"/>
          <w:kern w:val="22"/>
          <w:sz w:val="22"/>
          <w:lang w:val="fr-FR" w:eastAsia="en-CA"/>
        </w:rPr>
        <w:t xml:space="preserve"> </w:t>
      </w:r>
      <w:r>
        <w:rPr>
          <w:rFonts w:eastAsia="Times New Roman" w:cs="Times New Roman"/>
          <w:color w:val="000000"/>
          <w:kern w:val="22"/>
          <w:sz w:val="22"/>
          <w:lang w:val="fr-FR" w:eastAsia="en-CA"/>
        </w:rPr>
        <w:t xml:space="preserve">1) </w:t>
      </w:r>
      <w:r w:rsidR="00B83E01">
        <w:rPr>
          <w:rFonts w:eastAsia="Times New Roman" w:cs="Times New Roman"/>
          <w:color w:val="000000"/>
          <w:kern w:val="22"/>
          <w:sz w:val="22"/>
          <w:lang w:val="fr-FR" w:eastAsia="en-CA"/>
        </w:rPr>
        <w:t xml:space="preserve">signification habituelle du terme; 2) </w:t>
      </w:r>
      <w:r>
        <w:rPr>
          <w:rFonts w:eastAsia="Times New Roman" w:cs="Times New Roman"/>
          <w:color w:val="000000"/>
          <w:kern w:val="22"/>
          <w:sz w:val="22"/>
          <w:lang w:val="fr-FR" w:eastAsia="en-CA"/>
        </w:rPr>
        <w:t xml:space="preserve">signification du terme </w:t>
      </w:r>
      <w:r w:rsidR="00B83E01">
        <w:rPr>
          <w:rFonts w:eastAsia="Times New Roman" w:cs="Times New Roman"/>
          <w:color w:val="000000"/>
          <w:kern w:val="22"/>
          <w:sz w:val="22"/>
          <w:lang w:val="fr-FR" w:eastAsia="en-CA"/>
        </w:rPr>
        <w:t>dans son</w:t>
      </w:r>
      <w:r w:rsidR="00D63CB7" w:rsidRPr="00EF0B66">
        <w:rPr>
          <w:rFonts w:eastAsia="Times New Roman" w:cs="Times New Roman"/>
          <w:color w:val="000000"/>
          <w:kern w:val="22"/>
          <w:sz w:val="22"/>
          <w:lang w:val="fr-FR" w:eastAsia="en-CA"/>
        </w:rPr>
        <w:t xml:space="preserve"> </w:t>
      </w:r>
      <w:r w:rsidR="007348AA" w:rsidRPr="00EF0B66">
        <w:rPr>
          <w:rFonts w:eastAsia="Times New Roman" w:cs="Times New Roman"/>
          <w:color w:val="000000"/>
          <w:kern w:val="22"/>
          <w:sz w:val="22"/>
          <w:lang w:val="fr-FR" w:eastAsia="en-CA"/>
        </w:rPr>
        <w:t>context</w:t>
      </w:r>
      <w:r w:rsidR="00B83E01">
        <w:rPr>
          <w:rFonts w:eastAsia="Times New Roman" w:cs="Times New Roman"/>
          <w:color w:val="000000"/>
          <w:kern w:val="22"/>
          <w:sz w:val="22"/>
          <w:lang w:val="fr-FR" w:eastAsia="en-CA"/>
        </w:rPr>
        <w:t xml:space="preserve">e; </w:t>
      </w:r>
      <w:r w:rsidR="007348AA" w:rsidRPr="00EF0B66">
        <w:rPr>
          <w:rFonts w:eastAsia="Times New Roman" w:cs="Times New Roman"/>
          <w:color w:val="000000"/>
          <w:kern w:val="22"/>
          <w:sz w:val="22"/>
          <w:lang w:val="fr-FR" w:eastAsia="en-CA"/>
        </w:rPr>
        <w:t xml:space="preserve">3) </w:t>
      </w:r>
      <w:r>
        <w:rPr>
          <w:rFonts w:eastAsia="Times New Roman" w:cs="Times New Roman"/>
          <w:color w:val="000000"/>
          <w:kern w:val="22"/>
          <w:sz w:val="22"/>
          <w:lang w:val="fr-FR" w:eastAsia="en-CA"/>
        </w:rPr>
        <w:t xml:space="preserve">signification </w:t>
      </w:r>
      <w:r w:rsidR="00B83E01">
        <w:rPr>
          <w:rFonts w:eastAsia="Times New Roman" w:cs="Times New Roman"/>
          <w:color w:val="000000"/>
          <w:kern w:val="22"/>
          <w:sz w:val="22"/>
          <w:lang w:val="fr-FR" w:eastAsia="en-CA"/>
        </w:rPr>
        <w:t>à la lumière de l’o</w:t>
      </w:r>
      <w:r>
        <w:rPr>
          <w:rFonts w:eastAsia="Times New Roman" w:cs="Times New Roman"/>
          <w:color w:val="000000"/>
          <w:kern w:val="22"/>
          <w:sz w:val="22"/>
          <w:lang w:val="fr-FR" w:eastAsia="en-CA"/>
        </w:rPr>
        <w:t>bjectif et du but du traité</w:t>
      </w:r>
      <w:r w:rsidR="007348AA" w:rsidRPr="00EF0B66">
        <w:rPr>
          <w:rFonts w:eastAsia="Times New Roman" w:cs="Times New Roman"/>
          <w:color w:val="000000"/>
          <w:kern w:val="22"/>
          <w:sz w:val="22"/>
          <w:lang w:val="fr-FR" w:eastAsia="en-CA"/>
        </w:rPr>
        <w:t>.</w:t>
      </w:r>
      <w:r w:rsidR="00B76E27" w:rsidRPr="002364AB">
        <w:rPr>
          <w:rStyle w:val="FootnoteReference"/>
          <w:rFonts w:eastAsia="Times New Roman" w:cs="Times New Roman"/>
          <w:color w:val="000000"/>
          <w:kern w:val="22"/>
          <w:sz w:val="22"/>
          <w:lang w:val="en-GB" w:eastAsia="en-CA"/>
        </w:rPr>
        <w:footnoteReference w:id="11"/>
      </w:r>
      <w:r w:rsidR="00BC1955" w:rsidRPr="00EF0B66">
        <w:rPr>
          <w:rFonts w:eastAsia="Times New Roman" w:cs="Times New Roman"/>
          <w:color w:val="000000"/>
          <w:kern w:val="22"/>
          <w:sz w:val="22"/>
          <w:lang w:val="fr-FR" w:eastAsia="en-CA"/>
        </w:rPr>
        <w:t xml:space="preserve"> </w:t>
      </w:r>
    </w:p>
    <w:p w14:paraId="6D3C9C0D" w14:textId="020BE069" w:rsidR="00F544CA" w:rsidRPr="00B83E01" w:rsidRDefault="00EF0B66" w:rsidP="00561DFE">
      <w:pPr>
        <w:pBdr>
          <w:top w:val="nil"/>
          <w:left w:val="nil"/>
          <w:bottom w:val="nil"/>
          <w:right w:val="nil"/>
          <w:between w:val="nil"/>
        </w:pBdr>
        <w:spacing w:after="120"/>
        <w:rPr>
          <w:rFonts w:eastAsia="Times New Roman" w:cs="Times New Roman"/>
          <w:color w:val="000000"/>
          <w:kern w:val="22"/>
          <w:sz w:val="22"/>
          <w:lang w:val="fr-FR" w:eastAsia="en-CA"/>
        </w:rPr>
      </w:pPr>
      <w:r w:rsidRPr="00EF0B66">
        <w:rPr>
          <w:rFonts w:eastAsia="Times New Roman" w:cs="Times New Roman"/>
          <w:color w:val="000000"/>
          <w:kern w:val="22"/>
          <w:sz w:val="22"/>
          <w:lang w:val="fr-FR" w:eastAsia="en-CA"/>
        </w:rPr>
        <w:t>Le</w:t>
      </w:r>
      <w:r w:rsidR="00BC1955" w:rsidRPr="00EF0B66">
        <w:rPr>
          <w:rFonts w:eastAsia="Times New Roman" w:cs="Times New Roman"/>
          <w:color w:val="000000"/>
          <w:kern w:val="22"/>
          <w:sz w:val="22"/>
          <w:lang w:val="fr-FR" w:eastAsia="en-CA"/>
        </w:rPr>
        <w:t xml:space="preserve"> </w:t>
      </w:r>
      <w:r w:rsidR="00E77020" w:rsidRPr="00EF0B66">
        <w:rPr>
          <w:rFonts w:eastAsia="Times New Roman" w:cs="Times New Roman"/>
          <w:color w:val="000000"/>
          <w:kern w:val="22"/>
          <w:sz w:val="22"/>
          <w:lang w:val="fr-FR" w:eastAsia="en-CA"/>
        </w:rPr>
        <w:t>context</w:t>
      </w:r>
      <w:r w:rsidRPr="00EF0B66">
        <w:rPr>
          <w:rFonts w:eastAsia="Times New Roman" w:cs="Times New Roman"/>
          <w:color w:val="000000"/>
          <w:kern w:val="22"/>
          <w:sz w:val="22"/>
          <w:lang w:val="fr-FR" w:eastAsia="en-CA"/>
        </w:rPr>
        <w:t>e</w:t>
      </w:r>
      <w:r w:rsidR="00740860" w:rsidRPr="00EF0B66">
        <w:rPr>
          <w:rFonts w:eastAsia="Times New Roman" w:cs="Times New Roman"/>
          <w:color w:val="000000"/>
          <w:kern w:val="22"/>
          <w:sz w:val="22"/>
          <w:lang w:val="fr-FR" w:eastAsia="en-CA"/>
        </w:rPr>
        <w:t xml:space="preserve"> </w:t>
      </w:r>
      <w:r w:rsidRPr="00EF0B66">
        <w:rPr>
          <w:rFonts w:eastAsia="Times New Roman" w:cs="Times New Roman"/>
          <w:color w:val="000000"/>
          <w:kern w:val="22"/>
          <w:sz w:val="22"/>
          <w:lang w:val="fr-FR" w:eastAsia="en-CA"/>
        </w:rPr>
        <w:t>de l’</w:t>
      </w:r>
      <w:r w:rsidR="00FD73A5" w:rsidRPr="00EF0B66">
        <w:rPr>
          <w:rFonts w:eastAsia="Times New Roman" w:cs="Times New Roman"/>
          <w:color w:val="000000"/>
          <w:kern w:val="22"/>
          <w:sz w:val="22"/>
          <w:lang w:val="fr-FR" w:eastAsia="en-CA"/>
        </w:rPr>
        <w:t>article</w:t>
      </w:r>
      <w:r w:rsidR="000F7990" w:rsidRPr="00EF0B66">
        <w:rPr>
          <w:rFonts w:eastAsia="Times New Roman" w:cs="Times New Roman"/>
          <w:color w:val="000000"/>
          <w:kern w:val="22"/>
          <w:sz w:val="22"/>
          <w:lang w:val="fr-FR" w:eastAsia="en-CA"/>
        </w:rPr>
        <w:t xml:space="preserve"> 10 </w:t>
      </w:r>
      <w:r w:rsidR="00C44C86">
        <w:rPr>
          <w:rFonts w:eastAsia="Times New Roman" w:cs="Times New Roman"/>
          <w:color w:val="000000"/>
          <w:kern w:val="22"/>
          <w:sz w:val="22"/>
          <w:lang w:val="fr-FR" w:eastAsia="en-CA"/>
        </w:rPr>
        <w:t xml:space="preserve">du Protocole, </w:t>
      </w:r>
      <w:r w:rsidRPr="00EF0B66">
        <w:rPr>
          <w:rFonts w:eastAsia="Times New Roman" w:cs="Times New Roman"/>
          <w:color w:val="000000"/>
          <w:kern w:val="22"/>
          <w:sz w:val="22"/>
          <w:lang w:val="fr-FR" w:eastAsia="en-CA"/>
        </w:rPr>
        <w:t xml:space="preserve">à la lumière du but et </w:t>
      </w:r>
      <w:r w:rsidR="00B83E01">
        <w:rPr>
          <w:rFonts w:eastAsia="Times New Roman" w:cs="Times New Roman"/>
          <w:color w:val="000000"/>
          <w:kern w:val="22"/>
          <w:sz w:val="22"/>
          <w:lang w:val="fr-FR" w:eastAsia="en-CA"/>
        </w:rPr>
        <w:t>de l’</w:t>
      </w:r>
      <w:r w:rsidRPr="00EF0B66">
        <w:rPr>
          <w:rFonts w:eastAsia="Times New Roman" w:cs="Times New Roman"/>
          <w:color w:val="000000"/>
          <w:kern w:val="22"/>
          <w:sz w:val="22"/>
          <w:lang w:val="fr-FR" w:eastAsia="en-CA"/>
        </w:rPr>
        <w:t>objectif du traité</w:t>
      </w:r>
      <w:r w:rsidR="00C44C86">
        <w:rPr>
          <w:rFonts w:eastAsia="Times New Roman" w:cs="Times New Roman"/>
          <w:color w:val="000000"/>
          <w:kern w:val="22"/>
          <w:sz w:val="22"/>
          <w:lang w:val="fr-FR" w:eastAsia="en-CA"/>
        </w:rPr>
        <w:t>,</w:t>
      </w:r>
      <w:r w:rsidRPr="00EF0B66">
        <w:rPr>
          <w:rFonts w:eastAsia="Times New Roman" w:cs="Times New Roman"/>
          <w:color w:val="000000"/>
          <w:kern w:val="22"/>
          <w:sz w:val="22"/>
          <w:lang w:val="fr-FR" w:eastAsia="en-CA"/>
        </w:rPr>
        <w:t xml:space="preserve"> suggère que l</w:t>
      </w:r>
      <w:r w:rsidR="00C44C86">
        <w:rPr>
          <w:rFonts w:eastAsia="Times New Roman" w:cs="Times New Roman"/>
          <w:color w:val="000000"/>
          <w:kern w:val="22"/>
          <w:sz w:val="22"/>
          <w:lang w:val="fr-FR" w:eastAsia="en-CA"/>
        </w:rPr>
        <w:t xml:space="preserve">’intention des Parties est d’inclure </w:t>
      </w:r>
      <w:r w:rsidR="0013432E">
        <w:rPr>
          <w:rFonts w:eastAsia="Times New Roman" w:cs="Times New Roman"/>
          <w:color w:val="000000"/>
          <w:kern w:val="22"/>
          <w:sz w:val="22"/>
          <w:lang w:val="fr-FR" w:eastAsia="en-CA"/>
        </w:rPr>
        <w:t>les</w:t>
      </w:r>
      <w:r w:rsidRPr="00EF0B66">
        <w:rPr>
          <w:rFonts w:eastAsia="Times New Roman" w:cs="Times New Roman"/>
          <w:color w:val="000000"/>
          <w:kern w:val="22"/>
          <w:sz w:val="22"/>
          <w:lang w:val="fr-FR" w:eastAsia="en-CA"/>
        </w:rPr>
        <w:t xml:space="preserve"> </w:t>
      </w:r>
      <w:r w:rsidR="00D04EC6" w:rsidRPr="00EF0B66">
        <w:rPr>
          <w:rFonts w:eastAsia="Times New Roman" w:cs="Times New Roman"/>
          <w:color w:val="000000"/>
          <w:kern w:val="22"/>
          <w:sz w:val="22"/>
          <w:lang w:val="fr-FR" w:eastAsia="en-CA"/>
        </w:rPr>
        <w:t>cas</w:t>
      </w:r>
      <w:r w:rsidR="006519D2" w:rsidRPr="00EF0B66">
        <w:rPr>
          <w:rFonts w:eastAsia="Times New Roman" w:cs="Times New Roman"/>
          <w:color w:val="000000"/>
          <w:kern w:val="22"/>
          <w:sz w:val="22"/>
          <w:lang w:val="fr-FR" w:eastAsia="en-CA"/>
        </w:rPr>
        <w:t xml:space="preserve"> </w:t>
      </w:r>
      <w:r w:rsidR="00C44C86">
        <w:rPr>
          <w:rFonts w:eastAsia="Times New Roman" w:cs="Times New Roman"/>
          <w:color w:val="000000"/>
          <w:kern w:val="22"/>
          <w:sz w:val="22"/>
          <w:lang w:val="fr-FR" w:eastAsia="en-CA"/>
        </w:rPr>
        <w:t>qui ne peuvent pas être trait</w:t>
      </w:r>
      <w:r w:rsidR="0013432E">
        <w:rPr>
          <w:rFonts w:eastAsia="Times New Roman" w:cs="Times New Roman"/>
          <w:color w:val="000000"/>
          <w:kern w:val="22"/>
          <w:sz w:val="22"/>
          <w:lang w:val="fr-FR" w:eastAsia="en-CA"/>
        </w:rPr>
        <w:t>és dans</w:t>
      </w:r>
      <w:r w:rsidR="00C44C86">
        <w:rPr>
          <w:rFonts w:eastAsia="Times New Roman" w:cs="Times New Roman"/>
          <w:color w:val="000000"/>
          <w:kern w:val="22"/>
          <w:sz w:val="22"/>
          <w:lang w:val="fr-FR" w:eastAsia="en-CA"/>
        </w:rPr>
        <w:t xml:space="preserve"> le cadre d’une </w:t>
      </w:r>
      <w:r w:rsidR="001A200E" w:rsidRPr="00EF0B66">
        <w:rPr>
          <w:rFonts w:eastAsia="Times New Roman" w:cs="Times New Roman"/>
          <w:color w:val="000000"/>
          <w:kern w:val="22"/>
          <w:sz w:val="22"/>
          <w:lang w:val="fr-FR" w:eastAsia="en-CA"/>
        </w:rPr>
        <w:t>approche bilatérale</w:t>
      </w:r>
      <w:r w:rsidR="00C44C86">
        <w:rPr>
          <w:rFonts w:eastAsia="Times New Roman" w:cs="Times New Roman"/>
          <w:color w:val="000000"/>
          <w:kern w:val="22"/>
          <w:sz w:val="22"/>
          <w:lang w:val="fr-FR" w:eastAsia="en-CA"/>
        </w:rPr>
        <w:t> ; cependant,</w:t>
      </w:r>
      <w:r w:rsidR="00AC3CC4" w:rsidRPr="00EF0B66">
        <w:rPr>
          <w:rFonts w:eastAsia="Times New Roman" w:cs="Times New Roman"/>
          <w:color w:val="000000"/>
          <w:kern w:val="22"/>
          <w:sz w:val="22"/>
          <w:lang w:val="fr-FR" w:eastAsia="en-CA"/>
        </w:rPr>
        <w:t xml:space="preserve"> </w:t>
      </w:r>
      <w:r w:rsidR="00C44C86">
        <w:rPr>
          <w:rFonts w:eastAsia="Times New Roman" w:cs="Times New Roman"/>
          <w:color w:val="000000"/>
          <w:kern w:val="22"/>
          <w:sz w:val="22"/>
          <w:lang w:val="fr-FR" w:eastAsia="en-CA"/>
        </w:rPr>
        <w:t>ceci n’éclaire pas entièrement</w:t>
      </w:r>
      <w:r w:rsidR="0013432E">
        <w:rPr>
          <w:rFonts w:eastAsia="Times New Roman" w:cs="Times New Roman"/>
          <w:color w:val="000000"/>
          <w:kern w:val="22"/>
          <w:sz w:val="22"/>
          <w:lang w:val="fr-FR" w:eastAsia="en-CA"/>
        </w:rPr>
        <w:t xml:space="preserve"> la signification du terme “im</w:t>
      </w:r>
      <w:r w:rsidR="000F7990" w:rsidRPr="00EF0B66">
        <w:rPr>
          <w:rFonts w:eastAsia="Times New Roman" w:cs="Times New Roman"/>
          <w:color w:val="000000"/>
          <w:kern w:val="22"/>
          <w:sz w:val="22"/>
          <w:lang w:val="fr-FR" w:eastAsia="en-CA"/>
        </w:rPr>
        <w:t xml:space="preserve">possible”. </w:t>
      </w:r>
      <w:r w:rsidRPr="00EF0B66">
        <w:rPr>
          <w:rFonts w:eastAsia="Times New Roman" w:cs="Times New Roman"/>
          <w:color w:val="000000"/>
          <w:kern w:val="22"/>
          <w:sz w:val="22"/>
          <w:lang w:val="fr-FR" w:eastAsia="en-CA"/>
        </w:rPr>
        <w:t>En conséquence, les</w:t>
      </w:r>
      <w:r w:rsidR="000F7990" w:rsidRPr="00EF0B66">
        <w:rPr>
          <w:rFonts w:eastAsia="Times New Roman" w:cs="Times New Roman"/>
          <w:color w:val="000000"/>
          <w:kern w:val="22"/>
          <w:sz w:val="22"/>
          <w:lang w:val="fr-FR" w:eastAsia="en-CA"/>
        </w:rPr>
        <w:t xml:space="preserve"> </w:t>
      </w:r>
      <w:r w:rsidR="00934A20" w:rsidRPr="00EF0B66">
        <w:rPr>
          <w:rFonts w:eastAsia="Times New Roman" w:cs="Times New Roman"/>
          <w:color w:val="000000"/>
          <w:kern w:val="22"/>
          <w:sz w:val="22"/>
          <w:lang w:val="fr-FR" w:eastAsia="en-CA"/>
        </w:rPr>
        <w:t>auteurs</w:t>
      </w:r>
      <w:r w:rsidR="000F7990" w:rsidRPr="00EF0B66">
        <w:rPr>
          <w:rFonts w:eastAsia="Times New Roman" w:cs="Times New Roman"/>
          <w:color w:val="000000"/>
          <w:kern w:val="22"/>
          <w:sz w:val="22"/>
          <w:lang w:val="fr-FR" w:eastAsia="en-CA"/>
        </w:rPr>
        <w:t xml:space="preserve"> </w:t>
      </w:r>
      <w:r w:rsidRPr="00EF0B66">
        <w:rPr>
          <w:rFonts w:eastAsia="Times New Roman" w:cs="Times New Roman"/>
          <w:color w:val="000000"/>
          <w:kern w:val="22"/>
          <w:sz w:val="22"/>
          <w:lang w:val="fr-FR" w:eastAsia="en-CA"/>
        </w:rPr>
        <w:t xml:space="preserve">se sont appuyés sur les </w:t>
      </w:r>
      <w:r>
        <w:rPr>
          <w:rFonts w:eastAsia="Times New Roman" w:cs="Times New Roman"/>
          <w:color w:val="000000"/>
          <w:kern w:val="22"/>
          <w:sz w:val="22"/>
          <w:lang w:val="fr-FR" w:eastAsia="en-CA"/>
        </w:rPr>
        <w:t>dé</w:t>
      </w:r>
      <w:r w:rsidR="00C44C86">
        <w:rPr>
          <w:rFonts w:eastAsia="Times New Roman" w:cs="Times New Roman"/>
          <w:color w:val="000000"/>
          <w:kern w:val="22"/>
          <w:sz w:val="22"/>
          <w:lang w:val="fr-FR" w:eastAsia="en-CA"/>
        </w:rPr>
        <w:t>finitions données dans le</w:t>
      </w:r>
      <w:r w:rsidRPr="00EF0B66">
        <w:rPr>
          <w:rFonts w:eastAsia="Times New Roman" w:cs="Times New Roman"/>
          <w:color w:val="000000"/>
          <w:kern w:val="22"/>
          <w:sz w:val="22"/>
          <w:lang w:val="fr-FR" w:eastAsia="en-CA"/>
        </w:rPr>
        <w:t xml:space="preserve"> </w:t>
      </w:r>
      <w:r w:rsidR="004B2C45">
        <w:rPr>
          <w:rFonts w:eastAsia="Times New Roman" w:cs="Times New Roman"/>
          <w:color w:val="000000"/>
          <w:kern w:val="22"/>
          <w:sz w:val="22"/>
          <w:lang w:val="fr-FR" w:eastAsia="en-CA"/>
        </w:rPr>
        <w:t>dictionnaire</w:t>
      </w:r>
      <w:r w:rsidR="000F7990" w:rsidRPr="00EF0B66">
        <w:rPr>
          <w:rFonts w:eastAsia="Times New Roman" w:cs="Times New Roman"/>
          <w:color w:val="000000"/>
          <w:kern w:val="22"/>
          <w:sz w:val="22"/>
          <w:lang w:val="fr-FR" w:eastAsia="en-CA"/>
        </w:rPr>
        <w:t xml:space="preserve"> </w:t>
      </w:r>
      <w:r>
        <w:rPr>
          <w:rFonts w:eastAsia="Times New Roman" w:cs="Times New Roman"/>
          <w:color w:val="000000"/>
          <w:kern w:val="22"/>
          <w:sz w:val="22"/>
          <w:lang w:val="fr-FR" w:eastAsia="en-CA"/>
        </w:rPr>
        <w:t>des termes</w:t>
      </w:r>
      <w:r w:rsidR="000F7990" w:rsidRPr="00EF0B66">
        <w:rPr>
          <w:rFonts w:eastAsia="Times New Roman" w:cs="Times New Roman"/>
          <w:color w:val="000000"/>
          <w:kern w:val="22"/>
          <w:sz w:val="22"/>
          <w:lang w:val="fr-FR" w:eastAsia="en-CA"/>
        </w:rPr>
        <w:t xml:space="preserve"> </w:t>
      </w:r>
      <w:r w:rsidR="0077132D" w:rsidRPr="00EF0B66">
        <w:rPr>
          <w:rFonts w:eastAsia="Times New Roman" w:cs="Times New Roman"/>
          <w:color w:val="000000"/>
          <w:kern w:val="22"/>
          <w:sz w:val="22"/>
          <w:lang w:val="fr-FR" w:eastAsia="en-CA"/>
        </w:rPr>
        <w:t>“possible”</w:t>
      </w:r>
      <w:r w:rsidR="007526A8" w:rsidRPr="002364AB">
        <w:rPr>
          <w:rStyle w:val="FootnoteReference"/>
          <w:rFonts w:eastAsia="Times New Roman" w:cs="Times New Roman"/>
          <w:color w:val="000000"/>
          <w:kern w:val="22"/>
          <w:sz w:val="22"/>
          <w:lang w:val="en-GB" w:eastAsia="en-CA"/>
        </w:rPr>
        <w:footnoteReference w:id="12"/>
      </w:r>
      <w:r w:rsidR="00E3674F" w:rsidRPr="00EF0B66">
        <w:rPr>
          <w:rFonts w:eastAsia="Times New Roman" w:cs="Times New Roman"/>
          <w:color w:val="000000"/>
          <w:kern w:val="22"/>
          <w:sz w:val="22"/>
          <w:lang w:val="fr-FR" w:eastAsia="en-CA"/>
        </w:rPr>
        <w:t xml:space="preserve"> et </w:t>
      </w:r>
      <w:r w:rsidR="00EF5DD7" w:rsidRPr="00EF0B66">
        <w:rPr>
          <w:rFonts w:eastAsia="Times New Roman" w:cs="Times New Roman"/>
          <w:color w:val="000000"/>
          <w:kern w:val="22"/>
          <w:sz w:val="22"/>
          <w:lang w:val="fr-FR" w:eastAsia="en-CA"/>
        </w:rPr>
        <w:lastRenderedPageBreak/>
        <w:t>“impossible”</w:t>
      </w:r>
      <w:r w:rsidR="007526A8" w:rsidRPr="002364AB">
        <w:rPr>
          <w:rStyle w:val="FootnoteReference"/>
          <w:rFonts w:eastAsia="Times New Roman" w:cs="Times New Roman"/>
          <w:color w:val="000000"/>
          <w:kern w:val="22"/>
          <w:sz w:val="22"/>
          <w:lang w:val="en-GB" w:eastAsia="en-CA"/>
        </w:rPr>
        <w:footnoteReference w:id="13"/>
      </w:r>
      <w:r w:rsidR="00C44C86">
        <w:rPr>
          <w:rFonts w:eastAsia="Times New Roman" w:cs="Times New Roman"/>
          <w:color w:val="000000"/>
          <w:kern w:val="22"/>
          <w:sz w:val="22"/>
          <w:lang w:val="fr-FR" w:eastAsia="en-CA"/>
        </w:rPr>
        <w:t>,</w:t>
      </w:r>
      <w:r w:rsidR="00E3674F" w:rsidRPr="00EF0B66">
        <w:rPr>
          <w:rFonts w:eastAsia="Times New Roman" w:cs="Times New Roman"/>
          <w:color w:val="000000"/>
          <w:kern w:val="22"/>
          <w:sz w:val="22"/>
          <w:lang w:val="fr-FR" w:eastAsia="en-CA"/>
        </w:rPr>
        <w:t xml:space="preserve"> et </w:t>
      </w:r>
      <w:r w:rsidR="001E1D86">
        <w:rPr>
          <w:rFonts w:eastAsia="Times New Roman" w:cs="Times New Roman"/>
          <w:color w:val="000000"/>
          <w:kern w:val="22"/>
          <w:sz w:val="22"/>
          <w:lang w:val="fr-FR" w:eastAsia="en-CA"/>
        </w:rPr>
        <w:t xml:space="preserve">ont retenu une </w:t>
      </w:r>
      <w:r w:rsidR="0028742E">
        <w:rPr>
          <w:rFonts w:eastAsia="Times New Roman" w:cs="Times New Roman"/>
          <w:color w:val="000000"/>
          <w:kern w:val="22"/>
          <w:sz w:val="22"/>
          <w:lang w:val="fr-FR" w:eastAsia="en-CA"/>
        </w:rPr>
        <w:t>définition</w:t>
      </w:r>
      <w:r w:rsidR="00424DC6" w:rsidRPr="00EF0B66">
        <w:rPr>
          <w:rFonts w:eastAsia="Times New Roman" w:cs="Times New Roman"/>
          <w:color w:val="000000"/>
          <w:kern w:val="22"/>
          <w:sz w:val="22"/>
          <w:lang w:val="fr-FR" w:eastAsia="en-CA"/>
        </w:rPr>
        <w:t xml:space="preserve"> </w:t>
      </w:r>
      <w:r w:rsidR="001E1D86">
        <w:rPr>
          <w:rFonts w:eastAsia="Times New Roman" w:cs="Times New Roman"/>
          <w:color w:val="000000"/>
          <w:kern w:val="22"/>
          <w:sz w:val="22"/>
          <w:lang w:val="fr-FR" w:eastAsia="en-CA"/>
        </w:rPr>
        <w:t xml:space="preserve">habituelle </w:t>
      </w:r>
      <w:r w:rsidR="00C44C86">
        <w:rPr>
          <w:rFonts w:eastAsia="Times New Roman" w:cs="Times New Roman"/>
          <w:color w:val="000000"/>
          <w:kern w:val="22"/>
          <w:sz w:val="22"/>
          <w:lang w:val="fr-FR" w:eastAsia="en-CA"/>
        </w:rPr>
        <w:t xml:space="preserve">de ces termes, </w:t>
      </w:r>
      <w:r w:rsidR="001E1D86">
        <w:rPr>
          <w:rFonts w:eastAsia="Times New Roman" w:cs="Times New Roman"/>
          <w:color w:val="000000"/>
          <w:kern w:val="22"/>
          <w:sz w:val="22"/>
          <w:lang w:val="fr-FR" w:eastAsia="en-CA"/>
        </w:rPr>
        <w:t>compatible avec l’</w:t>
      </w:r>
      <w:r w:rsidR="001A200E" w:rsidRPr="00EF0B66">
        <w:rPr>
          <w:rFonts w:eastAsia="Times New Roman" w:cs="Times New Roman"/>
          <w:color w:val="000000"/>
          <w:kern w:val="22"/>
          <w:sz w:val="22"/>
          <w:lang w:val="fr-FR" w:eastAsia="en-CA"/>
        </w:rPr>
        <w:t>approche inclusive</w:t>
      </w:r>
      <w:r w:rsidR="004A0785" w:rsidRPr="00EF0B66">
        <w:rPr>
          <w:rFonts w:eastAsia="Times New Roman" w:cs="Times New Roman"/>
          <w:color w:val="000000"/>
          <w:kern w:val="22"/>
          <w:sz w:val="22"/>
          <w:lang w:val="fr-FR" w:eastAsia="en-CA"/>
        </w:rPr>
        <w:t xml:space="preserve"> </w:t>
      </w:r>
      <w:r w:rsidR="00C44C86">
        <w:rPr>
          <w:rFonts w:eastAsia="Times New Roman" w:cs="Times New Roman"/>
          <w:color w:val="000000"/>
          <w:kern w:val="22"/>
          <w:sz w:val="22"/>
          <w:lang w:val="fr-FR" w:eastAsia="en-CA"/>
        </w:rPr>
        <w:t>souhaitée pour l’</w:t>
      </w:r>
      <w:r w:rsidR="00E3674F" w:rsidRPr="00EF0B66">
        <w:rPr>
          <w:rFonts w:eastAsia="Times New Roman" w:cs="Times New Roman"/>
          <w:color w:val="000000"/>
          <w:kern w:val="22"/>
          <w:sz w:val="22"/>
          <w:lang w:val="fr-FR" w:eastAsia="en-CA"/>
        </w:rPr>
        <w:t>étude</w:t>
      </w:r>
      <w:r w:rsidR="00EF6B8B" w:rsidRPr="00EF0B66">
        <w:rPr>
          <w:rFonts w:eastAsia="Times New Roman" w:cs="Times New Roman"/>
          <w:color w:val="000000"/>
          <w:kern w:val="22"/>
          <w:sz w:val="22"/>
          <w:lang w:val="fr-FR" w:eastAsia="en-CA"/>
        </w:rPr>
        <w:t>.</w:t>
      </w:r>
      <w:r w:rsidR="0026281D" w:rsidRPr="00EF0B66">
        <w:rPr>
          <w:rFonts w:eastAsia="Times New Roman" w:cs="Times New Roman"/>
          <w:color w:val="000000"/>
          <w:kern w:val="22"/>
          <w:sz w:val="22"/>
          <w:lang w:val="fr-FR" w:eastAsia="en-CA"/>
        </w:rPr>
        <w:t xml:space="preserve"> </w:t>
      </w:r>
      <w:r w:rsidR="00C44C86">
        <w:rPr>
          <w:rFonts w:eastAsia="Times New Roman" w:cs="Times New Roman"/>
          <w:color w:val="000000"/>
          <w:kern w:val="22"/>
          <w:sz w:val="22"/>
          <w:lang w:val="fr-FR" w:eastAsia="en-CA"/>
        </w:rPr>
        <w:t xml:space="preserve">Les </w:t>
      </w:r>
      <w:r w:rsidR="0028742E" w:rsidRPr="0028742E">
        <w:rPr>
          <w:rFonts w:eastAsia="Times New Roman" w:cs="Times New Roman"/>
          <w:color w:val="000000"/>
          <w:kern w:val="22"/>
          <w:sz w:val="22"/>
          <w:lang w:val="fr-FR" w:eastAsia="en-CA"/>
        </w:rPr>
        <w:t>définition</w:t>
      </w:r>
      <w:r w:rsidR="00C44C86">
        <w:rPr>
          <w:rFonts w:eastAsia="Times New Roman" w:cs="Times New Roman"/>
          <w:color w:val="000000"/>
          <w:kern w:val="22"/>
          <w:sz w:val="22"/>
          <w:lang w:val="fr-FR" w:eastAsia="en-CA"/>
        </w:rPr>
        <w:t>s retenues comprennen</w:t>
      </w:r>
      <w:r w:rsidR="004A33E2">
        <w:rPr>
          <w:rFonts w:eastAsia="Times New Roman" w:cs="Times New Roman"/>
          <w:color w:val="000000"/>
          <w:kern w:val="22"/>
          <w:sz w:val="22"/>
          <w:lang w:val="fr-FR" w:eastAsia="en-CA"/>
        </w:rPr>
        <w:t>t à la fois une</w:t>
      </w:r>
      <w:r w:rsidR="00693011" w:rsidRPr="0028742E">
        <w:rPr>
          <w:rFonts w:eastAsia="Times New Roman" w:cs="Times New Roman"/>
          <w:color w:val="000000"/>
          <w:kern w:val="22"/>
          <w:sz w:val="22"/>
          <w:lang w:val="fr-FR" w:eastAsia="en-CA"/>
        </w:rPr>
        <w:t xml:space="preserve"> </w:t>
      </w:r>
      <w:r w:rsidR="001E1D86">
        <w:rPr>
          <w:rFonts w:eastAsia="Times New Roman" w:cs="Times New Roman"/>
          <w:color w:val="000000"/>
          <w:kern w:val="22"/>
          <w:sz w:val="22"/>
          <w:lang w:val="fr-FR" w:eastAsia="en-CA"/>
        </w:rPr>
        <w:t>impossibilité factuelle</w:t>
      </w:r>
      <w:r w:rsidR="00E3674F" w:rsidRPr="0028742E">
        <w:rPr>
          <w:rFonts w:eastAsia="Times New Roman" w:cs="Times New Roman"/>
          <w:color w:val="000000"/>
          <w:kern w:val="22"/>
          <w:sz w:val="22"/>
          <w:lang w:val="fr-FR" w:eastAsia="en-CA"/>
        </w:rPr>
        <w:t xml:space="preserve"> et </w:t>
      </w:r>
      <w:r w:rsidR="004A33E2">
        <w:rPr>
          <w:rFonts w:eastAsia="Times New Roman" w:cs="Times New Roman"/>
          <w:color w:val="000000"/>
          <w:kern w:val="22"/>
          <w:sz w:val="22"/>
          <w:lang w:val="fr-FR" w:eastAsia="en-CA"/>
        </w:rPr>
        <w:t xml:space="preserve">une </w:t>
      </w:r>
      <w:r w:rsidR="0028742E" w:rsidRPr="0028742E">
        <w:rPr>
          <w:rFonts w:eastAsia="Times New Roman" w:cs="Times New Roman"/>
          <w:color w:val="000000"/>
          <w:kern w:val="22"/>
          <w:sz w:val="22"/>
          <w:lang w:val="fr-FR" w:eastAsia="en-CA"/>
        </w:rPr>
        <w:t>impossibilité fonctionnelle</w:t>
      </w:r>
      <w:r w:rsidR="00111557" w:rsidRPr="0028742E">
        <w:rPr>
          <w:rFonts w:eastAsia="Times New Roman" w:cs="Times New Roman"/>
          <w:color w:val="000000"/>
          <w:kern w:val="22"/>
          <w:sz w:val="22"/>
          <w:lang w:val="fr-FR" w:eastAsia="en-CA"/>
        </w:rPr>
        <w:t xml:space="preserve"> (</w:t>
      </w:r>
      <w:r w:rsidR="004A33E2">
        <w:rPr>
          <w:rFonts w:eastAsia="Times New Roman" w:cs="Times New Roman"/>
          <w:color w:val="000000"/>
          <w:kern w:val="22"/>
          <w:sz w:val="22"/>
          <w:lang w:val="fr-FR" w:eastAsia="en-CA"/>
        </w:rPr>
        <w:t xml:space="preserve">c’est-à-dire, tellement </w:t>
      </w:r>
      <w:r w:rsidR="00111557" w:rsidRPr="0028742E">
        <w:rPr>
          <w:rFonts w:eastAsia="Times New Roman" w:cs="Times New Roman"/>
          <w:color w:val="000000"/>
          <w:kern w:val="22"/>
          <w:sz w:val="22"/>
          <w:lang w:val="fr-FR" w:eastAsia="en-CA"/>
        </w:rPr>
        <w:t>improbable</w:t>
      </w:r>
      <w:r w:rsidR="004A33E2">
        <w:rPr>
          <w:rFonts w:eastAsia="Times New Roman" w:cs="Times New Roman"/>
          <w:color w:val="000000"/>
          <w:kern w:val="22"/>
          <w:sz w:val="22"/>
          <w:lang w:val="fr-FR" w:eastAsia="en-CA"/>
        </w:rPr>
        <w:t>, impraticable ou infaisable</w:t>
      </w:r>
      <w:r w:rsidR="00C44C86">
        <w:rPr>
          <w:rFonts w:eastAsia="Times New Roman" w:cs="Times New Roman"/>
          <w:color w:val="000000"/>
          <w:kern w:val="22"/>
          <w:sz w:val="22"/>
          <w:lang w:val="fr-FR" w:eastAsia="en-CA"/>
        </w:rPr>
        <w:t>,</w:t>
      </w:r>
      <w:r w:rsidR="004A33E2">
        <w:rPr>
          <w:rFonts w:eastAsia="Times New Roman" w:cs="Times New Roman"/>
          <w:color w:val="000000"/>
          <w:kern w:val="22"/>
          <w:sz w:val="22"/>
          <w:lang w:val="fr-FR" w:eastAsia="en-CA"/>
        </w:rPr>
        <w:t xml:space="preserve"> que cela devient im</w:t>
      </w:r>
      <w:r w:rsidR="0028742E">
        <w:rPr>
          <w:rFonts w:eastAsia="Times New Roman" w:cs="Times New Roman"/>
          <w:color w:val="000000"/>
          <w:kern w:val="22"/>
          <w:sz w:val="22"/>
          <w:lang w:val="fr-FR" w:eastAsia="en-CA"/>
        </w:rPr>
        <w:t>possible</w:t>
      </w:r>
      <w:r w:rsidR="002B0A23" w:rsidRPr="0028742E">
        <w:rPr>
          <w:rFonts w:eastAsia="Times New Roman" w:cs="Times New Roman"/>
          <w:color w:val="000000"/>
          <w:kern w:val="22"/>
          <w:sz w:val="22"/>
          <w:lang w:val="fr-FR" w:eastAsia="en-CA"/>
        </w:rPr>
        <w:t>)</w:t>
      </w:r>
      <w:r w:rsidR="00D87901" w:rsidRPr="0028742E">
        <w:rPr>
          <w:rFonts w:eastAsia="Times New Roman" w:cs="Times New Roman"/>
          <w:color w:val="000000"/>
          <w:kern w:val="22"/>
          <w:sz w:val="22"/>
          <w:lang w:val="fr-FR" w:eastAsia="en-CA"/>
        </w:rPr>
        <w:t>.</w:t>
      </w:r>
      <w:r w:rsidR="00BF3BF4" w:rsidRPr="0028742E">
        <w:rPr>
          <w:rFonts w:eastAsia="Times New Roman" w:cs="Times New Roman"/>
          <w:color w:val="000000"/>
          <w:kern w:val="22"/>
          <w:sz w:val="22"/>
          <w:lang w:val="fr-FR" w:eastAsia="en-CA"/>
        </w:rPr>
        <w:t xml:space="preserve"> </w:t>
      </w:r>
      <w:r w:rsidR="00C44C86">
        <w:rPr>
          <w:rFonts w:eastAsia="Times New Roman" w:cs="Times New Roman"/>
          <w:color w:val="000000"/>
          <w:kern w:val="22"/>
          <w:sz w:val="22"/>
          <w:lang w:val="fr-FR" w:eastAsia="en-CA"/>
        </w:rPr>
        <w:t xml:space="preserve">Une telle définition </w:t>
      </w:r>
      <w:r w:rsidR="004A33E2">
        <w:rPr>
          <w:rFonts w:eastAsia="Times New Roman" w:cs="Times New Roman"/>
          <w:color w:val="000000"/>
          <w:kern w:val="22"/>
          <w:sz w:val="22"/>
          <w:lang w:val="fr-FR" w:eastAsia="en-CA"/>
        </w:rPr>
        <w:t xml:space="preserve">est </w:t>
      </w:r>
      <w:r w:rsidR="00C44C86">
        <w:rPr>
          <w:rFonts w:eastAsia="Times New Roman" w:cs="Times New Roman"/>
          <w:color w:val="000000"/>
          <w:kern w:val="22"/>
          <w:sz w:val="22"/>
          <w:lang w:val="fr-FR" w:eastAsia="en-CA"/>
        </w:rPr>
        <w:t xml:space="preserve">compatible avec l’explication fournie sur </w:t>
      </w:r>
      <w:r w:rsidR="004A33E2">
        <w:rPr>
          <w:rFonts w:eastAsia="Times New Roman" w:cs="Times New Roman"/>
          <w:color w:val="000000"/>
          <w:kern w:val="22"/>
          <w:sz w:val="22"/>
          <w:lang w:val="fr-FR" w:eastAsia="en-CA"/>
        </w:rPr>
        <w:t>l’</w:t>
      </w:r>
      <w:r w:rsidR="0028742E" w:rsidRPr="00B83E01">
        <w:rPr>
          <w:rFonts w:eastAsia="Times New Roman" w:cs="Times New Roman"/>
          <w:color w:val="000000"/>
          <w:kern w:val="22"/>
          <w:sz w:val="22"/>
          <w:lang w:val="fr-FR" w:eastAsia="en-CA"/>
        </w:rPr>
        <w:t>article</w:t>
      </w:r>
      <w:r w:rsidR="004A33E2">
        <w:rPr>
          <w:rFonts w:eastAsia="Times New Roman" w:cs="Times New Roman"/>
          <w:color w:val="000000"/>
          <w:kern w:val="22"/>
          <w:sz w:val="22"/>
          <w:lang w:val="fr-FR" w:eastAsia="en-CA"/>
        </w:rPr>
        <w:t> </w:t>
      </w:r>
      <w:r w:rsidR="00960D96" w:rsidRPr="00B83E01">
        <w:rPr>
          <w:rFonts w:eastAsia="Times New Roman" w:cs="Times New Roman"/>
          <w:color w:val="000000"/>
          <w:kern w:val="22"/>
          <w:sz w:val="22"/>
          <w:lang w:val="fr-FR" w:eastAsia="en-CA"/>
        </w:rPr>
        <w:t xml:space="preserve">10 </w:t>
      </w:r>
      <w:r w:rsidR="004A33E2">
        <w:rPr>
          <w:rFonts w:eastAsia="Times New Roman" w:cs="Times New Roman"/>
          <w:color w:val="000000"/>
          <w:kern w:val="22"/>
          <w:sz w:val="22"/>
          <w:lang w:val="fr-FR" w:eastAsia="en-CA"/>
        </w:rPr>
        <w:t>dans le Guide explicatif de l’</w:t>
      </w:r>
      <w:r w:rsidR="00F87544" w:rsidRPr="00B83E01">
        <w:rPr>
          <w:rFonts w:eastAsia="Times New Roman" w:cs="Times New Roman"/>
          <w:color w:val="000000"/>
          <w:kern w:val="22"/>
          <w:sz w:val="22"/>
          <w:lang w:val="fr-FR" w:eastAsia="en-CA"/>
        </w:rPr>
        <w:t>U</w:t>
      </w:r>
      <w:r w:rsidR="004A33E2">
        <w:rPr>
          <w:rFonts w:eastAsia="Times New Roman" w:cs="Times New Roman"/>
          <w:color w:val="000000"/>
          <w:kern w:val="22"/>
          <w:sz w:val="22"/>
          <w:lang w:val="fr-FR" w:eastAsia="en-CA"/>
        </w:rPr>
        <w:t>ICN sur l</w:t>
      </w:r>
      <w:r w:rsidR="00C44C86">
        <w:rPr>
          <w:rFonts w:eastAsia="Times New Roman" w:cs="Times New Roman"/>
          <w:color w:val="000000"/>
          <w:kern w:val="22"/>
          <w:sz w:val="22"/>
          <w:lang w:val="fr-FR" w:eastAsia="en-CA"/>
        </w:rPr>
        <w:t xml:space="preserve">e Protocole de Nagoya, ainsi qu’avec l’interprétation retenue </w:t>
      </w:r>
      <w:r w:rsidR="004A33E2">
        <w:rPr>
          <w:rFonts w:eastAsia="Times New Roman" w:cs="Times New Roman"/>
          <w:color w:val="000000"/>
          <w:kern w:val="22"/>
          <w:sz w:val="22"/>
          <w:lang w:val="fr-FR" w:eastAsia="en-CA"/>
        </w:rPr>
        <w:t>par</w:t>
      </w:r>
      <w:r w:rsidR="00E3674F" w:rsidRPr="00B83E01">
        <w:rPr>
          <w:rFonts w:eastAsia="Times New Roman" w:cs="Times New Roman"/>
          <w:color w:val="000000"/>
          <w:kern w:val="22"/>
          <w:sz w:val="22"/>
          <w:lang w:val="fr-FR" w:eastAsia="en-CA"/>
        </w:rPr>
        <w:t xml:space="preserve"> </w:t>
      </w:r>
      <w:r w:rsidR="004A33E2">
        <w:rPr>
          <w:rFonts w:eastAsia="Times New Roman" w:cs="Times New Roman"/>
          <w:color w:val="000000"/>
          <w:kern w:val="22"/>
          <w:sz w:val="22"/>
          <w:lang w:val="fr-FR" w:eastAsia="en-CA"/>
        </w:rPr>
        <w:t>certaines</w:t>
      </w:r>
      <w:r w:rsidR="00AA5919" w:rsidRPr="00B83E01">
        <w:rPr>
          <w:rFonts w:eastAsia="Times New Roman" w:cs="Times New Roman"/>
          <w:color w:val="000000"/>
          <w:kern w:val="22"/>
          <w:sz w:val="22"/>
          <w:lang w:val="fr-FR" w:eastAsia="en-CA"/>
        </w:rPr>
        <w:t xml:space="preserve"> </w:t>
      </w:r>
      <w:r w:rsidR="00DD41AE" w:rsidRPr="00B83E01">
        <w:rPr>
          <w:rFonts w:eastAsia="Times New Roman" w:cs="Times New Roman"/>
          <w:color w:val="000000"/>
          <w:kern w:val="22"/>
          <w:sz w:val="22"/>
          <w:lang w:val="fr-FR" w:eastAsia="en-CA"/>
        </w:rPr>
        <w:t>Parties</w:t>
      </w:r>
      <w:r w:rsidR="00960D96" w:rsidRPr="00B83E01">
        <w:rPr>
          <w:rFonts w:eastAsia="Times New Roman" w:cs="Times New Roman"/>
          <w:color w:val="000000"/>
          <w:kern w:val="22"/>
          <w:sz w:val="22"/>
          <w:lang w:val="fr-FR" w:eastAsia="en-CA"/>
        </w:rPr>
        <w:t>.</w:t>
      </w:r>
      <w:r w:rsidR="00423035" w:rsidRPr="002364AB">
        <w:rPr>
          <w:rStyle w:val="FootnoteReference"/>
          <w:rFonts w:eastAsia="Times New Roman" w:cs="Times New Roman"/>
          <w:color w:val="000000"/>
          <w:kern w:val="22"/>
          <w:sz w:val="22"/>
          <w:lang w:val="en-GB" w:eastAsia="en-CA"/>
        </w:rPr>
        <w:footnoteReference w:id="14"/>
      </w:r>
    </w:p>
    <w:p w14:paraId="31706A7E" w14:textId="52A4579C" w:rsidR="0000385D" w:rsidRPr="00147007" w:rsidRDefault="00C44C86" w:rsidP="00545C4B">
      <w:pPr>
        <w:rPr>
          <w:rFonts w:eastAsia="Times New Roman" w:cs="Times New Roman"/>
          <w:color w:val="000000"/>
          <w:kern w:val="22"/>
          <w:sz w:val="22"/>
          <w:lang w:val="fr-FR" w:eastAsia="en-CA"/>
        </w:rPr>
      </w:pPr>
      <w:r>
        <w:rPr>
          <w:rFonts w:eastAsia="Times New Roman" w:cs="Times New Roman"/>
          <w:color w:val="000000"/>
          <w:kern w:val="22"/>
          <w:sz w:val="22"/>
          <w:lang w:val="fr-FR" w:eastAsia="en-CA"/>
        </w:rPr>
        <w:t>Les auteurs ont pris en compte également</w:t>
      </w:r>
      <w:r w:rsidR="00C10ABC" w:rsidRPr="004A33E2">
        <w:rPr>
          <w:rFonts w:eastAsia="Times New Roman" w:cs="Times New Roman"/>
          <w:color w:val="000000"/>
          <w:kern w:val="22"/>
          <w:sz w:val="22"/>
          <w:lang w:val="fr-FR" w:eastAsia="en-CA"/>
        </w:rPr>
        <w:t xml:space="preserve"> </w:t>
      </w:r>
      <w:r w:rsidR="004A33E2" w:rsidRPr="004A33E2">
        <w:rPr>
          <w:rFonts w:eastAsia="Times New Roman" w:cs="Times New Roman"/>
          <w:color w:val="000000"/>
          <w:kern w:val="22"/>
          <w:sz w:val="22"/>
          <w:lang w:val="fr-FR" w:eastAsia="en-CA"/>
        </w:rPr>
        <w:t>la quest</w:t>
      </w:r>
      <w:r>
        <w:rPr>
          <w:rFonts w:eastAsia="Times New Roman" w:cs="Times New Roman"/>
          <w:color w:val="000000"/>
          <w:kern w:val="22"/>
          <w:sz w:val="22"/>
          <w:lang w:val="fr-FR" w:eastAsia="en-CA"/>
        </w:rPr>
        <w:t>ion d’</w:t>
      </w:r>
      <w:r w:rsidR="004A33E2" w:rsidRPr="004A33E2">
        <w:rPr>
          <w:rFonts w:eastAsia="Times New Roman" w:cs="Times New Roman"/>
          <w:color w:val="000000"/>
          <w:kern w:val="22"/>
          <w:sz w:val="22"/>
          <w:lang w:val="fr-FR" w:eastAsia="en-CA"/>
        </w:rPr>
        <w:t>équité en décidant d’</w:t>
      </w:r>
      <w:r>
        <w:rPr>
          <w:rFonts w:eastAsia="Times New Roman" w:cs="Times New Roman"/>
          <w:color w:val="000000"/>
          <w:kern w:val="22"/>
          <w:sz w:val="22"/>
          <w:lang w:val="fr-FR" w:eastAsia="en-CA"/>
        </w:rPr>
        <w:t>inclure ou de ne pas inclure</w:t>
      </w:r>
      <w:r w:rsidR="004A33E2">
        <w:rPr>
          <w:rFonts w:eastAsia="Times New Roman" w:cs="Times New Roman"/>
          <w:color w:val="000000"/>
          <w:kern w:val="22"/>
          <w:sz w:val="22"/>
          <w:lang w:val="fr-FR" w:eastAsia="en-CA"/>
        </w:rPr>
        <w:t xml:space="preserve"> </w:t>
      </w:r>
      <w:r w:rsidR="00AA5919" w:rsidRPr="004A33E2">
        <w:rPr>
          <w:rFonts w:eastAsia="Times New Roman" w:cs="Times New Roman"/>
          <w:color w:val="000000"/>
          <w:kern w:val="22"/>
          <w:sz w:val="22"/>
          <w:lang w:val="fr-FR" w:eastAsia="en-CA"/>
        </w:rPr>
        <w:t>certain</w:t>
      </w:r>
      <w:r w:rsidR="004A33E2">
        <w:rPr>
          <w:rFonts w:eastAsia="Times New Roman" w:cs="Times New Roman"/>
          <w:color w:val="000000"/>
          <w:kern w:val="22"/>
          <w:sz w:val="22"/>
          <w:lang w:val="fr-FR" w:eastAsia="en-CA"/>
        </w:rPr>
        <w:t>e</w:t>
      </w:r>
      <w:r w:rsidR="00AA5919" w:rsidRPr="004A33E2">
        <w:rPr>
          <w:rFonts w:eastAsia="Times New Roman" w:cs="Times New Roman"/>
          <w:color w:val="000000"/>
          <w:kern w:val="22"/>
          <w:sz w:val="22"/>
          <w:lang w:val="fr-FR" w:eastAsia="en-CA"/>
        </w:rPr>
        <w:t xml:space="preserve">s </w:t>
      </w:r>
      <w:r w:rsidR="00972053">
        <w:rPr>
          <w:rFonts w:eastAsia="Times New Roman" w:cs="Times New Roman"/>
          <w:color w:val="000000"/>
          <w:kern w:val="22"/>
          <w:sz w:val="22"/>
          <w:lang w:val="fr-FR" w:eastAsia="en-CA"/>
        </w:rPr>
        <w:t>circonstances</w:t>
      </w:r>
      <w:r w:rsidR="001960BE" w:rsidRPr="004A33E2">
        <w:rPr>
          <w:rFonts w:eastAsia="Times New Roman" w:cs="Times New Roman"/>
          <w:color w:val="000000"/>
          <w:kern w:val="22"/>
          <w:sz w:val="22"/>
          <w:lang w:val="fr-FR" w:eastAsia="en-CA"/>
        </w:rPr>
        <w:t>.</w:t>
      </w:r>
      <w:r w:rsidR="00E31A4F" w:rsidRPr="004A33E2">
        <w:rPr>
          <w:rFonts w:eastAsia="Times New Roman" w:cs="Times New Roman"/>
          <w:color w:val="000000"/>
          <w:kern w:val="22"/>
          <w:sz w:val="22"/>
          <w:lang w:val="fr-FR" w:eastAsia="en-CA"/>
        </w:rPr>
        <w:t xml:space="preserve"> </w:t>
      </w:r>
      <w:r>
        <w:rPr>
          <w:rFonts w:eastAsia="Times New Roman" w:cs="Times New Roman"/>
          <w:color w:val="000000"/>
          <w:kern w:val="22"/>
          <w:sz w:val="22"/>
          <w:lang w:val="fr-FR" w:eastAsia="en-CA"/>
        </w:rPr>
        <w:t>Pour interpréter les</w:t>
      </w:r>
      <w:r w:rsidR="00972053">
        <w:rPr>
          <w:rFonts w:eastAsia="Times New Roman" w:cs="Times New Roman"/>
          <w:color w:val="000000"/>
          <w:kern w:val="22"/>
          <w:sz w:val="22"/>
          <w:lang w:val="fr-FR" w:eastAsia="en-CA"/>
        </w:rPr>
        <w:t xml:space="preserve"> terme</w:t>
      </w:r>
      <w:r>
        <w:rPr>
          <w:rFonts w:eastAsia="Times New Roman" w:cs="Times New Roman"/>
          <w:color w:val="000000"/>
          <w:kern w:val="22"/>
          <w:sz w:val="22"/>
          <w:lang w:val="fr-FR" w:eastAsia="en-CA"/>
        </w:rPr>
        <w:t>s</w:t>
      </w:r>
      <w:r w:rsidR="0000385D" w:rsidRPr="00770AB8">
        <w:rPr>
          <w:rFonts w:eastAsia="Times New Roman" w:cs="Times New Roman"/>
          <w:color w:val="000000"/>
          <w:kern w:val="22"/>
          <w:sz w:val="22"/>
          <w:lang w:val="fr-FR" w:eastAsia="en-CA"/>
        </w:rPr>
        <w:t xml:space="preserve"> </w:t>
      </w:r>
      <w:r w:rsidR="00474BAB" w:rsidRPr="00770AB8">
        <w:rPr>
          <w:rFonts w:eastAsia="Times New Roman" w:cs="Times New Roman"/>
          <w:color w:val="000000"/>
          <w:kern w:val="22"/>
          <w:sz w:val="22"/>
          <w:lang w:val="fr-FR" w:eastAsia="en-CA"/>
        </w:rPr>
        <w:t>‘</w:t>
      </w:r>
      <w:r w:rsidR="001E1D86">
        <w:rPr>
          <w:rFonts w:eastAsia="Times New Roman" w:cs="Times New Roman"/>
          <w:color w:val="000000"/>
          <w:kern w:val="22"/>
          <w:sz w:val="22"/>
          <w:lang w:val="fr-FR" w:eastAsia="en-CA"/>
        </w:rPr>
        <w:t>juste et équitable</w:t>
      </w:r>
      <w:r w:rsidR="00474BAB" w:rsidRPr="00770AB8">
        <w:rPr>
          <w:rFonts w:eastAsia="Times New Roman" w:cs="Times New Roman"/>
          <w:color w:val="000000"/>
          <w:kern w:val="22"/>
          <w:sz w:val="22"/>
          <w:lang w:val="fr-FR" w:eastAsia="en-CA"/>
        </w:rPr>
        <w:t>’</w:t>
      </w:r>
      <w:r w:rsidR="00972053">
        <w:rPr>
          <w:rFonts w:eastAsia="Times New Roman" w:cs="Times New Roman"/>
          <w:color w:val="000000"/>
          <w:kern w:val="22"/>
          <w:sz w:val="22"/>
          <w:lang w:val="fr-FR" w:eastAsia="en-CA"/>
        </w:rPr>
        <w:t xml:space="preserve"> </w:t>
      </w:r>
      <w:r>
        <w:rPr>
          <w:rFonts w:eastAsia="Times New Roman" w:cs="Times New Roman"/>
          <w:color w:val="000000"/>
          <w:kern w:val="22"/>
          <w:sz w:val="22"/>
          <w:lang w:val="fr-FR" w:eastAsia="en-CA"/>
        </w:rPr>
        <w:t xml:space="preserve">énoncés </w:t>
      </w:r>
      <w:r w:rsidR="00972053">
        <w:rPr>
          <w:rFonts w:eastAsia="Times New Roman" w:cs="Times New Roman"/>
          <w:color w:val="000000"/>
          <w:kern w:val="22"/>
          <w:sz w:val="22"/>
          <w:lang w:val="fr-FR" w:eastAsia="en-CA"/>
        </w:rPr>
        <w:t>dans l’</w:t>
      </w:r>
      <w:r w:rsidR="001E1D86">
        <w:rPr>
          <w:rFonts w:eastAsia="Times New Roman" w:cs="Times New Roman"/>
          <w:color w:val="000000"/>
          <w:kern w:val="22"/>
          <w:sz w:val="22"/>
          <w:lang w:val="fr-FR" w:eastAsia="en-CA"/>
        </w:rPr>
        <w:t>objectif</w:t>
      </w:r>
      <w:r w:rsidR="00474BAB" w:rsidRPr="00770AB8">
        <w:rPr>
          <w:rFonts w:eastAsia="Times New Roman" w:cs="Times New Roman"/>
          <w:color w:val="000000"/>
          <w:kern w:val="22"/>
          <w:sz w:val="22"/>
          <w:lang w:val="fr-FR" w:eastAsia="en-CA"/>
        </w:rPr>
        <w:t xml:space="preserve"> </w:t>
      </w:r>
      <w:r w:rsidR="00770AB8" w:rsidRPr="00770AB8">
        <w:rPr>
          <w:rFonts w:eastAsia="Times New Roman" w:cs="Times New Roman"/>
          <w:color w:val="000000"/>
          <w:kern w:val="22"/>
          <w:sz w:val="22"/>
          <w:lang w:val="fr-FR" w:eastAsia="en-CA"/>
        </w:rPr>
        <w:t>du Pro</w:t>
      </w:r>
      <w:r w:rsidR="00E3674F" w:rsidRPr="00770AB8">
        <w:rPr>
          <w:rFonts w:eastAsia="Times New Roman" w:cs="Times New Roman"/>
          <w:color w:val="000000"/>
          <w:kern w:val="22"/>
          <w:sz w:val="22"/>
          <w:lang w:val="fr-FR" w:eastAsia="en-CA"/>
        </w:rPr>
        <w:t>tocole de Nagoya</w:t>
      </w:r>
      <w:r w:rsidR="00DD41AE" w:rsidRPr="00770AB8">
        <w:rPr>
          <w:rFonts w:eastAsia="Times New Roman" w:cs="Times New Roman"/>
          <w:color w:val="000000"/>
          <w:kern w:val="22"/>
          <w:sz w:val="22"/>
          <w:lang w:val="fr-FR" w:eastAsia="en-CA"/>
        </w:rPr>
        <w:t>,</w:t>
      </w:r>
      <w:r>
        <w:rPr>
          <w:rFonts w:eastAsia="Times New Roman" w:cs="Times New Roman"/>
          <w:color w:val="000000"/>
          <w:kern w:val="22"/>
          <w:sz w:val="22"/>
          <w:lang w:val="fr-FR" w:eastAsia="en-CA"/>
        </w:rPr>
        <w:t xml:space="preserve"> ainsi que </w:t>
      </w:r>
      <w:r w:rsidR="008D37D7">
        <w:rPr>
          <w:rFonts w:eastAsia="Times New Roman" w:cs="Times New Roman"/>
          <w:color w:val="000000"/>
          <w:kern w:val="22"/>
          <w:sz w:val="22"/>
          <w:lang w:val="fr-FR" w:eastAsia="en-CA"/>
        </w:rPr>
        <w:t>la reconnaissance</w:t>
      </w:r>
      <w:r>
        <w:rPr>
          <w:rFonts w:eastAsia="Times New Roman" w:cs="Times New Roman"/>
          <w:color w:val="000000"/>
          <w:kern w:val="22"/>
          <w:sz w:val="22"/>
          <w:lang w:val="fr-FR" w:eastAsia="en-CA"/>
        </w:rPr>
        <w:t xml:space="preserve"> </w:t>
      </w:r>
      <w:r w:rsidR="00972053">
        <w:rPr>
          <w:rFonts w:eastAsia="Times New Roman" w:cs="Times New Roman"/>
          <w:color w:val="000000"/>
          <w:kern w:val="22"/>
          <w:sz w:val="22"/>
          <w:lang w:val="fr-FR" w:eastAsia="en-CA"/>
        </w:rPr>
        <w:t>dans le préambule</w:t>
      </w:r>
      <w:r w:rsidR="002C035D" w:rsidRPr="002364AB">
        <w:rPr>
          <w:rFonts w:eastAsia="Times New Roman" w:cs="Times New Roman"/>
          <w:color w:val="000000"/>
          <w:kern w:val="22"/>
          <w:sz w:val="22"/>
          <w:vertAlign w:val="superscript"/>
          <w:lang w:val="en-GB" w:eastAsia="en-CA"/>
        </w:rPr>
        <w:footnoteReference w:id="15"/>
      </w:r>
      <w:r w:rsidR="00972053">
        <w:rPr>
          <w:rFonts w:eastAsia="Times New Roman" w:cs="Times New Roman"/>
          <w:color w:val="000000"/>
          <w:kern w:val="22"/>
          <w:sz w:val="22"/>
          <w:lang w:val="fr-FR" w:eastAsia="en-CA"/>
        </w:rPr>
        <w:t xml:space="preserve"> qu’une</w:t>
      </w:r>
      <w:r w:rsidR="00C16FBB" w:rsidRPr="00770AB8">
        <w:rPr>
          <w:rFonts w:eastAsia="Times New Roman" w:cs="Times New Roman"/>
          <w:color w:val="000000"/>
          <w:kern w:val="22"/>
          <w:sz w:val="22"/>
          <w:lang w:val="fr-FR" w:eastAsia="en-CA"/>
        </w:rPr>
        <w:t xml:space="preserve"> </w:t>
      </w:r>
      <w:r w:rsidR="00972053">
        <w:rPr>
          <w:rFonts w:eastAsia="Times New Roman" w:cs="Times New Roman"/>
          <w:color w:val="000000"/>
          <w:kern w:val="22"/>
          <w:sz w:val="22"/>
          <w:lang w:val="fr-FR" w:eastAsia="en-CA"/>
        </w:rPr>
        <w:t>“</w:t>
      </w:r>
      <w:r w:rsidR="0000385D" w:rsidRPr="00770AB8">
        <w:rPr>
          <w:rFonts w:eastAsia="Times New Roman" w:cs="Times New Roman"/>
          <w:color w:val="000000"/>
          <w:kern w:val="22"/>
          <w:sz w:val="22"/>
          <w:lang w:val="fr-FR" w:eastAsia="en-CA"/>
        </w:rPr>
        <w:t xml:space="preserve">solution </w:t>
      </w:r>
      <w:r w:rsidR="00972053">
        <w:rPr>
          <w:rFonts w:eastAsia="Times New Roman" w:cs="Times New Roman"/>
          <w:color w:val="000000"/>
          <w:kern w:val="22"/>
          <w:sz w:val="22"/>
          <w:lang w:val="fr-FR" w:eastAsia="en-CA"/>
        </w:rPr>
        <w:t xml:space="preserve">innovante est nécessaire pour aborder le </w:t>
      </w:r>
      <w:r w:rsidR="00770AB8">
        <w:rPr>
          <w:rFonts w:eastAsia="Times New Roman" w:cs="Times New Roman"/>
          <w:color w:val="000000"/>
          <w:kern w:val="22"/>
          <w:sz w:val="22"/>
          <w:lang w:val="fr-FR" w:eastAsia="en-CA"/>
        </w:rPr>
        <w:t xml:space="preserve">partage juste et </w:t>
      </w:r>
      <w:r w:rsidR="00480821">
        <w:rPr>
          <w:rFonts w:eastAsia="Times New Roman" w:cs="Times New Roman"/>
          <w:color w:val="000000"/>
          <w:kern w:val="22"/>
          <w:sz w:val="22"/>
          <w:lang w:val="fr-FR" w:eastAsia="en-CA"/>
        </w:rPr>
        <w:t xml:space="preserve">équitable </w:t>
      </w:r>
      <w:r w:rsidR="00770AB8">
        <w:rPr>
          <w:rFonts w:eastAsia="Times New Roman" w:cs="Times New Roman"/>
          <w:color w:val="000000"/>
          <w:kern w:val="22"/>
          <w:sz w:val="22"/>
          <w:lang w:val="fr-FR" w:eastAsia="en-CA"/>
        </w:rPr>
        <w:t xml:space="preserve">des </w:t>
      </w:r>
      <w:r w:rsidR="007D7761">
        <w:rPr>
          <w:rFonts w:eastAsia="Times New Roman" w:cs="Times New Roman"/>
          <w:color w:val="000000"/>
          <w:kern w:val="22"/>
          <w:sz w:val="22"/>
          <w:lang w:val="fr-FR" w:eastAsia="en-CA"/>
        </w:rPr>
        <w:t>avantages résultant</w:t>
      </w:r>
      <w:r w:rsidR="00480821">
        <w:rPr>
          <w:rFonts w:eastAsia="Times New Roman" w:cs="Times New Roman"/>
          <w:color w:val="000000"/>
          <w:kern w:val="22"/>
          <w:sz w:val="22"/>
          <w:lang w:val="fr-FR" w:eastAsia="en-CA"/>
        </w:rPr>
        <w:t xml:space="preserve"> de</w:t>
      </w:r>
      <w:r w:rsidR="0000385D" w:rsidRPr="00770AB8">
        <w:rPr>
          <w:rFonts w:eastAsia="Times New Roman" w:cs="Times New Roman"/>
          <w:color w:val="000000"/>
          <w:kern w:val="22"/>
          <w:sz w:val="22"/>
          <w:lang w:val="fr-FR" w:eastAsia="en-CA"/>
        </w:rPr>
        <w:t xml:space="preserve"> </w:t>
      </w:r>
      <w:r w:rsidR="008D37D7">
        <w:rPr>
          <w:rFonts w:eastAsia="Times New Roman" w:cs="Times New Roman"/>
          <w:color w:val="000000"/>
          <w:kern w:val="22"/>
          <w:sz w:val="22"/>
          <w:lang w:val="fr-FR" w:eastAsia="en-CA"/>
        </w:rPr>
        <w:t>l’</w:t>
      </w:r>
      <w:r w:rsidR="008627A9" w:rsidRPr="00770AB8">
        <w:rPr>
          <w:rFonts w:eastAsia="Times New Roman" w:cs="Times New Roman"/>
          <w:color w:val="000000"/>
          <w:kern w:val="22"/>
          <w:sz w:val="22"/>
          <w:lang w:val="fr-FR" w:eastAsia="en-CA"/>
        </w:rPr>
        <w:t>utilisation</w:t>
      </w:r>
      <w:r w:rsidR="0000385D" w:rsidRPr="00770AB8">
        <w:rPr>
          <w:rFonts w:eastAsia="Times New Roman" w:cs="Times New Roman"/>
          <w:color w:val="000000"/>
          <w:kern w:val="22"/>
          <w:sz w:val="22"/>
          <w:lang w:val="fr-FR" w:eastAsia="en-CA"/>
        </w:rPr>
        <w:t xml:space="preserve"> </w:t>
      </w:r>
      <w:r w:rsidR="00D6232E">
        <w:rPr>
          <w:rFonts w:eastAsia="Times New Roman" w:cs="Times New Roman"/>
          <w:color w:val="000000"/>
          <w:kern w:val="22"/>
          <w:sz w:val="22"/>
          <w:lang w:val="fr-FR" w:eastAsia="en-CA"/>
        </w:rPr>
        <w:t>de</w:t>
      </w:r>
      <w:r w:rsidR="008D37D7">
        <w:rPr>
          <w:rFonts w:eastAsia="Times New Roman" w:cs="Times New Roman"/>
          <w:color w:val="000000"/>
          <w:kern w:val="22"/>
          <w:sz w:val="22"/>
          <w:lang w:val="fr-FR" w:eastAsia="en-CA"/>
        </w:rPr>
        <w:t>s</w:t>
      </w:r>
      <w:r w:rsidR="00D6232E">
        <w:rPr>
          <w:rFonts w:eastAsia="Times New Roman" w:cs="Times New Roman"/>
          <w:color w:val="000000"/>
          <w:kern w:val="22"/>
          <w:sz w:val="22"/>
          <w:lang w:val="fr-FR" w:eastAsia="en-CA"/>
        </w:rPr>
        <w:t xml:space="preserve"> ressources</w:t>
      </w:r>
      <w:r w:rsidR="00E3674F" w:rsidRPr="00770AB8">
        <w:rPr>
          <w:rFonts w:eastAsia="Times New Roman" w:cs="Times New Roman"/>
          <w:color w:val="000000"/>
          <w:kern w:val="22"/>
          <w:sz w:val="22"/>
          <w:lang w:val="fr-FR" w:eastAsia="en-CA"/>
        </w:rPr>
        <w:t xml:space="preserve"> génétiques et </w:t>
      </w:r>
      <w:r w:rsidR="00972053">
        <w:rPr>
          <w:rFonts w:eastAsia="Times New Roman" w:cs="Times New Roman"/>
          <w:color w:val="000000"/>
          <w:kern w:val="22"/>
          <w:sz w:val="22"/>
          <w:lang w:val="fr-FR" w:eastAsia="en-CA"/>
        </w:rPr>
        <w:t xml:space="preserve">des </w:t>
      </w:r>
      <w:r w:rsidR="00E3674F" w:rsidRPr="00770AB8">
        <w:rPr>
          <w:rFonts w:eastAsia="Times New Roman" w:cs="Times New Roman"/>
          <w:color w:val="000000"/>
          <w:kern w:val="22"/>
          <w:sz w:val="22"/>
          <w:lang w:val="fr-FR" w:eastAsia="en-CA"/>
        </w:rPr>
        <w:t>connaissances traditionnelles</w:t>
      </w:r>
      <w:r w:rsidR="0000385D" w:rsidRPr="00770AB8">
        <w:rPr>
          <w:rFonts w:eastAsia="Times New Roman" w:cs="Times New Roman"/>
          <w:color w:val="000000"/>
          <w:kern w:val="22"/>
          <w:sz w:val="22"/>
          <w:lang w:val="fr-FR" w:eastAsia="en-CA"/>
        </w:rPr>
        <w:t xml:space="preserve"> </w:t>
      </w:r>
      <w:r w:rsidR="00E3674F" w:rsidRPr="00770AB8">
        <w:rPr>
          <w:rFonts w:eastAsia="Times New Roman" w:cs="Times New Roman"/>
          <w:color w:val="000000"/>
          <w:kern w:val="22"/>
          <w:sz w:val="22"/>
          <w:lang w:val="fr-FR" w:eastAsia="en-CA"/>
        </w:rPr>
        <w:t>associées aux</w:t>
      </w:r>
      <w:r w:rsidR="0000385D" w:rsidRPr="00770AB8">
        <w:rPr>
          <w:rFonts w:eastAsia="Times New Roman" w:cs="Times New Roman"/>
          <w:color w:val="000000"/>
          <w:kern w:val="22"/>
          <w:sz w:val="22"/>
          <w:lang w:val="fr-FR" w:eastAsia="en-CA"/>
        </w:rPr>
        <w:t xml:space="preserve"> </w:t>
      </w:r>
      <w:r w:rsidR="00E3674F" w:rsidRPr="00770AB8">
        <w:rPr>
          <w:rFonts w:eastAsia="Times New Roman" w:cs="Times New Roman"/>
          <w:color w:val="000000"/>
          <w:kern w:val="22"/>
          <w:sz w:val="22"/>
          <w:lang w:val="fr-FR" w:eastAsia="en-CA"/>
        </w:rPr>
        <w:t>ressources génétiques</w:t>
      </w:r>
      <w:r w:rsidR="0000385D" w:rsidRPr="00770AB8">
        <w:rPr>
          <w:rFonts w:eastAsia="Times New Roman" w:cs="Times New Roman"/>
          <w:color w:val="000000"/>
          <w:kern w:val="22"/>
          <w:sz w:val="22"/>
          <w:lang w:val="fr-FR" w:eastAsia="en-CA"/>
        </w:rPr>
        <w:t xml:space="preserve"> </w:t>
      </w:r>
      <w:r w:rsidR="00651FB0" w:rsidRPr="00770AB8">
        <w:rPr>
          <w:rFonts w:eastAsia="Times New Roman" w:cs="Times New Roman"/>
          <w:color w:val="000000"/>
          <w:kern w:val="22"/>
          <w:sz w:val="22"/>
          <w:lang w:val="fr-FR" w:eastAsia="en-CA"/>
        </w:rPr>
        <w:t>qui se trouvent</w:t>
      </w:r>
      <w:r w:rsidR="00FB033A" w:rsidRPr="00770AB8">
        <w:rPr>
          <w:rFonts w:eastAsia="Times New Roman" w:cs="Times New Roman"/>
          <w:color w:val="000000"/>
          <w:kern w:val="22"/>
          <w:sz w:val="22"/>
          <w:lang w:val="fr-FR" w:eastAsia="en-CA"/>
        </w:rPr>
        <w:t xml:space="preserve"> </w:t>
      </w:r>
      <w:r w:rsidR="002A127F">
        <w:rPr>
          <w:rFonts w:eastAsia="Times New Roman" w:cs="Times New Roman"/>
          <w:color w:val="000000"/>
          <w:kern w:val="22"/>
          <w:sz w:val="22"/>
          <w:lang w:val="fr-FR" w:eastAsia="en-CA"/>
        </w:rPr>
        <w:t>dans des situations</w:t>
      </w:r>
      <w:r w:rsidR="00E3674F" w:rsidRPr="00770AB8">
        <w:rPr>
          <w:rFonts w:eastAsia="Times New Roman" w:cs="Times New Roman"/>
          <w:color w:val="000000"/>
          <w:kern w:val="22"/>
          <w:sz w:val="22"/>
          <w:lang w:val="fr-FR" w:eastAsia="en-CA"/>
        </w:rPr>
        <w:t xml:space="preserve"> transfrontières</w:t>
      </w:r>
      <w:r w:rsidR="0000385D" w:rsidRPr="00770AB8">
        <w:rPr>
          <w:rFonts w:eastAsia="Times New Roman" w:cs="Times New Roman"/>
          <w:color w:val="000000"/>
          <w:kern w:val="22"/>
          <w:sz w:val="22"/>
          <w:lang w:val="fr-FR" w:eastAsia="en-CA"/>
        </w:rPr>
        <w:t xml:space="preserve"> </w:t>
      </w:r>
      <w:r w:rsidR="00755B2D">
        <w:rPr>
          <w:rFonts w:eastAsia="Times New Roman" w:cs="Times New Roman"/>
          <w:color w:val="000000"/>
          <w:kern w:val="22"/>
          <w:sz w:val="22"/>
          <w:lang w:val="fr-FR" w:eastAsia="en-CA"/>
        </w:rPr>
        <w:t>ou pour lesquelles</w:t>
      </w:r>
      <w:r w:rsidR="0020703A" w:rsidRPr="00770AB8">
        <w:rPr>
          <w:rFonts w:eastAsia="Times New Roman" w:cs="Times New Roman"/>
          <w:color w:val="000000"/>
          <w:kern w:val="22"/>
          <w:sz w:val="22"/>
          <w:lang w:val="fr-FR" w:eastAsia="en-CA"/>
        </w:rPr>
        <w:t xml:space="preserve"> </w:t>
      </w:r>
      <w:r w:rsidR="007D7761">
        <w:rPr>
          <w:rFonts w:eastAsia="Times New Roman" w:cs="Times New Roman"/>
          <w:color w:val="000000"/>
          <w:kern w:val="22"/>
          <w:sz w:val="22"/>
          <w:lang w:val="fr-FR" w:eastAsia="en-CA"/>
        </w:rPr>
        <w:t>il n’est pas possible</w:t>
      </w:r>
      <w:r w:rsidR="0000385D" w:rsidRPr="00770AB8">
        <w:rPr>
          <w:rFonts w:eastAsia="Times New Roman" w:cs="Times New Roman"/>
          <w:color w:val="000000"/>
          <w:kern w:val="22"/>
          <w:sz w:val="22"/>
          <w:lang w:val="fr-FR" w:eastAsia="en-CA"/>
        </w:rPr>
        <w:t xml:space="preserve"> </w:t>
      </w:r>
      <w:r w:rsidR="00FB033A" w:rsidRPr="00770AB8">
        <w:rPr>
          <w:rFonts w:eastAsia="Times New Roman" w:cs="Times New Roman"/>
          <w:color w:val="000000"/>
          <w:kern w:val="22"/>
          <w:sz w:val="22"/>
          <w:lang w:val="fr-FR" w:eastAsia="en-CA"/>
        </w:rPr>
        <w:t xml:space="preserve">d’accorder ou </w:t>
      </w:r>
      <w:r w:rsidR="000E3236">
        <w:rPr>
          <w:rFonts w:eastAsia="Times New Roman" w:cs="Times New Roman"/>
          <w:color w:val="000000"/>
          <w:kern w:val="22"/>
          <w:sz w:val="22"/>
          <w:lang w:val="fr-FR" w:eastAsia="en-CA"/>
        </w:rPr>
        <w:t xml:space="preserve">d’obtenir un </w:t>
      </w:r>
      <w:r w:rsidR="007D7761">
        <w:rPr>
          <w:rFonts w:eastAsia="Times New Roman" w:cs="Times New Roman"/>
          <w:color w:val="000000"/>
          <w:kern w:val="22"/>
          <w:sz w:val="22"/>
          <w:lang w:val="fr-FR" w:eastAsia="en-CA"/>
        </w:rPr>
        <w:t>consentement préalable donné en connaissance de cause</w:t>
      </w:r>
      <w:r w:rsidR="0000385D" w:rsidRPr="00770AB8">
        <w:rPr>
          <w:rFonts w:eastAsia="Times New Roman" w:cs="Times New Roman"/>
          <w:color w:val="000000"/>
          <w:kern w:val="22"/>
          <w:sz w:val="22"/>
          <w:lang w:val="fr-FR" w:eastAsia="en-CA"/>
        </w:rPr>
        <w:t>”</w:t>
      </w:r>
      <w:r w:rsidR="00474BAB" w:rsidRPr="00770AB8">
        <w:rPr>
          <w:rFonts w:eastAsia="Times New Roman" w:cs="Times New Roman"/>
          <w:color w:val="000000"/>
          <w:kern w:val="22"/>
          <w:sz w:val="22"/>
          <w:lang w:val="fr-FR" w:eastAsia="en-CA"/>
        </w:rPr>
        <w:t xml:space="preserve">, </w:t>
      </w:r>
      <w:r w:rsidR="00367430">
        <w:rPr>
          <w:rFonts w:eastAsia="Times New Roman" w:cs="Times New Roman"/>
          <w:color w:val="000000"/>
          <w:kern w:val="22"/>
          <w:sz w:val="22"/>
          <w:lang w:val="fr-FR" w:eastAsia="en-CA"/>
        </w:rPr>
        <w:t>les auteurs</w:t>
      </w:r>
      <w:r w:rsidR="00474BAB" w:rsidRPr="00770AB8">
        <w:rPr>
          <w:rFonts w:eastAsia="Times New Roman" w:cs="Times New Roman"/>
          <w:color w:val="000000"/>
          <w:kern w:val="22"/>
          <w:sz w:val="22"/>
          <w:lang w:val="fr-FR" w:eastAsia="en-CA"/>
        </w:rPr>
        <w:t xml:space="preserve"> </w:t>
      </w:r>
      <w:r w:rsidR="00972053">
        <w:rPr>
          <w:rFonts w:eastAsia="Times New Roman" w:cs="Times New Roman"/>
          <w:color w:val="000000"/>
          <w:kern w:val="22"/>
          <w:sz w:val="22"/>
          <w:lang w:val="fr-FR" w:eastAsia="en-CA"/>
        </w:rPr>
        <w:t>ont décidé de ne pas interpré</w:t>
      </w:r>
      <w:r w:rsidR="002204F6" w:rsidRPr="00770AB8">
        <w:rPr>
          <w:rFonts w:eastAsia="Times New Roman" w:cs="Times New Roman"/>
          <w:color w:val="000000"/>
          <w:kern w:val="22"/>
          <w:sz w:val="22"/>
          <w:lang w:val="fr-FR" w:eastAsia="en-CA"/>
        </w:rPr>
        <w:t>t</w:t>
      </w:r>
      <w:r w:rsidR="00972053">
        <w:rPr>
          <w:rFonts w:eastAsia="Times New Roman" w:cs="Times New Roman"/>
          <w:color w:val="000000"/>
          <w:kern w:val="22"/>
          <w:sz w:val="22"/>
          <w:lang w:val="fr-FR" w:eastAsia="en-CA"/>
        </w:rPr>
        <w:t>er le terme</w:t>
      </w:r>
      <w:r w:rsidR="002204F6" w:rsidRPr="00770AB8">
        <w:rPr>
          <w:rFonts w:eastAsia="Times New Roman" w:cs="Times New Roman"/>
          <w:color w:val="000000"/>
          <w:kern w:val="22"/>
          <w:sz w:val="22"/>
          <w:lang w:val="fr-FR" w:eastAsia="en-CA"/>
        </w:rPr>
        <w:t xml:space="preserve"> ‘</w:t>
      </w:r>
      <w:r w:rsidR="001E1D86">
        <w:rPr>
          <w:rFonts w:eastAsia="Times New Roman" w:cs="Times New Roman"/>
          <w:color w:val="000000"/>
          <w:kern w:val="22"/>
          <w:sz w:val="22"/>
          <w:lang w:val="fr-FR" w:eastAsia="en-CA"/>
        </w:rPr>
        <w:t>juste et équitable</w:t>
      </w:r>
      <w:r w:rsidR="002204F6" w:rsidRPr="00770AB8">
        <w:rPr>
          <w:rFonts w:eastAsia="Times New Roman" w:cs="Times New Roman"/>
          <w:color w:val="000000"/>
          <w:kern w:val="22"/>
          <w:sz w:val="22"/>
          <w:lang w:val="fr-FR" w:eastAsia="en-CA"/>
        </w:rPr>
        <w:t>’</w:t>
      </w:r>
      <w:r w:rsidR="004E6739" w:rsidRPr="00770AB8">
        <w:rPr>
          <w:rFonts w:eastAsia="Times New Roman" w:cs="Times New Roman"/>
          <w:color w:val="000000"/>
          <w:kern w:val="22"/>
          <w:sz w:val="22"/>
          <w:lang w:val="fr-FR" w:eastAsia="en-CA"/>
        </w:rPr>
        <w:t xml:space="preserve"> </w:t>
      </w:r>
      <w:r w:rsidR="00972053">
        <w:rPr>
          <w:rFonts w:eastAsia="Times New Roman" w:cs="Times New Roman"/>
          <w:color w:val="000000"/>
          <w:kern w:val="22"/>
          <w:sz w:val="22"/>
          <w:lang w:val="fr-FR" w:eastAsia="en-CA"/>
        </w:rPr>
        <w:t xml:space="preserve">comme </w:t>
      </w:r>
      <w:r w:rsidR="008D37D7">
        <w:rPr>
          <w:rFonts w:eastAsia="Times New Roman" w:cs="Times New Roman"/>
          <w:color w:val="000000"/>
          <w:kern w:val="22"/>
          <w:sz w:val="22"/>
          <w:lang w:val="fr-FR" w:eastAsia="en-CA"/>
        </w:rPr>
        <w:t>étant une déclaration tautologique</w:t>
      </w:r>
      <w:r w:rsidR="002C035D" w:rsidRPr="00770AB8">
        <w:rPr>
          <w:rFonts w:eastAsia="Times New Roman" w:cs="Times New Roman"/>
          <w:color w:val="000000"/>
          <w:kern w:val="22"/>
          <w:sz w:val="22"/>
          <w:lang w:val="fr-FR" w:eastAsia="en-CA"/>
        </w:rPr>
        <w:t xml:space="preserve">. </w:t>
      </w:r>
      <w:r w:rsidR="00972053" w:rsidRPr="00972053">
        <w:rPr>
          <w:rFonts w:eastAsia="Times New Roman" w:cs="Times New Roman"/>
          <w:color w:val="000000"/>
          <w:kern w:val="22"/>
          <w:sz w:val="22"/>
          <w:lang w:val="fr-FR" w:eastAsia="en-CA"/>
        </w:rPr>
        <w:t xml:space="preserve">Puisque la </w:t>
      </w:r>
      <w:r w:rsidR="00223E6F" w:rsidRPr="00972053">
        <w:rPr>
          <w:rFonts w:eastAsia="Times New Roman" w:cs="Times New Roman"/>
          <w:color w:val="000000"/>
          <w:kern w:val="22"/>
          <w:sz w:val="22"/>
          <w:lang w:val="fr-FR" w:eastAsia="en-CA"/>
        </w:rPr>
        <w:t>Convention</w:t>
      </w:r>
      <w:r w:rsidR="00E3674F" w:rsidRPr="00972053">
        <w:rPr>
          <w:rFonts w:eastAsia="Times New Roman" w:cs="Times New Roman"/>
          <w:color w:val="000000"/>
          <w:kern w:val="22"/>
          <w:sz w:val="22"/>
          <w:lang w:val="fr-FR" w:eastAsia="en-CA"/>
        </w:rPr>
        <w:t xml:space="preserve"> et </w:t>
      </w:r>
      <w:r w:rsidR="00972053" w:rsidRPr="00972053">
        <w:rPr>
          <w:rFonts w:eastAsia="Times New Roman" w:cs="Times New Roman"/>
          <w:color w:val="000000"/>
          <w:kern w:val="22"/>
          <w:sz w:val="22"/>
          <w:lang w:val="fr-FR" w:eastAsia="en-CA"/>
        </w:rPr>
        <w:t>le</w:t>
      </w:r>
      <w:r w:rsidR="00E3674F" w:rsidRPr="00972053">
        <w:rPr>
          <w:rFonts w:eastAsia="Times New Roman" w:cs="Times New Roman"/>
          <w:color w:val="000000"/>
          <w:kern w:val="22"/>
          <w:sz w:val="22"/>
          <w:lang w:val="fr-FR" w:eastAsia="en-CA"/>
        </w:rPr>
        <w:t xml:space="preserve"> Protocole de Nagoya</w:t>
      </w:r>
      <w:r w:rsidR="00972053">
        <w:rPr>
          <w:rFonts w:eastAsia="Times New Roman" w:cs="Times New Roman"/>
          <w:color w:val="000000"/>
          <w:kern w:val="22"/>
          <w:sz w:val="22"/>
          <w:lang w:val="fr-FR" w:eastAsia="en-CA"/>
        </w:rPr>
        <w:t xml:space="preserve"> sont des</w:t>
      </w:r>
      <w:r w:rsidR="00223E6F" w:rsidRPr="00972053">
        <w:rPr>
          <w:rFonts w:eastAsia="Times New Roman" w:cs="Times New Roman"/>
          <w:color w:val="000000"/>
          <w:kern w:val="22"/>
          <w:sz w:val="22"/>
          <w:lang w:val="fr-FR" w:eastAsia="en-CA"/>
        </w:rPr>
        <w:t xml:space="preserve"> documents</w:t>
      </w:r>
      <w:r w:rsidR="00972053">
        <w:rPr>
          <w:rFonts w:eastAsia="Times New Roman" w:cs="Times New Roman"/>
          <w:color w:val="000000"/>
          <w:kern w:val="22"/>
          <w:sz w:val="22"/>
          <w:lang w:val="fr-FR" w:eastAsia="en-CA"/>
        </w:rPr>
        <w:t xml:space="preserve"> juridiques</w:t>
      </w:r>
      <w:r w:rsidR="00223E6F" w:rsidRPr="00972053">
        <w:rPr>
          <w:rFonts w:eastAsia="Times New Roman" w:cs="Times New Roman"/>
          <w:color w:val="000000"/>
          <w:kern w:val="22"/>
          <w:sz w:val="22"/>
          <w:lang w:val="fr-FR" w:eastAsia="en-CA"/>
        </w:rPr>
        <w:t xml:space="preserve">, </w:t>
      </w:r>
      <w:r w:rsidR="00367430" w:rsidRPr="00972053">
        <w:rPr>
          <w:rFonts w:eastAsia="Times New Roman" w:cs="Times New Roman"/>
          <w:color w:val="000000"/>
          <w:kern w:val="22"/>
          <w:sz w:val="22"/>
          <w:lang w:val="fr-FR" w:eastAsia="en-CA"/>
        </w:rPr>
        <w:t>les auteurs</w:t>
      </w:r>
      <w:r w:rsidR="00D003F2" w:rsidRPr="00972053">
        <w:rPr>
          <w:rFonts w:eastAsia="Times New Roman" w:cs="Times New Roman"/>
          <w:color w:val="000000"/>
          <w:kern w:val="22"/>
          <w:sz w:val="22"/>
          <w:lang w:val="fr-FR" w:eastAsia="en-CA"/>
        </w:rPr>
        <w:t xml:space="preserve"> </w:t>
      </w:r>
      <w:r w:rsidR="008D37D7">
        <w:rPr>
          <w:rFonts w:eastAsia="Times New Roman" w:cs="Times New Roman"/>
          <w:color w:val="000000"/>
          <w:kern w:val="22"/>
          <w:sz w:val="22"/>
          <w:lang w:val="fr-FR" w:eastAsia="en-CA"/>
        </w:rPr>
        <w:t>sont partis</w:t>
      </w:r>
      <w:r w:rsidR="00972053">
        <w:rPr>
          <w:rFonts w:eastAsia="Times New Roman" w:cs="Times New Roman"/>
          <w:color w:val="000000"/>
          <w:kern w:val="22"/>
          <w:sz w:val="22"/>
          <w:lang w:val="fr-FR" w:eastAsia="en-CA"/>
        </w:rPr>
        <w:t xml:space="preserve"> du principe que les </w:t>
      </w:r>
      <w:r w:rsidR="00223E6F" w:rsidRPr="00972053">
        <w:rPr>
          <w:rFonts w:eastAsia="Times New Roman" w:cs="Times New Roman"/>
          <w:color w:val="000000"/>
          <w:kern w:val="22"/>
          <w:sz w:val="22"/>
          <w:lang w:val="fr-FR" w:eastAsia="en-CA"/>
        </w:rPr>
        <w:t xml:space="preserve">Parties </w:t>
      </w:r>
      <w:r w:rsidR="00972053">
        <w:rPr>
          <w:rFonts w:eastAsia="Times New Roman" w:cs="Times New Roman"/>
          <w:color w:val="000000"/>
          <w:kern w:val="22"/>
          <w:sz w:val="22"/>
          <w:lang w:val="fr-FR" w:eastAsia="en-CA"/>
        </w:rPr>
        <w:t>ont utilisé le terme</w:t>
      </w:r>
      <w:r w:rsidR="00D76F0A" w:rsidRPr="00972053">
        <w:rPr>
          <w:rFonts w:eastAsia="Times New Roman" w:cs="Times New Roman"/>
          <w:color w:val="000000"/>
          <w:kern w:val="22"/>
          <w:sz w:val="22"/>
          <w:lang w:val="fr-FR" w:eastAsia="en-CA"/>
        </w:rPr>
        <w:t xml:space="preserve"> </w:t>
      </w:r>
      <w:r w:rsidR="00972053">
        <w:rPr>
          <w:rFonts w:eastAsia="Times New Roman" w:cs="Times New Roman"/>
          <w:color w:val="000000"/>
          <w:kern w:val="22"/>
          <w:sz w:val="22"/>
          <w:lang w:val="fr-FR" w:eastAsia="en-CA"/>
        </w:rPr>
        <w:t>‘é</w:t>
      </w:r>
      <w:r w:rsidR="00223E6F" w:rsidRPr="00972053">
        <w:rPr>
          <w:rFonts w:eastAsia="Times New Roman" w:cs="Times New Roman"/>
          <w:color w:val="000000"/>
          <w:kern w:val="22"/>
          <w:sz w:val="22"/>
          <w:lang w:val="fr-FR" w:eastAsia="en-CA"/>
        </w:rPr>
        <w:t xml:space="preserve">quitable’ </w:t>
      </w:r>
      <w:r w:rsidR="00147007">
        <w:rPr>
          <w:rFonts w:eastAsia="Times New Roman" w:cs="Times New Roman"/>
          <w:color w:val="000000"/>
          <w:kern w:val="22"/>
          <w:sz w:val="22"/>
          <w:lang w:val="fr-FR" w:eastAsia="en-CA"/>
        </w:rPr>
        <w:t>dan</w:t>
      </w:r>
      <w:r w:rsidR="008D37D7">
        <w:rPr>
          <w:rFonts w:eastAsia="Times New Roman" w:cs="Times New Roman"/>
          <w:color w:val="000000"/>
          <w:kern w:val="22"/>
          <w:sz w:val="22"/>
          <w:lang w:val="fr-FR" w:eastAsia="en-CA"/>
        </w:rPr>
        <w:t>s son acception juridique</w:t>
      </w:r>
      <w:r w:rsidR="00D76F0A" w:rsidRPr="00972053">
        <w:rPr>
          <w:rFonts w:eastAsia="Times New Roman" w:cs="Times New Roman"/>
          <w:color w:val="000000"/>
          <w:kern w:val="22"/>
          <w:sz w:val="22"/>
          <w:lang w:val="fr-FR" w:eastAsia="en-CA"/>
        </w:rPr>
        <w:t>.</w:t>
      </w:r>
      <w:r w:rsidR="00526C97" w:rsidRPr="002364AB">
        <w:rPr>
          <w:rStyle w:val="FootnoteReference"/>
          <w:rFonts w:eastAsia="Times New Roman" w:cs="Times New Roman"/>
          <w:color w:val="000000"/>
          <w:kern w:val="22"/>
          <w:sz w:val="22"/>
          <w:lang w:val="en-GB" w:eastAsia="en-CA"/>
        </w:rPr>
        <w:footnoteReference w:id="16"/>
      </w:r>
      <w:r w:rsidR="00EC0010">
        <w:rPr>
          <w:rFonts w:eastAsia="Times New Roman" w:cs="Times New Roman"/>
          <w:kern w:val="22"/>
          <w:sz w:val="22"/>
          <w:lang w:val="fr-FR" w:eastAsia="en-CA"/>
        </w:rPr>
        <w:t xml:space="preserve"> Ainsi, le fait de prendre en compte l</w:t>
      </w:r>
      <w:r w:rsidR="00147007" w:rsidRPr="00147007">
        <w:rPr>
          <w:rFonts w:eastAsia="Times New Roman" w:cs="Times New Roman"/>
          <w:kern w:val="22"/>
          <w:sz w:val="22"/>
          <w:lang w:val="fr-FR" w:eastAsia="en-CA"/>
        </w:rPr>
        <w:t xml:space="preserve">es </w:t>
      </w:r>
      <w:r w:rsidR="00EC0010">
        <w:rPr>
          <w:rFonts w:eastAsia="Times New Roman" w:cs="Times New Roman"/>
          <w:color w:val="000000"/>
          <w:kern w:val="22"/>
          <w:sz w:val="22"/>
          <w:lang w:val="fr-FR" w:eastAsia="en-CA"/>
        </w:rPr>
        <w:t>considérations d’équité peu</w:t>
      </w:r>
      <w:r w:rsidR="00147007" w:rsidRPr="00147007">
        <w:rPr>
          <w:rFonts w:eastAsia="Times New Roman" w:cs="Times New Roman"/>
          <w:color w:val="000000"/>
          <w:kern w:val="22"/>
          <w:sz w:val="22"/>
          <w:lang w:val="fr-FR" w:eastAsia="en-CA"/>
        </w:rPr>
        <w:t>t</w:t>
      </w:r>
      <w:r w:rsidR="00545C4B" w:rsidRPr="00147007">
        <w:rPr>
          <w:rFonts w:eastAsia="Times New Roman" w:cs="Times New Roman"/>
          <w:color w:val="000000"/>
          <w:kern w:val="22"/>
          <w:sz w:val="22"/>
          <w:lang w:val="fr-FR" w:eastAsia="en-CA"/>
        </w:rPr>
        <w:t xml:space="preserve"> </w:t>
      </w:r>
      <w:r w:rsidR="00FD7BF3" w:rsidRPr="00147007">
        <w:rPr>
          <w:rFonts w:eastAsia="Times New Roman" w:cs="Times New Roman"/>
          <w:color w:val="000000"/>
          <w:kern w:val="22"/>
          <w:sz w:val="22"/>
          <w:lang w:val="fr-FR" w:eastAsia="en-CA"/>
        </w:rPr>
        <w:t>“</w:t>
      </w:r>
      <w:r w:rsidR="00512788">
        <w:rPr>
          <w:rFonts w:eastAsia="Times New Roman" w:cs="Times New Roman"/>
          <w:color w:val="000000"/>
          <w:kern w:val="22"/>
          <w:sz w:val="22"/>
          <w:lang w:val="fr-FR" w:eastAsia="en-CA"/>
        </w:rPr>
        <w:t>être</w:t>
      </w:r>
      <w:r w:rsidR="00EC0010">
        <w:rPr>
          <w:rFonts w:eastAsia="Times New Roman" w:cs="Times New Roman"/>
          <w:color w:val="000000"/>
          <w:kern w:val="22"/>
          <w:sz w:val="22"/>
          <w:lang w:val="fr-FR" w:eastAsia="en-CA"/>
        </w:rPr>
        <w:t xml:space="preserve"> particulièrement </w:t>
      </w:r>
      <w:r w:rsidR="00512788">
        <w:rPr>
          <w:rFonts w:eastAsia="Times New Roman" w:cs="Times New Roman"/>
          <w:color w:val="000000"/>
          <w:kern w:val="22"/>
          <w:sz w:val="22"/>
          <w:lang w:val="fr-FR" w:eastAsia="en-CA"/>
        </w:rPr>
        <w:t>adapté pour des</w:t>
      </w:r>
      <w:r w:rsidR="00EC0010">
        <w:rPr>
          <w:rFonts w:eastAsia="Times New Roman" w:cs="Times New Roman"/>
          <w:color w:val="000000"/>
          <w:kern w:val="22"/>
          <w:sz w:val="22"/>
          <w:lang w:val="fr-FR" w:eastAsia="en-CA"/>
        </w:rPr>
        <w:t xml:space="preserve"> débats dans un </w:t>
      </w:r>
      <w:r w:rsidR="00FD7BF3" w:rsidRPr="00147007">
        <w:rPr>
          <w:rFonts w:eastAsia="Times New Roman" w:cs="Times New Roman"/>
          <w:color w:val="000000"/>
          <w:kern w:val="22"/>
          <w:sz w:val="22"/>
          <w:lang w:val="fr-FR" w:eastAsia="en-CA"/>
        </w:rPr>
        <w:t>context</w:t>
      </w:r>
      <w:r w:rsidR="00147007">
        <w:rPr>
          <w:rFonts w:eastAsia="Times New Roman" w:cs="Times New Roman"/>
          <w:color w:val="000000"/>
          <w:kern w:val="22"/>
          <w:sz w:val="22"/>
          <w:lang w:val="fr-FR" w:eastAsia="en-CA"/>
        </w:rPr>
        <w:t>e où s’opposent des intérêts</w:t>
      </w:r>
      <w:r w:rsidR="00FD7BF3" w:rsidRPr="00147007" w:rsidDel="00DD41AE">
        <w:rPr>
          <w:rFonts w:eastAsia="Times New Roman" w:cs="Times New Roman"/>
          <w:color w:val="000000"/>
          <w:kern w:val="22"/>
          <w:sz w:val="22"/>
          <w:lang w:val="fr-FR" w:eastAsia="en-CA"/>
        </w:rPr>
        <w:t xml:space="preserve"> </w:t>
      </w:r>
      <w:r w:rsidR="00EC0010">
        <w:rPr>
          <w:rFonts w:eastAsia="Times New Roman" w:cs="Times New Roman"/>
          <w:color w:val="000000"/>
          <w:kern w:val="22"/>
          <w:sz w:val="22"/>
          <w:lang w:val="fr-FR" w:eastAsia="en-CA"/>
        </w:rPr>
        <w:t>divergents qui n’ont</w:t>
      </w:r>
      <w:r w:rsidR="00147007">
        <w:rPr>
          <w:rFonts w:eastAsia="Times New Roman" w:cs="Times New Roman"/>
          <w:color w:val="000000"/>
          <w:kern w:val="22"/>
          <w:sz w:val="22"/>
          <w:lang w:val="fr-FR" w:eastAsia="en-CA"/>
        </w:rPr>
        <w:t xml:space="preserve"> pas </w:t>
      </w:r>
      <w:r w:rsidR="00EC0010">
        <w:rPr>
          <w:rFonts w:eastAsia="Times New Roman" w:cs="Times New Roman"/>
          <w:color w:val="000000"/>
          <w:kern w:val="22"/>
          <w:sz w:val="22"/>
          <w:lang w:val="fr-FR" w:eastAsia="en-CA"/>
        </w:rPr>
        <w:t xml:space="preserve">été </w:t>
      </w:r>
      <w:r w:rsidR="00147007">
        <w:rPr>
          <w:rFonts w:eastAsia="Times New Roman" w:cs="Times New Roman"/>
          <w:color w:val="000000"/>
          <w:kern w:val="22"/>
          <w:sz w:val="22"/>
          <w:lang w:val="fr-FR" w:eastAsia="en-CA"/>
        </w:rPr>
        <w:t>cristallisés en droits et devoirs particuliers</w:t>
      </w:r>
      <w:r w:rsidR="00FD7BF3" w:rsidRPr="00147007">
        <w:rPr>
          <w:rFonts w:eastAsia="Times New Roman" w:cs="Times New Roman"/>
          <w:color w:val="000000"/>
          <w:kern w:val="22"/>
          <w:sz w:val="22"/>
          <w:lang w:val="fr-FR" w:eastAsia="en-CA"/>
        </w:rPr>
        <w:t>.”</w:t>
      </w:r>
      <w:r w:rsidR="002F517D" w:rsidRPr="002364AB">
        <w:rPr>
          <w:rStyle w:val="FootnoteReference"/>
          <w:rFonts w:eastAsia="Times New Roman" w:cs="Times New Roman"/>
          <w:color w:val="000000"/>
          <w:kern w:val="22"/>
          <w:sz w:val="22"/>
          <w:lang w:val="en-GB" w:eastAsia="en-CA"/>
        </w:rPr>
        <w:footnoteReference w:id="17"/>
      </w:r>
      <w:r w:rsidR="00F57E36" w:rsidRPr="00147007">
        <w:rPr>
          <w:rFonts w:eastAsia="Times New Roman" w:cs="Times New Roman"/>
          <w:color w:val="000000"/>
          <w:kern w:val="22"/>
          <w:sz w:val="22"/>
          <w:lang w:val="fr-FR" w:eastAsia="en-CA"/>
        </w:rPr>
        <w:t xml:space="preserve"> </w:t>
      </w:r>
      <w:r w:rsidR="00147007">
        <w:rPr>
          <w:rFonts w:eastAsia="Times New Roman" w:cs="Times New Roman"/>
          <w:color w:val="000000"/>
          <w:kern w:val="22"/>
          <w:sz w:val="22"/>
          <w:lang w:val="fr-FR" w:eastAsia="en-CA"/>
        </w:rPr>
        <w:t>Ceci est conforme à l’</w:t>
      </w:r>
      <w:r w:rsidR="001A200E" w:rsidRPr="00147007">
        <w:rPr>
          <w:rFonts w:eastAsia="Times New Roman" w:cs="Times New Roman"/>
          <w:color w:val="000000"/>
          <w:kern w:val="22"/>
          <w:sz w:val="22"/>
          <w:lang w:val="fr-FR" w:eastAsia="en-CA"/>
        </w:rPr>
        <w:t>approche inclusive</w:t>
      </w:r>
      <w:r w:rsidR="00F57E36" w:rsidRPr="00147007">
        <w:rPr>
          <w:rFonts w:eastAsia="Times New Roman" w:cs="Times New Roman"/>
          <w:color w:val="000000"/>
          <w:kern w:val="22"/>
          <w:sz w:val="22"/>
          <w:lang w:val="fr-FR" w:eastAsia="en-CA"/>
        </w:rPr>
        <w:t xml:space="preserve"> </w:t>
      </w:r>
      <w:r w:rsidR="008D37D7">
        <w:rPr>
          <w:rFonts w:eastAsia="Times New Roman" w:cs="Times New Roman"/>
          <w:color w:val="000000"/>
          <w:kern w:val="22"/>
          <w:sz w:val="22"/>
          <w:lang w:val="fr-FR" w:eastAsia="en-CA"/>
        </w:rPr>
        <w:t xml:space="preserve">retenue dans </w:t>
      </w:r>
      <w:r w:rsidR="00147007" w:rsidRPr="00147007">
        <w:rPr>
          <w:rFonts w:eastAsia="Times New Roman" w:cs="Times New Roman"/>
          <w:color w:val="000000"/>
          <w:kern w:val="22"/>
          <w:sz w:val="22"/>
          <w:lang w:val="fr-FR" w:eastAsia="en-CA"/>
        </w:rPr>
        <w:t xml:space="preserve">la présente </w:t>
      </w:r>
      <w:r w:rsidR="00E3674F" w:rsidRPr="00147007">
        <w:rPr>
          <w:rFonts w:eastAsia="Times New Roman" w:cs="Times New Roman"/>
          <w:color w:val="000000"/>
          <w:kern w:val="22"/>
          <w:sz w:val="22"/>
          <w:lang w:val="fr-FR" w:eastAsia="en-CA"/>
        </w:rPr>
        <w:t>étude</w:t>
      </w:r>
      <w:r w:rsidR="00F57E36" w:rsidRPr="00147007">
        <w:rPr>
          <w:rFonts w:eastAsia="Times New Roman" w:cs="Times New Roman"/>
          <w:color w:val="000000"/>
          <w:kern w:val="22"/>
          <w:sz w:val="22"/>
          <w:lang w:val="fr-FR" w:eastAsia="en-CA"/>
        </w:rPr>
        <w:t>.</w:t>
      </w:r>
    </w:p>
    <w:p w14:paraId="2627D650" w14:textId="4A798DD9" w:rsidR="00CB208C" w:rsidRPr="008735FC" w:rsidRDefault="0028742E" w:rsidP="00561DFE">
      <w:pPr>
        <w:pBdr>
          <w:top w:val="nil"/>
          <w:left w:val="nil"/>
          <w:bottom w:val="nil"/>
          <w:right w:val="nil"/>
          <w:between w:val="nil"/>
        </w:pBdr>
        <w:spacing w:after="120"/>
        <w:rPr>
          <w:rFonts w:eastAsia="Times New Roman" w:cs="Times New Roman"/>
          <w:color w:val="000000"/>
          <w:kern w:val="22"/>
          <w:sz w:val="22"/>
          <w:lang w:val="fr-FR" w:eastAsia="en-CA"/>
        </w:rPr>
      </w:pPr>
      <w:r w:rsidRPr="0028742E">
        <w:rPr>
          <w:rFonts w:eastAsia="Times New Roman" w:cs="Times New Roman"/>
          <w:color w:val="000000"/>
          <w:kern w:val="22"/>
          <w:sz w:val="22"/>
          <w:lang w:val="fr-FR" w:eastAsia="en-CA"/>
        </w:rPr>
        <w:t>Nonobstant</w:t>
      </w:r>
      <w:r w:rsidR="00147007">
        <w:rPr>
          <w:rFonts w:eastAsia="Times New Roman" w:cs="Times New Roman"/>
          <w:color w:val="000000"/>
          <w:kern w:val="22"/>
          <w:sz w:val="22"/>
          <w:lang w:val="fr-FR" w:eastAsia="en-CA"/>
        </w:rPr>
        <w:t xml:space="preserve"> l’</w:t>
      </w:r>
      <w:r w:rsidR="001A200E" w:rsidRPr="0028742E">
        <w:rPr>
          <w:rFonts w:eastAsia="Times New Roman" w:cs="Times New Roman"/>
          <w:color w:val="000000"/>
          <w:kern w:val="22"/>
          <w:sz w:val="22"/>
          <w:lang w:val="fr-FR" w:eastAsia="en-CA"/>
        </w:rPr>
        <w:t>approche inclusive</w:t>
      </w:r>
      <w:r w:rsidR="008D37D7">
        <w:rPr>
          <w:rFonts w:eastAsia="Times New Roman" w:cs="Times New Roman"/>
          <w:color w:val="000000"/>
          <w:kern w:val="22"/>
          <w:sz w:val="22"/>
          <w:lang w:val="fr-FR" w:eastAsia="en-CA"/>
        </w:rPr>
        <w:t xml:space="preserve"> retenue pour </w:t>
      </w:r>
      <w:r w:rsidR="00147007">
        <w:rPr>
          <w:rFonts w:eastAsia="Times New Roman" w:cs="Times New Roman"/>
          <w:color w:val="000000"/>
          <w:kern w:val="22"/>
          <w:sz w:val="22"/>
          <w:lang w:val="fr-FR" w:eastAsia="en-CA"/>
        </w:rPr>
        <w:t>l’étude</w:t>
      </w:r>
      <w:r w:rsidR="004A6C32" w:rsidRPr="0028742E">
        <w:rPr>
          <w:rFonts w:eastAsia="Times New Roman" w:cs="Times New Roman"/>
          <w:color w:val="000000"/>
          <w:kern w:val="22"/>
          <w:sz w:val="22"/>
          <w:lang w:val="fr-FR" w:eastAsia="en-CA"/>
        </w:rPr>
        <w:t xml:space="preserve">, </w:t>
      </w:r>
      <w:r w:rsidR="00367430" w:rsidRPr="0028742E">
        <w:rPr>
          <w:rFonts w:eastAsia="Times New Roman" w:cs="Times New Roman"/>
          <w:color w:val="000000"/>
          <w:kern w:val="22"/>
          <w:sz w:val="22"/>
          <w:lang w:val="fr-FR" w:eastAsia="en-CA"/>
        </w:rPr>
        <w:t>les auteurs</w:t>
      </w:r>
      <w:r w:rsidR="004A6C32" w:rsidRPr="0028742E">
        <w:rPr>
          <w:rFonts w:eastAsia="Times New Roman" w:cs="Times New Roman"/>
          <w:color w:val="000000"/>
          <w:kern w:val="22"/>
          <w:sz w:val="22"/>
          <w:lang w:val="fr-FR" w:eastAsia="en-CA"/>
        </w:rPr>
        <w:t xml:space="preserve"> </w:t>
      </w:r>
      <w:r w:rsidRPr="0028742E">
        <w:rPr>
          <w:rFonts w:eastAsia="Times New Roman" w:cs="Times New Roman"/>
          <w:color w:val="000000"/>
          <w:kern w:val="22"/>
          <w:sz w:val="22"/>
          <w:lang w:val="fr-FR" w:eastAsia="en-CA"/>
        </w:rPr>
        <w:t>reconnaissent</w:t>
      </w:r>
      <w:r w:rsidR="00147007">
        <w:rPr>
          <w:rFonts w:eastAsia="Times New Roman" w:cs="Times New Roman"/>
          <w:color w:val="000000"/>
          <w:kern w:val="22"/>
          <w:sz w:val="22"/>
          <w:lang w:val="fr-FR" w:eastAsia="en-CA"/>
        </w:rPr>
        <w:t xml:space="preserve"> que les</w:t>
      </w:r>
      <w:r w:rsidR="004A6C32" w:rsidRPr="0028742E">
        <w:rPr>
          <w:rFonts w:eastAsia="Times New Roman" w:cs="Times New Roman"/>
          <w:color w:val="000000"/>
          <w:kern w:val="22"/>
          <w:sz w:val="22"/>
          <w:lang w:val="fr-FR" w:eastAsia="en-CA"/>
        </w:rPr>
        <w:t xml:space="preserve"> </w:t>
      </w:r>
      <w:r w:rsidR="00934A20" w:rsidRPr="0028742E">
        <w:rPr>
          <w:rFonts w:eastAsia="Times New Roman" w:cs="Times New Roman"/>
          <w:color w:val="000000"/>
          <w:kern w:val="22"/>
          <w:sz w:val="22"/>
          <w:lang w:val="fr-FR" w:eastAsia="en-CA"/>
        </w:rPr>
        <w:t>Etats</w:t>
      </w:r>
      <w:r w:rsidR="004A6C32" w:rsidRPr="0028742E">
        <w:rPr>
          <w:rFonts w:eastAsia="Times New Roman" w:cs="Times New Roman"/>
          <w:color w:val="000000"/>
          <w:kern w:val="22"/>
          <w:sz w:val="22"/>
          <w:lang w:val="fr-FR" w:eastAsia="en-CA"/>
        </w:rPr>
        <w:t xml:space="preserve"> </w:t>
      </w:r>
      <w:r w:rsidR="00147007">
        <w:rPr>
          <w:rFonts w:eastAsia="Times New Roman" w:cs="Times New Roman"/>
          <w:color w:val="000000"/>
          <w:kern w:val="22"/>
          <w:sz w:val="22"/>
          <w:lang w:val="fr-FR" w:eastAsia="en-CA"/>
        </w:rPr>
        <w:t>disposent d’une autorité souveraine pour dé</w:t>
      </w:r>
      <w:r w:rsidR="004766CB" w:rsidRPr="0028742E">
        <w:rPr>
          <w:rFonts w:eastAsia="Times New Roman" w:cs="Times New Roman"/>
          <w:color w:val="000000"/>
          <w:kern w:val="22"/>
          <w:sz w:val="22"/>
          <w:lang w:val="fr-FR" w:eastAsia="en-CA"/>
        </w:rPr>
        <w:t>termine</w:t>
      </w:r>
      <w:r w:rsidR="00147007">
        <w:rPr>
          <w:rFonts w:eastAsia="Times New Roman" w:cs="Times New Roman"/>
          <w:color w:val="000000"/>
          <w:kern w:val="22"/>
          <w:sz w:val="22"/>
          <w:lang w:val="fr-FR" w:eastAsia="en-CA"/>
        </w:rPr>
        <w:t>r</w:t>
      </w:r>
      <w:r w:rsidR="004766CB" w:rsidRPr="0028742E">
        <w:rPr>
          <w:rFonts w:eastAsia="Times New Roman" w:cs="Times New Roman"/>
          <w:color w:val="000000"/>
          <w:kern w:val="22"/>
          <w:sz w:val="22"/>
          <w:lang w:val="fr-FR" w:eastAsia="en-CA"/>
        </w:rPr>
        <w:t xml:space="preserve"> </w:t>
      </w:r>
      <w:r w:rsidR="00934A20" w:rsidRPr="0028742E">
        <w:rPr>
          <w:rFonts w:eastAsia="Times New Roman" w:cs="Times New Roman"/>
          <w:color w:val="000000"/>
          <w:kern w:val="22"/>
          <w:sz w:val="22"/>
          <w:lang w:val="fr-FR" w:eastAsia="en-CA"/>
        </w:rPr>
        <w:t>l’accès aux</w:t>
      </w:r>
      <w:r w:rsidR="004766CB" w:rsidRPr="0028742E">
        <w:rPr>
          <w:rFonts w:eastAsia="Times New Roman" w:cs="Times New Roman"/>
          <w:color w:val="000000"/>
          <w:kern w:val="22"/>
          <w:sz w:val="22"/>
          <w:lang w:val="fr-FR" w:eastAsia="en-CA"/>
        </w:rPr>
        <w:t xml:space="preserve"> </w:t>
      </w:r>
      <w:r w:rsidR="00E3674F" w:rsidRPr="0028742E">
        <w:rPr>
          <w:rFonts w:eastAsia="Times New Roman" w:cs="Times New Roman"/>
          <w:color w:val="000000"/>
          <w:kern w:val="22"/>
          <w:sz w:val="22"/>
          <w:lang w:val="fr-FR" w:eastAsia="en-CA"/>
        </w:rPr>
        <w:t>ressources génétiques</w:t>
      </w:r>
      <w:r w:rsidR="004766CB" w:rsidRPr="0028742E">
        <w:rPr>
          <w:rFonts w:eastAsia="Times New Roman" w:cs="Times New Roman"/>
          <w:color w:val="000000"/>
          <w:kern w:val="22"/>
          <w:sz w:val="22"/>
          <w:lang w:val="fr-FR" w:eastAsia="en-CA"/>
        </w:rPr>
        <w:t xml:space="preserve"> </w:t>
      </w:r>
      <w:r w:rsidR="00147007">
        <w:rPr>
          <w:rFonts w:eastAsia="Times New Roman" w:cs="Times New Roman"/>
          <w:color w:val="000000"/>
          <w:kern w:val="22"/>
          <w:sz w:val="22"/>
          <w:lang w:val="fr-FR" w:eastAsia="en-CA"/>
        </w:rPr>
        <w:t>au moyen de</w:t>
      </w:r>
      <w:r w:rsidR="009B57F0" w:rsidRPr="0028742E">
        <w:rPr>
          <w:rFonts w:eastAsia="Times New Roman" w:cs="Times New Roman"/>
          <w:color w:val="000000"/>
          <w:kern w:val="22"/>
          <w:sz w:val="22"/>
          <w:lang w:val="fr-FR" w:eastAsia="en-CA"/>
        </w:rPr>
        <w:t xml:space="preserve"> </w:t>
      </w:r>
      <w:r w:rsidR="00934A20" w:rsidRPr="0028742E">
        <w:rPr>
          <w:rFonts w:eastAsia="Times New Roman" w:cs="Times New Roman"/>
          <w:color w:val="000000"/>
          <w:kern w:val="22"/>
          <w:sz w:val="22"/>
          <w:lang w:val="fr-FR" w:eastAsia="en-CA"/>
        </w:rPr>
        <w:t>mesures législatives, réglementaires ou administratives</w:t>
      </w:r>
      <w:r w:rsidR="00E74E25" w:rsidRPr="0028742E">
        <w:rPr>
          <w:rFonts w:eastAsia="Times New Roman" w:cs="Times New Roman"/>
          <w:color w:val="000000"/>
          <w:kern w:val="22"/>
          <w:sz w:val="22"/>
          <w:lang w:val="fr-FR" w:eastAsia="en-CA"/>
        </w:rPr>
        <w:t xml:space="preserve">. </w:t>
      </w:r>
      <w:r w:rsidR="008735FC" w:rsidRPr="008735FC">
        <w:rPr>
          <w:rFonts w:eastAsia="Times New Roman" w:cs="Times New Roman"/>
          <w:color w:val="000000"/>
          <w:kern w:val="22"/>
          <w:sz w:val="22"/>
          <w:lang w:val="fr-FR" w:eastAsia="en-CA"/>
        </w:rPr>
        <w:t>En conséquence</w:t>
      </w:r>
      <w:r w:rsidR="00E74E25" w:rsidRPr="008735FC">
        <w:rPr>
          <w:rFonts w:eastAsia="Times New Roman" w:cs="Times New Roman"/>
          <w:color w:val="000000"/>
          <w:kern w:val="22"/>
          <w:sz w:val="22"/>
          <w:lang w:val="fr-FR" w:eastAsia="en-CA"/>
        </w:rPr>
        <w:t xml:space="preserve">, </w:t>
      </w:r>
      <w:r w:rsidR="008D37D7">
        <w:rPr>
          <w:rFonts w:eastAsia="Times New Roman" w:cs="Times New Roman"/>
          <w:color w:val="000000"/>
          <w:kern w:val="22"/>
          <w:sz w:val="22"/>
          <w:lang w:val="fr-FR" w:eastAsia="en-CA"/>
        </w:rPr>
        <w:t>il n’est pas dans l’intention des</w:t>
      </w:r>
      <w:r w:rsidR="00C25985">
        <w:rPr>
          <w:rFonts w:eastAsia="Times New Roman" w:cs="Times New Roman"/>
          <w:color w:val="000000"/>
          <w:kern w:val="22"/>
          <w:sz w:val="22"/>
          <w:lang w:val="fr-FR" w:eastAsia="en-CA"/>
        </w:rPr>
        <w:t xml:space="preserve"> </w:t>
      </w:r>
      <w:r w:rsidR="00367430" w:rsidRPr="008735FC">
        <w:rPr>
          <w:rFonts w:eastAsia="Times New Roman" w:cs="Times New Roman"/>
          <w:color w:val="000000"/>
          <w:kern w:val="22"/>
          <w:sz w:val="22"/>
          <w:lang w:val="fr-FR" w:eastAsia="en-CA"/>
        </w:rPr>
        <w:t>auteurs</w:t>
      </w:r>
      <w:r w:rsidR="008D37D7">
        <w:rPr>
          <w:rFonts w:eastAsia="Times New Roman" w:cs="Times New Roman"/>
          <w:color w:val="000000"/>
          <w:kern w:val="22"/>
          <w:sz w:val="22"/>
          <w:lang w:val="fr-FR" w:eastAsia="en-CA"/>
        </w:rPr>
        <w:t xml:space="preserve"> </w:t>
      </w:r>
      <w:r w:rsidR="00C25985">
        <w:rPr>
          <w:rFonts w:eastAsia="Times New Roman" w:cs="Times New Roman"/>
          <w:color w:val="000000"/>
          <w:kern w:val="22"/>
          <w:sz w:val="22"/>
          <w:lang w:val="fr-FR" w:eastAsia="en-CA"/>
        </w:rPr>
        <w:t>de suggérer que cette</w:t>
      </w:r>
      <w:r w:rsidR="00CF3784" w:rsidRPr="008735FC">
        <w:rPr>
          <w:rFonts w:eastAsia="Times New Roman" w:cs="Times New Roman"/>
          <w:color w:val="000000"/>
          <w:kern w:val="22"/>
          <w:sz w:val="22"/>
          <w:lang w:val="fr-FR" w:eastAsia="en-CA"/>
        </w:rPr>
        <w:t xml:space="preserve"> </w:t>
      </w:r>
      <w:r w:rsidR="001A200E" w:rsidRPr="008735FC">
        <w:rPr>
          <w:rFonts w:eastAsia="Times New Roman" w:cs="Times New Roman"/>
          <w:color w:val="000000"/>
          <w:kern w:val="22"/>
          <w:sz w:val="22"/>
          <w:lang w:val="fr-FR" w:eastAsia="en-CA"/>
        </w:rPr>
        <w:t>approche inclusive</w:t>
      </w:r>
      <w:r w:rsidR="00CF3784" w:rsidRPr="008735FC">
        <w:rPr>
          <w:rFonts w:eastAsia="Times New Roman" w:cs="Times New Roman"/>
          <w:color w:val="000000"/>
          <w:kern w:val="22"/>
          <w:sz w:val="22"/>
          <w:lang w:val="fr-FR" w:eastAsia="en-CA"/>
        </w:rPr>
        <w:t xml:space="preserve"> </w:t>
      </w:r>
      <w:r w:rsidR="00C25985">
        <w:rPr>
          <w:rFonts w:eastAsia="Times New Roman" w:cs="Times New Roman"/>
          <w:color w:val="000000"/>
          <w:kern w:val="22"/>
          <w:sz w:val="22"/>
          <w:lang w:val="fr-FR" w:eastAsia="en-CA"/>
        </w:rPr>
        <w:t>signifie qu’un</w:t>
      </w:r>
      <w:r w:rsidR="009B57F0" w:rsidRPr="008735FC">
        <w:rPr>
          <w:rFonts w:eastAsia="Times New Roman" w:cs="Times New Roman"/>
          <w:color w:val="000000"/>
          <w:kern w:val="22"/>
          <w:sz w:val="22"/>
          <w:lang w:val="fr-FR" w:eastAsia="en-CA"/>
        </w:rPr>
        <w:t xml:space="preserve"> </w:t>
      </w:r>
      <w:r w:rsidR="00E3674F" w:rsidRPr="008735FC">
        <w:rPr>
          <w:rFonts w:eastAsia="Times New Roman" w:cs="Times New Roman"/>
          <w:color w:val="000000"/>
          <w:kern w:val="22"/>
          <w:sz w:val="22"/>
          <w:lang w:val="fr-FR" w:eastAsia="en-CA"/>
        </w:rPr>
        <w:t>mécanisme</w:t>
      </w:r>
      <w:r w:rsidR="009B57F0" w:rsidRPr="008735FC">
        <w:rPr>
          <w:rFonts w:eastAsia="Times New Roman" w:cs="Times New Roman"/>
          <w:color w:val="000000"/>
          <w:kern w:val="22"/>
          <w:sz w:val="22"/>
          <w:lang w:val="fr-FR" w:eastAsia="en-CA"/>
        </w:rPr>
        <w:t xml:space="preserve"> </w:t>
      </w:r>
      <w:r w:rsidR="008D37D7">
        <w:rPr>
          <w:rFonts w:eastAsia="Times New Roman" w:cs="Times New Roman"/>
          <w:color w:val="000000"/>
          <w:kern w:val="22"/>
          <w:sz w:val="22"/>
          <w:lang w:val="fr-FR" w:eastAsia="en-CA"/>
        </w:rPr>
        <w:t xml:space="preserve">multilatéral mondial de partage des avantages </w:t>
      </w:r>
      <w:r w:rsidR="00C25985">
        <w:rPr>
          <w:rFonts w:eastAsia="Times New Roman" w:cs="Times New Roman"/>
          <w:color w:val="000000"/>
          <w:kern w:val="22"/>
          <w:sz w:val="22"/>
          <w:lang w:val="fr-FR" w:eastAsia="en-CA"/>
        </w:rPr>
        <w:t xml:space="preserve">est nécessaire dans les </w:t>
      </w:r>
      <w:r w:rsidR="00D04EC6" w:rsidRPr="008735FC">
        <w:rPr>
          <w:rFonts w:eastAsia="Times New Roman" w:cs="Times New Roman"/>
          <w:color w:val="000000"/>
          <w:kern w:val="22"/>
          <w:sz w:val="22"/>
          <w:lang w:val="fr-FR" w:eastAsia="en-CA"/>
        </w:rPr>
        <w:t>cas</w:t>
      </w:r>
      <w:r w:rsidR="00C25985">
        <w:rPr>
          <w:rFonts w:eastAsia="Times New Roman" w:cs="Times New Roman"/>
          <w:color w:val="000000"/>
          <w:kern w:val="22"/>
          <w:sz w:val="22"/>
          <w:lang w:val="fr-FR" w:eastAsia="en-CA"/>
        </w:rPr>
        <w:t xml:space="preserve"> où</w:t>
      </w:r>
      <w:r w:rsidR="008D37D7">
        <w:rPr>
          <w:rFonts w:eastAsia="Times New Roman" w:cs="Times New Roman"/>
          <w:color w:val="000000"/>
          <w:kern w:val="22"/>
          <w:sz w:val="22"/>
          <w:lang w:val="fr-FR" w:eastAsia="en-CA"/>
        </w:rPr>
        <w:t xml:space="preserve"> : </w:t>
      </w:r>
      <w:r w:rsidR="00AF0A79" w:rsidRPr="008735FC">
        <w:rPr>
          <w:rFonts w:eastAsia="Times New Roman" w:cs="Times New Roman"/>
          <w:color w:val="000000"/>
          <w:kern w:val="22"/>
          <w:sz w:val="22"/>
          <w:lang w:val="fr-FR" w:eastAsia="en-CA"/>
        </w:rPr>
        <w:t xml:space="preserve">1) </w:t>
      </w:r>
      <w:r w:rsidR="007D7761">
        <w:rPr>
          <w:rFonts w:eastAsia="Times New Roman" w:cs="Times New Roman"/>
          <w:color w:val="000000"/>
          <w:kern w:val="22"/>
          <w:sz w:val="22"/>
          <w:lang w:val="fr-FR" w:eastAsia="en-CA"/>
        </w:rPr>
        <w:t>il n’est pas possible</w:t>
      </w:r>
      <w:r w:rsidR="002B3989" w:rsidRPr="008735FC">
        <w:rPr>
          <w:rFonts w:eastAsia="Times New Roman" w:cs="Times New Roman"/>
          <w:color w:val="000000"/>
          <w:kern w:val="22"/>
          <w:sz w:val="22"/>
          <w:lang w:val="fr-FR" w:eastAsia="en-CA"/>
        </w:rPr>
        <w:t xml:space="preserve"> </w:t>
      </w:r>
      <w:r w:rsidR="00FB033A" w:rsidRPr="008735FC">
        <w:rPr>
          <w:rFonts w:eastAsia="Times New Roman" w:cs="Times New Roman"/>
          <w:color w:val="000000"/>
          <w:kern w:val="22"/>
          <w:sz w:val="22"/>
          <w:lang w:val="fr-FR" w:eastAsia="en-CA"/>
        </w:rPr>
        <w:t xml:space="preserve">d’accorder ou </w:t>
      </w:r>
      <w:r w:rsidR="000E3236" w:rsidRPr="008735FC">
        <w:rPr>
          <w:rFonts w:eastAsia="Times New Roman" w:cs="Times New Roman"/>
          <w:color w:val="000000"/>
          <w:kern w:val="22"/>
          <w:sz w:val="22"/>
          <w:lang w:val="fr-FR" w:eastAsia="en-CA"/>
        </w:rPr>
        <w:t xml:space="preserve">d’obtenir un </w:t>
      </w:r>
      <w:r w:rsidR="007D7761">
        <w:rPr>
          <w:rFonts w:eastAsia="Times New Roman" w:cs="Times New Roman"/>
          <w:color w:val="000000"/>
          <w:kern w:val="22"/>
          <w:sz w:val="22"/>
          <w:lang w:val="fr-FR" w:eastAsia="en-CA"/>
        </w:rPr>
        <w:t>consentement préalable donné en connaissance de cause</w:t>
      </w:r>
      <w:r w:rsidR="00C25985">
        <w:rPr>
          <w:rFonts w:eastAsia="Times New Roman" w:cs="Times New Roman"/>
          <w:color w:val="000000"/>
          <w:kern w:val="22"/>
          <w:sz w:val="22"/>
          <w:lang w:val="fr-FR" w:eastAsia="en-CA"/>
        </w:rPr>
        <w:t>, en raison du fait qu’un Etat a décidé de ne pas exiger un</w:t>
      </w:r>
      <w:r w:rsidR="009B57F0" w:rsidRPr="008735FC">
        <w:rPr>
          <w:rFonts w:eastAsia="Times New Roman" w:cs="Times New Roman"/>
          <w:color w:val="000000"/>
          <w:kern w:val="22"/>
          <w:sz w:val="22"/>
          <w:lang w:val="fr-FR" w:eastAsia="en-CA"/>
        </w:rPr>
        <w:t xml:space="preserve"> </w:t>
      </w:r>
      <w:r w:rsidR="00E3674F" w:rsidRPr="008735FC">
        <w:rPr>
          <w:rFonts w:eastAsia="Times New Roman" w:cs="Times New Roman"/>
          <w:color w:val="000000"/>
          <w:kern w:val="22"/>
          <w:sz w:val="22"/>
          <w:lang w:val="fr-FR" w:eastAsia="en-CA"/>
        </w:rPr>
        <w:t>consentement préalable donné en connaissance de cause</w:t>
      </w:r>
      <w:r w:rsidR="008D37D7">
        <w:rPr>
          <w:rFonts w:eastAsia="Times New Roman" w:cs="Times New Roman"/>
          <w:color w:val="000000"/>
          <w:kern w:val="22"/>
          <w:sz w:val="22"/>
          <w:lang w:val="fr-FR" w:eastAsia="en-CA"/>
        </w:rPr>
        <w:t> ;</w:t>
      </w:r>
      <w:r>
        <w:rPr>
          <w:rFonts w:eastAsia="Times New Roman" w:cs="Times New Roman"/>
          <w:color w:val="000000"/>
          <w:kern w:val="22"/>
          <w:sz w:val="22"/>
          <w:lang w:val="fr-FR" w:eastAsia="en-CA"/>
        </w:rPr>
        <w:t xml:space="preserve"> ou </w:t>
      </w:r>
      <w:r w:rsidR="00F1558E" w:rsidRPr="008735FC" w:rsidDel="007C4C2A">
        <w:rPr>
          <w:rFonts w:eastAsia="Times New Roman" w:cs="Times New Roman"/>
          <w:color w:val="000000"/>
          <w:kern w:val="22"/>
          <w:sz w:val="22"/>
          <w:lang w:val="fr-FR" w:eastAsia="en-CA"/>
        </w:rPr>
        <w:t xml:space="preserve">2) </w:t>
      </w:r>
      <w:r w:rsidR="00C25985">
        <w:rPr>
          <w:rFonts w:eastAsia="Times New Roman" w:cs="Times New Roman"/>
          <w:color w:val="000000"/>
          <w:kern w:val="22"/>
          <w:sz w:val="22"/>
          <w:lang w:val="fr-FR" w:eastAsia="en-CA"/>
        </w:rPr>
        <w:t xml:space="preserve">lorsque des </w:t>
      </w:r>
      <w:r w:rsidR="00934A20" w:rsidRPr="008735FC">
        <w:rPr>
          <w:rFonts w:eastAsia="Times New Roman" w:cs="Times New Roman"/>
          <w:color w:val="000000"/>
          <w:kern w:val="22"/>
          <w:sz w:val="22"/>
          <w:lang w:val="fr-FR" w:eastAsia="en-CA"/>
        </w:rPr>
        <w:t>Etats</w:t>
      </w:r>
      <w:r w:rsidR="005201E8" w:rsidRPr="008735FC">
        <w:rPr>
          <w:rFonts w:eastAsia="Times New Roman" w:cs="Times New Roman"/>
          <w:color w:val="000000"/>
          <w:kern w:val="22"/>
          <w:sz w:val="22"/>
          <w:lang w:val="fr-FR" w:eastAsia="en-CA"/>
        </w:rPr>
        <w:t xml:space="preserve"> </w:t>
      </w:r>
      <w:r w:rsidR="008D37D7">
        <w:rPr>
          <w:rFonts w:eastAsia="Times New Roman" w:cs="Times New Roman"/>
          <w:color w:val="000000"/>
          <w:kern w:val="22"/>
          <w:sz w:val="22"/>
          <w:lang w:val="fr-FR" w:eastAsia="en-CA"/>
        </w:rPr>
        <w:t>sont en train de mettre en place de</w:t>
      </w:r>
      <w:r w:rsidR="00C25985">
        <w:rPr>
          <w:rFonts w:eastAsia="Times New Roman" w:cs="Times New Roman"/>
          <w:color w:val="000000"/>
          <w:kern w:val="22"/>
          <w:sz w:val="22"/>
          <w:lang w:val="fr-FR" w:eastAsia="en-CA"/>
        </w:rPr>
        <w:t>s mesures sur l’accès et le partage des avantages</w:t>
      </w:r>
      <w:r w:rsidR="006E742F" w:rsidRPr="008735FC">
        <w:rPr>
          <w:rFonts w:eastAsia="Times New Roman" w:cs="Times New Roman"/>
          <w:color w:val="000000"/>
          <w:kern w:val="22"/>
          <w:sz w:val="22"/>
          <w:lang w:val="fr-FR" w:eastAsia="en-CA"/>
        </w:rPr>
        <w:t>.</w:t>
      </w:r>
      <w:r w:rsidR="005201E8" w:rsidRPr="008735FC">
        <w:rPr>
          <w:rFonts w:eastAsia="Times New Roman" w:cs="Times New Roman"/>
          <w:color w:val="000000"/>
          <w:kern w:val="22"/>
          <w:sz w:val="22"/>
          <w:lang w:val="fr-FR" w:eastAsia="en-CA"/>
        </w:rPr>
        <w:t xml:space="preserve"> </w:t>
      </w:r>
      <w:r w:rsidR="005C34C4" w:rsidRPr="008735FC">
        <w:rPr>
          <w:rFonts w:eastAsia="Times New Roman" w:cs="Times New Roman"/>
          <w:color w:val="000000"/>
          <w:kern w:val="22"/>
          <w:sz w:val="22"/>
          <w:lang w:val="fr-FR" w:eastAsia="en-CA"/>
        </w:rPr>
        <w:t xml:space="preserve"> </w:t>
      </w:r>
      <w:r w:rsidR="00E44E58" w:rsidRPr="008735FC">
        <w:rPr>
          <w:rFonts w:eastAsia="Times New Roman" w:cs="Times New Roman"/>
          <w:color w:val="000000"/>
          <w:kern w:val="22"/>
          <w:sz w:val="22"/>
          <w:lang w:val="fr-FR" w:eastAsia="en-CA"/>
        </w:rPr>
        <w:t xml:space="preserve"> </w:t>
      </w:r>
      <w:r w:rsidR="009969B2" w:rsidRPr="008735FC">
        <w:rPr>
          <w:rFonts w:eastAsia="Times New Roman" w:cs="Times New Roman"/>
          <w:color w:val="000000"/>
          <w:kern w:val="22"/>
          <w:sz w:val="22"/>
          <w:lang w:val="fr-FR" w:eastAsia="en-CA"/>
        </w:rPr>
        <w:t xml:space="preserve"> </w:t>
      </w:r>
      <w:r w:rsidR="004A0785" w:rsidRPr="008735FC">
        <w:rPr>
          <w:rFonts w:eastAsia="Times New Roman" w:cs="Times New Roman"/>
          <w:color w:val="000000"/>
          <w:kern w:val="22"/>
          <w:sz w:val="22"/>
          <w:lang w:val="fr-FR" w:eastAsia="en-CA"/>
        </w:rPr>
        <w:t xml:space="preserve"> </w:t>
      </w:r>
      <w:r w:rsidR="000F7990" w:rsidRPr="008735FC">
        <w:rPr>
          <w:rFonts w:eastAsia="Times New Roman" w:cs="Times New Roman"/>
          <w:color w:val="000000"/>
          <w:kern w:val="22"/>
          <w:sz w:val="22"/>
          <w:lang w:val="fr-FR" w:eastAsia="en-CA"/>
        </w:rPr>
        <w:t xml:space="preserve">   </w:t>
      </w:r>
      <w:r w:rsidR="00AC3CC4" w:rsidRPr="008735FC">
        <w:rPr>
          <w:rFonts w:eastAsia="Times New Roman" w:cs="Times New Roman"/>
          <w:color w:val="000000"/>
          <w:kern w:val="22"/>
          <w:sz w:val="22"/>
          <w:lang w:val="fr-FR" w:eastAsia="en-CA"/>
        </w:rPr>
        <w:t xml:space="preserve"> </w:t>
      </w:r>
      <w:r w:rsidR="00870E71" w:rsidRPr="008735FC">
        <w:rPr>
          <w:rFonts w:eastAsia="Times New Roman" w:cs="Times New Roman"/>
          <w:color w:val="000000"/>
          <w:kern w:val="22"/>
          <w:sz w:val="22"/>
          <w:lang w:val="fr-FR" w:eastAsia="en-CA"/>
        </w:rPr>
        <w:t xml:space="preserve"> </w:t>
      </w:r>
    </w:p>
    <w:p w14:paraId="2DF3E133" w14:textId="1DD40D8B" w:rsidR="00DB5669" w:rsidRPr="00436894" w:rsidRDefault="00436894" w:rsidP="3C81C91A">
      <w:pPr>
        <w:pBdr>
          <w:top w:val="nil"/>
          <w:left w:val="nil"/>
          <w:bottom w:val="nil"/>
          <w:right w:val="nil"/>
          <w:between w:val="nil"/>
        </w:pBdr>
        <w:spacing w:after="120"/>
        <w:rPr>
          <w:rFonts w:eastAsia="Times New Roman" w:cs="Times New Roman"/>
          <w:color w:val="000000"/>
          <w:kern w:val="22"/>
          <w:sz w:val="22"/>
          <w:lang w:val="fr-FR" w:eastAsia="en-CA"/>
        </w:rPr>
      </w:pPr>
      <w:r>
        <w:rPr>
          <w:rFonts w:eastAsia="Times New Roman" w:cs="Times New Roman"/>
          <w:color w:val="000000"/>
          <w:kern w:val="22"/>
          <w:sz w:val="22"/>
          <w:lang w:val="fr-FR" w:eastAsia="en-CA"/>
        </w:rPr>
        <w:t>Des informations sur</w:t>
      </w:r>
      <w:r w:rsidR="0049565B" w:rsidRPr="00FB033A">
        <w:rPr>
          <w:rFonts w:eastAsia="Times New Roman" w:cs="Times New Roman"/>
          <w:color w:val="000000"/>
          <w:kern w:val="22"/>
          <w:sz w:val="22"/>
          <w:lang w:val="fr-FR" w:eastAsia="en-CA"/>
        </w:rPr>
        <w:t xml:space="preserve"> </w:t>
      </w:r>
      <w:r w:rsidR="00E3674F" w:rsidRPr="00FB033A">
        <w:rPr>
          <w:rFonts w:eastAsia="Times New Roman" w:cs="Times New Roman"/>
          <w:color w:val="000000"/>
          <w:kern w:val="22"/>
          <w:sz w:val="22"/>
          <w:lang w:val="fr-FR" w:eastAsia="en-CA"/>
        </w:rPr>
        <w:t>des cas spécifiques</w:t>
      </w:r>
      <w:r w:rsidR="0049565B" w:rsidRPr="00FB033A">
        <w:rPr>
          <w:rFonts w:eastAsia="Times New Roman" w:cs="Times New Roman"/>
          <w:color w:val="000000"/>
          <w:kern w:val="22"/>
          <w:sz w:val="22"/>
          <w:lang w:val="fr-FR" w:eastAsia="en-CA"/>
        </w:rPr>
        <w:t xml:space="preserve"> </w:t>
      </w:r>
      <w:r w:rsidR="00D6232E">
        <w:rPr>
          <w:rFonts w:eastAsia="Times New Roman" w:cs="Times New Roman"/>
          <w:color w:val="000000"/>
          <w:kern w:val="22"/>
          <w:sz w:val="22"/>
          <w:lang w:val="fr-FR" w:eastAsia="en-CA"/>
        </w:rPr>
        <w:t>de ressources</w:t>
      </w:r>
      <w:r w:rsidR="00E3674F" w:rsidRPr="00FB033A">
        <w:rPr>
          <w:rFonts w:eastAsia="Times New Roman" w:cs="Times New Roman"/>
          <w:color w:val="000000"/>
          <w:kern w:val="22"/>
          <w:sz w:val="22"/>
          <w:lang w:val="fr-FR" w:eastAsia="en-CA"/>
        </w:rPr>
        <w:t xml:space="preserve"> génétiques et </w:t>
      </w:r>
      <w:r w:rsidR="008D37D7">
        <w:rPr>
          <w:rFonts w:eastAsia="Times New Roman" w:cs="Times New Roman"/>
          <w:color w:val="000000"/>
          <w:kern w:val="22"/>
          <w:sz w:val="22"/>
          <w:lang w:val="fr-FR" w:eastAsia="en-CA"/>
        </w:rPr>
        <w:t xml:space="preserve">de </w:t>
      </w:r>
      <w:r w:rsidR="00E3674F" w:rsidRPr="00FB033A">
        <w:rPr>
          <w:rFonts w:eastAsia="Times New Roman" w:cs="Times New Roman"/>
          <w:color w:val="000000"/>
          <w:kern w:val="22"/>
          <w:sz w:val="22"/>
          <w:lang w:val="fr-FR" w:eastAsia="en-CA"/>
        </w:rPr>
        <w:t>connaissances traditionnelles</w:t>
      </w:r>
      <w:r w:rsidR="0049565B" w:rsidRPr="00FB033A">
        <w:rPr>
          <w:rFonts w:eastAsia="Times New Roman" w:cs="Times New Roman"/>
          <w:color w:val="000000"/>
          <w:kern w:val="22"/>
          <w:sz w:val="22"/>
          <w:lang w:val="fr-FR" w:eastAsia="en-CA"/>
        </w:rPr>
        <w:t xml:space="preserve"> </w:t>
      </w:r>
      <w:r w:rsidR="00E3674F" w:rsidRPr="00FB033A">
        <w:rPr>
          <w:rFonts w:eastAsia="Times New Roman" w:cs="Times New Roman"/>
          <w:color w:val="000000"/>
          <w:kern w:val="22"/>
          <w:sz w:val="22"/>
          <w:lang w:val="fr-FR" w:eastAsia="en-CA"/>
        </w:rPr>
        <w:t>associées aux</w:t>
      </w:r>
      <w:r w:rsidR="0049565B" w:rsidRPr="00FB033A">
        <w:rPr>
          <w:rFonts w:eastAsia="Times New Roman" w:cs="Times New Roman"/>
          <w:color w:val="000000"/>
          <w:kern w:val="22"/>
          <w:sz w:val="22"/>
          <w:lang w:val="fr-FR" w:eastAsia="en-CA"/>
        </w:rPr>
        <w:t xml:space="preserve"> </w:t>
      </w:r>
      <w:r w:rsidR="00E3674F" w:rsidRPr="00FB033A">
        <w:rPr>
          <w:rFonts w:eastAsia="Times New Roman" w:cs="Times New Roman"/>
          <w:color w:val="000000"/>
          <w:kern w:val="22"/>
          <w:sz w:val="22"/>
          <w:lang w:val="fr-FR" w:eastAsia="en-CA"/>
        </w:rPr>
        <w:t>ressources génétiques</w:t>
      </w:r>
      <w:r w:rsidR="006030C1" w:rsidRPr="00FB033A">
        <w:rPr>
          <w:rFonts w:eastAsia="Times New Roman" w:cs="Times New Roman"/>
          <w:color w:val="000000"/>
          <w:kern w:val="22"/>
          <w:sz w:val="22"/>
          <w:lang w:val="fr-FR" w:eastAsia="en-CA"/>
        </w:rPr>
        <w:t xml:space="preserve"> </w:t>
      </w:r>
      <w:r w:rsidR="00651FB0">
        <w:rPr>
          <w:rFonts w:eastAsia="Times New Roman" w:cs="Times New Roman"/>
          <w:color w:val="000000"/>
          <w:kern w:val="22"/>
          <w:sz w:val="22"/>
          <w:lang w:val="fr-FR" w:eastAsia="en-CA"/>
        </w:rPr>
        <w:t>qui se trouvent</w:t>
      </w:r>
      <w:r w:rsidR="00FB033A" w:rsidRPr="00FB033A">
        <w:rPr>
          <w:rFonts w:eastAsia="Times New Roman" w:cs="Times New Roman"/>
          <w:color w:val="000000"/>
          <w:kern w:val="22"/>
          <w:sz w:val="22"/>
          <w:lang w:val="fr-FR" w:eastAsia="en-CA"/>
        </w:rPr>
        <w:t xml:space="preserve"> </w:t>
      </w:r>
      <w:r w:rsidR="002A127F">
        <w:rPr>
          <w:rFonts w:eastAsia="Times New Roman" w:cs="Times New Roman"/>
          <w:color w:val="000000"/>
          <w:kern w:val="22"/>
          <w:sz w:val="22"/>
          <w:lang w:val="fr-FR" w:eastAsia="en-CA"/>
        </w:rPr>
        <w:t>dans des situations</w:t>
      </w:r>
      <w:r w:rsidR="00E3674F" w:rsidRPr="00FB033A">
        <w:rPr>
          <w:rFonts w:eastAsia="Times New Roman" w:cs="Times New Roman"/>
          <w:color w:val="000000"/>
          <w:kern w:val="22"/>
          <w:sz w:val="22"/>
          <w:lang w:val="fr-FR" w:eastAsia="en-CA"/>
        </w:rPr>
        <w:t xml:space="preserve"> transfrontières</w:t>
      </w:r>
      <w:r w:rsidR="0049565B" w:rsidRPr="00FB033A">
        <w:rPr>
          <w:rFonts w:eastAsia="Times New Roman" w:cs="Times New Roman"/>
          <w:color w:val="000000"/>
          <w:kern w:val="22"/>
          <w:sz w:val="22"/>
          <w:lang w:val="fr-FR" w:eastAsia="en-CA"/>
        </w:rPr>
        <w:t xml:space="preserve"> </w:t>
      </w:r>
      <w:r w:rsidR="00755B2D">
        <w:rPr>
          <w:rFonts w:eastAsia="Times New Roman" w:cs="Times New Roman"/>
          <w:color w:val="000000"/>
          <w:kern w:val="22"/>
          <w:sz w:val="22"/>
          <w:lang w:val="fr-FR" w:eastAsia="en-CA"/>
        </w:rPr>
        <w:t>ou pour lesquelles</w:t>
      </w:r>
      <w:r w:rsidR="0020703A">
        <w:rPr>
          <w:rFonts w:eastAsia="Times New Roman" w:cs="Times New Roman"/>
          <w:color w:val="000000"/>
          <w:kern w:val="22"/>
          <w:sz w:val="22"/>
          <w:lang w:val="fr-FR" w:eastAsia="en-CA"/>
        </w:rPr>
        <w:t xml:space="preserve"> </w:t>
      </w:r>
      <w:r w:rsidR="007D7761">
        <w:rPr>
          <w:rFonts w:eastAsia="Times New Roman" w:cs="Times New Roman"/>
          <w:color w:val="000000"/>
          <w:kern w:val="22"/>
          <w:sz w:val="22"/>
          <w:lang w:val="fr-FR" w:eastAsia="en-CA"/>
        </w:rPr>
        <w:t>il n’est pas possible</w:t>
      </w:r>
      <w:r w:rsidR="0049565B" w:rsidRPr="00FB033A">
        <w:rPr>
          <w:rFonts w:eastAsia="Times New Roman" w:cs="Times New Roman"/>
          <w:color w:val="000000"/>
          <w:kern w:val="22"/>
          <w:sz w:val="22"/>
          <w:lang w:val="fr-FR" w:eastAsia="en-CA"/>
        </w:rPr>
        <w:t xml:space="preserve"> </w:t>
      </w:r>
      <w:r w:rsidR="00FB033A" w:rsidRPr="00FB033A">
        <w:rPr>
          <w:rFonts w:eastAsia="Times New Roman" w:cs="Times New Roman"/>
          <w:color w:val="000000"/>
          <w:kern w:val="22"/>
          <w:sz w:val="22"/>
          <w:lang w:val="fr-FR" w:eastAsia="en-CA"/>
        </w:rPr>
        <w:t xml:space="preserve">d’accorder ou </w:t>
      </w:r>
      <w:r w:rsidR="000E3236">
        <w:rPr>
          <w:rFonts w:eastAsia="Times New Roman" w:cs="Times New Roman"/>
          <w:color w:val="000000"/>
          <w:kern w:val="22"/>
          <w:sz w:val="22"/>
          <w:lang w:val="fr-FR" w:eastAsia="en-CA"/>
        </w:rPr>
        <w:t xml:space="preserve">d’obtenir un </w:t>
      </w:r>
      <w:r w:rsidR="007D7761">
        <w:rPr>
          <w:rFonts w:eastAsia="Times New Roman" w:cs="Times New Roman"/>
          <w:color w:val="000000"/>
          <w:kern w:val="22"/>
          <w:sz w:val="22"/>
          <w:lang w:val="fr-FR" w:eastAsia="en-CA"/>
        </w:rPr>
        <w:t>consentement préalable donné en connaissance de cause</w:t>
      </w:r>
      <w:r>
        <w:rPr>
          <w:rFonts w:eastAsia="Times New Roman" w:cs="Times New Roman"/>
          <w:color w:val="000000"/>
          <w:kern w:val="22"/>
          <w:sz w:val="22"/>
          <w:lang w:val="fr-FR" w:eastAsia="en-CA"/>
        </w:rPr>
        <w:t xml:space="preserve"> ont été</w:t>
      </w:r>
      <w:r w:rsidR="006B57A2">
        <w:rPr>
          <w:rFonts w:eastAsia="Times New Roman" w:cs="Times New Roman"/>
          <w:color w:val="000000"/>
          <w:kern w:val="22"/>
          <w:sz w:val="22"/>
          <w:lang w:val="fr-FR" w:eastAsia="en-CA"/>
        </w:rPr>
        <w:t xml:space="preserve"> </w:t>
      </w:r>
      <w:r w:rsidR="008D37D7">
        <w:rPr>
          <w:rFonts w:eastAsia="Times New Roman" w:cs="Times New Roman"/>
          <w:color w:val="000000"/>
          <w:kern w:val="22"/>
          <w:sz w:val="22"/>
          <w:lang w:val="fr-FR" w:eastAsia="en-CA"/>
        </w:rPr>
        <w:t>obtenues de façon</w:t>
      </w:r>
      <w:r>
        <w:rPr>
          <w:rFonts w:eastAsia="Times New Roman" w:cs="Times New Roman"/>
          <w:color w:val="000000"/>
          <w:kern w:val="22"/>
          <w:sz w:val="22"/>
          <w:lang w:val="fr-FR" w:eastAsia="en-CA"/>
        </w:rPr>
        <w:t xml:space="preserve"> accélérée par </w:t>
      </w:r>
      <w:r w:rsidR="00367430">
        <w:rPr>
          <w:rFonts w:eastAsia="Times New Roman" w:cs="Times New Roman"/>
          <w:color w:val="000000"/>
          <w:kern w:val="22"/>
          <w:sz w:val="22"/>
          <w:lang w:val="fr-FR" w:eastAsia="en-CA"/>
        </w:rPr>
        <w:t>les auteurs</w:t>
      </w:r>
      <w:r>
        <w:rPr>
          <w:rFonts w:eastAsia="Times New Roman" w:cs="Times New Roman"/>
          <w:color w:val="000000"/>
          <w:kern w:val="22"/>
          <w:sz w:val="22"/>
          <w:lang w:val="fr-FR" w:eastAsia="en-CA"/>
        </w:rPr>
        <w:t xml:space="preserve"> entre la fin décembre</w:t>
      </w:r>
      <w:r w:rsidR="0049565B" w:rsidRPr="00FB033A">
        <w:rPr>
          <w:rFonts w:eastAsia="Times New Roman" w:cs="Times New Roman"/>
          <w:color w:val="000000"/>
          <w:kern w:val="22"/>
          <w:sz w:val="22"/>
          <w:lang w:val="fr-FR" w:eastAsia="en-CA"/>
        </w:rPr>
        <w:t xml:space="preserve"> 2019</w:t>
      </w:r>
      <w:r w:rsidR="008D37D7">
        <w:rPr>
          <w:rFonts w:eastAsia="Times New Roman" w:cs="Times New Roman"/>
          <w:color w:val="000000"/>
          <w:kern w:val="22"/>
          <w:sz w:val="22"/>
          <w:lang w:val="fr-FR" w:eastAsia="en-CA"/>
        </w:rPr>
        <w:t xml:space="preserve"> et</w:t>
      </w:r>
      <w:r>
        <w:rPr>
          <w:rFonts w:eastAsia="Times New Roman" w:cs="Times New Roman"/>
          <w:color w:val="000000"/>
          <w:kern w:val="22"/>
          <w:sz w:val="22"/>
          <w:lang w:val="fr-FR" w:eastAsia="en-CA"/>
        </w:rPr>
        <w:t xml:space="preserve"> la fin février</w:t>
      </w:r>
      <w:r w:rsidR="008D37D7">
        <w:rPr>
          <w:rFonts w:eastAsia="Times New Roman" w:cs="Times New Roman"/>
          <w:color w:val="000000"/>
          <w:kern w:val="22"/>
          <w:sz w:val="22"/>
          <w:lang w:val="fr-FR" w:eastAsia="en-CA"/>
        </w:rPr>
        <w:t xml:space="preserve"> 2020. Les deux </w:t>
      </w:r>
      <w:r w:rsidR="008D37D7">
        <w:rPr>
          <w:rFonts w:eastAsia="Times New Roman" w:cs="Times New Roman"/>
          <w:color w:val="000000"/>
          <w:kern w:val="22"/>
          <w:sz w:val="22"/>
          <w:lang w:val="fr-FR" w:eastAsia="en-CA"/>
        </w:rPr>
        <w:lastRenderedPageBreak/>
        <w:t>auteurs ont aussi participé</w:t>
      </w:r>
      <w:r>
        <w:rPr>
          <w:rFonts w:eastAsia="Times New Roman" w:cs="Times New Roman"/>
          <w:color w:val="000000"/>
          <w:kern w:val="22"/>
          <w:sz w:val="22"/>
          <w:lang w:val="fr-FR" w:eastAsia="en-CA"/>
        </w:rPr>
        <w:t xml:space="preserve"> à la deuxième </w:t>
      </w:r>
      <w:r w:rsidR="00E3674F" w:rsidRPr="00436894">
        <w:rPr>
          <w:rFonts w:eastAsia="Times New Roman" w:cs="Times New Roman"/>
          <w:color w:val="000000"/>
          <w:kern w:val="22"/>
          <w:sz w:val="22"/>
          <w:lang w:val="fr-FR" w:eastAsia="en-CA"/>
        </w:rPr>
        <w:t>réunion</w:t>
      </w:r>
      <w:r>
        <w:rPr>
          <w:rFonts w:eastAsia="Times New Roman" w:cs="Times New Roman"/>
          <w:color w:val="000000"/>
          <w:kern w:val="22"/>
          <w:sz w:val="22"/>
          <w:lang w:val="fr-FR" w:eastAsia="en-CA"/>
        </w:rPr>
        <w:t xml:space="preserve"> du</w:t>
      </w:r>
      <w:r w:rsidR="00561DFE" w:rsidRPr="00436894">
        <w:rPr>
          <w:rFonts w:eastAsia="Times New Roman" w:cs="Times New Roman"/>
          <w:color w:val="000000"/>
          <w:kern w:val="22"/>
          <w:sz w:val="22"/>
          <w:lang w:val="fr-FR" w:eastAsia="en-CA"/>
        </w:rPr>
        <w:t xml:space="preserve"> </w:t>
      </w:r>
      <w:r>
        <w:rPr>
          <w:rFonts w:eastAsia="Times New Roman" w:cs="Times New Roman"/>
          <w:color w:val="000000"/>
          <w:kern w:val="22"/>
          <w:sz w:val="22"/>
          <w:lang w:val="fr-FR" w:eastAsia="en-CA"/>
        </w:rPr>
        <w:t>Groupe de travail spécial sur le cadre mondial de la biodiversité pour l’après-2020</w:t>
      </w:r>
      <w:r w:rsidR="008D37D7">
        <w:rPr>
          <w:rFonts w:eastAsia="Times New Roman" w:cs="Times New Roman"/>
          <w:color w:val="000000"/>
          <w:kern w:val="22"/>
          <w:sz w:val="22"/>
          <w:lang w:val="fr-FR" w:eastAsia="en-CA"/>
        </w:rPr>
        <w:t>,</w:t>
      </w:r>
      <w:r w:rsidR="00561DFE" w:rsidRPr="00436894">
        <w:rPr>
          <w:rFonts w:eastAsia="Times New Roman" w:cs="Times New Roman"/>
          <w:color w:val="000000"/>
          <w:kern w:val="22"/>
          <w:sz w:val="22"/>
          <w:lang w:val="fr-FR" w:eastAsia="en-CA"/>
        </w:rPr>
        <w:t xml:space="preserve"> </w:t>
      </w:r>
      <w:r w:rsidR="008D37D7">
        <w:rPr>
          <w:rFonts w:eastAsia="Times New Roman" w:cs="Times New Roman"/>
          <w:color w:val="000000"/>
          <w:kern w:val="22"/>
          <w:sz w:val="22"/>
          <w:lang w:val="fr-FR" w:eastAsia="en-CA"/>
        </w:rPr>
        <w:t>afin d’effectue</w:t>
      </w:r>
      <w:r>
        <w:rPr>
          <w:rFonts w:eastAsia="Times New Roman" w:cs="Times New Roman"/>
          <w:color w:val="000000"/>
          <w:kern w:val="22"/>
          <w:sz w:val="22"/>
          <w:lang w:val="fr-FR" w:eastAsia="en-CA"/>
        </w:rPr>
        <w:t xml:space="preserve">r des </w:t>
      </w:r>
      <w:r w:rsidR="00FB0054" w:rsidRPr="00436894">
        <w:rPr>
          <w:rFonts w:eastAsia="Times New Roman" w:cs="Times New Roman"/>
          <w:color w:val="000000"/>
          <w:kern w:val="22"/>
          <w:sz w:val="22"/>
          <w:lang w:val="fr-FR" w:eastAsia="en-CA"/>
        </w:rPr>
        <w:t>entretien</w:t>
      </w:r>
      <w:r>
        <w:rPr>
          <w:rFonts w:eastAsia="Times New Roman" w:cs="Times New Roman"/>
          <w:color w:val="000000"/>
          <w:kern w:val="22"/>
          <w:sz w:val="22"/>
          <w:lang w:val="fr-FR" w:eastAsia="en-CA"/>
        </w:rPr>
        <w:t>s</w:t>
      </w:r>
      <w:r w:rsidR="00FB0054" w:rsidRPr="00436894">
        <w:rPr>
          <w:rFonts w:eastAsia="Times New Roman" w:cs="Times New Roman"/>
          <w:color w:val="000000"/>
          <w:kern w:val="22"/>
          <w:sz w:val="22"/>
          <w:lang w:val="fr-FR" w:eastAsia="en-CA"/>
        </w:rPr>
        <w:t xml:space="preserve"> </w:t>
      </w:r>
      <w:r w:rsidR="008D7FDA">
        <w:rPr>
          <w:rFonts w:eastAsia="Times New Roman" w:cs="Times New Roman"/>
          <w:color w:val="000000"/>
          <w:kern w:val="22"/>
          <w:sz w:val="22"/>
          <w:lang w:val="fr-FR" w:eastAsia="en-CA"/>
        </w:rPr>
        <w:t>en personne</w:t>
      </w:r>
      <w:r w:rsidR="00561DFE" w:rsidRPr="00436894">
        <w:rPr>
          <w:rFonts w:eastAsia="Times New Roman" w:cs="Times New Roman"/>
          <w:color w:val="000000"/>
          <w:kern w:val="22"/>
          <w:sz w:val="22"/>
          <w:lang w:val="fr-FR" w:eastAsia="en-CA"/>
        </w:rPr>
        <w:t xml:space="preserve">. </w:t>
      </w:r>
    </w:p>
    <w:p w14:paraId="4B299DE0" w14:textId="56006230" w:rsidR="0049565B" w:rsidRPr="007732EE" w:rsidRDefault="00367430" w:rsidP="3C81C91A">
      <w:pPr>
        <w:pBdr>
          <w:top w:val="nil"/>
          <w:left w:val="nil"/>
          <w:bottom w:val="nil"/>
          <w:right w:val="nil"/>
          <w:between w:val="nil"/>
        </w:pBdr>
        <w:spacing w:after="120"/>
        <w:rPr>
          <w:rFonts w:eastAsia="Times New Roman" w:cs="Times New Roman"/>
          <w:color w:val="000000"/>
          <w:kern w:val="22"/>
          <w:sz w:val="22"/>
          <w:lang w:val="fr-FR" w:eastAsia="en-CA"/>
        </w:rPr>
      </w:pPr>
      <w:r w:rsidRPr="00C06081">
        <w:rPr>
          <w:rFonts w:eastAsia="Times New Roman" w:cs="Times New Roman"/>
          <w:color w:val="000000"/>
          <w:kern w:val="22"/>
          <w:sz w:val="22"/>
          <w:lang w:val="fr-FR" w:eastAsia="en-CA"/>
        </w:rPr>
        <w:t>Les auteurs</w:t>
      </w:r>
      <w:r w:rsidR="45EAF8B4" w:rsidRPr="00C06081">
        <w:rPr>
          <w:rFonts w:eastAsia="Times New Roman" w:cs="Times New Roman"/>
          <w:color w:val="000000"/>
          <w:kern w:val="22"/>
          <w:sz w:val="22"/>
          <w:lang w:val="fr-FR" w:eastAsia="en-CA"/>
        </w:rPr>
        <w:t xml:space="preserve"> </w:t>
      </w:r>
      <w:r w:rsidR="00C06081" w:rsidRPr="00C06081">
        <w:rPr>
          <w:rFonts w:eastAsia="Times New Roman" w:cs="Times New Roman"/>
          <w:color w:val="000000"/>
          <w:kern w:val="22"/>
          <w:sz w:val="22"/>
          <w:lang w:val="fr-FR" w:eastAsia="en-CA"/>
        </w:rPr>
        <w:t>ont</w:t>
      </w:r>
      <w:r w:rsidR="006B57A2">
        <w:rPr>
          <w:rFonts w:eastAsia="Times New Roman" w:cs="Times New Roman"/>
          <w:color w:val="000000"/>
          <w:kern w:val="22"/>
          <w:sz w:val="22"/>
          <w:lang w:val="fr-FR" w:eastAsia="en-CA"/>
        </w:rPr>
        <w:t xml:space="preserve"> effectué</w:t>
      </w:r>
      <w:r w:rsidR="00C06081" w:rsidRPr="00C06081">
        <w:rPr>
          <w:rFonts w:eastAsia="Times New Roman" w:cs="Times New Roman"/>
          <w:color w:val="000000"/>
          <w:kern w:val="22"/>
          <w:sz w:val="22"/>
          <w:lang w:val="fr-FR" w:eastAsia="en-CA"/>
        </w:rPr>
        <w:t xml:space="preserve"> des</w:t>
      </w:r>
      <w:r w:rsidR="0049565B" w:rsidRPr="00C06081">
        <w:rPr>
          <w:rFonts w:eastAsia="Times New Roman" w:cs="Times New Roman"/>
          <w:color w:val="000000"/>
          <w:kern w:val="22"/>
          <w:sz w:val="22"/>
          <w:lang w:val="fr-FR" w:eastAsia="en-CA"/>
        </w:rPr>
        <w:t xml:space="preserve"> </w:t>
      </w:r>
      <w:r w:rsidR="00FB0054" w:rsidRPr="00C06081">
        <w:rPr>
          <w:rFonts w:eastAsia="Times New Roman" w:cs="Times New Roman"/>
          <w:color w:val="000000"/>
          <w:kern w:val="22"/>
          <w:sz w:val="22"/>
          <w:lang w:val="fr-FR" w:eastAsia="en-CA"/>
        </w:rPr>
        <w:t>entretien</w:t>
      </w:r>
      <w:r w:rsidR="0049565B" w:rsidRPr="00C06081">
        <w:rPr>
          <w:rFonts w:eastAsia="Times New Roman" w:cs="Times New Roman"/>
          <w:color w:val="000000"/>
          <w:kern w:val="22"/>
          <w:sz w:val="22"/>
          <w:lang w:val="fr-FR" w:eastAsia="en-CA"/>
        </w:rPr>
        <w:t>s</w:t>
      </w:r>
      <w:r w:rsidR="006B57A2">
        <w:rPr>
          <w:rFonts w:eastAsia="Times New Roman" w:cs="Times New Roman"/>
          <w:color w:val="000000"/>
          <w:kern w:val="22"/>
          <w:sz w:val="22"/>
          <w:lang w:val="fr-FR" w:eastAsia="en-CA"/>
        </w:rPr>
        <w:t xml:space="preserve"> avec</w:t>
      </w:r>
      <w:r w:rsidR="00D6232E" w:rsidRPr="00C06081">
        <w:rPr>
          <w:rFonts w:eastAsia="Times New Roman" w:cs="Times New Roman"/>
          <w:color w:val="000000"/>
          <w:kern w:val="22"/>
          <w:sz w:val="22"/>
          <w:lang w:val="fr-FR" w:eastAsia="en-CA"/>
        </w:rPr>
        <w:t xml:space="preserve"> </w:t>
      </w:r>
      <w:r w:rsidR="00A2273D" w:rsidRPr="00C06081">
        <w:rPr>
          <w:rFonts w:eastAsia="Times New Roman" w:cs="Times New Roman"/>
          <w:color w:val="000000"/>
          <w:kern w:val="22"/>
          <w:sz w:val="22"/>
          <w:lang w:val="fr-FR" w:eastAsia="en-CA"/>
        </w:rPr>
        <w:t>3</w:t>
      </w:r>
      <w:r w:rsidR="00EA1A2C" w:rsidRPr="00C06081">
        <w:rPr>
          <w:rFonts w:eastAsia="Times New Roman" w:cs="Times New Roman"/>
          <w:color w:val="000000"/>
          <w:kern w:val="22"/>
          <w:sz w:val="22"/>
          <w:lang w:val="fr-FR" w:eastAsia="en-CA"/>
        </w:rPr>
        <w:t>3</w:t>
      </w:r>
      <w:r w:rsidR="00561DFE" w:rsidRPr="00C06081">
        <w:rPr>
          <w:rFonts w:eastAsia="Times New Roman" w:cs="Times New Roman"/>
          <w:color w:val="000000"/>
          <w:kern w:val="22"/>
          <w:sz w:val="22"/>
          <w:lang w:val="fr-FR" w:eastAsia="en-CA"/>
        </w:rPr>
        <w:t xml:space="preserve"> </w:t>
      </w:r>
      <w:r w:rsidR="006764ED" w:rsidRPr="00C06081">
        <w:rPr>
          <w:rFonts w:eastAsia="Times New Roman" w:cs="Times New Roman"/>
          <w:color w:val="000000"/>
          <w:kern w:val="22"/>
          <w:sz w:val="22"/>
          <w:lang w:val="fr-FR" w:eastAsia="en-CA"/>
        </w:rPr>
        <w:t xml:space="preserve">experts </w:t>
      </w:r>
      <w:r w:rsidR="00C06081" w:rsidRPr="00C06081">
        <w:rPr>
          <w:rFonts w:eastAsia="Times New Roman" w:cs="Times New Roman"/>
          <w:color w:val="000000"/>
          <w:kern w:val="22"/>
          <w:sz w:val="22"/>
          <w:lang w:val="fr-FR" w:eastAsia="en-CA"/>
        </w:rPr>
        <w:t xml:space="preserve">venant de plus </w:t>
      </w:r>
      <w:r w:rsidR="00C06081">
        <w:rPr>
          <w:rFonts w:eastAsia="Times New Roman" w:cs="Times New Roman"/>
          <w:color w:val="000000"/>
          <w:kern w:val="22"/>
          <w:sz w:val="22"/>
          <w:lang w:val="fr-FR" w:eastAsia="en-CA"/>
        </w:rPr>
        <w:t xml:space="preserve">de </w:t>
      </w:r>
      <w:r w:rsidR="00A2273D" w:rsidRPr="00C06081">
        <w:rPr>
          <w:rFonts w:eastAsia="Times New Roman" w:cs="Times New Roman"/>
          <w:color w:val="000000"/>
          <w:kern w:val="22"/>
          <w:sz w:val="22"/>
          <w:lang w:val="fr-FR" w:eastAsia="en-CA"/>
        </w:rPr>
        <w:t>25</w:t>
      </w:r>
      <w:r w:rsidR="0049565B" w:rsidRPr="00C06081">
        <w:rPr>
          <w:rFonts w:eastAsia="Times New Roman" w:cs="Times New Roman"/>
          <w:color w:val="000000"/>
          <w:kern w:val="22"/>
          <w:sz w:val="22"/>
          <w:lang w:val="fr-FR" w:eastAsia="en-CA"/>
        </w:rPr>
        <w:t xml:space="preserve"> </w:t>
      </w:r>
      <w:r w:rsidR="00E40444" w:rsidRPr="00C06081">
        <w:rPr>
          <w:rFonts w:eastAsia="Times New Roman" w:cs="Times New Roman"/>
          <w:color w:val="000000"/>
          <w:kern w:val="22"/>
          <w:sz w:val="22"/>
          <w:lang w:val="fr-FR" w:eastAsia="en-CA"/>
        </w:rPr>
        <w:t>pays</w:t>
      </w:r>
      <w:r w:rsidR="00C06081">
        <w:rPr>
          <w:rFonts w:eastAsia="Times New Roman" w:cs="Times New Roman"/>
          <w:color w:val="000000"/>
          <w:kern w:val="22"/>
          <w:sz w:val="22"/>
          <w:lang w:val="fr-FR" w:eastAsia="en-CA"/>
        </w:rPr>
        <w:t>, ayant des</w:t>
      </w:r>
      <w:r w:rsidR="006764ED" w:rsidRPr="00C06081">
        <w:rPr>
          <w:rFonts w:eastAsia="Times New Roman" w:cs="Times New Roman"/>
          <w:color w:val="000000"/>
          <w:kern w:val="22"/>
          <w:sz w:val="22"/>
          <w:lang w:val="fr-FR" w:eastAsia="en-CA"/>
        </w:rPr>
        <w:t xml:space="preserve"> </w:t>
      </w:r>
      <w:r w:rsidR="005C70CA" w:rsidRPr="00C06081">
        <w:rPr>
          <w:rFonts w:eastAsia="Times New Roman" w:cs="Times New Roman"/>
          <w:color w:val="000000"/>
          <w:kern w:val="22"/>
          <w:sz w:val="22"/>
          <w:lang w:val="fr-FR" w:eastAsia="en-CA"/>
        </w:rPr>
        <w:t>connaissances</w:t>
      </w:r>
      <w:r w:rsidR="00C06081">
        <w:rPr>
          <w:rFonts w:eastAsia="Times New Roman" w:cs="Times New Roman"/>
          <w:color w:val="000000"/>
          <w:kern w:val="22"/>
          <w:sz w:val="22"/>
          <w:lang w:val="fr-FR" w:eastAsia="en-CA"/>
        </w:rPr>
        <w:t xml:space="preserve"> spécifi</w:t>
      </w:r>
      <w:r w:rsidR="006B57A2">
        <w:rPr>
          <w:rFonts w:eastAsia="Times New Roman" w:cs="Times New Roman"/>
          <w:color w:val="000000"/>
          <w:kern w:val="22"/>
          <w:sz w:val="22"/>
          <w:lang w:val="fr-FR" w:eastAsia="en-CA"/>
        </w:rPr>
        <w:t>ques sur les questions abordées dans</w:t>
      </w:r>
      <w:r w:rsidR="00C06081">
        <w:rPr>
          <w:rFonts w:eastAsia="Times New Roman" w:cs="Times New Roman"/>
          <w:color w:val="000000"/>
          <w:kern w:val="22"/>
          <w:sz w:val="22"/>
          <w:lang w:val="fr-FR" w:eastAsia="en-CA"/>
        </w:rPr>
        <w:t xml:space="preserve"> l’</w:t>
      </w:r>
      <w:r w:rsidR="00FD73A5" w:rsidRPr="00C06081">
        <w:rPr>
          <w:rFonts w:eastAsia="Times New Roman" w:cs="Times New Roman"/>
          <w:color w:val="000000"/>
          <w:kern w:val="22"/>
          <w:sz w:val="22"/>
          <w:lang w:val="fr-FR" w:eastAsia="en-CA"/>
        </w:rPr>
        <w:t>article</w:t>
      </w:r>
      <w:r w:rsidR="00561DFE" w:rsidRPr="00C06081">
        <w:rPr>
          <w:rFonts w:eastAsia="Times New Roman" w:cs="Times New Roman"/>
          <w:color w:val="000000"/>
          <w:kern w:val="22"/>
          <w:sz w:val="22"/>
          <w:lang w:val="fr-FR" w:eastAsia="en-CA"/>
        </w:rPr>
        <w:t xml:space="preserve"> 10</w:t>
      </w:r>
      <w:r w:rsidR="00C06081">
        <w:rPr>
          <w:rFonts w:eastAsia="Times New Roman" w:cs="Times New Roman"/>
          <w:color w:val="000000"/>
          <w:kern w:val="22"/>
          <w:sz w:val="22"/>
          <w:lang w:val="fr-FR" w:eastAsia="en-CA"/>
        </w:rPr>
        <w:t xml:space="preserve">, afin </w:t>
      </w:r>
      <w:r w:rsidR="006B57A2">
        <w:rPr>
          <w:rFonts w:eastAsia="Times New Roman" w:cs="Times New Roman"/>
          <w:color w:val="000000"/>
          <w:kern w:val="22"/>
          <w:sz w:val="22"/>
          <w:lang w:val="fr-FR" w:eastAsia="en-CA"/>
        </w:rPr>
        <w:t>d’améliorer l’identification de</w:t>
      </w:r>
      <w:r w:rsidR="00E3674F" w:rsidRPr="00C06081">
        <w:rPr>
          <w:rFonts w:eastAsia="Times New Roman" w:cs="Times New Roman"/>
          <w:color w:val="000000"/>
          <w:kern w:val="22"/>
          <w:sz w:val="22"/>
          <w:lang w:val="fr-FR" w:eastAsia="en-CA"/>
        </w:rPr>
        <w:t xml:space="preserve"> cas spécifiques</w:t>
      </w:r>
      <w:r w:rsidR="007732EE">
        <w:rPr>
          <w:rFonts w:eastAsia="Times New Roman" w:cs="Times New Roman"/>
          <w:color w:val="000000"/>
          <w:kern w:val="22"/>
          <w:sz w:val="22"/>
          <w:lang w:val="fr-FR" w:eastAsia="en-CA"/>
        </w:rPr>
        <w:t xml:space="preserve"> </w:t>
      </w:r>
      <w:r w:rsidR="00C06081">
        <w:rPr>
          <w:rFonts w:eastAsia="Times New Roman" w:cs="Times New Roman"/>
          <w:color w:val="000000"/>
          <w:kern w:val="22"/>
          <w:sz w:val="22"/>
          <w:lang w:val="fr-FR" w:eastAsia="en-CA"/>
        </w:rPr>
        <w:t>pertinents</w:t>
      </w:r>
      <w:r w:rsidR="0049565B" w:rsidRPr="00C06081">
        <w:rPr>
          <w:rFonts w:eastAsia="Times New Roman" w:cs="Times New Roman"/>
          <w:color w:val="000000"/>
          <w:kern w:val="22"/>
          <w:sz w:val="22"/>
          <w:lang w:val="fr-FR" w:eastAsia="en-CA"/>
        </w:rPr>
        <w:t>.</w:t>
      </w:r>
      <w:r w:rsidR="0049565B" w:rsidRPr="002364AB">
        <w:rPr>
          <w:rStyle w:val="FootnoteReference"/>
          <w:kern w:val="22"/>
          <w:sz w:val="22"/>
          <w:lang w:val="en-GB"/>
        </w:rPr>
        <w:footnoteReference w:id="18"/>
      </w:r>
      <w:r w:rsidR="0049565B" w:rsidRPr="00C06081">
        <w:rPr>
          <w:rFonts w:eastAsia="Times New Roman" w:cs="Times New Roman"/>
          <w:color w:val="000000"/>
          <w:kern w:val="22"/>
          <w:sz w:val="22"/>
          <w:lang w:val="fr-FR" w:eastAsia="en-CA"/>
        </w:rPr>
        <w:t xml:space="preserve"> </w:t>
      </w:r>
      <w:r w:rsidR="00C06081">
        <w:rPr>
          <w:rFonts w:eastAsia="Times New Roman" w:cs="Times New Roman"/>
          <w:color w:val="000000"/>
          <w:kern w:val="22"/>
          <w:sz w:val="22"/>
          <w:lang w:val="fr-FR" w:eastAsia="en-CA"/>
        </w:rPr>
        <w:t>L</w:t>
      </w:r>
      <w:r w:rsidR="0049565B" w:rsidRPr="00830BE4">
        <w:rPr>
          <w:rFonts w:eastAsia="Times New Roman" w:cs="Times New Roman"/>
          <w:color w:val="000000"/>
          <w:kern w:val="22"/>
          <w:sz w:val="22"/>
          <w:lang w:val="fr-FR" w:eastAsia="en-CA"/>
        </w:rPr>
        <w:t>e</w:t>
      </w:r>
      <w:r w:rsidR="00C06081">
        <w:rPr>
          <w:rFonts w:eastAsia="Times New Roman" w:cs="Times New Roman"/>
          <w:color w:val="000000"/>
          <w:kern w:val="22"/>
          <w:sz w:val="22"/>
          <w:lang w:val="fr-FR" w:eastAsia="en-CA"/>
        </w:rPr>
        <w:t>s</w:t>
      </w:r>
      <w:r w:rsidR="0049565B" w:rsidRPr="00830BE4">
        <w:rPr>
          <w:rFonts w:eastAsia="Times New Roman" w:cs="Times New Roman"/>
          <w:color w:val="000000"/>
          <w:kern w:val="22"/>
          <w:sz w:val="22"/>
          <w:lang w:val="fr-FR" w:eastAsia="en-CA"/>
        </w:rPr>
        <w:t xml:space="preserve"> </w:t>
      </w:r>
      <w:r w:rsidR="00C06081">
        <w:rPr>
          <w:rFonts w:eastAsia="Times New Roman" w:cs="Times New Roman"/>
          <w:color w:val="000000"/>
          <w:kern w:val="22"/>
          <w:sz w:val="22"/>
          <w:lang w:val="fr-FR" w:eastAsia="en-CA"/>
        </w:rPr>
        <w:t>personnes interviewées incluent des</w:t>
      </w:r>
      <w:r w:rsidR="0049565B" w:rsidRPr="00830BE4">
        <w:rPr>
          <w:rFonts w:eastAsia="Times New Roman" w:cs="Times New Roman"/>
          <w:color w:val="000000"/>
          <w:kern w:val="22"/>
          <w:sz w:val="22"/>
          <w:lang w:val="fr-FR" w:eastAsia="en-CA"/>
        </w:rPr>
        <w:t xml:space="preserve"> </w:t>
      </w:r>
      <w:r w:rsidR="00C06081">
        <w:rPr>
          <w:rFonts w:eastAsia="Times New Roman" w:cs="Times New Roman"/>
          <w:color w:val="000000"/>
          <w:kern w:val="22"/>
          <w:sz w:val="22"/>
          <w:lang w:val="fr-FR" w:eastAsia="en-CA"/>
        </w:rPr>
        <w:t>correspondants nationaux</w:t>
      </w:r>
      <w:r w:rsidR="006B57A2">
        <w:rPr>
          <w:rFonts w:eastAsia="Times New Roman" w:cs="Times New Roman"/>
          <w:color w:val="000000"/>
          <w:kern w:val="22"/>
          <w:sz w:val="22"/>
          <w:lang w:val="fr-FR" w:eastAsia="en-CA"/>
        </w:rPr>
        <w:t xml:space="preserve"> </w:t>
      </w:r>
      <w:r w:rsidR="00E3674F" w:rsidRPr="00830BE4">
        <w:rPr>
          <w:rFonts w:eastAsia="Times New Roman" w:cs="Times New Roman"/>
          <w:color w:val="000000"/>
          <w:kern w:val="22"/>
          <w:sz w:val="22"/>
          <w:lang w:val="fr-FR" w:eastAsia="en-CA"/>
        </w:rPr>
        <w:t xml:space="preserve">et </w:t>
      </w:r>
      <w:r w:rsidR="006B57A2">
        <w:rPr>
          <w:rFonts w:eastAsia="Times New Roman" w:cs="Times New Roman"/>
          <w:color w:val="000000"/>
          <w:kern w:val="22"/>
          <w:sz w:val="22"/>
          <w:lang w:val="fr-FR" w:eastAsia="en-CA"/>
        </w:rPr>
        <w:t xml:space="preserve">d’autres membres de </w:t>
      </w:r>
      <w:r w:rsidR="00FB0054" w:rsidRPr="00830BE4">
        <w:rPr>
          <w:rFonts w:eastAsia="Times New Roman" w:cs="Times New Roman"/>
          <w:color w:val="000000"/>
          <w:kern w:val="22"/>
          <w:sz w:val="22"/>
          <w:lang w:val="fr-FR" w:eastAsia="en-CA"/>
        </w:rPr>
        <w:t>gouvernement</w:t>
      </w:r>
      <w:r w:rsidR="00C06081">
        <w:rPr>
          <w:rFonts w:eastAsia="Times New Roman" w:cs="Times New Roman"/>
          <w:color w:val="000000"/>
          <w:kern w:val="22"/>
          <w:sz w:val="22"/>
          <w:lang w:val="fr-FR" w:eastAsia="en-CA"/>
        </w:rPr>
        <w:t xml:space="preserve"> dans un certain nombre de </w:t>
      </w:r>
      <w:r w:rsidR="00E40444" w:rsidRPr="00830BE4">
        <w:rPr>
          <w:rFonts w:eastAsia="Times New Roman" w:cs="Times New Roman"/>
          <w:color w:val="000000"/>
          <w:kern w:val="22"/>
          <w:sz w:val="22"/>
          <w:lang w:val="fr-FR" w:eastAsia="en-CA"/>
        </w:rPr>
        <w:t>pays</w:t>
      </w:r>
      <w:r w:rsidR="0049565B" w:rsidRPr="00830BE4">
        <w:rPr>
          <w:rFonts w:eastAsia="Times New Roman" w:cs="Times New Roman"/>
          <w:color w:val="000000"/>
          <w:kern w:val="22"/>
          <w:sz w:val="22"/>
          <w:lang w:val="fr-FR" w:eastAsia="en-CA"/>
        </w:rPr>
        <w:t xml:space="preserve">, </w:t>
      </w:r>
      <w:r w:rsidR="00C06081">
        <w:rPr>
          <w:rFonts w:eastAsia="Times New Roman" w:cs="Times New Roman"/>
          <w:color w:val="000000"/>
          <w:kern w:val="22"/>
          <w:sz w:val="22"/>
          <w:lang w:val="fr-FR" w:eastAsia="en-CA"/>
        </w:rPr>
        <w:t>ainsi que</w:t>
      </w:r>
      <w:r w:rsidR="0049565B" w:rsidRPr="00830BE4">
        <w:rPr>
          <w:rFonts w:eastAsia="Times New Roman" w:cs="Times New Roman"/>
          <w:color w:val="000000"/>
          <w:kern w:val="22"/>
          <w:sz w:val="22"/>
          <w:lang w:val="fr-FR" w:eastAsia="en-CA"/>
        </w:rPr>
        <w:t xml:space="preserve"> </w:t>
      </w:r>
      <w:r w:rsidR="00C06081">
        <w:rPr>
          <w:rFonts w:eastAsia="Times New Roman" w:cs="Times New Roman"/>
          <w:color w:val="000000"/>
          <w:kern w:val="22"/>
          <w:sz w:val="22"/>
          <w:lang w:val="fr-FR" w:eastAsia="en-CA"/>
        </w:rPr>
        <w:t>des chercheurs universitaires</w:t>
      </w:r>
      <w:r w:rsidR="0049565B" w:rsidRPr="00830BE4">
        <w:rPr>
          <w:rFonts w:eastAsia="Times New Roman" w:cs="Times New Roman"/>
          <w:color w:val="000000"/>
          <w:kern w:val="22"/>
          <w:sz w:val="22"/>
          <w:lang w:val="fr-FR" w:eastAsia="en-CA"/>
        </w:rPr>
        <w:t xml:space="preserve">, </w:t>
      </w:r>
      <w:r w:rsidR="00C06081">
        <w:rPr>
          <w:rFonts w:eastAsia="Times New Roman" w:cs="Times New Roman"/>
          <w:color w:val="000000"/>
          <w:kern w:val="22"/>
          <w:sz w:val="22"/>
          <w:lang w:val="fr-FR" w:eastAsia="en-CA"/>
        </w:rPr>
        <w:t>des membres du personnel de</w:t>
      </w:r>
      <w:r w:rsidR="006B57A2">
        <w:rPr>
          <w:rFonts w:eastAsia="Times New Roman" w:cs="Times New Roman"/>
          <w:color w:val="000000"/>
          <w:kern w:val="22"/>
          <w:sz w:val="22"/>
          <w:lang w:val="fr-FR" w:eastAsia="en-CA"/>
        </w:rPr>
        <w:t>s</w:t>
      </w:r>
      <w:r w:rsidR="0049565B" w:rsidRPr="00830BE4">
        <w:rPr>
          <w:rFonts w:eastAsia="Times New Roman" w:cs="Times New Roman"/>
          <w:color w:val="000000"/>
          <w:kern w:val="22"/>
          <w:sz w:val="22"/>
          <w:lang w:val="fr-FR" w:eastAsia="en-CA"/>
        </w:rPr>
        <w:t xml:space="preserve"> </w:t>
      </w:r>
      <w:r w:rsidR="00FC7EA5" w:rsidRPr="006B57A2">
        <w:rPr>
          <w:rFonts w:eastAsia="Times New Roman" w:cs="Times New Roman"/>
          <w:iCs/>
          <w:color w:val="000000"/>
          <w:kern w:val="22"/>
          <w:sz w:val="22"/>
          <w:lang w:val="fr-FR" w:eastAsia="en-CA"/>
        </w:rPr>
        <w:t xml:space="preserve">collections </w:t>
      </w:r>
      <w:r w:rsidR="00FC7EA5" w:rsidRPr="00830BE4">
        <w:rPr>
          <w:rFonts w:eastAsia="Times New Roman" w:cs="Times New Roman"/>
          <w:i/>
          <w:iCs/>
          <w:color w:val="000000"/>
          <w:kern w:val="22"/>
          <w:sz w:val="22"/>
          <w:lang w:val="fr-FR" w:eastAsia="en-CA"/>
        </w:rPr>
        <w:t>ex situ</w:t>
      </w:r>
      <w:r w:rsidR="0049565B" w:rsidRPr="00830BE4">
        <w:rPr>
          <w:rFonts w:eastAsia="Times New Roman" w:cs="Times New Roman"/>
          <w:color w:val="000000"/>
          <w:kern w:val="22"/>
          <w:sz w:val="22"/>
          <w:lang w:val="fr-FR" w:eastAsia="en-CA"/>
        </w:rPr>
        <w:t xml:space="preserve"> </w:t>
      </w:r>
      <w:r w:rsidR="00D6232E" w:rsidRPr="00830BE4">
        <w:rPr>
          <w:rFonts w:eastAsia="Times New Roman" w:cs="Times New Roman"/>
          <w:color w:val="000000"/>
          <w:kern w:val="22"/>
          <w:sz w:val="22"/>
          <w:lang w:val="fr-FR" w:eastAsia="en-CA"/>
        </w:rPr>
        <w:t>de ressources</w:t>
      </w:r>
      <w:r w:rsidR="00E3674F" w:rsidRPr="00830BE4">
        <w:rPr>
          <w:rFonts w:eastAsia="Times New Roman" w:cs="Times New Roman"/>
          <w:color w:val="000000"/>
          <w:kern w:val="22"/>
          <w:sz w:val="22"/>
          <w:lang w:val="fr-FR" w:eastAsia="en-CA"/>
        </w:rPr>
        <w:t xml:space="preserve"> génétiques</w:t>
      </w:r>
      <w:r w:rsidR="0049565B" w:rsidRPr="00830BE4">
        <w:rPr>
          <w:rFonts w:eastAsia="Times New Roman" w:cs="Times New Roman"/>
          <w:color w:val="000000"/>
          <w:kern w:val="22"/>
          <w:sz w:val="22"/>
          <w:lang w:val="fr-FR" w:eastAsia="en-CA"/>
        </w:rPr>
        <w:t xml:space="preserve">, </w:t>
      </w:r>
      <w:r w:rsidR="00C06081">
        <w:rPr>
          <w:rFonts w:eastAsia="Times New Roman" w:cs="Times New Roman"/>
          <w:color w:val="000000"/>
          <w:kern w:val="22"/>
          <w:sz w:val="22"/>
          <w:lang w:val="fr-FR" w:eastAsia="en-CA"/>
        </w:rPr>
        <w:t xml:space="preserve">des représentants du secteur </w:t>
      </w:r>
      <w:r w:rsidR="00612C0B" w:rsidRPr="00830BE4">
        <w:rPr>
          <w:rFonts w:eastAsia="Times New Roman" w:cs="Times New Roman"/>
          <w:color w:val="000000"/>
          <w:kern w:val="22"/>
          <w:sz w:val="22"/>
          <w:lang w:val="fr-FR" w:eastAsia="en-CA"/>
        </w:rPr>
        <w:t>industrie</w:t>
      </w:r>
      <w:r w:rsidR="00C06081">
        <w:rPr>
          <w:rFonts w:eastAsia="Times New Roman" w:cs="Times New Roman"/>
          <w:color w:val="000000"/>
          <w:kern w:val="22"/>
          <w:sz w:val="22"/>
          <w:lang w:val="fr-FR" w:eastAsia="en-CA"/>
        </w:rPr>
        <w:t xml:space="preserve">l, des </w:t>
      </w:r>
      <w:r w:rsidR="00B679BA">
        <w:rPr>
          <w:rFonts w:eastAsia="Times New Roman" w:cs="Times New Roman"/>
          <w:color w:val="000000"/>
          <w:kern w:val="22"/>
          <w:sz w:val="22"/>
          <w:lang w:val="fr-FR" w:eastAsia="en-CA"/>
        </w:rPr>
        <w:t xml:space="preserve">membres d’organisations </w:t>
      </w:r>
      <w:r w:rsidR="0049565B" w:rsidRPr="00830BE4">
        <w:rPr>
          <w:rFonts w:eastAsia="Times New Roman" w:cs="Times New Roman"/>
          <w:color w:val="000000"/>
          <w:kern w:val="22"/>
          <w:sz w:val="22"/>
          <w:lang w:val="fr-FR" w:eastAsia="en-CA"/>
        </w:rPr>
        <w:t>inter</w:t>
      </w:r>
      <w:r w:rsidR="00FB0054" w:rsidRPr="00830BE4">
        <w:rPr>
          <w:rFonts w:eastAsia="Times New Roman" w:cs="Times New Roman"/>
          <w:color w:val="000000"/>
          <w:kern w:val="22"/>
          <w:sz w:val="22"/>
          <w:lang w:val="fr-FR" w:eastAsia="en-CA"/>
        </w:rPr>
        <w:t>gouvernement</w:t>
      </w:r>
      <w:r w:rsidR="0049565B" w:rsidRPr="00830BE4">
        <w:rPr>
          <w:rFonts w:eastAsia="Times New Roman" w:cs="Times New Roman"/>
          <w:color w:val="000000"/>
          <w:kern w:val="22"/>
          <w:sz w:val="22"/>
          <w:lang w:val="fr-FR" w:eastAsia="en-CA"/>
        </w:rPr>
        <w:t>al</w:t>
      </w:r>
      <w:r w:rsidR="00B679BA">
        <w:rPr>
          <w:rFonts w:eastAsia="Times New Roman" w:cs="Times New Roman"/>
          <w:color w:val="000000"/>
          <w:kern w:val="22"/>
          <w:sz w:val="22"/>
          <w:lang w:val="fr-FR" w:eastAsia="en-CA"/>
        </w:rPr>
        <w:t>es</w:t>
      </w:r>
      <w:r w:rsidR="00E3674F" w:rsidRPr="00830BE4">
        <w:rPr>
          <w:rFonts w:eastAsia="Times New Roman" w:cs="Times New Roman"/>
          <w:color w:val="000000"/>
          <w:kern w:val="22"/>
          <w:sz w:val="22"/>
          <w:lang w:val="fr-FR" w:eastAsia="en-CA"/>
        </w:rPr>
        <w:t xml:space="preserve"> et </w:t>
      </w:r>
      <w:r w:rsidR="0049565B" w:rsidRPr="00830BE4">
        <w:rPr>
          <w:rFonts w:eastAsia="Times New Roman" w:cs="Times New Roman"/>
          <w:color w:val="000000"/>
          <w:kern w:val="22"/>
          <w:sz w:val="22"/>
          <w:lang w:val="fr-FR" w:eastAsia="en-CA"/>
        </w:rPr>
        <w:t>non-</w:t>
      </w:r>
      <w:r w:rsidR="00FB0054" w:rsidRPr="00830BE4">
        <w:rPr>
          <w:rFonts w:eastAsia="Times New Roman" w:cs="Times New Roman"/>
          <w:color w:val="000000"/>
          <w:kern w:val="22"/>
          <w:sz w:val="22"/>
          <w:lang w:val="fr-FR" w:eastAsia="en-CA"/>
        </w:rPr>
        <w:t>gouvernement</w:t>
      </w:r>
      <w:r w:rsidR="00B679BA">
        <w:rPr>
          <w:rFonts w:eastAsia="Times New Roman" w:cs="Times New Roman"/>
          <w:color w:val="000000"/>
          <w:kern w:val="22"/>
          <w:sz w:val="22"/>
          <w:lang w:val="fr-FR" w:eastAsia="en-CA"/>
        </w:rPr>
        <w:t>ale</w:t>
      </w:r>
      <w:r w:rsidR="0049565B" w:rsidRPr="00830BE4">
        <w:rPr>
          <w:rFonts w:eastAsia="Times New Roman" w:cs="Times New Roman"/>
          <w:color w:val="000000"/>
          <w:kern w:val="22"/>
          <w:sz w:val="22"/>
          <w:lang w:val="fr-FR" w:eastAsia="en-CA"/>
        </w:rPr>
        <w:t xml:space="preserve">s, </w:t>
      </w:r>
      <w:r w:rsidR="00B679BA">
        <w:rPr>
          <w:rFonts w:eastAsia="Times New Roman" w:cs="Times New Roman"/>
          <w:color w:val="000000"/>
          <w:kern w:val="22"/>
          <w:sz w:val="22"/>
          <w:lang w:val="fr-FR" w:eastAsia="en-CA"/>
        </w:rPr>
        <w:t xml:space="preserve">des </w:t>
      </w:r>
      <w:r w:rsidR="00B679BA">
        <w:rPr>
          <w:rFonts w:eastAsia="Times New Roman" w:cs="Times New Roman"/>
          <w:color w:val="000000" w:themeColor="text1"/>
          <w:kern w:val="22"/>
          <w:sz w:val="22"/>
          <w:lang w:val="fr-FR" w:eastAsia="en-CA"/>
        </w:rPr>
        <w:t>représentants de</w:t>
      </w:r>
      <w:r w:rsidR="248AA06A" w:rsidRPr="00830BE4">
        <w:rPr>
          <w:rFonts w:eastAsia="Times New Roman" w:cs="Times New Roman"/>
          <w:color w:val="000000" w:themeColor="text1"/>
          <w:kern w:val="22"/>
          <w:sz w:val="22"/>
          <w:lang w:val="fr-FR" w:eastAsia="en-CA"/>
        </w:rPr>
        <w:t xml:space="preserve"> </w:t>
      </w:r>
      <w:r w:rsidR="001714C2" w:rsidRPr="00830BE4">
        <w:rPr>
          <w:rFonts w:eastAsia="Times New Roman" w:cs="Times New Roman"/>
          <w:color w:val="000000" w:themeColor="text1"/>
          <w:kern w:val="22"/>
          <w:sz w:val="22"/>
          <w:lang w:val="fr-FR" w:eastAsia="en-CA"/>
        </w:rPr>
        <w:t>peuples autochtones et communautés locales</w:t>
      </w:r>
      <w:r w:rsidR="00B679BA">
        <w:rPr>
          <w:rFonts w:eastAsia="Times New Roman" w:cs="Times New Roman"/>
          <w:color w:val="000000" w:themeColor="text1"/>
          <w:kern w:val="22"/>
          <w:sz w:val="22"/>
          <w:lang w:val="fr-FR" w:eastAsia="en-CA"/>
        </w:rPr>
        <w:t>,</w:t>
      </w:r>
      <w:r w:rsidR="00E3674F" w:rsidRPr="00830BE4">
        <w:rPr>
          <w:rFonts w:eastAsia="Times New Roman" w:cs="Times New Roman"/>
          <w:color w:val="000000" w:themeColor="text1"/>
          <w:kern w:val="22"/>
          <w:sz w:val="22"/>
          <w:lang w:val="fr-FR" w:eastAsia="en-CA"/>
        </w:rPr>
        <w:t xml:space="preserve"> et </w:t>
      </w:r>
      <w:r w:rsidR="00B679BA">
        <w:rPr>
          <w:rFonts w:eastAsia="Times New Roman" w:cs="Times New Roman"/>
          <w:color w:val="000000" w:themeColor="text1"/>
          <w:kern w:val="22"/>
          <w:sz w:val="22"/>
          <w:lang w:val="fr-FR" w:eastAsia="en-CA"/>
        </w:rPr>
        <w:t xml:space="preserve">des experts juridiques et politiques. </w:t>
      </w:r>
      <w:r w:rsidR="007732EE">
        <w:rPr>
          <w:rFonts w:eastAsia="Times New Roman" w:cs="Times New Roman"/>
          <w:color w:val="000000" w:themeColor="text1"/>
          <w:kern w:val="22"/>
          <w:sz w:val="22"/>
          <w:lang w:val="fr-FR" w:eastAsia="en-CA"/>
        </w:rPr>
        <w:t>En r</w:t>
      </w:r>
      <w:r w:rsidR="006B57A2">
        <w:rPr>
          <w:rFonts w:eastAsia="Times New Roman" w:cs="Times New Roman"/>
          <w:color w:val="000000" w:themeColor="text1"/>
          <w:kern w:val="22"/>
          <w:sz w:val="22"/>
          <w:lang w:val="fr-FR" w:eastAsia="en-CA"/>
        </w:rPr>
        <w:t xml:space="preserve">aison du fait qu’un grand nombre de </w:t>
      </w:r>
      <w:r w:rsidR="00C06081" w:rsidRPr="007732EE">
        <w:rPr>
          <w:rFonts w:eastAsia="Times New Roman" w:cs="Times New Roman"/>
          <w:color w:val="000000" w:themeColor="text1"/>
          <w:kern w:val="22"/>
          <w:sz w:val="22"/>
          <w:lang w:val="fr-FR" w:eastAsia="en-CA"/>
        </w:rPr>
        <w:t>personnes interviewées</w:t>
      </w:r>
      <w:r w:rsidR="248AA06A" w:rsidRPr="007732EE">
        <w:rPr>
          <w:rFonts w:eastAsia="Times New Roman" w:cs="Times New Roman"/>
          <w:color w:val="000000" w:themeColor="text1"/>
          <w:kern w:val="22"/>
          <w:sz w:val="22"/>
          <w:lang w:val="fr-FR" w:eastAsia="en-CA"/>
        </w:rPr>
        <w:t xml:space="preserve"> </w:t>
      </w:r>
      <w:r w:rsidR="006B57A2">
        <w:rPr>
          <w:rFonts w:eastAsia="Times New Roman" w:cs="Times New Roman"/>
          <w:color w:val="000000" w:themeColor="text1"/>
          <w:kern w:val="22"/>
          <w:sz w:val="22"/>
          <w:lang w:val="fr-FR" w:eastAsia="en-CA"/>
        </w:rPr>
        <w:t xml:space="preserve">se sont exprimées sous </w:t>
      </w:r>
      <w:r w:rsidR="007732EE" w:rsidRPr="007732EE">
        <w:rPr>
          <w:rFonts w:eastAsia="Times New Roman" w:cs="Times New Roman"/>
          <w:color w:val="000000" w:themeColor="text1"/>
          <w:kern w:val="22"/>
          <w:sz w:val="22"/>
          <w:lang w:val="fr-FR" w:eastAsia="en-CA"/>
        </w:rPr>
        <w:t xml:space="preserve">condition </w:t>
      </w:r>
      <w:r w:rsidR="006B57A2">
        <w:rPr>
          <w:rFonts w:eastAsia="Times New Roman" w:cs="Times New Roman"/>
          <w:color w:val="000000" w:themeColor="text1"/>
          <w:kern w:val="22"/>
          <w:sz w:val="22"/>
          <w:lang w:val="fr-FR" w:eastAsia="en-CA"/>
        </w:rPr>
        <w:t xml:space="preserve">d’anonymat, une liste </w:t>
      </w:r>
      <w:r w:rsidR="007732EE">
        <w:rPr>
          <w:rFonts w:eastAsia="Times New Roman" w:cs="Times New Roman"/>
          <w:color w:val="000000" w:themeColor="text1"/>
          <w:kern w:val="22"/>
          <w:sz w:val="22"/>
          <w:lang w:val="fr-FR" w:eastAsia="en-CA"/>
        </w:rPr>
        <w:t xml:space="preserve">des </w:t>
      </w:r>
      <w:r w:rsidR="00C06081" w:rsidRPr="007732EE">
        <w:rPr>
          <w:rFonts w:eastAsia="Times New Roman" w:cs="Times New Roman"/>
          <w:color w:val="000000" w:themeColor="text1"/>
          <w:kern w:val="22"/>
          <w:sz w:val="22"/>
          <w:lang w:val="fr-FR" w:eastAsia="en-CA"/>
        </w:rPr>
        <w:t>personnes interviewées</w:t>
      </w:r>
      <w:r w:rsidR="007732EE">
        <w:rPr>
          <w:rFonts w:eastAsia="Times New Roman" w:cs="Times New Roman"/>
          <w:color w:val="000000" w:themeColor="text1"/>
          <w:kern w:val="22"/>
          <w:sz w:val="22"/>
          <w:lang w:val="fr-FR" w:eastAsia="en-CA"/>
        </w:rPr>
        <w:t xml:space="preserve"> </w:t>
      </w:r>
      <w:r w:rsidR="006B57A2">
        <w:rPr>
          <w:rFonts w:eastAsia="Times New Roman" w:cs="Times New Roman"/>
          <w:color w:val="000000" w:themeColor="text1"/>
          <w:kern w:val="22"/>
          <w:sz w:val="22"/>
          <w:lang w:val="fr-FR" w:eastAsia="en-CA"/>
        </w:rPr>
        <w:t xml:space="preserve">sans leur nom </w:t>
      </w:r>
      <w:r w:rsidR="007732EE">
        <w:rPr>
          <w:rFonts w:eastAsia="Times New Roman" w:cs="Times New Roman"/>
          <w:color w:val="000000" w:themeColor="text1"/>
          <w:kern w:val="22"/>
          <w:sz w:val="22"/>
          <w:lang w:val="fr-FR" w:eastAsia="en-CA"/>
        </w:rPr>
        <w:t>figure dans l’</w:t>
      </w:r>
      <w:r w:rsidR="248AA06A" w:rsidRPr="007732EE">
        <w:rPr>
          <w:rFonts w:eastAsia="Times New Roman" w:cs="Times New Roman"/>
          <w:color w:val="000000" w:themeColor="text1"/>
          <w:kern w:val="22"/>
          <w:sz w:val="22"/>
          <w:lang w:val="fr-FR" w:eastAsia="en-CA"/>
        </w:rPr>
        <w:t>Annex</w:t>
      </w:r>
      <w:r w:rsidR="007732EE">
        <w:rPr>
          <w:rFonts w:eastAsia="Times New Roman" w:cs="Times New Roman"/>
          <w:color w:val="000000" w:themeColor="text1"/>
          <w:kern w:val="22"/>
          <w:sz w:val="22"/>
          <w:lang w:val="fr-FR" w:eastAsia="en-CA"/>
        </w:rPr>
        <w:t>e</w:t>
      </w:r>
      <w:r w:rsidR="248AA06A" w:rsidRPr="007732EE">
        <w:rPr>
          <w:rFonts w:eastAsia="Times New Roman" w:cs="Times New Roman"/>
          <w:color w:val="000000" w:themeColor="text1"/>
          <w:kern w:val="22"/>
          <w:sz w:val="22"/>
          <w:lang w:val="fr-FR" w:eastAsia="en-CA"/>
        </w:rPr>
        <w:t xml:space="preserve"> </w:t>
      </w:r>
      <w:r w:rsidR="000B089E" w:rsidRPr="007732EE">
        <w:rPr>
          <w:rFonts w:eastAsia="Times New Roman" w:cs="Times New Roman"/>
          <w:color w:val="000000" w:themeColor="text1"/>
          <w:kern w:val="22"/>
          <w:sz w:val="22"/>
          <w:lang w:val="fr-FR" w:eastAsia="en-CA"/>
        </w:rPr>
        <w:t>A</w:t>
      </w:r>
      <w:r w:rsidR="006B57A2">
        <w:rPr>
          <w:rFonts w:eastAsia="Times New Roman" w:cs="Times New Roman"/>
          <w:color w:val="000000" w:themeColor="text1"/>
          <w:kern w:val="22"/>
          <w:sz w:val="22"/>
          <w:lang w:val="fr-FR" w:eastAsia="en-CA"/>
        </w:rPr>
        <w:t xml:space="preserve"> de la présente étude</w:t>
      </w:r>
      <w:r w:rsidR="248AA06A" w:rsidRPr="007732EE">
        <w:rPr>
          <w:rFonts w:eastAsia="Times New Roman" w:cs="Times New Roman"/>
          <w:color w:val="000000" w:themeColor="text1"/>
          <w:kern w:val="22"/>
          <w:sz w:val="22"/>
          <w:lang w:val="fr-FR" w:eastAsia="en-CA"/>
        </w:rPr>
        <w:t>.</w:t>
      </w:r>
    </w:p>
    <w:p w14:paraId="3A13CD87" w14:textId="1E650EDA" w:rsidR="002122EE" w:rsidRPr="002518EB" w:rsidRDefault="002518EB" w:rsidP="00B80668">
      <w:pPr>
        <w:pBdr>
          <w:top w:val="nil"/>
          <w:left w:val="nil"/>
          <w:bottom w:val="nil"/>
          <w:right w:val="nil"/>
          <w:between w:val="nil"/>
        </w:pBdr>
        <w:spacing w:after="120"/>
        <w:rPr>
          <w:rFonts w:eastAsia="Times New Roman" w:cs="Times New Roman"/>
          <w:color w:val="000000"/>
          <w:kern w:val="22"/>
          <w:sz w:val="22"/>
          <w:lang w:val="fr-FR" w:eastAsia="en-CA"/>
        </w:rPr>
      </w:pPr>
      <w:r w:rsidRPr="002518EB">
        <w:rPr>
          <w:rFonts w:eastAsia="Times New Roman" w:cs="Times New Roman"/>
          <w:color w:val="000000"/>
          <w:kern w:val="22"/>
          <w:sz w:val="22"/>
          <w:lang w:val="fr-FR" w:eastAsia="en-CA"/>
        </w:rPr>
        <w:t>D’autres information sur</w:t>
      </w:r>
      <w:r w:rsidR="0049565B" w:rsidRPr="002518EB">
        <w:rPr>
          <w:rFonts w:eastAsia="Times New Roman" w:cs="Times New Roman"/>
          <w:color w:val="000000"/>
          <w:kern w:val="22"/>
          <w:sz w:val="22"/>
          <w:lang w:val="fr-FR" w:eastAsia="en-CA"/>
        </w:rPr>
        <w:t xml:space="preserve"> </w:t>
      </w:r>
      <w:r w:rsidR="00E3674F" w:rsidRPr="002518EB">
        <w:rPr>
          <w:rFonts w:eastAsia="Times New Roman" w:cs="Times New Roman"/>
          <w:color w:val="000000"/>
          <w:kern w:val="22"/>
          <w:sz w:val="22"/>
          <w:lang w:val="fr-FR" w:eastAsia="en-CA"/>
        </w:rPr>
        <w:t>des cas spécifiques</w:t>
      </w:r>
      <w:r w:rsidRPr="002518EB">
        <w:rPr>
          <w:rFonts w:eastAsia="Times New Roman" w:cs="Times New Roman"/>
          <w:color w:val="000000"/>
          <w:kern w:val="22"/>
          <w:sz w:val="22"/>
          <w:lang w:val="fr-FR" w:eastAsia="en-CA"/>
        </w:rPr>
        <w:t xml:space="preserve"> ont été</w:t>
      </w:r>
      <w:r w:rsidR="0049565B" w:rsidRPr="002518EB">
        <w:rPr>
          <w:rFonts w:eastAsia="Times New Roman" w:cs="Times New Roman"/>
          <w:color w:val="000000"/>
          <w:kern w:val="22"/>
          <w:sz w:val="22"/>
          <w:lang w:val="fr-FR" w:eastAsia="en-CA"/>
        </w:rPr>
        <w:t xml:space="preserve"> </w:t>
      </w:r>
      <w:r w:rsidRPr="002518EB">
        <w:rPr>
          <w:rFonts w:eastAsia="Times New Roman" w:cs="Times New Roman"/>
          <w:color w:val="000000"/>
          <w:kern w:val="22"/>
          <w:sz w:val="22"/>
          <w:lang w:val="fr-FR" w:eastAsia="en-CA"/>
        </w:rPr>
        <w:t>obtenu</w:t>
      </w:r>
      <w:r>
        <w:rPr>
          <w:rFonts w:eastAsia="Times New Roman" w:cs="Times New Roman"/>
          <w:color w:val="000000"/>
          <w:kern w:val="22"/>
          <w:sz w:val="22"/>
          <w:lang w:val="fr-FR" w:eastAsia="en-CA"/>
        </w:rPr>
        <w:t>es en analysant des</w:t>
      </w:r>
      <w:r w:rsidR="0049565B" w:rsidRPr="002518EB">
        <w:rPr>
          <w:rFonts w:eastAsia="Times New Roman" w:cs="Times New Roman"/>
          <w:color w:val="000000"/>
          <w:kern w:val="22"/>
          <w:sz w:val="22"/>
          <w:lang w:val="fr-FR" w:eastAsia="en-CA"/>
        </w:rPr>
        <w:t xml:space="preserve"> documents </w:t>
      </w:r>
      <w:r w:rsidR="006B57A2">
        <w:rPr>
          <w:rFonts w:eastAsia="Times New Roman" w:cs="Times New Roman"/>
          <w:color w:val="000000"/>
          <w:kern w:val="22"/>
          <w:sz w:val="22"/>
          <w:lang w:val="fr-FR" w:eastAsia="en-CA"/>
        </w:rPr>
        <w:t>concernant</w:t>
      </w:r>
      <w:r w:rsidR="0049565B" w:rsidRPr="002518EB">
        <w:rPr>
          <w:rFonts w:eastAsia="Times New Roman" w:cs="Times New Roman"/>
          <w:color w:val="000000"/>
          <w:kern w:val="22"/>
          <w:sz w:val="22"/>
          <w:lang w:val="fr-FR" w:eastAsia="en-CA"/>
        </w:rPr>
        <w:t xml:space="preserve"> </w:t>
      </w:r>
      <w:r>
        <w:rPr>
          <w:rFonts w:eastAsia="Times New Roman" w:cs="Times New Roman"/>
          <w:color w:val="000000"/>
          <w:kern w:val="22"/>
          <w:sz w:val="22"/>
          <w:lang w:val="fr-FR" w:eastAsia="en-CA"/>
        </w:rPr>
        <w:t>l’</w:t>
      </w:r>
      <w:r w:rsidR="00FD73A5" w:rsidRPr="002518EB">
        <w:rPr>
          <w:rFonts w:eastAsia="Times New Roman" w:cs="Times New Roman"/>
          <w:color w:val="000000"/>
          <w:kern w:val="22"/>
          <w:sz w:val="22"/>
          <w:lang w:val="fr-FR" w:eastAsia="en-CA"/>
        </w:rPr>
        <w:t>article</w:t>
      </w:r>
      <w:r w:rsidR="0049565B" w:rsidRPr="002518EB">
        <w:rPr>
          <w:rFonts w:eastAsia="Times New Roman" w:cs="Times New Roman"/>
          <w:color w:val="000000"/>
          <w:kern w:val="22"/>
          <w:sz w:val="22"/>
          <w:lang w:val="fr-FR" w:eastAsia="en-CA"/>
        </w:rPr>
        <w:t xml:space="preserve"> 10 </w:t>
      </w:r>
      <w:r w:rsidR="00770AB8" w:rsidRPr="002518EB">
        <w:rPr>
          <w:rFonts w:eastAsia="Times New Roman" w:cs="Times New Roman"/>
          <w:color w:val="000000"/>
          <w:kern w:val="22"/>
          <w:sz w:val="22"/>
          <w:lang w:val="fr-FR" w:eastAsia="en-CA"/>
        </w:rPr>
        <w:t>du Pro</w:t>
      </w:r>
      <w:r w:rsidR="00E3674F" w:rsidRPr="002518EB">
        <w:rPr>
          <w:rFonts w:eastAsia="Times New Roman" w:cs="Times New Roman"/>
          <w:color w:val="000000"/>
          <w:kern w:val="22"/>
          <w:sz w:val="22"/>
          <w:lang w:val="fr-FR" w:eastAsia="en-CA"/>
        </w:rPr>
        <w:t>tocole de Nagoya</w:t>
      </w:r>
      <w:r>
        <w:rPr>
          <w:rFonts w:eastAsia="Times New Roman" w:cs="Times New Roman"/>
          <w:color w:val="000000"/>
          <w:kern w:val="22"/>
          <w:sz w:val="22"/>
          <w:lang w:val="fr-FR" w:eastAsia="en-CA"/>
        </w:rPr>
        <w:t>, publiés sur le site Internet du</w:t>
      </w:r>
      <w:r w:rsidR="0049565B" w:rsidRPr="002518EB">
        <w:rPr>
          <w:rFonts w:eastAsia="Times New Roman" w:cs="Times New Roman"/>
          <w:color w:val="000000"/>
          <w:kern w:val="22"/>
          <w:sz w:val="22"/>
          <w:lang w:val="fr-FR" w:eastAsia="en-CA"/>
        </w:rPr>
        <w:t xml:space="preserve"> </w:t>
      </w:r>
      <w:r w:rsidR="00FB033A" w:rsidRPr="002518EB">
        <w:rPr>
          <w:rFonts w:eastAsia="Times New Roman" w:cs="Times New Roman"/>
          <w:color w:val="000000"/>
          <w:kern w:val="22"/>
          <w:sz w:val="22"/>
          <w:lang w:val="fr-FR" w:eastAsia="en-CA"/>
        </w:rPr>
        <w:t>Secrétariat</w:t>
      </w:r>
      <w:r w:rsidR="006B57A2">
        <w:rPr>
          <w:rFonts w:eastAsia="Times New Roman" w:cs="Times New Roman"/>
          <w:color w:val="000000"/>
          <w:kern w:val="22"/>
          <w:sz w:val="22"/>
          <w:lang w:val="fr-FR" w:eastAsia="en-CA"/>
        </w:rPr>
        <w:t xml:space="preserve"> de la </w:t>
      </w:r>
      <w:r w:rsidR="007347F7">
        <w:rPr>
          <w:rFonts w:eastAsia="Times New Roman" w:cs="Times New Roman"/>
          <w:color w:val="000000"/>
          <w:kern w:val="22"/>
          <w:sz w:val="22"/>
          <w:lang w:val="fr-FR" w:eastAsia="en-CA"/>
        </w:rPr>
        <w:t>Convention</w:t>
      </w:r>
      <w:r w:rsidR="0049565B" w:rsidRPr="002518EB">
        <w:rPr>
          <w:rFonts w:eastAsia="Times New Roman" w:cs="Times New Roman"/>
          <w:color w:val="000000"/>
          <w:kern w:val="22"/>
          <w:sz w:val="22"/>
          <w:lang w:val="fr-FR" w:eastAsia="en-CA"/>
        </w:rPr>
        <w:t>.</w:t>
      </w:r>
      <w:r w:rsidR="0049565B" w:rsidRPr="002364AB">
        <w:rPr>
          <w:rStyle w:val="FootnoteReference"/>
          <w:kern w:val="22"/>
          <w:sz w:val="22"/>
          <w:lang w:val="en-GB"/>
        </w:rPr>
        <w:footnoteReference w:id="19"/>
      </w:r>
      <w:r w:rsidR="0049565B" w:rsidRPr="002518EB">
        <w:rPr>
          <w:rFonts w:eastAsia="Times New Roman" w:cs="Times New Roman"/>
          <w:color w:val="000000"/>
          <w:kern w:val="22"/>
          <w:sz w:val="22"/>
          <w:lang w:val="fr-FR" w:eastAsia="en-CA"/>
        </w:rPr>
        <w:t xml:space="preserve"> </w:t>
      </w:r>
      <w:r w:rsidR="006B57A2">
        <w:rPr>
          <w:rFonts w:eastAsia="Times New Roman" w:cs="Times New Roman"/>
          <w:color w:val="000000" w:themeColor="text1"/>
          <w:kern w:val="22"/>
          <w:sz w:val="22"/>
          <w:lang w:val="fr-FR" w:eastAsia="en-CA"/>
        </w:rPr>
        <w:t>Ces documents incluent la</w:t>
      </w:r>
      <w:r w:rsidRPr="002518EB">
        <w:rPr>
          <w:rFonts w:eastAsia="Times New Roman" w:cs="Times New Roman"/>
          <w:color w:val="000000" w:themeColor="text1"/>
          <w:kern w:val="22"/>
          <w:sz w:val="22"/>
          <w:lang w:val="fr-FR" w:eastAsia="en-CA"/>
        </w:rPr>
        <w:t xml:space="preserve"> synth</w:t>
      </w:r>
      <w:r>
        <w:rPr>
          <w:rFonts w:eastAsia="Times New Roman" w:cs="Times New Roman"/>
          <w:color w:val="000000" w:themeColor="text1"/>
          <w:kern w:val="22"/>
          <w:sz w:val="22"/>
          <w:lang w:val="fr-FR" w:eastAsia="en-CA"/>
        </w:rPr>
        <w:t>è</w:t>
      </w:r>
      <w:r w:rsidR="006B57A2">
        <w:rPr>
          <w:rFonts w:eastAsia="Times New Roman" w:cs="Times New Roman"/>
          <w:color w:val="000000" w:themeColor="text1"/>
          <w:kern w:val="22"/>
          <w:sz w:val="22"/>
          <w:lang w:val="fr-FR" w:eastAsia="en-CA"/>
        </w:rPr>
        <w:t xml:space="preserve">se des débats en ligne </w:t>
      </w:r>
      <w:r w:rsidRPr="002518EB">
        <w:rPr>
          <w:rFonts w:eastAsia="Times New Roman" w:cs="Times New Roman"/>
          <w:color w:val="000000" w:themeColor="text1"/>
          <w:kern w:val="22"/>
          <w:sz w:val="22"/>
          <w:lang w:val="fr-FR" w:eastAsia="en-CA"/>
        </w:rPr>
        <w:t xml:space="preserve">en réponse à la </w:t>
      </w:r>
      <w:r w:rsidR="00E3674F" w:rsidRPr="002518EB">
        <w:rPr>
          <w:rFonts w:eastAsia="Times New Roman" w:cs="Times New Roman"/>
          <w:color w:val="000000" w:themeColor="text1"/>
          <w:kern w:val="22"/>
          <w:sz w:val="22"/>
          <w:lang w:val="fr-FR" w:eastAsia="en-CA"/>
        </w:rPr>
        <w:t>décision</w:t>
      </w:r>
      <w:r w:rsidR="001E33B7" w:rsidRPr="002518EB">
        <w:rPr>
          <w:rFonts w:eastAsia="Times New Roman" w:cs="Times New Roman"/>
          <w:color w:val="000000" w:themeColor="text1"/>
          <w:kern w:val="22"/>
          <w:sz w:val="22"/>
          <w:lang w:val="fr-FR" w:eastAsia="en-CA"/>
        </w:rPr>
        <w:t xml:space="preserve"> XI/1,</w:t>
      </w:r>
      <w:r w:rsidR="001E33B7" w:rsidRPr="002364AB">
        <w:rPr>
          <w:rStyle w:val="FootnoteReference"/>
          <w:rFonts w:eastAsia="Times New Roman" w:cs="Times New Roman"/>
          <w:iCs/>
          <w:color w:val="000000"/>
          <w:kern w:val="22"/>
          <w:sz w:val="22"/>
          <w:lang w:val="en-GB" w:eastAsia="en-CA"/>
        </w:rPr>
        <w:footnoteReference w:id="20"/>
      </w:r>
      <w:r>
        <w:rPr>
          <w:rFonts w:eastAsia="Times New Roman" w:cs="Times New Roman"/>
          <w:color w:val="000000" w:themeColor="text1"/>
          <w:kern w:val="22"/>
          <w:sz w:val="22"/>
          <w:lang w:val="fr-FR" w:eastAsia="en-CA"/>
        </w:rPr>
        <w:t xml:space="preserve"> l</w:t>
      </w:r>
      <w:r w:rsidR="001E33B7" w:rsidRPr="002518EB">
        <w:rPr>
          <w:rFonts w:eastAsia="Times New Roman" w:cs="Times New Roman"/>
          <w:color w:val="000000" w:themeColor="text1"/>
          <w:kern w:val="22"/>
          <w:sz w:val="22"/>
          <w:lang w:val="fr-FR" w:eastAsia="en-CA"/>
        </w:rPr>
        <w:t xml:space="preserve">e </w:t>
      </w:r>
      <w:r>
        <w:rPr>
          <w:rFonts w:eastAsia="Times New Roman" w:cs="Times New Roman"/>
          <w:color w:val="000000" w:themeColor="text1"/>
          <w:kern w:val="22"/>
          <w:sz w:val="22"/>
          <w:lang w:val="fr-FR" w:eastAsia="en-CA"/>
        </w:rPr>
        <w:t xml:space="preserve">rapport </w:t>
      </w:r>
      <w:r w:rsidR="006B57A2">
        <w:rPr>
          <w:rFonts w:eastAsia="Times New Roman" w:cs="Times New Roman"/>
          <w:color w:val="000000" w:themeColor="text1"/>
          <w:kern w:val="22"/>
          <w:sz w:val="22"/>
          <w:lang w:val="fr-FR" w:eastAsia="en-CA"/>
        </w:rPr>
        <w:t xml:space="preserve">de 2013 </w:t>
      </w:r>
      <w:r>
        <w:rPr>
          <w:rFonts w:eastAsia="Times New Roman" w:cs="Times New Roman"/>
          <w:color w:val="000000" w:themeColor="text1"/>
          <w:kern w:val="22"/>
          <w:sz w:val="22"/>
          <w:lang w:val="fr-FR" w:eastAsia="en-CA"/>
        </w:rPr>
        <w:t>d</w:t>
      </w:r>
      <w:r w:rsidR="001E33B7" w:rsidRPr="002518EB">
        <w:rPr>
          <w:rFonts w:eastAsia="Times New Roman" w:cs="Times New Roman"/>
          <w:color w:val="000000" w:themeColor="text1"/>
          <w:kern w:val="22"/>
          <w:sz w:val="22"/>
          <w:lang w:val="fr-FR" w:eastAsia="en-CA"/>
        </w:rPr>
        <w:t>e</w:t>
      </w:r>
      <w:r w:rsidR="006B57A2">
        <w:rPr>
          <w:rFonts w:eastAsia="Times New Roman" w:cs="Times New Roman"/>
          <w:color w:val="000000" w:themeColor="text1"/>
          <w:kern w:val="22"/>
          <w:sz w:val="22"/>
          <w:lang w:val="fr-FR" w:eastAsia="en-CA"/>
        </w:rPr>
        <w:t xml:space="preserve"> la réunion d’experts </w:t>
      </w:r>
      <w:r w:rsidR="00E15AC0" w:rsidRPr="002518EB">
        <w:rPr>
          <w:rFonts w:eastAsia="Times New Roman" w:cs="Times New Roman"/>
          <w:color w:val="000000" w:themeColor="text1"/>
          <w:kern w:val="22"/>
          <w:sz w:val="22"/>
          <w:lang w:val="fr-FR" w:eastAsia="en-CA"/>
        </w:rPr>
        <w:t>sur l’article</w:t>
      </w:r>
      <w:r w:rsidR="001E33B7" w:rsidRPr="002518EB">
        <w:rPr>
          <w:rFonts w:eastAsia="Times New Roman" w:cs="Times New Roman"/>
          <w:color w:val="000000" w:themeColor="text1"/>
          <w:kern w:val="22"/>
          <w:sz w:val="22"/>
          <w:lang w:val="fr-FR" w:eastAsia="en-CA"/>
        </w:rPr>
        <w:t xml:space="preserve"> 10,</w:t>
      </w:r>
      <w:r w:rsidR="001E33B7" w:rsidRPr="002364AB">
        <w:rPr>
          <w:rStyle w:val="FootnoteReference"/>
          <w:rFonts w:eastAsia="Times New Roman" w:cs="Times New Roman"/>
          <w:iCs/>
          <w:color w:val="000000"/>
          <w:kern w:val="22"/>
          <w:sz w:val="22"/>
          <w:lang w:val="en-GB" w:eastAsia="en-CA"/>
        </w:rPr>
        <w:footnoteReference w:id="21"/>
      </w:r>
      <w:r w:rsidR="001E33B7" w:rsidRPr="002518EB">
        <w:rPr>
          <w:rFonts w:eastAsia="Times New Roman" w:cs="Times New Roman"/>
          <w:color w:val="000000" w:themeColor="text1"/>
          <w:kern w:val="22"/>
          <w:sz w:val="22"/>
          <w:lang w:val="fr-FR" w:eastAsia="en-CA"/>
        </w:rPr>
        <w:t xml:space="preserve"> </w:t>
      </w:r>
      <w:r>
        <w:rPr>
          <w:rFonts w:eastAsia="Times New Roman" w:cs="Times New Roman"/>
          <w:color w:val="000000" w:themeColor="text1"/>
          <w:kern w:val="22"/>
          <w:sz w:val="22"/>
          <w:lang w:val="fr-FR" w:eastAsia="en-CA"/>
        </w:rPr>
        <w:t>des communication</w:t>
      </w:r>
      <w:r w:rsidR="0049565B" w:rsidRPr="002518EB">
        <w:rPr>
          <w:rFonts w:eastAsia="Times New Roman" w:cs="Times New Roman"/>
          <w:color w:val="000000" w:themeColor="text1"/>
          <w:kern w:val="22"/>
          <w:sz w:val="22"/>
          <w:lang w:val="fr-FR" w:eastAsia="en-CA"/>
        </w:rPr>
        <w:t xml:space="preserve">s </w:t>
      </w:r>
      <w:r w:rsidR="006B57A2">
        <w:rPr>
          <w:rFonts w:eastAsia="Times New Roman" w:cs="Times New Roman"/>
          <w:color w:val="000000" w:themeColor="text1"/>
          <w:kern w:val="22"/>
          <w:sz w:val="22"/>
          <w:lang w:val="fr-FR" w:eastAsia="en-CA"/>
        </w:rPr>
        <w:t>reçues</w:t>
      </w:r>
      <w:r>
        <w:rPr>
          <w:rFonts w:eastAsia="Times New Roman" w:cs="Times New Roman"/>
          <w:color w:val="000000" w:themeColor="text1"/>
          <w:kern w:val="22"/>
          <w:sz w:val="22"/>
          <w:lang w:val="fr-FR" w:eastAsia="en-CA"/>
        </w:rPr>
        <w:t xml:space="preserve"> en réponse à la</w:t>
      </w:r>
      <w:r w:rsidR="001E33B7" w:rsidRPr="002518EB">
        <w:rPr>
          <w:rFonts w:eastAsia="Times New Roman" w:cs="Times New Roman"/>
          <w:color w:val="000000" w:themeColor="text1"/>
          <w:kern w:val="22"/>
          <w:sz w:val="22"/>
          <w:lang w:val="fr-FR" w:eastAsia="en-CA"/>
        </w:rPr>
        <w:t xml:space="preserve"> </w:t>
      </w:r>
      <w:r w:rsidR="00E3674F" w:rsidRPr="002518EB">
        <w:rPr>
          <w:rFonts w:eastAsia="Times New Roman" w:cs="Times New Roman"/>
          <w:color w:val="000000" w:themeColor="text1"/>
          <w:kern w:val="22"/>
          <w:sz w:val="22"/>
          <w:lang w:val="fr-FR" w:eastAsia="en-CA"/>
        </w:rPr>
        <w:t>décision</w:t>
      </w:r>
      <w:r w:rsidR="001E33B7" w:rsidRPr="002518EB">
        <w:rPr>
          <w:rFonts w:eastAsia="Times New Roman" w:cs="Times New Roman"/>
          <w:color w:val="000000" w:themeColor="text1"/>
          <w:kern w:val="22"/>
          <w:sz w:val="22"/>
          <w:lang w:val="fr-FR" w:eastAsia="en-CA"/>
        </w:rPr>
        <w:t xml:space="preserve"> </w:t>
      </w:r>
      <w:r w:rsidR="00552599">
        <w:rPr>
          <w:kern w:val="22"/>
          <w:sz w:val="22"/>
          <w:lang w:val="fr-FR"/>
        </w:rPr>
        <w:t>NP</w:t>
      </w:r>
      <w:r w:rsidR="001E33B7" w:rsidRPr="002518EB">
        <w:rPr>
          <w:kern w:val="22"/>
          <w:sz w:val="22"/>
          <w:lang w:val="fr-FR"/>
        </w:rPr>
        <w:t>-</w:t>
      </w:r>
      <w:r w:rsidR="0049565B" w:rsidRPr="002518EB">
        <w:rPr>
          <w:kern w:val="22"/>
          <w:sz w:val="22"/>
          <w:lang w:val="fr-FR"/>
        </w:rPr>
        <w:t>1/10,</w:t>
      </w:r>
      <w:r w:rsidR="00104883" w:rsidRPr="002364AB">
        <w:rPr>
          <w:rStyle w:val="FootnoteReference"/>
          <w:kern w:val="22"/>
          <w:sz w:val="22"/>
          <w:lang w:val="en-GB"/>
        </w:rPr>
        <w:footnoteReference w:id="22"/>
      </w:r>
      <w:r>
        <w:rPr>
          <w:kern w:val="22"/>
          <w:sz w:val="22"/>
          <w:lang w:val="fr-FR"/>
        </w:rPr>
        <w:t xml:space="preserve"> l</w:t>
      </w:r>
      <w:r w:rsidR="001E33B7" w:rsidRPr="002518EB">
        <w:rPr>
          <w:kern w:val="22"/>
          <w:sz w:val="22"/>
          <w:lang w:val="fr-FR"/>
        </w:rPr>
        <w:t xml:space="preserve">e </w:t>
      </w:r>
      <w:r>
        <w:rPr>
          <w:kern w:val="22"/>
          <w:sz w:val="22"/>
          <w:lang w:val="fr-FR"/>
        </w:rPr>
        <w:t xml:space="preserve">rapport </w:t>
      </w:r>
      <w:r w:rsidR="006B57A2">
        <w:rPr>
          <w:kern w:val="22"/>
          <w:sz w:val="22"/>
          <w:lang w:val="fr-FR"/>
        </w:rPr>
        <w:t xml:space="preserve">de 2016 </w:t>
      </w:r>
      <w:r>
        <w:rPr>
          <w:kern w:val="22"/>
          <w:sz w:val="22"/>
          <w:lang w:val="fr-FR"/>
        </w:rPr>
        <w:t>de la r</w:t>
      </w:r>
      <w:r w:rsidR="001A200E" w:rsidRPr="002518EB">
        <w:rPr>
          <w:rFonts w:eastAsia="Times New Roman" w:cs="Times New Roman"/>
          <w:color w:val="000000" w:themeColor="text1"/>
          <w:kern w:val="22"/>
          <w:sz w:val="22"/>
          <w:lang w:val="fr-FR" w:eastAsia="en-CA"/>
        </w:rPr>
        <w:t>éunion du groupe d’experts</w:t>
      </w:r>
      <w:r w:rsidR="001E33B7" w:rsidRPr="002518EB">
        <w:rPr>
          <w:rFonts w:eastAsia="Times New Roman" w:cs="Times New Roman"/>
          <w:color w:val="000000" w:themeColor="text1"/>
          <w:kern w:val="22"/>
          <w:sz w:val="22"/>
          <w:lang w:val="fr-FR" w:eastAsia="en-CA"/>
        </w:rPr>
        <w:t xml:space="preserve"> </w:t>
      </w:r>
      <w:r w:rsidR="00E15AC0" w:rsidRPr="002518EB">
        <w:rPr>
          <w:rFonts w:eastAsia="Times New Roman" w:cs="Times New Roman"/>
          <w:color w:val="000000" w:themeColor="text1"/>
          <w:kern w:val="22"/>
          <w:sz w:val="22"/>
          <w:lang w:val="fr-FR" w:eastAsia="en-CA"/>
        </w:rPr>
        <w:t>sur l’article</w:t>
      </w:r>
      <w:r w:rsidR="001E33B7" w:rsidRPr="002518EB">
        <w:rPr>
          <w:rFonts w:eastAsia="Times New Roman" w:cs="Times New Roman"/>
          <w:color w:val="000000" w:themeColor="text1"/>
          <w:kern w:val="22"/>
          <w:sz w:val="22"/>
          <w:lang w:val="fr-FR" w:eastAsia="en-CA"/>
        </w:rPr>
        <w:t xml:space="preserve"> 10,</w:t>
      </w:r>
      <w:r w:rsidR="001E33B7" w:rsidRPr="002364AB">
        <w:rPr>
          <w:rStyle w:val="FootnoteReference"/>
          <w:rFonts w:eastAsia="Times New Roman" w:cs="Times New Roman"/>
          <w:iCs/>
          <w:color w:val="000000"/>
          <w:kern w:val="22"/>
          <w:sz w:val="22"/>
          <w:lang w:val="en-GB" w:eastAsia="en-CA"/>
        </w:rPr>
        <w:footnoteReference w:id="23"/>
      </w:r>
      <w:r>
        <w:rPr>
          <w:rFonts w:eastAsia="Times New Roman" w:cs="Times New Roman"/>
          <w:color w:val="000000" w:themeColor="text1"/>
          <w:kern w:val="22"/>
          <w:sz w:val="22"/>
          <w:lang w:val="fr-FR" w:eastAsia="en-CA"/>
        </w:rPr>
        <w:t xml:space="preserve"> l’</w:t>
      </w:r>
      <w:r w:rsidR="00E3674F" w:rsidRPr="002518EB">
        <w:rPr>
          <w:kern w:val="22"/>
          <w:sz w:val="22"/>
          <w:lang w:val="fr-FR"/>
        </w:rPr>
        <w:t>étude</w:t>
      </w:r>
      <w:r w:rsidR="006B57A2">
        <w:rPr>
          <w:kern w:val="22"/>
          <w:sz w:val="22"/>
          <w:lang w:val="fr-FR"/>
        </w:rPr>
        <w:t xml:space="preserve"> réalis</w:t>
      </w:r>
      <w:r>
        <w:rPr>
          <w:kern w:val="22"/>
          <w:sz w:val="22"/>
          <w:lang w:val="fr-FR"/>
        </w:rPr>
        <w:t>ée pour la r</w:t>
      </w:r>
      <w:r w:rsidR="001A200E" w:rsidRPr="002518EB">
        <w:rPr>
          <w:kern w:val="22"/>
          <w:sz w:val="22"/>
          <w:lang w:val="fr-FR"/>
        </w:rPr>
        <w:t>éunion du groupe d’experts</w:t>
      </w:r>
      <w:r w:rsidR="001E33B7" w:rsidRPr="002518EB">
        <w:rPr>
          <w:kern w:val="22"/>
          <w:sz w:val="22"/>
          <w:lang w:val="fr-FR"/>
        </w:rPr>
        <w:t>,</w:t>
      </w:r>
      <w:r w:rsidR="001E33B7" w:rsidRPr="002364AB">
        <w:rPr>
          <w:rStyle w:val="FootnoteReference"/>
          <w:kern w:val="22"/>
          <w:sz w:val="22"/>
          <w:lang w:val="en-GB"/>
        </w:rPr>
        <w:footnoteReference w:id="24"/>
      </w:r>
      <w:r w:rsidR="006B57A2">
        <w:rPr>
          <w:kern w:val="22"/>
          <w:sz w:val="22"/>
          <w:lang w:val="fr-FR"/>
        </w:rPr>
        <w:t xml:space="preserve"> les communications reçue</w:t>
      </w:r>
      <w:r>
        <w:rPr>
          <w:kern w:val="22"/>
          <w:sz w:val="22"/>
          <w:lang w:val="fr-FR"/>
        </w:rPr>
        <w:t>s</w:t>
      </w:r>
      <w:r w:rsidR="001E33B7" w:rsidRPr="002518EB">
        <w:rPr>
          <w:kern w:val="22"/>
          <w:sz w:val="22"/>
          <w:lang w:val="fr-FR"/>
        </w:rPr>
        <w:t xml:space="preserve"> </w:t>
      </w:r>
      <w:r>
        <w:rPr>
          <w:kern w:val="22"/>
          <w:sz w:val="22"/>
          <w:lang w:val="fr-FR"/>
        </w:rPr>
        <w:t>en réponse à la</w:t>
      </w:r>
      <w:r w:rsidR="001E33B7" w:rsidRPr="002518EB">
        <w:rPr>
          <w:kern w:val="22"/>
          <w:sz w:val="22"/>
          <w:lang w:val="fr-FR"/>
        </w:rPr>
        <w:t xml:space="preserve"> </w:t>
      </w:r>
      <w:r w:rsidR="00E3674F" w:rsidRPr="002518EB">
        <w:rPr>
          <w:kern w:val="22"/>
          <w:sz w:val="22"/>
          <w:lang w:val="fr-FR"/>
        </w:rPr>
        <w:t>décision</w:t>
      </w:r>
      <w:r w:rsidR="001E33B7" w:rsidRPr="002518EB">
        <w:rPr>
          <w:kern w:val="22"/>
          <w:sz w:val="22"/>
          <w:lang w:val="fr-FR"/>
        </w:rPr>
        <w:t xml:space="preserve"> </w:t>
      </w:r>
      <w:r w:rsidR="00552599">
        <w:rPr>
          <w:kern w:val="22"/>
          <w:sz w:val="22"/>
          <w:lang w:val="fr-FR"/>
        </w:rPr>
        <w:t>NP</w:t>
      </w:r>
      <w:r w:rsidR="001E33B7" w:rsidRPr="002518EB">
        <w:rPr>
          <w:kern w:val="22"/>
          <w:sz w:val="22"/>
          <w:lang w:val="fr-FR"/>
        </w:rPr>
        <w:t>-2/10,</w:t>
      </w:r>
      <w:r w:rsidR="001E33B7" w:rsidRPr="002364AB">
        <w:rPr>
          <w:rStyle w:val="FootnoteReference"/>
          <w:kern w:val="22"/>
          <w:sz w:val="22"/>
          <w:lang w:val="en-GB"/>
        </w:rPr>
        <w:footnoteReference w:id="25"/>
      </w:r>
      <w:r>
        <w:rPr>
          <w:kern w:val="22"/>
          <w:sz w:val="22"/>
          <w:lang w:val="fr-FR"/>
        </w:rPr>
        <w:t xml:space="preserve"> la</w:t>
      </w:r>
      <w:r w:rsidR="001E33B7" w:rsidRPr="002518EB">
        <w:rPr>
          <w:kern w:val="22"/>
          <w:sz w:val="22"/>
          <w:lang w:val="fr-FR"/>
        </w:rPr>
        <w:t xml:space="preserve"> </w:t>
      </w:r>
      <w:r w:rsidR="006030C1" w:rsidRPr="002518EB">
        <w:rPr>
          <w:kern w:val="22"/>
          <w:sz w:val="22"/>
          <w:lang w:val="fr-FR"/>
        </w:rPr>
        <w:t>n</w:t>
      </w:r>
      <w:r>
        <w:rPr>
          <w:kern w:val="22"/>
          <w:sz w:val="22"/>
          <w:lang w:val="fr-FR"/>
        </w:rPr>
        <w:t>ote de l</w:t>
      </w:r>
      <w:r w:rsidR="00E3674F" w:rsidRPr="002518EB">
        <w:rPr>
          <w:kern w:val="22"/>
          <w:sz w:val="22"/>
          <w:lang w:val="fr-FR"/>
        </w:rPr>
        <w:t>a Secrétaire exécutive</w:t>
      </w:r>
      <w:r>
        <w:rPr>
          <w:kern w:val="22"/>
          <w:sz w:val="22"/>
          <w:lang w:val="fr-FR"/>
        </w:rPr>
        <w:t xml:space="preserve"> pré</w:t>
      </w:r>
      <w:r w:rsidR="001E33B7" w:rsidRPr="002518EB">
        <w:rPr>
          <w:kern w:val="22"/>
          <w:sz w:val="22"/>
          <w:lang w:val="fr-FR"/>
        </w:rPr>
        <w:t>par</w:t>
      </w:r>
      <w:r w:rsidR="006B57A2">
        <w:rPr>
          <w:kern w:val="22"/>
          <w:sz w:val="22"/>
          <w:lang w:val="fr-FR"/>
        </w:rPr>
        <w:t>ée pour la deuxième réunion de l’</w:t>
      </w:r>
      <w:r w:rsidR="00666EC9">
        <w:rPr>
          <w:kern w:val="22"/>
          <w:sz w:val="22"/>
          <w:lang w:val="fr-FR"/>
        </w:rPr>
        <w:t>Organe subsidiaire chargé de l’application</w:t>
      </w:r>
      <w:r w:rsidR="001E33B7" w:rsidRPr="002518EB">
        <w:rPr>
          <w:kern w:val="22"/>
          <w:sz w:val="22"/>
          <w:lang w:val="fr-FR"/>
        </w:rPr>
        <w:t>,</w:t>
      </w:r>
      <w:r w:rsidR="001E33B7" w:rsidRPr="002364AB">
        <w:rPr>
          <w:rStyle w:val="FootnoteReference"/>
          <w:kern w:val="22"/>
          <w:sz w:val="22"/>
          <w:lang w:val="en-GB"/>
        </w:rPr>
        <w:footnoteReference w:id="26"/>
      </w:r>
      <w:r w:rsidR="00E3674F" w:rsidRPr="002518EB">
        <w:rPr>
          <w:kern w:val="22"/>
          <w:sz w:val="22"/>
          <w:lang w:val="fr-FR"/>
        </w:rPr>
        <w:t xml:space="preserve"> et </w:t>
      </w:r>
      <w:r w:rsidR="006B57A2">
        <w:rPr>
          <w:kern w:val="22"/>
          <w:sz w:val="22"/>
          <w:lang w:val="fr-FR"/>
        </w:rPr>
        <w:t>les communications reçu</w:t>
      </w:r>
      <w:r>
        <w:rPr>
          <w:kern w:val="22"/>
          <w:sz w:val="22"/>
          <w:lang w:val="fr-FR"/>
        </w:rPr>
        <w:t>es</w:t>
      </w:r>
      <w:r w:rsidR="001E33B7" w:rsidRPr="002518EB">
        <w:rPr>
          <w:kern w:val="22"/>
          <w:sz w:val="22"/>
          <w:lang w:val="fr-FR"/>
        </w:rPr>
        <w:t xml:space="preserve"> </w:t>
      </w:r>
      <w:r>
        <w:rPr>
          <w:kern w:val="22"/>
          <w:sz w:val="22"/>
          <w:lang w:val="fr-FR"/>
        </w:rPr>
        <w:t>en réponse</w:t>
      </w:r>
      <w:r w:rsidR="001E33B7" w:rsidRPr="002518EB">
        <w:rPr>
          <w:kern w:val="22"/>
          <w:sz w:val="22"/>
          <w:lang w:val="fr-FR"/>
        </w:rPr>
        <w:t xml:space="preserve"> </w:t>
      </w:r>
      <w:r>
        <w:rPr>
          <w:kern w:val="22"/>
          <w:sz w:val="22"/>
          <w:lang w:val="fr-FR"/>
        </w:rPr>
        <w:t>à la décision</w:t>
      </w:r>
      <w:r w:rsidR="001E33B7" w:rsidRPr="002518EB">
        <w:rPr>
          <w:kern w:val="22"/>
          <w:sz w:val="22"/>
          <w:lang w:val="fr-FR"/>
        </w:rPr>
        <w:t xml:space="preserve"> </w:t>
      </w:r>
      <w:r w:rsidR="00552599">
        <w:rPr>
          <w:kern w:val="22"/>
          <w:sz w:val="22"/>
          <w:lang w:val="fr-FR"/>
        </w:rPr>
        <w:t>NP</w:t>
      </w:r>
      <w:r w:rsidR="001E33B7" w:rsidRPr="002518EB">
        <w:rPr>
          <w:kern w:val="22"/>
          <w:sz w:val="22"/>
          <w:lang w:val="fr-FR"/>
        </w:rPr>
        <w:t>-3/13.</w:t>
      </w:r>
      <w:r w:rsidR="001E33B7" w:rsidRPr="002364AB">
        <w:rPr>
          <w:rStyle w:val="FootnoteReference"/>
          <w:kern w:val="22"/>
          <w:sz w:val="22"/>
          <w:lang w:val="en-GB"/>
        </w:rPr>
        <w:footnoteReference w:id="27"/>
      </w:r>
      <w:r w:rsidR="001E33B7" w:rsidRPr="002518EB">
        <w:rPr>
          <w:kern w:val="22"/>
          <w:sz w:val="22"/>
          <w:lang w:val="fr-FR"/>
        </w:rPr>
        <w:t xml:space="preserve"> </w:t>
      </w:r>
      <w:r>
        <w:rPr>
          <w:kern w:val="22"/>
          <w:sz w:val="22"/>
          <w:lang w:val="fr-FR"/>
        </w:rPr>
        <w:t xml:space="preserve">De plus, </w:t>
      </w:r>
      <w:r w:rsidR="00367430" w:rsidRPr="002518EB">
        <w:rPr>
          <w:rFonts w:eastAsia="Times New Roman" w:cs="Times New Roman"/>
          <w:color w:val="000000"/>
          <w:kern w:val="22"/>
          <w:sz w:val="22"/>
          <w:lang w:val="fr-FR" w:eastAsia="en-CA"/>
        </w:rPr>
        <w:t>les auteurs</w:t>
      </w:r>
      <w:r w:rsidR="0049565B" w:rsidRPr="002518EB">
        <w:rPr>
          <w:rFonts w:eastAsia="Times New Roman" w:cs="Times New Roman"/>
          <w:color w:val="000000"/>
          <w:kern w:val="22"/>
          <w:sz w:val="22"/>
          <w:lang w:val="fr-FR" w:eastAsia="en-CA"/>
        </w:rPr>
        <w:t xml:space="preserve"> </w:t>
      </w:r>
      <w:r>
        <w:rPr>
          <w:rFonts w:eastAsia="Times New Roman" w:cs="Times New Roman"/>
          <w:color w:val="000000"/>
          <w:kern w:val="22"/>
          <w:sz w:val="22"/>
          <w:lang w:val="fr-FR" w:eastAsia="en-CA"/>
        </w:rPr>
        <w:t>ont ex</w:t>
      </w:r>
      <w:r w:rsidR="00872AEA">
        <w:rPr>
          <w:rFonts w:eastAsia="Times New Roman" w:cs="Times New Roman"/>
          <w:color w:val="000000"/>
          <w:kern w:val="22"/>
          <w:sz w:val="22"/>
          <w:lang w:val="fr-FR" w:eastAsia="en-CA"/>
        </w:rPr>
        <w:t xml:space="preserve">aminé des articles, traités </w:t>
      </w:r>
      <w:r w:rsidR="00E3674F" w:rsidRPr="002518EB">
        <w:rPr>
          <w:rFonts w:eastAsia="Times New Roman" w:cs="Times New Roman"/>
          <w:color w:val="000000"/>
          <w:kern w:val="22"/>
          <w:sz w:val="22"/>
          <w:lang w:val="fr-FR" w:eastAsia="en-CA"/>
        </w:rPr>
        <w:t>et</w:t>
      </w:r>
      <w:r>
        <w:rPr>
          <w:rFonts w:eastAsia="Times New Roman" w:cs="Times New Roman"/>
          <w:color w:val="000000"/>
          <w:kern w:val="22"/>
          <w:sz w:val="22"/>
          <w:lang w:val="fr-FR" w:eastAsia="en-CA"/>
        </w:rPr>
        <w:t xml:space="preserve"> autres </w:t>
      </w:r>
      <w:r w:rsidR="0049565B" w:rsidRPr="002518EB">
        <w:rPr>
          <w:rFonts w:eastAsia="Times New Roman" w:cs="Times New Roman"/>
          <w:color w:val="000000"/>
          <w:kern w:val="22"/>
          <w:sz w:val="22"/>
          <w:lang w:val="fr-FR" w:eastAsia="en-CA"/>
        </w:rPr>
        <w:t xml:space="preserve">publications, </w:t>
      </w:r>
      <w:r w:rsidR="00872AEA">
        <w:rPr>
          <w:rFonts w:eastAsia="Times New Roman" w:cs="Times New Roman"/>
          <w:color w:val="000000"/>
          <w:kern w:val="22"/>
          <w:sz w:val="22"/>
          <w:lang w:val="fr-FR" w:eastAsia="en-CA"/>
        </w:rPr>
        <w:t xml:space="preserve">et </w:t>
      </w:r>
      <w:r w:rsidR="006B57A2">
        <w:rPr>
          <w:rFonts w:eastAsia="Times New Roman" w:cs="Times New Roman"/>
          <w:color w:val="000000"/>
          <w:kern w:val="22"/>
          <w:sz w:val="22"/>
          <w:lang w:val="fr-FR" w:eastAsia="en-CA"/>
        </w:rPr>
        <w:t xml:space="preserve">effectué des recherches </w:t>
      </w:r>
      <w:r>
        <w:rPr>
          <w:rFonts w:eastAsia="Times New Roman" w:cs="Times New Roman"/>
          <w:color w:val="000000"/>
          <w:kern w:val="22"/>
          <w:sz w:val="22"/>
          <w:lang w:val="fr-FR" w:eastAsia="en-CA"/>
        </w:rPr>
        <w:t xml:space="preserve">sur les sites Internet de collections </w:t>
      </w:r>
      <w:r w:rsidR="0049565B" w:rsidRPr="002518EB">
        <w:rPr>
          <w:rFonts w:eastAsia="Times New Roman" w:cs="Times New Roman"/>
          <w:i/>
          <w:color w:val="000000"/>
          <w:kern w:val="22"/>
          <w:sz w:val="22"/>
          <w:lang w:val="fr-FR" w:eastAsia="en-CA"/>
        </w:rPr>
        <w:t>ex situ</w:t>
      </w:r>
      <w:r w:rsidR="0049565B" w:rsidRPr="002518EB">
        <w:rPr>
          <w:rFonts w:eastAsia="Times New Roman" w:cs="Times New Roman"/>
          <w:color w:val="000000"/>
          <w:kern w:val="22"/>
          <w:sz w:val="22"/>
          <w:lang w:val="fr-FR" w:eastAsia="en-CA"/>
        </w:rPr>
        <w:t xml:space="preserve">, </w:t>
      </w:r>
      <w:r w:rsidR="00872AEA">
        <w:rPr>
          <w:rFonts w:eastAsia="Times New Roman" w:cs="Times New Roman"/>
          <w:color w:val="000000"/>
          <w:kern w:val="22"/>
          <w:sz w:val="22"/>
          <w:lang w:val="fr-FR" w:eastAsia="en-CA"/>
        </w:rPr>
        <w:t>les sites</w:t>
      </w:r>
      <w:r>
        <w:rPr>
          <w:rFonts w:eastAsia="Times New Roman" w:cs="Times New Roman"/>
          <w:color w:val="000000"/>
          <w:kern w:val="22"/>
          <w:sz w:val="22"/>
          <w:lang w:val="fr-FR" w:eastAsia="en-CA"/>
        </w:rPr>
        <w:t xml:space="preserve"> nationaux sur l’</w:t>
      </w:r>
      <w:r w:rsidR="00A70F9B" w:rsidRPr="002518EB">
        <w:rPr>
          <w:rFonts w:eastAsia="Times New Roman" w:cs="Times New Roman"/>
          <w:color w:val="000000"/>
          <w:kern w:val="22"/>
          <w:sz w:val="22"/>
          <w:lang w:val="fr-FR" w:eastAsia="en-CA"/>
        </w:rPr>
        <w:t xml:space="preserve">accès et </w:t>
      </w:r>
      <w:r>
        <w:rPr>
          <w:rFonts w:eastAsia="Times New Roman" w:cs="Times New Roman"/>
          <w:color w:val="000000"/>
          <w:kern w:val="22"/>
          <w:sz w:val="22"/>
          <w:lang w:val="fr-FR" w:eastAsia="en-CA"/>
        </w:rPr>
        <w:t xml:space="preserve">le </w:t>
      </w:r>
      <w:r w:rsidR="00A70F9B" w:rsidRPr="002518EB">
        <w:rPr>
          <w:rFonts w:eastAsia="Times New Roman" w:cs="Times New Roman"/>
          <w:color w:val="000000"/>
          <w:kern w:val="22"/>
          <w:sz w:val="22"/>
          <w:lang w:val="fr-FR" w:eastAsia="en-CA"/>
        </w:rPr>
        <w:t>partage des avantages</w:t>
      </w:r>
      <w:r w:rsidR="00540614" w:rsidRPr="002518EB">
        <w:rPr>
          <w:rFonts w:eastAsia="Times New Roman" w:cs="Times New Roman"/>
          <w:color w:val="000000"/>
          <w:kern w:val="22"/>
          <w:sz w:val="22"/>
          <w:lang w:val="fr-FR" w:eastAsia="en-CA"/>
        </w:rPr>
        <w:t>,</w:t>
      </w:r>
      <w:r w:rsidR="0049565B" w:rsidRPr="002518EB">
        <w:rPr>
          <w:rFonts w:eastAsia="Times New Roman" w:cs="Times New Roman"/>
          <w:color w:val="000000"/>
          <w:kern w:val="22"/>
          <w:sz w:val="22"/>
          <w:lang w:val="fr-FR" w:eastAsia="en-CA"/>
        </w:rPr>
        <w:t xml:space="preserve"> </w:t>
      </w:r>
      <w:r>
        <w:rPr>
          <w:rFonts w:eastAsia="Times New Roman" w:cs="Times New Roman"/>
          <w:color w:val="000000"/>
          <w:kern w:val="22"/>
          <w:sz w:val="22"/>
          <w:lang w:val="fr-FR" w:eastAsia="en-CA"/>
        </w:rPr>
        <w:t>la base de données Lex de l’Organis</w:t>
      </w:r>
      <w:r w:rsidR="0049565B" w:rsidRPr="002518EB">
        <w:rPr>
          <w:rFonts w:eastAsia="Times New Roman" w:cs="Times New Roman"/>
          <w:color w:val="000000"/>
          <w:kern w:val="22"/>
          <w:sz w:val="22"/>
          <w:lang w:val="fr-FR" w:eastAsia="en-CA"/>
        </w:rPr>
        <w:t>ation</w:t>
      </w:r>
      <w:r>
        <w:rPr>
          <w:rFonts w:eastAsia="Times New Roman" w:cs="Times New Roman"/>
          <w:color w:val="000000"/>
          <w:kern w:val="22"/>
          <w:sz w:val="22"/>
          <w:lang w:val="fr-FR" w:eastAsia="en-CA"/>
        </w:rPr>
        <w:t xml:space="preserve"> mondiale de la propriété intellectuelle (</w:t>
      </w:r>
      <w:r w:rsidR="0049565B" w:rsidRPr="002518EB">
        <w:rPr>
          <w:rFonts w:eastAsia="Times New Roman" w:cs="Times New Roman"/>
          <w:color w:val="000000"/>
          <w:kern w:val="22"/>
          <w:sz w:val="22"/>
          <w:lang w:val="fr-FR" w:eastAsia="en-CA"/>
        </w:rPr>
        <w:t>O</w:t>
      </w:r>
      <w:r>
        <w:rPr>
          <w:rFonts w:eastAsia="Times New Roman" w:cs="Times New Roman"/>
          <w:color w:val="000000"/>
          <w:kern w:val="22"/>
          <w:sz w:val="22"/>
          <w:lang w:val="fr-FR" w:eastAsia="en-CA"/>
        </w:rPr>
        <w:t>MPI)</w:t>
      </w:r>
      <w:r w:rsidR="0049565B" w:rsidRPr="002518EB">
        <w:rPr>
          <w:rFonts w:eastAsia="Times New Roman" w:cs="Times New Roman"/>
          <w:color w:val="000000"/>
          <w:kern w:val="22"/>
          <w:sz w:val="22"/>
          <w:lang w:val="fr-FR" w:eastAsia="en-CA"/>
        </w:rPr>
        <w:t>,</w:t>
      </w:r>
      <w:r w:rsidR="00E3674F" w:rsidRPr="002518EB">
        <w:rPr>
          <w:rFonts w:eastAsia="Times New Roman" w:cs="Times New Roman"/>
          <w:color w:val="000000"/>
          <w:kern w:val="22"/>
          <w:sz w:val="22"/>
          <w:lang w:val="fr-FR" w:eastAsia="en-CA"/>
        </w:rPr>
        <w:t xml:space="preserve"> et</w:t>
      </w:r>
      <w:r>
        <w:rPr>
          <w:rFonts w:eastAsia="Times New Roman" w:cs="Times New Roman"/>
          <w:color w:val="000000"/>
          <w:kern w:val="22"/>
          <w:sz w:val="22"/>
          <w:lang w:val="fr-FR" w:eastAsia="en-CA"/>
        </w:rPr>
        <w:t xml:space="preserve"> d’autres </w:t>
      </w:r>
      <w:r w:rsidR="00540614" w:rsidRPr="002518EB">
        <w:rPr>
          <w:rFonts w:eastAsia="Times New Roman" w:cs="Times New Roman"/>
          <w:color w:val="000000"/>
          <w:kern w:val="22"/>
          <w:sz w:val="22"/>
          <w:lang w:val="fr-FR" w:eastAsia="en-CA"/>
        </w:rPr>
        <w:t>sources</w:t>
      </w:r>
      <w:r>
        <w:rPr>
          <w:rFonts w:eastAsia="Times New Roman" w:cs="Times New Roman"/>
          <w:color w:val="000000"/>
          <w:kern w:val="22"/>
          <w:sz w:val="22"/>
          <w:lang w:val="fr-FR" w:eastAsia="en-CA"/>
        </w:rPr>
        <w:t xml:space="preserve"> </w:t>
      </w:r>
      <w:r w:rsidR="00872AEA">
        <w:rPr>
          <w:rFonts w:eastAsia="Times New Roman" w:cs="Times New Roman"/>
          <w:color w:val="000000"/>
          <w:kern w:val="22"/>
          <w:sz w:val="22"/>
          <w:lang w:val="fr-FR" w:eastAsia="en-CA"/>
        </w:rPr>
        <w:t xml:space="preserve">Internet </w:t>
      </w:r>
      <w:r>
        <w:rPr>
          <w:rFonts w:eastAsia="Times New Roman" w:cs="Times New Roman"/>
          <w:color w:val="000000"/>
          <w:kern w:val="22"/>
          <w:sz w:val="22"/>
          <w:lang w:val="fr-FR" w:eastAsia="en-CA"/>
        </w:rPr>
        <w:t>accessibles</w:t>
      </w:r>
      <w:r w:rsidR="00872AEA">
        <w:rPr>
          <w:rFonts w:eastAsia="Times New Roman" w:cs="Times New Roman"/>
          <w:color w:val="000000"/>
          <w:kern w:val="22"/>
          <w:sz w:val="22"/>
          <w:lang w:val="fr-FR" w:eastAsia="en-CA"/>
        </w:rPr>
        <w:t xml:space="preserve"> au public ; ils</w:t>
      </w:r>
      <w:r w:rsidR="00E3674F" w:rsidRPr="002518EB">
        <w:rPr>
          <w:rFonts w:eastAsia="Times New Roman" w:cs="Times New Roman"/>
          <w:color w:val="000000"/>
          <w:kern w:val="22"/>
          <w:sz w:val="22"/>
          <w:lang w:val="fr-FR" w:eastAsia="en-CA"/>
        </w:rPr>
        <w:t xml:space="preserve"> </w:t>
      </w:r>
      <w:r>
        <w:rPr>
          <w:rFonts w:eastAsia="Times New Roman" w:cs="Times New Roman"/>
          <w:color w:val="000000"/>
          <w:kern w:val="22"/>
          <w:sz w:val="22"/>
          <w:lang w:val="fr-FR" w:eastAsia="en-CA"/>
        </w:rPr>
        <w:t xml:space="preserve">ont </w:t>
      </w:r>
      <w:r w:rsidR="00872AEA">
        <w:rPr>
          <w:rFonts w:eastAsia="Times New Roman" w:cs="Times New Roman"/>
          <w:color w:val="000000"/>
          <w:kern w:val="22"/>
          <w:sz w:val="22"/>
          <w:lang w:val="fr-FR" w:eastAsia="en-CA"/>
        </w:rPr>
        <w:t>également extrait</w:t>
      </w:r>
      <w:r>
        <w:rPr>
          <w:rFonts w:eastAsia="Times New Roman" w:cs="Times New Roman"/>
          <w:color w:val="000000"/>
          <w:kern w:val="22"/>
          <w:sz w:val="22"/>
          <w:lang w:val="fr-FR" w:eastAsia="en-CA"/>
        </w:rPr>
        <w:t xml:space="preserve"> des do</w:t>
      </w:r>
      <w:r w:rsidR="00872AEA">
        <w:rPr>
          <w:rFonts w:eastAsia="Times New Roman" w:cs="Times New Roman"/>
          <w:color w:val="000000"/>
          <w:kern w:val="22"/>
          <w:sz w:val="22"/>
          <w:lang w:val="fr-FR" w:eastAsia="en-CA"/>
        </w:rPr>
        <w:t xml:space="preserve">nnées et des conclusions provenant </w:t>
      </w:r>
      <w:r>
        <w:rPr>
          <w:rFonts w:eastAsia="Times New Roman" w:cs="Times New Roman"/>
          <w:color w:val="000000"/>
          <w:kern w:val="22"/>
          <w:sz w:val="22"/>
          <w:lang w:val="fr-FR" w:eastAsia="en-CA"/>
        </w:rPr>
        <w:t xml:space="preserve">de </w:t>
      </w:r>
      <w:r w:rsidR="00AB6A02" w:rsidRPr="002518EB">
        <w:rPr>
          <w:rFonts w:eastAsia="Times New Roman" w:cs="Times New Roman"/>
          <w:color w:val="000000"/>
          <w:kern w:val="22"/>
          <w:sz w:val="22"/>
          <w:lang w:val="fr-FR" w:eastAsia="en-CA"/>
        </w:rPr>
        <w:t>plusieurs</w:t>
      </w:r>
      <w:r>
        <w:rPr>
          <w:rFonts w:eastAsia="Times New Roman" w:cs="Times New Roman"/>
          <w:color w:val="000000"/>
          <w:kern w:val="22"/>
          <w:sz w:val="22"/>
          <w:lang w:val="fr-FR" w:eastAsia="en-CA"/>
        </w:rPr>
        <w:t xml:space="preserve"> de leurs précédente</w:t>
      </w:r>
      <w:r w:rsidR="0049565B" w:rsidRPr="002518EB">
        <w:rPr>
          <w:rFonts w:eastAsia="Times New Roman" w:cs="Times New Roman"/>
          <w:color w:val="000000"/>
          <w:kern w:val="22"/>
          <w:sz w:val="22"/>
          <w:lang w:val="fr-FR" w:eastAsia="en-CA"/>
        </w:rPr>
        <w:t>s</w:t>
      </w:r>
      <w:r>
        <w:rPr>
          <w:rFonts w:eastAsia="Times New Roman" w:cs="Times New Roman"/>
          <w:color w:val="000000"/>
          <w:kern w:val="22"/>
          <w:sz w:val="22"/>
          <w:lang w:val="fr-FR" w:eastAsia="en-CA"/>
        </w:rPr>
        <w:t xml:space="preserve"> recherches</w:t>
      </w:r>
      <w:r w:rsidR="0049565B" w:rsidRPr="002518EB">
        <w:rPr>
          <w:rFonts w:eastAsia="Times New Roman" w:cs="Times New Roman"/>
          <w:color w:val="000000"/>
          <w:kern w:val="22"/>
          <w:sz w:val="22"/>
          <w:lang w:val="fr-FR" w:eastAsia="en-CA"/>
        </w:rPr>
        <w:t xml:space="preserve">. </w:t>
      </w:r>
    </w:p>
    <w:p w14:paraId="29C74C37" w14:textId="3B8C1AEE" w:rsidR="00983773" w:rsidRPr="002E33B3" w:rsidRDefault="008F38B0" w:rsidP="00B80668">
      <w:pPr>
        <w:pBdr>
          <w:top w:val="nil"/>
          <w:left w:val="nil"/>
          <w:bottom w:val="nil"/>
          <w:right w:val="nil"/>
          <w:between w:val="nil"/>
        </w:pBdr>
        <w:spacing w:after="120"/>
        <w:rPr>
          <w:rFonts w:eastAsia="Times New Roman" w:cs="Times New Roman"/>
          <w:i/>
          <w:color w:val="000000"/>
          <w:kern w:val="22"/>
          <w:sz w:val="22"/>
          <w:lang w:val="fr-FR" w:eastAsia="en-CA"/>
        </w:rPr>
      </w:pPr>
      <w:r w:rsidRPr="002E33B3">
        <w:rPr>
          <w:rFonts w:eastAsia="Times New Roman" w:cs="Times New Roman"/>
          <w:i/>
          <w:color w:val="000000"/>
          <w:kern w:val="22"/>
          <w:sz w:val="22"/>
          <w:lang w:val="fr-FR" w:eastAsia="en-CA"/>
        </w:rPr>
        <w:t>Champ d’application</w:t>
      </w:r>
    </w:p>
    <w:p w14:paraId="0E24D25B" w14:textId="273CDF49" w:rsidR="00983773" w:rsidRPr="009C2C15" w:rsidRDefault="00666EC9" w:rsidP="248AA06A">
      <w:pPr>
        <w:rPr>
          <w:kern w:val="22"/>
          <w:sz w:val="22"/>
          <w:lang w:val="fr-FR"/>
        </w:rPr>
      </w:pPr>
      <w:r w:rsidRPr="00666EC9">
        <w:rPr>
          <w:kern w:val="22"/>
          <w:sz w:val="22"/>
          <w:lang w:val="fr-FR"/>
        </w:rPr>
        <w:lastRenderedPageBreak/>
        <w:t>Comme indiqué ci-dessus, l</w:t>
      </w:r>
      <w:r w:rsidR="248AA06A" w:rsidRPr="00666EC9">
        <w:rPr>
          <w:kern w:val="22"/>
          <w:sz w:val="22"/>
          <w:lang w:val="fr-FR"/>
        </w:rPr>
        <w:t>e</w:t>
      </w:r>
      <w:r w:rsidRPr="00666EC9">
        <w:rPr>
          <w:kern w:val="22"/>
          <w:sz w:val="22"/>
          <w:lang w:val="fr-FR"/>
        </w:rPr>
        <w:t>s</w:t>
      </w:r>
      <w:r w:rsidR="248AA06A" w:rsidRPr="00666EC9">
        <w:rPr>
          <w:kern w:val="22"/>
          <w:sz w:val="22"/>
          <w:lang w:val="fr-FR"/>
        </w:rPr>
        <w:t xml:space="preserve"> Parties</w:t>
      </w:r>
      <w:r w:rsidR="00872AEA">
        <w:rPr>
          <w:kern w:val="22"/>
          <w:sz w:val="22"/>
          <w:lang w:val="fr-FR"/>
        </w:rPr>
        <w:t xml:space="preserve"> peuvent avoir des</w:t>
      </w:r>
      <w:r>
        <w:rPr>
          <w:kern w:val="22"/>
          <w:sz w:val="22"/>
          <w:lang w:val="fr-FR"/>
        </w:rPr>
        <w:t xml:space="preserve"> points de vue divergents sur les </w:t>
      </w:r>
      <w:r w:rsidR="00367430" w:rsidRPr="00666EC9">
        <w:rPr>
          <w:kern w:val="22"/>
          <w:sz w:val="22"/>
          <w:lang w:val="fr-FR"/>
        </w:rPr>
        <w:t>question</w:t>
      </w:r>
      <w:r w:rsidR="248AA06A" w:rsidRPr="00666EC9">
        <w:rPr>
          <w:kern w:val="22"/>
          <w:sz w:val="22"/>
          <w:lang w:val="fr-FR"/>
        </w:rPr>
        <w:t xml:space="preserve">s </w:t>
      </w:r>
      <w:r>
        <w:rPr>
          <w:kern w:val="22"/>
          <w:sz w:val="22"/>
          <w:lang w:val="fr-FR"/>
        </w:rPr>
        <w:t xml:space="preserve">relatives </w:t>
      </w:r>
      <w:r w:rsidR="00056B61">
        <w:rPr>
          <w:kern w:val="22"/>
          <w:sz w:val="22"/>
          <w:lang w:val="fr-FR"/>
        </w:rPr>
        <w:t xml:space="preserve">au </w:t>
      </w:r>
      <w:r w:rsidR="008F38B0" w:rsidRPr="00666EC9">
        <w:rPr>
          <w:kern w:val="22"/>
          <w:sz w:val="22"/>
          <w:lang w:val="fr-FR"/>
        </w:rPr>
        <w:t>champ d’application</w:t>
      </w:r>
      <w:r w:rsidR="00056B61">
        <w:rPr>
          <w:kern w:val="22"/>
          <w:sz w:val="22"/>
          <w:lang w:val="fr-FR"/>
        </w:rPr>
        <w:t xml:space="preserve"> </w:t>
      </w:r>
      <w:r w:rsidR="00770AB8" w:rsidRPr="00666EC9">
        <w:rPr>
          <w:kern w:val="22"/>
          <w:sz w:val="22"/>
          <w:lang w:val="fr-FR"/>
        </w:rPr>
        <w:t>du Pro</w:t>
      </w:r>
      <w:r w:rsidR="00E3674F" w:rsidRPr="00666EC9">
        <w:rPr>
          <w:kern w:val="22"/>
          <w:sz w:val="22"/>
          <w:lang w:val="fr-FR"/>
        </w:rPr>
        <w:t>tocole de Nagoya</w:t>
      </w:r>
      <w:r w:rsidR="00872AEA">
        <w:rPr>
          <w:kern w:val="22"/>
          <w:sz w:val="22"/>
          <w:lang w:val="fr-FR"/>
        </w:rPr>
        <w:t>, qu’il s’agisse de son</w:t>
      </w:r>
      <w:r w:rsidR="00056B61">
        <w:rPr>
          <w:kern w:val="22"/>
          <w:sz w:val="22"/>
          <w:lang w:val="fr-FR"/>
        </w:rPr>
        <w:t xml:space="preserve"> contenu, ou </w:t>
      </w:r>
      <w:r w:rsidR="00872AEA">
        <w:rPr>
          <w:kern w:val="22"/>
          <w:sz w:val="22"/>
          <w:lang w:val="fr-FR"/>
        </w:rPr>
        <w:t xml:space="preserve">de son application dans le temps et </w:t>
      </w:r>
      <w:r w:rsidR="00056B61">
        <w:rPr>
          <w:kern w:val="22"/>
          <w:sz w:val="22"/>
          <w:lang w:val="fr-FR"/>
        </w:rPr>
        <w:t>dans l’espace</w:t>
      </w:r>
      <w:r w:rsidR="248AA06A" w:rsidRPr="00666EC9">
        <w:rPr>
          <w:kern w:val="22"/>
          <w:sz w:val="22"/>
          <w:lang w:val="fr-FR"/>
        </w:rPr>
        <w:t>.</w:t>
      </w:r>
      <w:r w:rsidR="00E22BE4" w:rsidRPr="002364AB">
        <w:rPr>
          <w:rStyle w:val="FootnoteReference"/>
          <w:kern w:val="22"/>
          <w:sz w:val="22"/>
          <w:lang w:val="en-GB"/>
        </w:rPr>
        <w:footnoteReference w:id="28"/>
      </w:r>
      <w:r w:rsidR="009C2C15" w:rsidRPr="00666EC9">
        <w:rPr>
          <w:kern w:val="22"/>
          <w:sz w:val="22"/>
          <w:lang w:val="fr-FR"/>
        </w:rPr>
        <w:t xml:space="preserve"> </w:t>
      </w:r>
      <w:r w:rsidR="009C2C15" w:rsidRPr="009C2C15">
        <w:rPr>
          <w:kern w:val="22"/>
          <w:sz w:val="22"/>
          <w:lang w:val="fr-FR"/>
        </w:rPr>
        <w:t>Une brève</w:t>
      </w:r>
      <w:r w:rsidR="248AA06A" w:rsidRPr="009C2C15">
        <w:rPr>
          <w:kern w:val="22"/>
          <w:sz w:val="22"/>
          <w:lang w:val="fr-FR"/>
        </w:rPr>
        <w:t xml:space="preserve"> description </w:t>
      </w:r>
      <w:r w:rsidR="009C2C15" w:rsidRPr="009C2C15">
        <w:rPr>
          <w:kern w:val="22"/>
          <w:sz w:val="22"/>
          <w:lang w:val="fr-FR"/>
        </w:rPr>
        <w:t>de chacune de ces</w:t>
      </w:r>
      <w:r w:rsidR="248AA06A" w:rsidRPr="009C2C15">
        <w:rPr>
          <w:kern w:val="22"/>
          <w:sz w:val="22"/>
          <w:lang w:val="fr-FR"/>
        </w:rPr>
        <w:t xml:space="preserve"> </w:t>
      </w:r>
      <w:r w:rsidR="00367430" w:rsidRPr="009C2C15">
        <w:rPr>
          <w:kern w:val="22"/>
          <w:sz w:val="22"/>
          <w:lang w:val="fr-FR"/>
        </w:rPr>
        <w:t>question</w:t>
      </w:r>
      <w:r w:rsidR="009C2C15" w:rsidRPr="009C2C15">
        <w:rPr>
          <w:kern w:val="22"/>
          <w:sz w:val="22"/>
          <w:lang w:val="fr-FR"/>
        </w:rPr>
        <w:t>s e</w:t>
      </w:r>
      <w:r w:rsidR="248AA06A" w:rsidRPr="009C2C15">
        <w:rPr>
          <w:kern w:val="22"/>
          <w:sz w:val="22"/>
          <w:lang w:val="fr-FR"/>
        </w:rPr>
        <w:t>s</w:t>
      </w:r>
      <w:r w:rsidR="009C2C15" w:rsidRPr="009C2C15">
        <w:rPr>
          <w:kern w:val="22"/>
          <w:sz w:val="22"/>
          <w:lang w:val="fr-FR"/>
        </w:rPr>
        <w:t>t fo</w:t>
      </w:r>
      <w:r w:rsidR="00872AEA">
        <w:rPr>
          <w:kern w:val="22"/>
          <w:sz w:val="22"/>
          <w:lang w:val="fr-FR"/>
        </w:rPr>
        <w:t>urnie ci-dessous, afin de donner</w:t>
      </w:r>
      <w:r w:rsidR="009C2C15" w:rsidRPr="009C2C15">
        <w:rPr>
          <w:kern w:val="22"/>
          <w:sz w:val="22"/>
          <w:lang w:val="fr-FR"/>
        </w:rPr>
        <w:t xml:space="preserve"> le contexte de </w:t>
      </w:r>
      <w:r w:rsidR="00AA5919" w:rsidRPr="009C2C15">
        <w:rPr>
          <w:kern w:val="22"/>
          <w:sz w:val="22"/>
          <w:lang w:val="fr-FR"/>
        </w:rPr>
        <w:t xml:space="preserve">certains </w:t>
      </w:r>
      <w:r w:rsidR="009C2C15" w:rsidRPr="009C2C15">
        <w:rPr>
          <w:kern w:val="22"/>
          <w:sz w:val="22"/>
          <w:lang w:val="fr-FR"/>
        </w:rPr>
        <w:t>e</w:t>
      </w:r>
      <w:r w:rsidR="009D43F1" w:rsidRPr="009C2C15">
        <w:rPr>
          <w:kern w:val="22"/>
          <w:sz w:val="22"/>
          <w:lang w:val="fr-FR"/>
        </w:rPr>
        <w:t>xemple</w:t>
      </w:r>
      <w:r w:rsidR="248AA06A" w:rsidRPr="009C2C15">
        <w:rPr>
          <w:kern w:val="22"/>
          <w:sz w:val="22"/>
          <w:lang w:val="fr-FR"/>
        </w:rPr>
        <w:t xml:space="preserve">s </w:t>
      </w:r>
      <w:r w:rsidR="00872AEA">
        <w:rPr>
          <w:kern w:val="22"/>
          <w:sz w:val="22"/>
          <w:lang w:val="fr-FR"/>
        </w:rPr>
        <w:t>décrits</w:t>
      </w:r>
      <w:r w:rsidR="009C2C15" w:rsidRPr="009C2C15">
        <w:rPr>
          <w:kern w:val="22"/>
          <w:sz w:val="22"/>
          <w:lang w:val="fr-FR"/>
        </w:rPr>
        <w:t xml:space="preserve"> dans l’</w:t>
      </w:r>
      <w:r w:rsidR="00E3674F" w:rsidRPr="009C2C15">
        <w:rPr>
          <w:kern w:val="22"/>
          <w:sz w:val="22"/>
          <w:lang w:val="fr-FR"/>
        </w:rPr>
        <w:t>étude</w:t>
      </w:r>
      <w:r w:rsidR="248AA06A" w:rsidRPr="009C2C15">
        <w:rPr>
          <w:kern w:val="22"/>
          <w:sz w:val="22"/>
          <w:lang w:val="fr-FR"/>
        </w:rPr>
        <w:t>.</w:t>
      </w:r>
    </w:p>
    <w:p w14:paraId="2C28E992" w14:textId="6FEDEBD0" w:rsidR="00983773" w:rsidRPr="00B65233" w:rsidRDefault="008F38B0" w:rsidP="00073C95">
      <w:pPr>
        <w:ind w:firstLine="720"/>
        <w:rPr>
          <w:i/>
          <w:iCs/>
          <w:kern w:val="22"/>
          <w:sz w:val="22"/>
          <w:lang w:val="fr-FR"/>
        </w:rPr>
      </w:pPr>
      <w:r w:rsidRPr="00B65233">
        <w:rPr>
          <w:i/>
          <w:iCs/>
          <w:kern w:val="22"/>
          <w:sz w:val="22"/>
          <w:lang w:val="fr-FR"/>
        </w:rPr>
        <w:t>Champ d’application dans le temps</w:t>
      </w:r>
    </w:p>
    <w:p w14:paraId="389544AE" w14:textId="38031461" w:rsidR="00983773" w:rsidRPr="00367430" w:rsidRDefault="007732EE" w:rsidP="00983773">
      <w:pPr>
        <w:rPr>
          <w:rFonts w:eastAsia="Batang" w:cs="Times New Roman"/>
          <w:kern w:val="22"/>
          <w:sz w:val="22"/>
          <w:lang w:val="fr-FR"/>
        </w:rPr>
      </w:pPr>
      <w:r w:rsidRPr="007732EE">
        <w:rPr>
          <w:kern w:val="22"/>
          <w:sz w:val="22"/>
          <w:lang w:val="fr-FR"/>
        </w:rPr>
        <w:t>Une</w:t>
      </w:r>
      <w:r w:rsidR="00983773" w:rsidRPr="007732EE">
        <w:rPr>
          <w:kern w:val="22"/>
          <w:sz w:val="22"/>
          <w:lang w:val="fr-FR"/>
        </w:rPr>
        <w:t xml:space="preserve"> question</w:t>
      </w:r>
      <w:r w:rsidR="00872AEA">
        <w:rPr>
          <w:kern w:val="22"/>
          <w:sz w:val="22"/>
          <w:lang w:val="fr-FR"/>
        </w:rPr>
        <w:t xml:space="preserve"> pour laquelle il subsiste des incertitudes</w:t>
      </w:r>
      <w:r w:rsidRPr="007732EE">
        <w:rPr>
          <w:kern w:val="22"/>
          <w:sz w:val="22"/>
          <w:lang w:val="fr-FR"/>
        </w:rPr>
        <w:t xml:space="preserve"> dans le </w:t>
      </w:r>
      <w:r w:rsidR="00983773" w:rsidRPr="007732EE">
        <w:rPr>
          <w:kern w:val="22"/>
          <w:sz w:val="22"/>
          <w:lang w:val="fr-FR"/>
        </w:rPr>
        <w:t>Protocol</w:t>
      </w:r>
      <w:r w:rsidRPr="007732EE">
        <w:rPr>
          <w:kern w:val="22"/>
          <w:sz w:val="22"/>
          <w:lang w:val="fr-FR"/>
        </w:rPr>
        <w:t>e</w:t>
      </w:r>
      <w:r w:rsidR="00190A44" w:rsidRPr="007732EE">
        <w:rPr>
          <w:kern w:val="22"/>
          <w:sz w:val="22"/>
          <w:lang w:val="fr-FR"/>
        </w:rPr>
        <w:t>,</w:t>
      </w:r>
      <w:r w:rsidR="00872AEA">
        <w:rPr>
          <w:kern w:val="22"/>
          <w:sz w:val="22"/>
          <w:lang w:val="fr-FR"/>
        </w:rPr>
        <w:t xml:space="preserve"> et au sujet de</w:t>
      </w:r>
      <w:r w:rsidRPr="007732EE">
        <w:rPr>
          <w:kern w:val="22"/>
          <w:sz w:val="22"/>
          <w:lang w:val="fr-FR"/>
        </w:rPr>
        <w:t xml:space="preserve"> laquelle les </w:t>
      </w:r>
      <w:r w:rsidR="00555EC5" w:rsidRPr="007732EE">
        <w:rPr>
          <w:kern w:val="22"/>
          <w:sz w:val="22"/>
          <w:lang w:val="fr-FR"/>
        </w:rPr>
        <w:t xml:space="preserve">Parties </w:t>
      </w:r>
      <w:r w:rsidR="007A438A" w:rsidRPr="007732EE">
        <w:rPr>
          <w:kern w:val="22"/>
          <w:sz w:val="22"/>
          <w:lang w:val="fr-FR"/>
        </w:rPr>
        <w:t>au Protocole</w:t>
      </w:r>
      <w:r w:rsidR="00872AEA">
        <w:rPr>
          <w:kern w:val="22"/>
          <w:sz w:val="22"/>
          <w:lang w:val="fr-FR"/>
        </w:rPr>
        <w:t xml:space="preserve"> </w:t>
      </w:r>
      <w:r w:rsidRPr="007732EE">
        <w:rPr>
          <w:kern w:val="22"/>
          <w:sz w:val="22"/>
          <w:lang w:val="fr-FR"/>
        </w:rPr>
        <w:t xml:space="preserve">et à la </w:t>
      </w:r>
      <w:r w:rsidR="007347F7">
        <w:rPr>
          <w:kern w:val="22"/>
          <w:sz w:val="22"/>
          <w:lang w:val="fr-FR"/>
        </w:rPr>
        <w:t>Convention</w:t>
      </w:r>
      <w:r w:rsidR="00555EC5" w:rsidRPr="007732EE">
        <w:rPr>
          <w:kern w:val="22"/>
          <w:sz w:val="22"/>
          <w:lang w:val="fr-FR"/>
        </w:rPr>
        <w:t xml:space="preserve"> </w:t>
      </w:r>
      <w:r>
        <w:rPr>
          <w:kern w:val="22"/>
          <w:sz w:val="22"/>
          <w:lang w:val="fr-FR"/>
        </w:rPr>
        <w:t>ont des positions divergentes, concerne le point de savoir si les obligations relatives au partage des avantages</w:t>
      </w:r>
      <w:r w:rsidR="00983773" w:rsidRPr="007732EE">
        <w:rPr>
          <w:kern w:val="22"/>
          <w:sz w:val="22"/>
          <w:lang w:val="fr-FR"/>
        </w:rPr>
        <w:t xml:space="preserve"> </w:t>
      </w:r>
      <w:r>
        <w:rPr>
          <w:kern w:val="22"/>
          <w:sz w:val="22"/>
          <w:lang w:val="fr-FR"/>
        </w:rPr>
        <w:t>s’appli</w:t>
      </w:r>
      <w:r w:rsidR="00872AEA">
        <w:rPr>
          <w:kern w:val="22"/>
          <w:sz w:val="22"/>
          <w:lang w:val="fr-FR"/>
        </w:rPr>
        <w:t xml:space="preserve">quent uniquement au moment d’un </w:t>
      </w:r>
      <w:r>
        <w:rPr>
          <w:kern w:val="22"/>
          <w:sz w:val="22"/>
          <w:lang w:val="fr-FR"/>
        </w:rPr>
        <w:t>accès</w:t>
      </w:r>
      <w:r w:rsidR="00872AEA">
        <w:rPr>
          <w:kern w:val="22"/>
          <w:sz w:val="22"/>
          <w:lang w:val="fr-FR"/>
        </w:rPr>
        <w:t xml:space="preserve"> initial aux ressources, ou</w:t>
      </w:r>
      <w:r>
        <w:rPr>
          <w:kern w:val="22"/>
          <w:sz w:val="22"/>
          <w:lang w:val="fr-FR"/>
        </w:rPr>
        <w:t xml:space="preserve"> lorsque ces ressources sont </w:t>
      </w:r>
      <w:r w:rsidR="0072393B" w:rsidRPr="007732EE">
        <w:rPr>
          <w:kern w:val="22"/>
          <w:sz w:val="22"/>
          <w:lang w:val="fr-FR"/>
        </w:rPr>
        <w:t>utilisées</w:t>
      </w:r>
      <w:r w:rsidR="00872AEA">
        <w:rPr>
          <w:kern w:val="22"/>
          <w:sz w:val="22"/>
          <w:lang w:val="fr-FR"/>
        </w:rPr>
        <w:t xml:space="preserve"> également</w:t>
      </w:r>
      <w:r w:rsidR="00983773" w:rsidRPr="007732EE">
        <w:rPr>
          <w:kern w:val="22"/>
          <w:sz w:val="22"/>
          <w:lang w:val="fr-FR"/>
        </w:rPr>
        <w:t xml:space="preserve">. </w:t>
      </w:r>
      <w:r>
        <w:rPr>
          <w:kern w:val="22"/>
          <w:sz w:val="22"/>
          <w:lang w:val="fr-FR"/>
        </w:rPr>
        <w:t>Cette</w:t>
      </w:r>
      <w:r w:rsidR="00983773" w:rsidRPr="00367430">
        <w:rPr>
          <w:kern w:val="22"/>
          <w:sz w:val="22"/>
          <w:lang w:val="fr-FR"/>
        </w:rPr>
        <w:t xml:space="preserve"> </w:t>
      </w:r>
      <w:r w:rsidR="00367430" w:rsidRPr="00367430">
        <w:rPr>
          <w:kern w:val="22"/>
          <w:sz w:val="22"/>
          <w:lang w:val="fr-FR"/>
        </w:rPr>
        <w:t>question</w:t>
      </w:r>
      <w:r w:rsidR="00872AEA">
        <w:rPr>
          <w:kern w:val="22"/>
          <w:sz w:val="22"/>
          <w:lang w:val="fr-FR"/>
        </w:rPr>
        <w:t xml:space="preserve"> intitulée</w:t>
      </w:r>
      <w:r w:rsidR="00983773" w:rsidRPr="00367430">
        <w:rPr>
          <w:kern w:val="22"/>
          <w:sz w:val="22"/>
          <w:lang w:val="fr-FR"/>
        </w:rPr>
        <w:t xml:space="preserve"> “</w:t>
      </w:r>
      <w:r w:rsidR="008F38B0" w:rsidRPr="00367430">
        <w:rPr>
          <w:kern w:val="22"/>
          <w:sz w:val="22"/>
          <w:lang w:val="fr-FR"/>
        </w:rPr>
        <w:t>champ d’application dans le temps</w:t>
      </w:r>
      <w:r w:rsidR="00872AEA">
        <w:rPr>
          <w:kern w:val="22"/>
          <w:sz w:val="22"/>
          <w:lang w:val="fr-FR"/>
        </w:rPr>
        <w:t>”</w:t>
      </w:r>
      <w:r w:rsidR="00DB2476">
        <w:rPr>
          <w:kern w:val="22"/>
          <w:sz w:val="22"/>
          <w:lang w:val="fr-FR"/>
        </w:rPr>
        <w:t xml:space="preserve"> concerne l</w:t>
      </w:r>
      <w:r w:rsidR="00983773" w:rsidRPr="00367430">
        <w:rPr>
          <w:kern w:val="22"/>
          <w:sz w:val="22"/>
          <w:lang w:val="fr-FR"/>
        </w:rPr>
        <w:t xml:space="preserve">e </w:t>
      </w:r>
      <w:r w:rsidR="008F38B0" w:rsidRPr="00367430">
        <w:rPr>
          <w:kern w:val="22"/>
          <w:sz w:val="22"/>
          <w:lang w:val="fr-FR"/>
        </w:rPr>
        <w:t>champ d’application</w:t>
      </w:r>
      <w:r w:rsidR="00E3674F" w:rsidRPr="00367430">
        <w:rPr>
          <w:kern w:val="22"/>
          <w:sz w:val="22"/>
          <w:lang w:val="fr-FR"/>
        </w:rPr>
        <w:t xml:space="preserve"> et </w:t>
      </w:r>
      <w:r w:rsidR="00872AEA">
        <w:rPr>
          <w:kern w:val="22"/>
          <w:sz w:val="22"/>
          <w:lang w:val="fr-FR"/>
        </w:rPr>
        <w:t>l’a</w:t>
      </w:r>
      <w:r w:rsidR="00983773" w:rsidRPr="00367430">
        <w:rPr>
          <w:kern w:val="22"/>
          <w:sz w:val="22"/>
          <w:lang w:val="fr-FR"/>
        </w:rPr>
        <w:t xml:space="preserve">pplication </w:t>
      </w:r>
      <w:r w:rsidR="00F27467" w:rsidRPr="00367430">
        <w:rPr>
          <w:kern w:val="22"/>
          <w:sz w:val="22"/>
          <w:lang w:val="fr-FR"/>
        </w:rPr>
        <w:t>du Protocole</w:t>
      </w:r>
      <w:r w:rsidR="00362F53" w:rsidRPr="00367430">
        <w:rPr>
          <w:kern w:val="22"/>
          <w:sz w:val="22"/>
          <w:lang w:val="fr-FR"/>
        </w:rPr>
        <w:t>.</w:t>
      </w:r>
      <w:r w:rsidR="00983773" w:rsidRPr="002364AB" w:rsidDel="00187C47">
        <w:rPr>
          <w:rStyle w:val="FootnoteReference"/>
          <w:kern w:val="22"/>
          <w:sz w:val="22"/>
          <w:lang w:val="en-GB"/>
        </w:rPr>
        <w:footnoteReference w:id="29"/>
      </w:r>
      <w:r w:rsidR="00983773" w:rsidRPr="00367430" w:rsidDel="00187C47">
        <w:rPr>
          <w:kern w:val="22"/>
          <w:sz w:val="22"/>
          <w:lang w:val="fr-FR"/>
        </w:rPr>
        <w:t xml:space="preserve"> </w:t>
      </w:r>
      <w:r w:rsidR="00872AEA">
        <w:rPr>
          <w:kern w:val="22"/>
          <w:sz w:val="22"/>
          <w:lang w:val="fr-FR"/>
        </w:rPr>
        <w:t>En effet, d</w:t>
      </w:r>
      <w:r w:rsidR="009B2B98">
        <w:rPr>
          <w:kern w:val="22"/>
          <w:sz w:val="22"/>
          <w:lang w:val="fr-FR"/>
        </w:rPr>
        <w:t>es quantité</w:t>
      </w:r>
      <w:r w:rsidR="00983773" w:rsidRPr="00367430">
        <w:rPr>
          <w:kern w:val="22"/>
          <w:sz w:val="22"/>
          <w:lang w:val="fr-FR"/>
        </w:rPr>
        <w:t>s</w:t>
      </w:r>
      <w:r w:rsidR="009B2B98">
        <w:rPr>
          <w:kern w:val="22"/>
          <w:sz w:val="22"/>
          <w:lang w:val="fr-FR"/>
        </w:rPr>
        <w:t xml:space="preserve"> importantes</w:t>
      </w:r>
      <w:r w:rsidR="00983773" w:rsidRPr="00367430">
        <w:rPr>
          <w:kern w:val="22"/>
          <w:sz w:val="22"/>
          <w:lang w:val="fr-FR"/>
        </w:rPr>
        <w:t xml:space="preserve"> </w:t>
      </w:r>
      <w:r w:rsidR="00D6232E" w:rsidRPr="00367430">
        <w:rPr>
          <w:kern w:val="22"/>
          <w:sz w:val="22"/>
          <w:lang w:val="fr-FR"/>
        </w:rPr>
        <w:t>de ressources</w:t>
      </w:r>
      <w:r w:rsidR="00E3674F" w:rsidRPr="00367430">
        <w:rPr>
          <w:kern w:val="22"/>
          <w:sz w:val="22"/>
          <w:lang w:val="fr-FR"/>
        </w:rPr>
        <w:t xml:space="preserve"> génétiques</w:t>
      </w:r>
      <w:r w:rsidR="00983773" w:rsidRPr="00367430">
        <w:rPr>
          <w:kern w:val="22"/>
          <w:sz w:val="22"/>
          <w:lang w:val="fr-FR"/>
        </w:rPr>
        <w:t xml:space="preserve"> </w:t>
      </w:r>
      <w:r w:rsidR="009B2B98">
        <w:rPr>
          <w:kern w:val="22"/>
          <w:sz w:val="22"/>
          <w:lang w:val="fr-FR"/>
        </w:rPr>
        <w:t>ont été obtenues dans des</w:t>
      </w:r>
      <w:r w:rsidR="00983773" w:rsidRPr="00367430">
        <w:rPr>
          <w:kern w:val="22"/>
          <w:sz w:val="22"/>
          <w:lang w:val="fr-FR"/>
        </w:rPr>
        <w:t xml:space="preserve"> </w:t>
      </w:r>
      <w:r w:rsidR="00E40444" w:rsidRPr="00367430">
        <w:rPr>
          <w:kern w:val="22"/>
          <w:sz w:val="22"/>
          <w:lang w:val="fr-FR"/>
        </w:rPr>
        <w:t>pays</w:t>
      </w:r>
      <w:r w:rsidR="00872AEA">
        <w:rPr>
          <w:kern w:val="22"/>
          <w:sz w:val="22"/>
          <w:lang w:val="fr-FR"/>
        </w:rPr>
        <w:t xml:space="preserve"> partout dans le monde</w:t>
      </w:r>
      <w:r w:rsidR="009B2B98">
        <w:rPr>
          <w:kern w:val="22"/>
          <w:sz w:val="22"/>
          <w:lang w:val="fr-FR"/>
        </w:rPr>
        <w:t xml:space="preserve"> avant l</w:t>
      </w:r>
      <w:r w:rsidR="00202126" w:rsidRPr="00367430">
        <w:rPr>
          <w:kern w:val="22"/>
          <w:sz w:val="22"/>
          <w:lang w:val="fr-FR"/>
        </w:rPr>
        <w:t>’entrée en vigueur</w:t>
      </w:r>
      <w:r w:rsidR="009B2B98">
        <w:rPr>
          <w:kern w:val="22"/>
          <w:sz w:val="22"/>
          <w:lang w:val="fr-FR"/>
        </w:rPr>
        <w:t xml:space="preserve"> de la</w:t>
      </w:r>
      <w:r w:rsidR="00983773" w:rsidRPr="00367430">
        <w:rPr>
          <w:kern w:val="22"/>
          <w:sz w:val="22"/>
          <w:lang w:val="fr-FR"/>
        </w:rPr>
        <w:t xml:space="preserve"> </w:t>
      </w:r>
      <w:r w:rsidR="007347F7">
        <w:rPr>
          <w:kern w:val="22"/>
          <w:sz w:val="22"/>
          <w:lang w:val="fr-FR"/>
        </w:rPr>
        <w:t>Convention</w:t>
      </w:r>
      <w:r w:rsidR="00E3674F" w:rsidRPr="00367430">
        <w:rPr>
          <w:kern w:val="22"/>
          <w:sz w:val="22"/>
          <w:lang w:val="fr-FR"/>
        </w:rPr>
        <w:t xml:space="preserve"> et </w:t>
      </w:r>
      <w:r w:rsidR="009B2B98">
        <w:rPr>
          <w:kern w:val="22"/>
          <w:sz w:val="22"/>
          <w:lang w:val="fr-FR"/>
        </w:rPr>
        <w:t>l’entrée en vigueur du</w:t>
      </w:r>
      <w:r w:rsidR="00983773" w:rsidRPr="00367430">
        <w:rPr>
          <w:kern w:val="22"/>
          <w:sz w:val="22"/>
          <w:lang w:val="fr-FR"/>
        </w:rPr>
        <w:t xml:space="preserve"> Protocol</w:t>
      </w:r>
      <w:r w:rsidR="009B2B98">
        <w:rPr>
          <w:kern w:val="22"/>
          <w:sz w:val="22"/>
          <w:lang w:val="fr-FR"/>
        </w:rPr>
        <w:t>e</w:t>
      </w:r>
      <w:r w:rsidR="00872AEA">
        <w:rPr>
          <w:kern w:val="22"/>
          <w:sz w:val="22"/>
          <w:lang w:val="fr-FR"/>
        </w:rPr>
        <w:t> ; or,</w:t>
      </w:r>
      <w:r w:rsidR="00E3674F" w:rsidRPr="00367430">
        <w:rPr>
          <w:kern w:val="22"/>
          <w:sz w:val="22"/>
          <w:lang w:val="fr-FR"/>
        </w:rPr>
        <w:t xml:space="preserve"> </w:t>
      </w:r>
      <w:r w:rsidR="009B2B98">
        <w:rPr>
          <w:kern w:val="22"/>
          <w:sz w:val="22"/>
          <w:lang w:val="fr-FR"/>
        </w:rPr>
        <w:t xml:space="preserve">une </w:t>
      </w:r>
      <w:r w:rsidR="00367430" w:rsidRPr="00367430">
        <w:rPr>
          <w:kern w:val="22"/>
          <w:sz w:val="22"/>
          <w:lang w:val="fr-FR"/>
        </w:rPr>
        <w:t>nouvelle utilisation</w:t>
      </w:r>
      <w:r w:rsidR="009B2B98">
        <w:rPr>
          <w:rFonts w:eastAsia="Batang" w:cs="Times New Roman"/>
          <w:kern w:val="22"/>
          <w:sz w:val="22"/>
          <w:lang w:val="fr-FR"/>
        </w:rPr>
        <w:t xml:space="preserve"> de ces</w:t>
      </w:r>
      <w:r w:rsidR="00983773" w:rsidRPr="00367430">
        <w:rPr>
          <w:rFonts w:eastAsia="Batang" w:cs="Times New Roman"/>
          <w:kern w:val="22"/>
          <w:sz w:val="22"/>
          <w:lang w:val="fr-FR"/>
        </w:rPr>
        <w:t xml:space="preserve"> </w:t>
      </w:r>
      <w:r w:rsidR="00FB2FE9" w:rsidRPr="00367430">
        <w:rPr>
          <w:rFonts w:eastAsia="Batang" w:cs="Times New Roman"/>
          <w:kern w:val="22"/>
          <w:sz w:val="22"/>
          <w:lang w:val="fr-FR"/>
        </w:rPr>
        <w:t>ressources</w:t>
      </w:r>
      <w:r w:rsidR="00983773" w:rsidRPr="00367430">
        <w:rPr>
          <w:rFonts w:eastAsia="Batang" w:cs="Times New Roman"/>
          <w:kern w:val="22"/>
          <w:sz w:val="22"/>
          <w:lang w:val="fr-FR"/>
        </w:rPr>
        <w:t xml:space="preserve">, </w:t>
      </w:r>
      <w:r w:rsidR="00872AEA">
        <w:rPr>
          <w:rFonts w:eastAsia="Batang" w:cs="Times New Roman"/>
          <w:kern w:val="22"/>
          <w:sz w:val="22"/>
          <w:lang w:val="fr-FR"/>
        </w:rPr>
        <w:t xml:space="preserve">détenues </w:t>
      </w:r>
      <w:r w:rsidR="008A5BE1" w:rsidRPr="00367430">
        <w:rPr>
          <w:rFonts w:eastAsia="Batang" w:cs="Times New Roman"/>
          <w:kern w:val="22"/>
          <w:sz w:val="22"/>
          <w:lang w:val="fr-FR"/>
        </w:rPr>
        <w:t>actuellement</w:t>
      </w:r>
      <w:r w:rsidR="00703BE4">
        <w:rPr>
          <w:rFonts w:eastAsia="Batang" w:cs="Times New Roman"/>
          <w:kern w:val="22"/>
          <w:sz w:val="22"/>
          <w:lang w:val="fr-FR"/>
        </w:rPr>
        <w:t xml:space="preserve"> dans des collections </w:t>
      </w:r>
      <w:r w:rsidR="004C60E6" w:rsidRPr="00367430">
        <w:rPr>
          <w:rFonts w:eastAsia="Batang" w:cs="Times New Roman"/>
          <w:i/>
          <w:kern w:val="22"/>
          <w:sz w:val="22"/>
          <w:lang w:val="fr-FR"/>
        </w:rPr>
        <w:t>ex situ</w:t>
      </w:r>
      <w:r w:rsidR="004C60E6" w:rsidRPr="00367430">
        <w:rPr>
          <w:rFonts w:eastAsia="Batang" w:cs="Times New Roman"/>
          <w:kern w:val="22"/>
          <w:sz w:val="22"/>
          <w:lang w:val="fr-FR"/>
        </w:rPr>
        <w:t xml:space="preserve"> </w:t>
      </w:r>
      <w:r w:rsidR="009B2B98">
        <w:rPr>
          <w:rFonts w:eastAsia="Batang" w:cs="Times New Roman"/>
          <w:kern w:val="22"/>
          <w:sz w:val="22"/>
          <w:lang w:val="fr-FR"/>
        </w:rPr>
        <w:t>à l’extérieur du</w:t>
      </w:r>
      <w:r w:rsidR="00983773" w:rsidRPr="00367430">
        <w:rPr>
          <w:rFonts w:eastAsia="Batang" w:cs="Times New Roman"/>
          <w:kern w:val="22"/>
          <w:sz w:val="22"/>
          <w:lang w:val="fr-FR"/>
        </w:rPr>
        <w:t xml:space="preserve"> </w:t>
      </w:r>
      <w:r w:rsidR="00D70471" w:rsidRPr="00367430">
        <w:rPr>
          <w:rFonts w:eastAsia="Batang" w:cs="Times New Roman"/>
          <w:kern w:val="22"/>
          <w:sz w:val="22"/>
          <w:lang w:val="fr-FR"/>
        </w:rPr>
        <w:t>pays fournisseur</w:t>
      </w:r>
      <w:r w:rsidR="00872AEA">
        <w:rPr>
          <w:rFonts w:eastAsia="Batang" w:cs="Times New Roman"/>
          <w:kern w:val="22"/>
          <w:sz w:val="22"/>
          <w:lang w:val="fr-FR"/>
        </w:rPr>
        <w:t xml:space="preserve"> des ressources, a eu lieu</w:t>
      </w:r>
      <w:r w:rsidR="009B2B98">
        <w:rPr>
          <w:rFonts w:eastAsia="Batang" w:cs="Times New Roman"/>
          <w:kern w:val="22"/>
          <w:sz w:val="22"/>
          <w:lang w:val="fr-FR"/>
        </w:rPr>
        <w:t xml:space="preserve"> après </w:t>
      </w:r>
      <w:r w:rsidR="00202126" w:rsidRPr="00367430">
        <w:rPr>
          <w:rFonts w:eastAsia="Batang" w:cs="Times New Roman"/>
          <w:kern w:val="22"/>
          <w:sz w:val="22"/>
          <w:lang w:val="fr-FR"/>
        </w:rPr>
        <w:t>l’entrée en vigueur</w:t>
      </w:r>
      <w:r w:rsidR="001F45FF" w:rsidRPr="00367430">
        <w:rPr>
          <w:rFonts w:eastAsia="Batang" w:cs="Times New Roman"/>
          <w:kern w:val="22"/>
          <w:sz w:val="22"/>
          <w:lang w:val="fr-FR"/>
        </w:rPr>
        <w:t xml:space="preserve"> </w:t>
      </w:r>
      <w:r w:rsidR="00F27467" w:rsidRPr="00367430">
        <w:rPr>
          <w:rFonts w:eastAsia="Batang" w:cs="Times New Roman"/>
          <w:kern w:val="22"/>
          <w:sz w:val="22"/>
          <w:lang w:val="fr-FR"/>
        </w:rPr>
        <w:t>du Protocole</w:t>
      </w:r>
      <w:r w:rsidR="00983773" w:rsidRPr="00367430">
        <w:rPr>
          <w:rFonts w:eastAsia="Batang" w:cs="Times New Roman"/>
          <w:kern w:val="22"/>
          <w:sz w:val="22"/>
          <w:lang w:val="fr-FR"/>
        </w:rPr>
        <w:t>.</w:t>
      </w:r>
    </w:p>
    <w:p w14:paraId="0A69B973" w14:textId="30D51C96" w:rsidR="00983773" w:rsidRPr="00F34102" w:rsidRDefault="009B2B98" w:rsidP="00983773">
      <w:pPr>
        <w:autoSpaceDE w:val="0"/>
        <w:autoSpaceDN w:val="0"/>
        <w:adjustRightInd w:val="0"/>
        <w:spacing w:after="120"/>
        <w:rPr>
          <w:kern w:val="22"/>
          <w:sz w:val="22"/>
          <w:lang w:val="fr-FR"/>
        </w:rPr>
      </w:pPr>
      <w:r>
        <w:rPr>
          <w:kern w:val="22"/>
          <w:sz w:val="22"/>
          <w:lang w:val="fr-FR"/>
        </w:rPr>
        <w:t>Les</w:t>
      </w:r>
      <w:r w:rsidR="00983773" w:rsidRPr="00F4156B">
        <w:rPr>
          <w:kern w:val="22"/>
          <w:sz w:val="22"/>
          <w:lang w:val="fr-FR"/>
        </w:rPr>
        <w:t xml:space="preserve"> Parties </w:t>
      </w:r>
      <w:r w:rsidR="00F27467" w:rsidRPr="00F4156B">
        <w:rPr>
          <w:kern w:val="22"/>
          <w:sz w:val="22"/>
          <w:lang w:val="fr-FR"/>
        </w:rPr>
        <w:t xml:space="preserve">à la </w:t>
      </w:r>
      <w:r w:rsidR="007347F7">
        <w:rPr>
          <w:kern w:val="22"/>
          <w:sz w:val="22"/>
          <w:lang w:val="fr-FR"/>
        </w:rPr>
        <w:t>Convention</w:t>
      </w:r>
      <w:r w:rsidR="00983773" w:rsidRPr="00F4156B">
        <w:rPr>
          <w:kern w:val="22"/>
          <w:sz w:val="22"/>
          <w:lang w:val="fr-FR"/>
        </w:rPr>
        <w:t xml:space="preserve"> </w:t>
      </w:r>
      <w:r>
        <w:rPr>
          <w:kern w:val="22"/>
          <w:sz w:val="22"/>
          <w:lang w:val="fr-FR"/>
        </w:rPr>
        <w:t xml:space="preserve">n’ont pas pu se mettre d’accord sur le </w:t>
      </w:r>
      <w:r w:rsidR="008F38B0" w:rsidRPr="00F4156B">
        <w:rPr>
          <w:kern w:val="22"/>
          <w:sz w:val="22"/>
          <w:lang w:val="fr-FR"/>
        </w:rPr>
        <w:t xml:space="preserve">champ d’application </w:t>
      </w:r>
      <w:r>
        <w:rPr>
          <w:kern w:val="22"/>
          <w:sz w:val="22"/>
          <w:lang w:val="fr-FR"/>
        </w:rPr>
        <w:t xml:space="preserve">du traité </w:t>
      </w:r>
      <w:r w:rsidR="008F38B0" w:rsidRPr="00F4156B">
        <w:rPr>
          <w:kern w:val="22"/>
          <w:sz w:val="22"/>
          <w:lang w:val="fr-FR"/>
        </w:rPr>
        <w:t>dans le temps</w:t>
      </w:r>
      <w:r>
        <w:rPr>
          <w:kern w:val="22"/>
          <w:sz w:val="22"/>
          <w:lang w:val="fr-FR"/>
        </w:rPr>
        <w:t xml:space="preserve"> durant les </w:t>
      </w:r>
      <w:r w:rsidR="00F4156B" w:rsidRPr="00F4156B">
        <w:rPr>
          <w:kern w:val="22"/>
          <w:sz w:val="22"/>
          <w:lang w:val="fr-FR"/>
        </w:rPr>
        <w:t>négociation</w:t>
      </w:r>
      <w:r w:rsidR="00983773" w:rsidRPr="00F4156B">
        <w:rPr>
          <w:kern w:val="22"/>
          <w:sz w:val="22"/>
          <w:lang w:val="fr-FR"/>
        </w:rPr>
        <w:t>s</w:t>
      </w:r>
      <w:r w:rsidR="00872AEA">
        <w:rPr>
          <w:kern w:val="22"/>
          <w:sz w:val="22"/>
          <w:lang w:val="fr-FR"/>
        </w:rPr>
        <w:t xml:space="preserve"> menées pendant plusieurs années :</w:t>
      </w:r>
      <w:r>
        <w:rPr>
          <w:kern w:val="22"/>
          <w:sz w:val="22"/>
          <w:lang w:val="fr-FR"/>
        </w:rPr>
        <w:t xml:space="preserve"> </w:t>
      </w:r>
      <w:r w:rsidR="00972053">
        <w:rPr>
          <w:kern w:val="22"/>
          <w:sz w:val="22"/>
          <w:lang w:val="fr-FR"/>
        </w:rPr>
        <w:t>le</w:t>
      </w:r>
      <w:r w:rsidR="00E3674F" w:rsidRPr="00F4156B">
        <w:rPr>
          <w:kern w:val="22"/>
          <w:sz w:val="22"/>
          <w:lang w:val="fr-FR"/>
        </w:rPr>
        <w:t xml:space="preserve"> Protocole de Nagoya</w:t>
      </w:r>
      <w:r>
        <w:rPr>
          <w:kern w:val="22"/>
          <w:sz w:val="22"/>
          <w:lang w:val="fr-FR"/>
        </w:rPr>
        <w:t xml:space="preserve"> reste donc muet sur cette question</w:t>
      </w:r>
      <w:r w:rsidR="00983773" w:rsidRPr="00F4156B">
        <w:rPr>
          <w:kern w:val="22"/>
          <w:sz w:val="22"/>
          <w:lang w:val="fr-FR"/>
        </w:rPr>
        <w:t xml:space="preserve">. </w:t>
      </w:r>
      <w:r w:rsidRPr="009B2B98">
        <w:rPr>
          <w:kern w:val="22"/>
          <w:sz w:val="22"/>
          <w:lang w:val="fr-FR"/>
        </w:rPr>
        <w:t>Un tel</w:t>
      </w:r>
      <w:r w:rsidR="00983773" w:rsidRPr="009B2B98">
        <w:rPr>
          <w:kern w:val="22"/>
          <w:sz w:val="22"/>
          <w:lang w:val="fr-FR"/>
        </w:rPr>
        <w:t xml:space="preserve"> silence</w:t>
      </w:r>
      <w:r w:rsidR="00872AEA">
        <w:rPr>
          <w:kern w:val="22"/>
          <w:sz w:val="22"/>
          <w:lang w:val="fr-FR"/>
        </w:rPr>
        <w:t xml:space="preserve"> ne résout </w:t>
      </w:r>
      <w:r w:rsidR="00D6232E" w:rsidRPr="009B2B98">
        <w:rPr>
          <w:kern w:val="22"/>
          <w:sz w:val="22"/>
          <w:lang w:val="fr-FR"/>
        </w:rPr>
        <w:t>cependant</w:t>
      </w:r>
      <w:r w:rsidRPr="009B2B98">
        <w:rPr>
          <w:kern w:val="22"/>
          <w:sz w:val="22"/>
          <w:lang w:val="fr-FR"/>
        </w:rPr>
        <w:t xml:space="preserve"> </w:t>
      </w:r>
      <w:r w:rsidR="00872AEA">
        <w:rPr>
          <w:kern w:val="22"/>
          <w:sz w:val="22"/>
          <w:lang w:val="fr-FR"/>
        </w:rPr>
        <w:t xml:space="preserve">pas </w:t>
      </w:r>
      <w:r w:rsidRPr="009B2B98">
        <w:rPr>
          <w:kern w:val="22"/>
          <w:sz w:val="22"/>
          <w:lang w:val="fr-FR"/>
        </w:rPr>
        <w:t>la question, puisque les</w:t>
      </w:r>
      <w:r w:rsidR="00983773" w:rsidRPr="009B2B98">
        <w:rPr>
          <w:kern w:val="22"/>
          <w:sz w:val="22"/>
          <w:lang w:val="fr-FR"/>
        </w:rPr>
        <w:t xml:space="preserve"> Parties </w:t>
      </w:r>
      <w:r w:rsidRPr="009B2B98">
        <w:rPr>
          <w:kern w:val="22"/>
          <w:sz w:val="22"/>
          <w:lang w:val="fr-FR"/>
        </w:rPr>
        <w:t xml:space="preserve">s’opposent sur ce qui </w:t>
      </w:r>
      <w:r w:rsidR="007347F7">
        <w:rPr>
          <w:kern w:val="22"/>
          <w:sz w:val="22"/>
          <w:lang w:val="fr-FR"/>
        </w:rPr>
        <w:t xml:space="preserve">pourrait constituer </w:t>
      </w:r>
      <w:r>
        <w:rPr>
          <w:kern w:val="22"/>
          <w:sz w:val="22"/>
          <w:lang w:val="fr-FR"/>
        </w:rPr>
        <w:t>une rétroactivité</w:t>
      </w:r>
      <w:r w:rsidR="007347F7">
        <w:rPr>
          <w:kern w:val="22"/>
          <w:sz w:val="22"/>
          <w:lang w:val="fr-FR"/>
        </w:rPr>
        <w:t xml:space="preserve"> du traité</w:t>
      </w:r>
      <w:r w:rsidR="00983773" w:rsidRPr="009B2B98">
        <w:rPr>
          <w:kern w:val="22"/>
          <w:sz w:val="22"/>
          <w:lang w:val="fr-FR"/>
        </w:rPr>
        <w:t>.</w:t>
      </w:r>
      <w:r>
        <w:rPr>
          <w:kern w:val="22"/>
          <w:sz w:val="22"/>
          <w:lang w:val="fr-FR"/>
        </w:rPr>
        <w:t xml:space="preserve"> </w:t>
      </w:r>
      <w:r w:rsidR="007347F7">
        <w:rPr>
          <w:kern w:val="22"/>
          <w:sz w:val="22"/>
          <w:lang w:val="fr-FR"/>
        </w:rPr>
        <w:t>Ainsi, c</w:t>
      </w:r>
      <w:r w:rsidR="00AA5919" w:rsidRPr="00F34102">
        <w:rPr>
          <w:kern w:val="22"/>
          <w:sz w:val="22"/>
          <w:lang w:val="fr-FR"/>
        </w:rPr>
        <w:t xml:space="preserve">ertains </w:t>
      </w:r>
      <w:r w:rsidR="00E40444" w:rsidRPr="00F34102">
        <w:rPr>
          <w:kern w:val="22"/>
          <w:sz w:val="22"/>
          <w:lang w:val="fr-FR"/>
        </w:rPr>
        <w:t>pays</w:t>
      </w:r>
      <w:r w:rsidR="00983773" w:rsidRPr="00F34102" w:rsidDel="00C75CC6">
        <w:rPr>
          <w:kern w:val="22"/>
          <w:sz w:val="22"/>
          <w:lang w:val="fr-FR"/>
        </w:rPr>
        <w:t xml:space="preserve"> </w:t>
      </w:r>
      <w:r w:rsidR="007347F7">
        <w:rPr>
          <w:kern w:val="22"/>
          <w:sz w:val="22"/>
          <w:lang w:val="fr-FR"/>
        </w:rPr>
        <w:t>considèrent qu’une application du traité en cas d</w:t>
      </w:r>
      <w:r w:rsidR="00F34102" w:rsidRPr="00F34102">
        <w:rPr>
          <w:kern w:val="22"/>
          <w:sz w:val="22"/>
          <w:lang w:val="fr-FR"/>
        </w:rPr>
        <w:t>’</w:t>
      </w:r>
      <w:r w:rsidR="008627A9" w:rsidRPr="00F34102">
        <w:rPr>
          <w:kern w:val="22"/>
          <w:sz w:val="22"/>
          <w:lang w:val="fr-FR"/>
        </w:rPr>
        <w:t>utilisation</w:t>
      </w:r>
      <w:r w:rsidR="007347F7">
        <w:rPr>
          <w:kern w:val="22"/>
          <w:sz w:val="22"/>
          <w:lang w:val="fr-FR"/>
        </w:rPr>
        <w:t xml:space="preserve"> des ressources</w:t>
      </w:r>
      <w:r w:rsidR="00983773" w:rsidRPr="00F34102">
        <w:rPr>
          <w:kern w:val="22"/>
          <w:sz w:val="22"/>
          <w:lang w:val="fr-FR"/>
        </w:rPr>
        <w:t xml:space="preserve"> </w:t>
      </w:r>
      <w:r w:rsidR="00F34102" w:rsidRPr="00F34102">
        <w:rPr>
          <w:kern w:val="22"/>
          <w:sz w:val="22"/>
          <w:lang w:val="fr-FR"/>
        </w:rPr>
        <w:t xml:space="preserve">ne constitue pas une </w:t>
      </w:r>
      <w:r w:rsidR="00F34102">
        <w:rPr>
          <w:kern w:val="22"/>
          <w:sz w:val="22"/>
          <w:lang w:val="fr-FR"/>
        </w:rPr>
        <w:t xml:space="preserve">rétroactivité </w:t>
      </w:r>
      <w:r w:rsidR="007347F7">
        <w:rPr>
          <w:kern w:val="22"/>
          <w:sz w:val="22"/>
          <w:lang w:val="fr-FR"/>
        </w:rPr>
        <w:t xml:space="preserve">prohibée, mais plutôt, une façon d’assurer le plein effet des dispositions et de </w:t>
      </w:r>
      <w:r w:rsidR="00F34102">
        <w:rPr>
          <w:kern w:val="22"/>
          <w:sz w:val="22"/>
          <w:lang w:val="fr-FR"/>
        </w:rPr>
        <w:t xml:space="preserve">l’esprit du </w:t>
      </w:r>
      <w:r w:rsidR="00F27467" w:rsidRPr="00F34102">
        <w:rPr>
          <w:kern w:val="22"/>
          <w:sz w:val="22"/>
          <w:lang w:val="fr-FR"/>
        </w:rPr>
        <w:t>Protocole</w:t>
      </w:r>
      <w:r w:rsidR="005563BC" w:rsidRPr="00F34102">
        <w:rPr>
          <w:kern w:val="22"/>
          <w:sz w:val="22"/>
          <w:lang w:val="fr-FR"/>
        </w:rPr>
        <w:t>,</w:t>
      </w:r>
      <w:r w:rsidR="00F34102">
        <w:rPr>
          <w:kern w:val="22"/>
          <w:sz w:val="22"/>
          <w:lang w:val="fr-FR"/>
        </w:rPr>
        <w:t xml:space="preserve"> en application de l’</w:t>
      </w:r>
      <w:r w:rsidR="00FD73A5" w:rsidRPr="00F34102">
        <w:rPr>
          <w:kern w:val="22"/>
          <w:sz w:val="22"/>
          <w:lang w:val="fr-FR"/>
        </w:rPr>
        <w:t>article</w:t>
      </w:r>
      <w:r w:rsidR="008D1B27" w:rsidRPr="00F34102">
        <w:rPr>
          <w:kern w:val="22"/>
          <w:sz w:val="22"/>
          <w:lang w:val="fr-FR"/>
        </w:rPr>
        <w:t xml:space="preserve"> 28 </w:t>
      </w:r>
      <w:r w:rsidR="00F34102">
        <w:rPr>
          <w:kern w:val="22"/>
          <w:sz w:val="22"/>
          <w:lang w:val="fr-FR"/>
        </w:rPr>
        <w:t>de la</w:t>
      </w:r>
      <w:r w:rsidR="008D1B27" w:rsidRPr="00F34102">
        <w:rPr>
          <w:kern w:val="22"/>
          <w:sz w:val="22"/>
          <w:lang w:val="fr-FR"/>
        </w:rPr>
        <w:t xml:space="preserve"> </w:t>
      </w:r>
      <w:r w:rsidR="00436894" w:rsidRPr="00F34102">
        <w:rPr>
          <w:kern w:val="22"/>
          <w:sz w:val="22"/>
          <w:lang w:val="fr-FR"/>
        </w:rPr>
        <w:t>Convention de  Vienne</w:t>
      </w:r>
      <w:r w:rsidR="008D1B27" w:rsidRPr="00F34102">
        <w:rPr>
          <w:kern w:val="22"/>
          <w:sz w:val="22"/>
          <w:lang w:val="fr-FR"/>
        </w:rPr>
        <w:t xml:space="preserve"> </w:t>
      </w:r>
      <w:r w:rsidR="00F34102">
        <w:rPr>
          <w:kern w:val="22"/>
          <w:sz w:val="22"/>
          <w:lang w:val="fr-FR"/>
        </w:rPr>
        <w:t>sur le droit des traités</w:t>
      </w:r>
      <w:r w:rsidR="000B16C0" w:rsidRPr="00F34102">
        <w:rPr>
          <w:kern w:val="22"/>
          <w:sz w:val="22"/>
          <w:lang w:val="fr-FR"/>
        </w:rPr>
        <w:t xml:space="preserve">, </w:t>
      </w:r>
      <w:r w:rsidR="00F34102">
        <w:rPr>
          <w:kern w:val="22"/>
          <w:sz w:val="22"/>
          <w:lang w:val="fr-FR"/>
        </w:rPr>
        <w:t xml:space="preserve">tandis que </w:t>
      </w:r>
      <w:r w:rsidR="007347F7">
        <w:rPr>
          <w:kern w:val="22"/>
          <w:sz w:val="22"/>
          <w:lang w:val="fr-FR"/>
        </w:rPr>
        <w:t>d’autres Parties jugent qu’une telle interprétation porte atteinte à la</w:t>
      </w:r>
      <w:r w:rsidR="00F34102">
        <w:rPr>
          <w:kern w:val="22"/>
          <w:sz w:val="22"/>
          <w:lang w:val="fr-FR"/>
        </w:rPr>
        <w:t xml:space="preserve"> sécurité juridique</w:t>
      </w:r>
      <w:r w:rsidR="00983773" w:rsidRPr="00F34102">
        <w:rPr>
          <w:kern w:val="22"/>
          <w:sz w:val="22"/>
          <w:lang w:val="fr-FR"/>
        </w:rPr>
        <w:t>.</w:t>
      </w:r>
      <w:r w:rsidR="00983773" w:rsidRPr="002364AB">
        <w:rPr>
          <w:rStyle w:val="FootnoteReference"/>
          <w:kern w:val="22"/>
          <w:sz w:val="22"/>
          <w:lang w:val="en-GB"/>
        </w:rPr>
        <w:footnoteReference w:id="30"/>
      </w:r>
      <w:r w:rsidR="00983773" w:rsidRPr="00F34102">
        <w:rPr>
          <w:kern w:val="22"/>
          <w:sz w:val="22"/>
          <w:lang w:val="fr-FR"/>
        </w:rPr>
        <w:t xml:space="preserve">  </w:t>
      </w:r>
    </w:p>
    <w:p w14:paraId="14FC1545" w14:textId="1CACD22C" w:rsidR="00983773" w:rsidRPr="00F34102" w:rsidRDefault="00202126" w:rsidP="248AA06A">
      <w:pPr>
        <w:autoSpaceDE w:val="0"/>
        <w:autoSpaceDN w:val="0"/>
        <w:adjustRightInd w:val="0"/>
        <w:spacing w:after="120"/>
        <w:rPr>
          <w:rStyle w:val="FootnoteReference"/>
          <w:kern w:val="22"/>
          <w:sz w:val="22"/>
          <w:lang w:val="fr-FR"/>
        </w:rPr>
      </w:pPr>
      <w:r w:rsidRPr="00F34102">
        <w:rPr>
          <w:kern w:val="22"/>
          <w:sz w:val="22"/>
          <w:lang w:val="fr-FR"/>
        </w:rPr>
        <w:t>De plus</w:t>
      </w:r>
      <w:r w:rsidR="248AA06A" w:rsidRPr="00F34102">
        <w:rPr>
          <w:kern w:val="22"/>
          <w:sz w:val="22"/>
          <w:lang w:val="fr-FR"/>
        </w:rPr>
        <w:t>,</w:t>
      </w:r>
      <w:r w:rsidR="248AA06A" w:rsidRPr="00F34102">
        <w:rPr>
          <w:rStyle w:val="FootnoteReference"/>
          <w:kern w:val="22"/>
          <w:sz w:val="22"/>
          <w:lang w:val="fr-FR"/>
        </w:rPr>
        <w:t xml:space="preserve"> </w:t>
      </w:r>
      <w:r w:rsidR="007347F7">
        <w:rPr>
          <w:kern w:val="22"/>
          <w:sz w:val="22"/>
          <w:lang w:val="fr-FR"/>
        </w:rPr>
        <w:t>puis</w:t>
      </w:r>
      <w:r w:rsidR="00F34102" w:rsidRPr="00F34102">
        <w:rPr>
          <w:kern w:val="22"/>
          <w:sz w:val="22"/>
          <w:lang w:val="fr-FR"/>
        </w:rPr>
        <w:t>que le</w:t>
      </w:r>
      <w:r w:rsidR="007347F7">
        <w:rPr>
          <w:kern w:val="22"/>
          <w:sz w:val="22"/>
          <w:lang w:val="fr-FR"/>
        </w:rPr>
        <w:t xml:space="preserve"> Protocole est</w:t>
      </w:r>
      <w:r w:rsidR="00F34102">
        <w:rPr>
          <w:kern w:val="22"/>
          <w:sz w:val="22"/>
          <w:lang w:val="fr-FR"/>
        </w:rPr>
        <w:t xml:space="preserve"> silencieux sur la </w:t>
      </w:r>
      <w:r w:rsidR="0028742E" w:rsidRPr="00F34102">
        <w:rPr>
          <w:kern w:val="22"/>
          <w:sz w:val="22"/>
          <w:lang w:val="fr-FR"/>
        </w:rPr>
        <w:t>définition</w:t>
      </w:r>
      <w:r w:rsidR="007347F7">
        <w:rPr>
          <w:kern w:val="22"/>
          <w:sz w:val="22"/>
          <w:lang w:val="fr-FR"/>
        </w:rPr>
        <w:t xml:space="preserve"> du terme</w:t>
      </w:r>
      <w:r w:rsidR="248AA06A" w:rsidRPr="00F34102">
        <w:rPr>
          <w:kern w:val="22"/>
          <w:sz w:val="22"/>
          <w:lang w:val="fr-FR"/>
        </w:rPr>
        <w:t xml:space="preserve"> “</w:t>
      </w:r>
      <w:r w:rsidR="00F34102">
        <w:rPr>
          <w:kern w:val="22"/>
          <w:sz w:val="22"/>
          <w:lang w:val="fr-FR"/>
        </w:rPr>
        <w:t>accè</w:t>
      </w:r>
      <w:r w:rsidR="248AA06A" w:rsidRPr="00F34102">
        <w:rPr>
          <w:kern w:val="22"/>
          <w:sz w:val="22"/>
          <w:lang w:val="fr-FR"/>
        </w:rPr>
        <w:t>s”,</w:t>
      </w:r>
      <w:r w:rsidR="00983773" w:rsidRPr="002364AB">
        <w:rPr>
          <w:kern w:val="22"/>
          <w:sz w:val="22"/>
          <w:vertAlign w:val="superscript"/>
          <w:lang w:val="en-GB"/>
        </w:rPr>
        <w:footnoteReference w:id="31"/>
      </w:r>
      <w:r w:rsidR="00AA5919" w:rsidRPr="00F34102">
        <w:rPr>
          <w:kern w:val="22"/>
          <w:sz w:val="22"/>
          <w:lang w:val="fr-FR"/>
        </w:rPr>
        <w:t xml:space="preserve"> certain</w:t>
      </w:r>
      <w:r w:rsidR="00F34102">
        <w:rPr>
          <w:kern w:val="22"/>
          <w:sz w:val="22"/>
          <w:lang w:val="fr-FR"/>
        </w:rPr>
        <w:t>e</w:t>
      </w:r>
      <w:r w:rsidR="00AA5919" w:rsidRPr="00F34102">
        <w:rPr>
          <w:kern w:val="22"/>
          <w:sz w:val="22"/>
          <w:lang w:val="fr-FR"/>
        </w:rPr>
        <w:t xml:space="preserve">s </w:t>
      </w:r>
      <w:r w:rsidR="248AA06A" w:rsidRPr="00F34102">
        <w:rPr>
          <w:kern w:val="22"/>
          <w:sz w:val="22"/>
          <w:lang w:val="fr-FR"/>
        </w:rPr>
        <w:t>Parties</w:t>
      </w:r>
      <w:r w:rsidR="00F34102">
        <w:rPr>
          <w:kern w:val="22"/>
          <w:sz w:val="22"/>
          <w:lang w:val="fr-FR"/>
        </w:rPr>
        <w:t xml:space="preserve"> appliquent</w:t>
      </w:r>
      <w:r w:rsidR="007347F7">
        <w:rPr>
          <w:kern w:val="22"/>
          <w:sz w:val="22"/>
          <w:lang w:val="fr-FR"/>
        </w:rPr>
        <w:t xml:space="preserve"> le Protocole d’une façon qui impose </w:t>
      </w:r>
      <w:r w:rsidR="00F34102">
        <w:rPr>
          <w:kern w:val="22"/>
          <w:sz w:val="22"/>
          <w:lang w:val="fr-FR"/>
        </w:rPr>
        <w:t>des</w:t>
      </w:r>
      <w:r w:rsidR="248AA06A" w:rsidRPr="00F34102">
        <w:rPr>
          <w:kern w:val="22"/>
          <w:sz w:val="22"/>
          <w:lang w:val="fr-FR"/>
        </w:rPr>
        <w:t xml:space="preserve"> obligations </w:t>
      </w:r>
      <w:r w:rsidR="007347F7">
        <w:rPr>
          <w:kern w:val="22"/>
          <w:sz w:val="22"/>
          <w:lang w:val="fr-FR"/>
        </w:rPr>
        <w:t xml:space="preserve">relatives au partage des avantages </w:t>
      </w:r>
      <w:r w:rsidR="00F34102">
        <w:rPr>
          <w:kern w:val="22"/>
          <w:sz w:val="22"/>
          <w:lang w:val="fr-FR"/>
        </w:rPr>
        <w:t>uniquement lorsque</w:t>
      </w:r>
      <w:r w:rsidR="007347F7">
        <w:rPr>
          <w:kern w:val="22"/>
          <w:sz w:val="22"/>
          <w:lang w:val="fr-FR"/>
        </w:rPr>
        <w:t xml:space="preserve"> </w:t>
      </w:r>
      <w:r w:rsidR="007347F7">
        <w:rPr>
          <w:kern w:val="22"/>
          <w:sz w:val="22"/>
          <w:lang w:val="fr-FR"/>
        </w:rPr>
        <w:lastRenderedPageBreak/>
        <w:t>d</w:t>
      </w:r>
      <w:r w:rsidR="00F34102">
        <w:rPr>
          <w:kern w:val="22"/>
          <w:sz w:val="22"/>
          <w:lang w:val="fr-FR"/>
        </w:rPr>
        <w:t>es</w:t>
      </w:r>
      <w:r w:rsidR="00227EB4" w:rsidRPr="00F34102">
        <w:rPr>
          <w:kern w:val="22"/>
          <w:sz w:val="22"/>
          <w:lang w:val="fr-FR"/>
        </w:rPr>
        <w:t xml:space="preserve"> </w:t>
      </w:r>
      <w:r w:rsidR="00E3674F" w:rsidRPr="00F34102">
        <w:rPr>
          <w:kern w:val="22"/>
          <w:sz w:val="22"/>
          <w:lang w:val="fr-FR"/>
        </w:rPr>
        <w:t>ressources génétiques</w:t>
      </w:r>
      <w:r w:rsidR="248AA06A" w:rsidRPr="00F34102">
        <w:rPr>
          <w:kern w:val="22"/>
          <w:sz w:val="22"/>
          <w:lang w:val="fr-FR"/>
        </w:rPr>
        <w:t xml:space="preserve"> </w:t>
      </w:r>
      <w:r w:rsidR="007347F7">
        <w:rPr>
          <w:kern w:val="22"/>
          <w:sz w:val="22"/>
          <w:lang w:val="fr-FR"/>
        </w:rPr>
        <w:t xml:space="preserve">sont </w:t>
      </w:r>
      <w:r w:rsidR="00F34102">
        <w:rPr>
          <w:kern w:val="22"/>
          <w:sz w:val="22"/>
          <w:lang w:val="fr-FR"/>
        </w:rPr>
        <w:t>obtenues après la date d’entrée en vigueur du Protocol</w:t>
      </w:r>
      <w:r w:rsidR="248AA06A" w:rsidRPr="00F34102">
        <w:rPr>
          <w:kern w:val="22"/>
          <w:sz w:val="22"/>
          <w:lang w:val="fr-FR"/>
        </w:rPr>
        <w:t>e,</w:t>
      </w:r>
      <w:r w:rsidR="00983773" w:rsidRPr="002364AB">
        <w:rPr>
          <w:rStyle w:val="FootnoteReference"/>
          <w:kern w:val="22"/>
          <w:sz w:val="22"/>
          <w:lang w:val="en-GB"/>
        </w:rPr>
        <w:footnoteReference w:id="32"/>
      </w:r>
      <w:r w:rsidR="248AA06A" w:rsidRPr="00F34102">
        <w:rPr>
          <w:kern w:val="22"/>
          <w:sz w:val="22"/>
          <w:lang w:val="fr-FR"/>
        </w:rPr>
        <w:t xml:space="preserve"> </w:t>
      </w:r>
      <w:r w:rsidR="00F34102">
        <w:rPr>
          <w:kern w:val="22"/>
          <w:sz w:val="22"/>
          <w:lang w:val="fr-FR"/>
        </w:rPr>
        <w:t xml:space="preserve">tandis que d’autres Parties exigent un </w:t>
      </w:r>
      <w:r w:rsidR="00E3674F" w:rsidRPr="00F34102">
        <w:rPr>
          <w:kern w:val="22"/>
          <w:sz w:val="22"/>
          <w:lang w:val="fr-FR"/>
        </w:rPr>
        <w:t>partage des avantages</w:t>
      </w:r>
      <w:r w:rsidR="248AA06A" w:rsidRPr="00F34102">
        <w:rPr>
          <w:kern w:val="22"/>
          <w:sz w:val="22"/>
          <w:lang w:val="fr-FR"/>
        </w:rPr>
        <w:t>,</w:t>
      </w:r>
      <w:r w:rsidR="00E3674F" w:rsidRPr="00F34102">
        <w:rPr>
          <w:kern w:val="22"/>
          <w:sz w:val="22"/>
          <w:lang w:val="fr-FR"/>
        </w:rPr>
        <w:t xml:space="preserve"> et </w:t>
      </w:r>
      <w:r w:rsidR="007347F7">
        <w:rPr>
          <w:kern w:val="22"/>
          <w:sz w:val="22"/>
          <w:lang w:val="fr-FR"/>
        </w:rPr>
        <w:t xml:space="preserve">éventuellement </w:t>
      </w:r>
      <w:r w:rsidR="00F34102">
        <w:rPr>
          <w:kern w:val="22"/>
          <w:sz w:val="22"/>
          <w:lang w:val="fr-FR"/>
        </w:rPr>
        <w:t xml:space="preserve">un </w:t>
      </w:r>
      <w:r w:rsidR="007D7761">
        <w:rPr>
          <w:kern w:val="22"/>
          <w:sz w:val="22"/>
          <w:lang w:val="fr-FR"/>
        </w:rPr>
        <w:t>consentement préalable donné en connaissance de cause</w:t>
      </w:r>
      <w:r w:rsidR="007347F7">
        <w:rPr>
          <w:kern w:val="22"/>
          <w:sz w:val="22"/>
          <w:lang w:val="fr-FR"/>
        </w:rPr>
        <w:t>,</w:t>
      </w:r>
      <w:r w:rsidR="00F34102">
        <w:rPr>
          <w:kern w:val="22"/>
          <w:sz w:val="22"/>
          <w:lang w:val="fr-FR"/>
        </w:rPr>
        <w:t xml:space="preserve"> lorsque des</w:t>
      </w:r>
      <w:r w:rsidR="248AA06A" w:rsidRPr="00F34102">
        <w:rPr>
          <w:kern w:val="22"/>
          <w:sz w:val="22"/>
          <w:lang w:val="fr-FR"/>
        </w:rPr>
        <w:t xml:space="preserve"> </w:t>
      </w:r>
      <w:r w:rsidR="00E3674F" w:rsidRPr="00F34102">
        <w:rPr>
          <w:kern w:val="22"/>
          <w:sz w:val="22"/>
          <w:lang w:val="fr-FR"/>
        </w:rPr>
        <w:t>ressources génétiques</w:t>
      </w:r>
      <w:r w:rsidR="248AA06A" w:rsidRPr="00F34102">
        <w:rPr>
          <w:kern w:val="22"/>
          <w:sz w:val="22"/>
          <w:lang w:val="fr-FR"/>
        </w:rPr>
        <w:t xml:space="preserve"> </w:t>
      </w:r>
      <w:r w:rsidR="00F34102">
        <w:rPr>
          <w:kern w:val="22"/>
          <w:sz w:val="22"/>
          <w:lang w:val="fr-FR"/>
        </w:rPr>
        <w:t xml:space="preserve">sont </w:t>
      </w:r>
      <w:r w:rsidR="0072393B" w:rsidRPr="00F34102">
        <w:rPr>
          <w:kern w:val="22"/>
          <w:sz w:val="22"/>
          <w:lang w:val="fr-FR"/>
        </w:rPr>
        <w:t>utilisées</w:t>
      </w:r>
      <w:r w:rsidR="00F34102">
        <w:rPr>
          <w:kern w:val="22"/>
          <w:sz w:val="22"/>
          <w:lang w:val="fr-FR"/>
        </w:rPr>
        <w:t xml:space="preserve"> après</w:t>
      </w:r>
      <w:r w:rsidR="00227EB4" w:rsidRPr="00F34102">
        <w:rPr>
          <w:kern w:val="22"/>
          <w:sz w:val="22"/>
          <w:lang w:val="fr-FR"/>
        </w:rPr>
        <w:t xml:space="preserve"> </w:t>
      </w:r>
      <w:r w:rsidRPr="00F34102">
        <w:rPr>
          <w:kern w:val="22"/>
          <w:sz w:val="22"/>
          <w:lang w:val="fr-FR"/>
        </w:rPr>
        <w:t>l’entrée en vigueur</w:t>
      </w:r>
      <w:r w:rsidR="00F34102">
        <w:rPr>
          <w:kern w:val="22"/>
          <w:sz w:val="22"/>
          <w:lang w:val="fr-FR"/>
        </w:rPr>
        <w:t xml:space="preserve"> du Protocole</w:t>
      </w:r>
      <w:r w:rsidR="248AA06A" w:rsidRPr="00F34102">
        <w:rPr>
          <w:kern w:val="22"/>
          <w:sz w:val="22"/>
          <w:lang w:val="fr-FR"/>
        </w:rPr>
        <w:t xml:space="preserve">, </w:t>
      </w:r>
      <w:r w:rsidR="007347F7">
        <w:rPr>
          <w:kern w:val="22"/>
          <w:sz w:val="22"/>
          <w:lang w:val="fr-FR"/>
        </w:rPr>
        <w:t>quel</w:t>
      </w:r>
      <w:r w:rsidR="004B2C45">
        <w:rPr>
          <w:kern w:val="22"/>
          <w:sz w:val="22"/>
          <w:lang w:val="fr-FR"/>
        </w:rPr>
        <w:t xml:space="preserve">le </w:t>
      </w:r>
      <w:r w:rsidR="007347F7">
        <w:rPr>
          <w:kern w:val="22"/>
          <w:sz w:val="22"/>
          <w:lang w:val="fr-FR"/>
        </w:rPr>
        <w:t>que soit la date à laquelle</w:t>
      </w:r>
      <w:r w:rsidR="00F34102">
        <w:rPr>
          <w:kern w:val="22"/>
          <w:sz w:val="22"/>
          <w:lang w:val="fr-FR"/>
        </w:rPr>
        <w:t xml:space="preserve"> les</w:t>
      </w:r>
      <w:r w:rsidR="00EA7B61" w:rsidRPr="00F34102">
        <w:rPr>
          <w:kern w:val="22"/>
          <w:sz w:val="22"/>
          <w:lang w:val="fr-FR"/>
        </w:rPr>
        <w:t xml:space="preserve"> </w:t>
      </w:r>
      <w:r w:rsidR="00FB2FE9" w:rsidRPr="00F34102">
        <w:rPr>
          <w:kern w:val="22"/>
          <w:sz w:val="22"/>
          <w:lang w:val="fr-FR"/>
        </w:rPr>
        <w:t>ressources</w:t>
      </w:r>
      <w:r w:rsidR="248AA06A" w:rsidRPr="00F34102">
        <w:rPr>
          <w:kern w:val="22"/>
          <w:sz w:val="22"/>
          <w:lang w:val="fr-FR"/>
        </w:rPr>
        <w:t xml:space="preserve"> </w:t>
      </w:r>
      <w:r w:rsidR="00A77BB8" w:rsidRPr="00F34102">
        <w:rPr>
          <w:kern w:val="22"/>
          <w:sz w:val="22"/>
          <w:lang w:val="fr-FR"/>
        </w:rPr>
        <w:t>ont été obtenu</w:t>
      </w:r>
      <w:r w:rsidR="00F34102">
        <w:rPr>
          <w:kern w:val="22"/>
          <w:sz w:val="22"/>
          <w:lang w:val="fr-FR"/>
        </w:rPr>
        <w:t>e</w:t>
      </w:r>
      <w:r w:rsidR="00A77BB8" w:rsidRPr="00F34102">
        <w:rPr>
          <w:kern w:val="22"/>
          <w:sz w:val="22"/>
          <w:lang w:val="fr-FR"/>
        </w:rPr>
        <w:t>s</w:t>
      </w:r>
      <w:r w:rsidR="248AA06A" w:rsidRPr="00F34102">
        <w:rPr>
          <w:kern w:val="22"/>
          <w:sz w:val="22"/>
          <w:lang w:val="fr-FR"/>
        </w:rPr>
        <w:t xml:space="preserve"> </w:t>
      </w:r>
      <w:r w:rsidR="00F34102">
        <w:rPr>
          <w:kern w:val="22"/>
          <w:sz w:val="22"/>
          <w:lang w:val="fr-FR"/>
        </w:rPr>
        <w:t xml:space="preserve">auprès du </w:t>
      </w:r>
      <w:r w:rsidR="008A5BE1" w:rsidRPr="00F34102">
        <w:rPr>
          <w:kern w:val="22"/>
          <w:sz w:val="22"/>
          <w:lang w:val="fr-FR"/>
        </w:rPr>
        <w:t>pays</w:t>
      </w:r>
      <w:r w:rsidR="00F34102">
        <w:rPr>
          <w:kern w:val="22"/>
          <w:sz w:val="22"/>
          <w:lang w:val="fr-FR"/>
        </w:rPr>
        <w:t xml:space="preserve"> fournisseur</w:t>
      </w:r>
      <w:r w:rsidR="248AA06A" w:rsidRPr="00F34102">
        <w:rPr>
          <w:kern w:val="22"/>
          <w:sz w:val="22"/>
          <w:lang w:val="fr-FR"/>
        </w:rPr>
        <w:t>.</w:t>
      </w:r>
      <w:r w:rsidR="00983773" w:rsidRPr="002364AB">
        <w:rPr>
          <w:rStyle w:val="FootnoteReference"/>
          <w:kern w:val="22"/>
          <w:sz w:val="22"/>
          <w:lang w:val="en-GB"/>
        </w:rPr>
        <w:footnoteReference w:id="33"/>
      </w:r>
      <w:r w:rsidR="248AA06A" w:rsidRPr="00F34102">
        <w:rPr>
          <w:rStyle w:val="FootnoteReference"/>
          <w:kern w:val="22"/>
          <w:sz w:val="22"/>
          <w:lang w:val="fr-FR"/>
        </w:rPr>
        <w:t xml:space="preserve">  </w:t>
      </w:r>
    </w:p>
    <w:p w14:paraId="25C8BD27" w14:textId="7D0BA253" w:rsidR="00983773" w:rsidRPr="000C3696" w:rsidRDefault="000C3696" w:rsidP="00073C95">
      <w:pPr>
        <w:spacing w:after="120"/>
        <w:ind w:firstLine="720"/>
        <w:rPr>
          <w:rFonts w:eastAsia="Batang" w:cs="Times New Roman"/>
          <w:i/>
          <w:kern w:val="22"/>
          <w:sz w:val="22"/>
          <w:lang w:val="fr-FR"/>
        </w:rPr>
      </w:pPr>
      <w:r w:rsidRPr="000C3696">
        <w:rPr>
          <w:rFonts w:eastAsia="Batang" w:cs="Times New Roman"/>
          <w:i/>
          <w:kern w:val="22"/>
          <w:sz w:val="22"/>
          <w:lang w:val="fr-FR"/>
        </w:rPr>
        <w:t>C</w:t>
      </w:r>
      <w:r w:rsidR="008F38B0" w:rsidRPr="000C3696">
        <w:rPr>
          <w:rFonts w:eastAsia="Batang" w:cs="Times New Roman"/>
          <w:i/>
          <w:kern w:val="22"/>
          <w:sz w:val="22"/>
          <w:lang w:val="fr-FR"/>
        </w:rPr>
        <w:t>hamp d’application</w:t>
      </w:r>
      <w:r w:rsidR="007347F7">
        <w:rPr>
          <w:rFonts w:eastAsia="Batang" w:cs="Times New Roman"/>
          <w:i/>
          <w:kern w:val="22"/>
          <w:sz w:val="22"/>
          <w:lang w:val="fr-FR"/>
        </w:rPr>
        <w:t xml:space="preserve"> des dispositions</w:t>
      </w:r>
    </w:p>
    <w:p w14:paraId="210D46C7" w14:textId="40ED0433" w:rsidR="00983773" w:rsidRPr="00EA2111" w:rsidRDefault="000C3696" w:rsidP="248AA06A">
      <w:pPr>
        <w:spacing w:after="120"/>
        <w:rPr>
          <w:rFonts w:eastAsia="Batang" w:cs="Times New Roman"/>
          <w:kern w:val="22"/>
          <w:sz w:val="22"/>
          <w:lang w:val="fr-FR"/>
        </w:rPr>
      </w:pPr>
      <w:r w:rsidRPr="000C3696">
        <w:rPr>
          <w:rFonts w:eastAsia="Batang"/>
          <w:kern w:val="22"/>
          <w:sz w:val="22"/>
          <w:lang w:val="fr-FR"/>
        </w:rPr>
        <w:t xml:space="preserve">Les </w:t>
      </w:r>
      <w:r w:rsidR="00F00074" w:rsidRPr="000C3696">
        <w:rPr>
          <w:rFonts w:eastAsia="Batang"/>
          <w:kern w:val="22"/>
          <w:sz w:val="22"/>
          <w:lang w:val="fr-FR"/>
        </w:rPr>
        <w:t xml:space="preserve">Parties </w:t>
      </w:r>
      <w:r w:rsidRPr="000C3696">
        <w:rPr>
          <w:rFonts w:eastAsia="Batang"/>
          <w:kern w:val="22"/>
          <w:sz w:val="22"/>
          <w:lang w:val="fr-FR"/>
        </w:rPr>
        <w:t>ont aussi des points de vue divergents</w:t>
      </w:r>
      <w:r w:rsidR="00F00074" w:rsidRPr="000C3696">
        <w:rPr>
          <w:rFonts w:eastAsia="Batang"/>
          <w:kern w:val="22"/>
          <w:sz w:val="22"/>
          <w:lang w:val="fr-FR"/>
        </w:rPr>
        <w:t xml:space="preserve"> </w:t>
      </w:r>
      <w:r w:rsidR="007347F7">
        <w:rPr>
          <w:rFonts w:eastAsia="Batang"/>
          <w:kern w:val="22"/>
          <w:sz w:val="22"/>
          <w:lang w:val="fr-FR"/>
        </w:rPr>
        <w:t>sur l’étendue de la question traitée</w:t>
      </w:r>
      <w:r>
        <w:rPr>
          <w:rFonts w:eastAsia="Batang"/>
          <w:kern w:val="22"/>
          <w:sz w:val="22"/>
          <w:lang w:val="fr-FR"/>
        </w:rPr>
        <w:t xml:space="preserve"> par la </w:t>
      </w:r>
      <w:r w:rsidR="007347F7">
        <w:rPr>
          <w:rFonts w:eastAsia="Batang"/>
          <w:kern w:val="22"/>
          <w:sz w:val="22"/>
          <w:lang w:val="fr-FR"/>
        </w:rPr>
        <w:t>Convention</w:t>
      </w:r>
      <w:r w:rsidR="00E3674F" w:rsidRPr="000C3696">
        <w:rPr>
          <w:rFonts w:eastAsia="Batang"/>
          <w:kern w:val="22"/>
          <w:sz w:val="22"/>
          <w:lang w:val="fr-FR"/>
        </w:rPr>
        <w:t xml:space="preserve"> et </w:t>
      </w:r>
      <w:r w:rsidR="00972053" w:rsidRPr="000C3696">
        <w:rPr>
          <w:rFonts w:eastAsia="Batang"/>
          <w:kern w:val="22"/>
          <w:sz w:val="22"/>
          <w:lang w:val="fr-FR"/>
        </w:rPr>
        <w:t>le</w:t>
      </w:r>
      <w:r w:rsidR="00E3674F" w:rsidRPr="000C3696">
        <w:rPr>
          <w:rFonts w:eastAsia="Batang"/>
          <w:kern w:val="22"/>
          <w:sz w:val="22"/>
          <w:lang w:val="fr-FR"/>
        </w:rPr>
        <w:t xml:space="preserve"> Protocole de Nagoya</w:t>
      </w:r>
      <w:r w:rsidR="248AA06A" w:rsidRPr="000C3696">
        <w:rPr>
          <w:rFonts w:eastAsia="Batang"/>
          <w:kern w:val="22"/>
          <w:sz w:val="22"/>
          <w:lang w:val="fr-FR"/>
        </w:rPr>
        <w:t>.</w:t>
      </w:r>
      <w:r>
        <w:rPr>
          <w:rFonts w:eastAsia="Batang"/>
          <w:kern w:val="22"/>
          <w:sz w:val="22"/>
          <w:lang w:val="fr-FR"/>
        </w:rPr>
        <w:t xml:space="preserve"> C</w:t>
      </w:r>
      <w:r w:rsidR="00AA5919" w:rsidRPr="000C3696">
        <w:rPr>
          <w:rFonts w:eastAsia="Batang"/>
          <w:kern w:val="22"/>
          <w:sz w:val="22"/>
          <w:lang w:val="fr-FR"/>
        </w:rPr>
        <w:t>ertain</w:t>
      </w:r>
      <w:r>
        <w:rPr>
          <w:rFonts w:eastAsia="Batang"/>
          <w:kern w:val="22"/>
          <w:sz w:val="22"/>
          <w:lang w:val="fr-FR"/>
        </w:rPr>
        <w:t>e</w:t>
      </w:r>
      <w:r w:rsidR="00AA5919" w:rsidRPr="000C3696">
        <w:rPr>
          <w:rFonts w:eastAsia="Batang"/>
          <w:kern w:val="22"/>
          <w:sz w:val="22"/>
          <w:lang w:val="fr-FR"/>
        </w:rPr>
        <w:t xml:space="preserve">s </w:t>
      </w:r>
      <w:r w:rsidR="00EA2111">
        <w:rPr>
          <w:rFonts w:eastAsia="Batang"/>
          <w:kern w:val="22"/>
          <w:sz w:val="22"/>
          <w:lang w:val="fr-FR"/>
        </w:rPr>
        <w:t>Parties affirment</w:t>
      </w:r>
      <w:r>
        <w:rPr>
          <w:rFonts w:eastAsia="Batang"/>
          <w:kern w:val="22"/>
          <w:sz w:val="22"/>
          <w:lang w:val="fr-FR"/>
        </w:rPr>
        <w:t xml:space="preserve"> que l’emploi du terme</w:t>
      </w:r>
      <w:r w:rsidR="248AA06A" w:rsidRPr="000C3696">
        <w:rPr>
          <w:rFonts w:eastAsia="Batang" w:cs="Times New Roman"/>
          <w:kern w:val="22"/>
          <w:sz w:val="22"/>
          <w:lang w:val="fr-FR"/>
        </w:rPr>
        <w:t xml:space="preserve"> “</w:t>
      </w:r>
      <w:r w:rsidR="00842C78" w:rsidRPr="000C3696">
        <w:rPr>
          <w:rFonts w:eastAsia="Batang" w:cs="Times New Roman"/>
          <w:kern w:val="22"/>
          <w:sz w:val="22"/>
          <w:lang w:val="fr-FR"/>
        </w:rPr>
        <w:t>matériel génétique</w:t>
      </w:r>
      <w:r>
        <w:rPr>
          <w:rFonts w:eastAsia="Batang" w:cs="Times New Roman"/>
          <w:kern w:val="22"/>
          <w:sz w:val="22"/>
          <w:lang w:val="fr-FR"/>
        </w:rPr>
        <w:t>” dans la</w:t>
      </w:r>
      <w:r w:rsidR="248AA06A" w:rsidRPr="000C3696">
        <w:rPr>
          <w:rFonts w:eastAsia="Batang" w:cs="Times New Roman"/>
          <w:kern w:val="22"/>
          <w:sz w:val="22"/>
          <w:lang w:val="fr-FR"/>
        </w:rPr>
        <w:t xml:space="preserve"> </w:t>
      </w:r>
      <w:r w:rsidR="007347F7">
        <w:rPr>
          <w:rFonts w:eastAsia="Batang" w:cs="Times New Roman"/>
          <w:kern w:val="22"/>
          <w:sz w:val="22"/>
          <w:lang w:val="fr-FR"/>
        </w:rPr>
        <w:t>Convention</w:t>
      </w:r>
      <w:r w:rsidR="00E3674F" w:rsidRPr="000C3696">
        <w:rPr>
          <w:rFonts w:eastAsia="Batang" w:cs="Times New Roman"/>
          <w:kern w:val="22"/>
          <w:sz w:val="22"/>
          <w:lang w:val="fr-FR"/>
        </w:rPr>
        <w:t xml:space="preserve"> et </w:t>
      </w:r>
      <w:r>
        <w:rPr>
          <w:rFonts w:eastAsia="Batang" w:cs="Times New Roman"/>
          <w:kern w:val="22"/>
          <w:sz w:val="22"/>
          <w:lang w:val="fr-FR"/>
        </w:rPr>
        <w:t xml:space="preserve">le </w:t>
      </w:r>
      <w:r w:rsidR="248AA06A" w:rsidRPr="000C3696">
        <w:rPr>
          <w:rFonts w:eastAsia="Batang" w:cs="Times New Roman"/>
          <w:kern w:val="22"/>
          <w:sz w:val="22"/>
          <w:lang w:val="fr-FR"/>
        </w:rPr>
        <w:t>Protocol</w:t>
      </w:r>
      <w:r w:rsidR="007347F7">
        <w:rPr>
          <w:rFonts w:eastAsia="Batang" w:cs="Times New Roman"/>
          <w:kern w:val="22"/>
          <w:sz w:val="22"/>
          <w:lang w:val="fr-FR"/>
        </w:rPr>
        <w:t>e</w:t>
      </w:r>
      <w:r w:rsidR="248AA06A" w:rsidRPr="000C3696">
        <w:rPr>
          <w:rFonts w:eastAsia="Batang" w:cs="Times New Roman"/>
          <w:kern w:val="22"/>
          <w:sz w:val="22"/>
          <w:lang w:val="fr-FR"/>
        </w:rPr>
        <w:t xml:space="preserve"> </w:t>
      </w:r>
      <w:r w:rsidR="00563612" w:rsidRPr="000C3696">
        <w:rPr>
          <w:rFonts w:eastAsia="Batang" w:cs="Times New Roman"/>
          <w:kern w:val="22"/>
          <w:sz w:val="22"/>
          <w:lang w:val="fr-FR"/>
        </w:rPr>
        <w:t>e</w:t>
      </w:r>
      <w:r w:rsidR="00EA2111">
        <w:rPr>
          <w:rFonts w:eastAsia="Batang" w:cs="Times New Roman"/>
          <w:kern w:val="22"/>
          <w:sz w:val="22"/>
          <w:lang w:val="fr-FR"/>
        </w:rPr>
        <w:t>xclut</w:t>
      </w:r>
      <w:r>
        <w:rPr>
          <w:rFonts w:eastAsia="Batang" w:cs="Times New Roman"/>
          <w:kern w:val="22"/>
          <w:sz w:val="22"/>
          <w:lang w:val="fr-FR"/>
        </w:rPr>
        <w:t xml:space="preserve"> les ressources</w:t>
      </w:r>
      <w:r w:rsidR="00563612" w:rsidRPr="000C3696">
        <w:rPr>
          <w:rFonts w:eastAsia="Batang" w:cs="Times New Roman"/>
          <w:kern w:val="22"/>
          <w:sz w:val="22"/>
          <w:lang w:val="fr-FR"/>
        </w:rPr>
        <w:t xml:space="preserve"> </w:t>
      </w:r>
      <w:r w:rsidR="00EA2111">
        <w:rPr>
          <w:rFonts w:eastAsia="Batang" w:cs="Times New Roman"/>
          <w:kern w:val="22"/>
          <w:sz w:val="22"/>
          <w:lang w:val="fr-FR"/>
        </w:rPr>
        <w:t xml:space="preserve">intangibles. Tandis que </w:t>
      </w:r>
      <w:r>
        <w:rPr>
          <w:rFonts w:eastAsia="Batang" w:cs="Times New Roman"/>
          <w:kern w:val="22"/>
          <w:sz w:val="22"/>
          <w:lang w:val="fr-FR"/>
        </w:rPr>
        <w:t>d</w:t>
      </w:r>
      <w:r w:rsidR="002518EB" w:rsidRPr="000C3696">
        <w:rPr>
          <w:rFonts w:eastAsia="Batang" w:cs="Times New Roman"/>
          <w:kern w:val="22"/>
          <w:sz w:val="22"/>
          <w:lang w:val="fr-FR"/>
        </w:rPr>
        <w:t xml:space="preserve">’autres </w:t>
      </w:r>
      <w:r>
        <w:rPr>
          <w:rFonts w:eastAsia="Batang" w:cs="Times New Roman"/>
          <w:kern w:val="22"/>
          <w:sz w:val="22"/>
          <w:lang w:val="fr-FR"/>
        </w:rPr>
        <w:t xml:space="preserve">Parties soutiennent qu’une </w:t>
      </w:r>
      <w:r w:rsidR="00D61076">
        <w:rPr>
          <w:rFonts w:eastAsia="Batang" w:cs="Times New Roman"/>
          <w:kern w:val="22"/>
          <w:sz w:val="22"/>
          <w:lang w:val="fr-FR"/>
        </w:rPr>
        <w:t xml:space="preserve">interprétation </w:t>
      </w:r>
      <w:r w:rsidR="00AB51F3" w:rsidRPr="000C3696">
        <w:rPr>
          <w:rFonts w:eastAsia="Batang" w:cs="Times New Roman"/>
          <w:kern w:val="22"/>
          <w:sz w:val="22"/>
          <w:lang w:val="fr-FR"/>
        </w:rPr>
        <w:t>‘</w:t>
      </w:r>
      <w:r w:rsidR="00D61076">
        <w:rPr>
          <w:rFonts w:eastAsia="Batang" w:cs="Times New Roman"/>
          <w:kern w:val="22"/>
          <w:sz w:val="22"/>
          <w:lang w:val="fr-FR"/>
        </w:rPr>
        <w:t>extensiv</w:t>
      </w:r>
      <w:r>
        <w:rPr>
          <w:rFonts w:eastAsia="Batang" w:cs="Times New Roman"/>
          <w:kern w:val="22"/>
          <w:sz w:val="22"/>
          <w:lang w:val="fr-FR"/>
        </w:rPr>
        <w:t>e</w:t>
      </w:r>
      <w:r w:rsidR="00E3674F" w:rsidRPr="000C3696">
        <w:rPr>
          <w:rFonts w:eastAsia="Batang" w:cs="Times New Roman"/>
          <w:kern w:val="22"/>
          <w:sz w:val="22"/>
          <w:lang w:val="fr-FR"/>
        </w:rPr>
        <w:t xml:space="preserve"> et </w:t>
      </w:r>
      <w:r w:rsidR="00D61076">
        <w:rPr>
          <w:rFonts w:eastAsia="Batang" w:cs="Times New Roman"/>
          <w:kern w:val="22"/>
          <w:sz w:val="22"/>
          <w:lang w:val="fr-FR"/>
        </w:rPr>
        <w:t>dynamique</w:t>
      </w:r>
      <w:r w:rsidR="00AB51F3" w:rsidRPr="000C3696">
        <w:rPr>
          <w:rFonts w:eastAsia="Batang" w:cs="Times New Roman"/>
          <w:kern w:val="22"/>
          <w:sz w:val="22"/>
          <w:lang w:val="fr-FR"/>
        </w:rPr>
        <w:t>’</w:t>
      </w:r>
      <w:r w:rsidR="00D61076">
        <w:rPr>
          <w:rFonts w:eastAsia="Batang" w:cs="Times New Roman"/>
          <w:kern w:val="22"/>
          <w:sz w:val="22"/>
          <w:lang w:val="fr-FR"/>
        </w:rPr>
        <w:t xml:space="preserve"> du</w:t>
      </w:r>
      <w:r w:rsidR="248AA06A" w:rsidRPr="000C3696">
        <w:rPr>
          <w:rFonts w:eastAsia="Batang" w:cs="Times New Roman"/>
          <w:kern w:val="22"/>
          <w:sz w:val="22"/>
          <w:lang w:val="fr-FR"/>
        </w:rPr>
        <w:t xml:space="preserve"> concept </w:t>
      </w:r>
      <w:r w:rsidR="00D6232E" w:rsidRPr="000C3696">
        <w:rPr>
          <w:rFonts w:eastAsia="Batang" w:cs="Times New Roman"/>
          <w:kern w:val="22"/>
          <w:sz w:val="22"/>
          <w:lang w:val="fr-FR"/>
        </w:rPr>
        <w:t>de ressources</w:t>
      </w:r>
      <w:r w:rsidR="00E3674F" w:rsidRPr="000C3696">
        <w:rPr>
          <w:rFonts w:eastAsia="Batang" w:cs="Times New Roman"/>
          <w:kern w:val="22"/>
          <w:sz w:val="22"/>
          <w:lang w:val="fr-FR"/>
        </w:rPr>
        <w:t xml:space="preserve"> génétiques</w:t>
      </w:r>
      <w:r w:rsidR="248AA06A" w:rsidRPr="000C3696">
        <w:rPr>
          <w:rFonts w:eastAsia="Batang" w:cs="Times New Roman"/>
          <w:kern w:val="22"/>
          <w:sz w:val="22"/>
          <w:lang w:val="fr-FR"/>
        </w:rPr>
        <w:t xml:space="preserve"> </w:t>
      </w:r>
      <w:r w:rsidR="00EA2111">
        <w:rPr>
          <w:rFonts w:eastAsia="Batang" w:cs="Times New Roman"/>
          <w:kern w:val="22"/>
          <w:sz w:val="22"/>
          <w:lang w:val="fr-FR"/>
        </w:rPr>
        <w:t>inclut nécessairement</w:t>
      </w:r>
      <w:r w:rsidR="248AA06A" w:rsidRPr="000C3696">
        <w:rPr>
          <w:rFonts w:eastAsia="Batang" w:cs="Times New Roman"/>
          <w:kern w:val="22"/>
          <w:sz w:val="22"/>
          <w:lang w:val="fr-FR"/>
        </w:rPr>
        <w:t xml:space="preserve"> </w:t>
      </w:r>
      <w:r w:rsidR="00EA2111">
        <w:rPr>
          <w:rFonts w:eastAsia="Batang" w:cs="Times New Roman"/>
          <w:kern w:val="22"/>
          <w:sz w:val="22"/>
          <w:lang w:val="fr-FR"/>
        </w:rPr>
        <w:t>l’information</w:t>
      </w:r>
      <w:r w:rsidR="00516613">
        <w:rPr>
          <w:rFonts w:eastAsia="Batang" w:cs="Times New Roman"/>
          <w:kern w:val="22"/>
          <w:sz w:val="22"/>
          <w:lang w:val="fr-FR"/>
        </w:rPr>
        <w:t xml:space="preserve"> de séquençage</w:t>
      </w:r>
      <w:r w:rsidR="00142D5A">
        <w:rPr>
          <w:rFonts w:eastAsia="Batang" w:cs="Times New Roman"/>
          <w:kern w:val="22"/>
          <w:sz w:val="22"/>
          <w:lang w:val="fr-FR"/>
        </w:rPr>
        <w:t xml:space="preserve"> numérique</w:t>
      </w:r>
      <w:r w:rsidR="00AB51F3" w:rsidRPr="000C3696">
        <w:rPr>
          <w:rFonts w:eastAsia="Batang" w:cs="Times New Roman"/>
          <w:kern w:val="22"/>
          <w:sz w:val="22"/>
          <w:lang w:val="fr-FR"/>
        </w:rPr>
        <w:t>.</w:t>
      </w:r>
      <w:r w:rsidR="248AA06A" w:rsidRPr="000C3696">
        <w:rPr>
          <w:rFonts w:eastAsia="Batang" w:cs="Times New Roman"/>
          <w:kern w:val="22"/>
          <w:sz w:val="22"/>
          <w:lang w:val="fr-FR"/>
        </w:rPr>
        <w:t xml:space="preserve"> </w:t>
      </w:r>
      <w:r w:rsidR="00D61076">
        <w:rPr>
          <w:rFonts w:eastAsia="Batang" w:cs="Times New Roman"/>
          <w:kern w:val="22"/>
          <w:sz w:val="22"/>
          <w:lang w:val="fr-FR"/>
        </w:rPr>
        <w:t>Comme décrit dans la p</w:t>
      </w:r>
      <w:r w:rsidR="00F27467" w:rsidRPr="00CD1466">
        <w:rPr>
          <w:rFonts w:eastAsia="Batang" w:cs="Times New Roman"/>
          <w:kern w:val="22"/>
          <w:sz w:val="22"/>
          <w:lang w:val="fr-FR"/>
        </w:rPr>
        <w:t>artie</w:t>
      </w:r>
      <w:r w:rsidR="248AA06A" w:rsidRPr="00CD1466">
        <w:rPr>
          <w:rFonts w:eastAsia="Batang" w:cs="Times New Roman"/>
          <w:kern w:val="22"/>
          <w:sz w:val="22"/>
          <w:lang w:val="fr-FR"/>
        </w:rPr>
        <w:t xml:space="preserve"> 3.</w:t>
      </w:r>
      <w:r w:rsidR="00C1208C" w:rsidRPr="00CD1466">
        <w:rPr>
          <w:rFonts w:eastAsia="Batang" w:cs="Times New Roman"/>
          <w:kern w:val="22"/>
          <w:sz w:val="22"/>
          <w:lang w:val="fr-FR"/>
        </w:rPr>
        <w:t>3</w:t>
      </w:r>
      <w:r w:rsidR="248AA06A" w:rsidRPr="00CD1466">
        <w:rPr>
          <w:rFonts w:eastAsia="Batang" w:cs="Times New Roman"/>
          <w:kern w:val="22"/>
          <w:sz w:val="22"/>
          <w:lang w:val="fr-FR"/>
        </w:rPr>
        <w:t xml:space="preserve"> </w:t>
      </w:r>
      <w:r w:rsidR="00CD1466" w:rsidRPr="00CD1466">
        <w:rPr>
          <w:rFonts w:eastAsia="Batang" w:cs="Times New Roman"/>
          <w:kern w:val="22"/>
          <w:sz w:val="22"/>
          <w:lang w:val="fr-FR"/>
        </w:rPr>
        <w:t>ci-dessous</w:t>
      </w:r>
      <w:r w:rsidR="00D61076">
        <w:rPr>
          <w:rFonts w:eastAsia="Batang" w:cs="Times New Roman"/>
          <w:kern w:val="22"/>
          <w:sz w:val="22"/>
          <w:lang w:val="fr-FR"/>
        </w:rPr>
        <w:t>, bien que la majorité des Part</w:t>
      </w:r>
      <w:r w:rsidR="00EA2111">
        <w:rPr>
          <w:rFonts w:eastAsia="Batang" w:cs="Times New Roman"/>
          <w:kern w:val="22"/>
          <w:sz w:val="22"/>
          <w:lang w:val="fr-FR"/>
        </w:rPr>
        <w:t xml:space="preserve">ies n’incluent </w:t>
      </w:r>
      <w:r w:rsidR="00D61076">
        <w:rPr>
          <w:rFonts w:eastAsia="Batang" w:cs="Times New Roman"/>
          <w:kern w:val="22"/>
          <w:sz w:val="22"/>
          <w:lang w:val="fr-FR"/>
        </w:rPr>
        <w:t xml:space="preserve">pas </w:t>
      </w:r>
      <w:r w:rsidR="00EA2111">
        <w:rPr>
          <w:rFonts w:eastAsia="Batang" w:cs="Times New Roman"/>
          <w:kern w:val="22"/>
          <w:sz w:val="22"/>
          <w:lang w:val="fr-FR"/>
        </w:rPr>
        <w:t>l’information</w:t>
      </w:r>
      <w:r w:rsidR="00516613">
        <w:rPr>
          <w:rFonts w:eastAsia="Batang" w:cs="Times New Roman"/>
          <w:kern w:val="22"/>
          <w:sz w:val="22"/>
          <w:lang w:val="fr-FR"/>
        </w:rPr>
        <w:t xml:space="preserve"> de séquençage</w:t>
      </w:r>
      <w:r w:rsidR="00142D5A">
        <w:rPr>
          <w:rFonts w:eastAsia="Batang" w:cs="Times New Roman"/>
          <w:kern w:val="22"/>
          <w:sz w:val="22"/>
          <w:lang w:val="fr-FR"/>
        </w:rPr>
        <w:t xml:space="preserve"> numérique</w:t>
      </w:r>
      <w:r w:rsidR="00D61076">
        <w:rPr>
          <w:rFonts w:eastAsia="Batang" w:cs="Times New Roman"/>
          <w:kern w:val="22"/>
          <w:sz w:val="22"/>
          <w:lang w:val="fr-FR"/>
        </w:rPr>
        <w:t xml:space="preserve"> dans leurs réglementations sur l’</w:t>
      </w:r>
      <w:r w:rsidR="00A70F9B" w:rsidRPr="00CD1466">
        <w:rPr>
          <w:rFonts w:eastAsia="Batang" w:cs="Times New Roman"/>
          <w:kern w:val="22"/>
          <w:sz w:val="22"/>
          <w:lang w:val="fr-FR"/>
        </w:rPr>
        <w:t xml:space="preserve">accès et </w:t>
      </w:r>
      <w:r w:rsidR="00D61076">
        <w:rPr>
          <w:rFonts w:eastAsia="Batang" w:cs="Times New Roman"/>
          <w:kern w:val="22"/>
          <w:sz w:val="22"/>
          <w:lang w:val="fr-FR"/>
        </w:rPr>
        <w:t xml:space="preserve">la </w:t>
      </w:r>
      <w:r w:rsidR="00A70F9B" w:rsidRPr="00CD1466">
        <w:rPr>
          <w:rFonts w:eastAsia="Batang" w:cs="Times New Roman"/>
          <w:kern w:val="22"/>
          <w:sz w:val="22"/>
          <w:lang w:val="fr-FR"/>
        </w:rPr>
        <w:t>partage des avantages</w:t>
      </w:r>
      <w:r w:rsidR="00EA7B61" w:rsidRPr="00CD1466">
        <w:rPr>
          <w:rFonts w:eastAsia="Batang" w:cs="Times New Roman"/>
          <w:kern w:val="22"/>
          <w:sz w:val="22"/>
          <w:lang w:val="fr-FR"/>
        </w:rPr>
        <w:t xml:space="preserve">, </w:t>
      </w:r>
      <w:r w:rsidR="00AB6A02" w:rsidRPr="00CD1466">
        <w:rPr>
          <w:rFonts w:eastAsia="Batang" w:cs="Times New Roman"/>
          <w:kern w:val="22"/>
          <w:sz w:val="22"/>
          <w:lang w:val="fr-FR"/>
        </w:rPr>
        <w:t>plusieurs</w:t>
      </w:r>
      <w:r w:rsidR="248AA06A" w:rsidRPr="00CD1466">
        <w:rPr>
          <w:rFonts w:eastAsia="Batang" w:cs="Times New Roman"/>
          <w:kern w:val="22"/>
          <w:sz w:val="22"/>
          <w:lang w:val="fr-FR"/>
        </w:rPr>
        <w:t xml:space="preserve"> </w:t>
      </w:r>
      <w:r w:rsidR="00E40444" w:rsidRPr="00CD1466">
        <w:rPr>
          <w:rFonts w:eastAsia="Batang" w:cs="Times New Roman"/>
          <w:kern w:val="22"/>
          <w:sz w:val="22"/>
          <w:lang w:val="fr-FR"/>
        </w:rPr>
        <w:t>pays</w:t>
      </w:r>
      <w:r w:rsidR="00D61076">
        <w:rPr>
          <w:rFonts w:eastAsia="Batang" w:cs="Times New Roman"/>
          <w:kern w:val="22"/>
          <w:sz w:val="22"/>
          <w:lang w:val="fr-FR"/>
        </w:rPr>
        <w:t xml:space="preserve"> ont </w:t>
      </w:r>
      <w:r w:rsidR="00EA2111">
        <w:rPr>
          <w:rFonts w:eastAsia="Batang" w:cs="Times New Roman"/>
          <w:kern w:val="22"/>
          <w:sz w:val="22"/>
          <w:lang w:val="fr-FR"/>
        </w:rPr>
        <w:t xml:space="preserve">néanmoins </w:t>
      </w:r>
      <w:r w:rsidR="00D61076">
        <w:rPr>
          <w:rFonts w:eastAsia="Batang" w:cs="Times New Roman"/>
          <w:kern w:val="22"/>
          <w:sz w:val="22"/>
          <w:lang w:val="fr-FR"/>
        </w:rPr>
        <w:t xml:space="preserve">inclus </w:t>
      </w:r>
      <w:r w:rsidR="00EA2111">
        <w:rPr>
          <w:rFonts w:eastAsia="Batang" w:cs="Times New Roman"/>
          <w:kern w:val="22"/>
          <w:sz w:val="22"/>
          <w:lang w:val="fr-FR"/>
        </w:rPr>
        <w:t>l’information</w:t>
      </w:r>
      <w:r w:rsidR="00516613">
        <w:rPr>
          <w:rFonts w:eastAsia="Batang" w:cs="Times New Roman"/>
          <w:kern w:val="22"/>
          <w:sz w:val="22"/>
          <w:lang w:val="fr-FR"/>
        </w:rPr>
        <w:t xml:space="preserve"> de séquençage</w:t>
      </w:r>
      <w:r w:rsidR="00D61076">
        <w:rPr>
          <w:rFonts w:eastAsia="Batang" w:cs="Times New Roman"/>
          <w:kern w:val="22"/>
          <w:sz w:val="22"/>
          <w:lang w:val="fr-FR"/>
        </w:rPr>
        <w:t xml:space="preserve"> intangible dans leur</w:t>
      </w:r>
      <w:r w:rsidR="248AA06A" w:rsidRPr="00CD1466">
        <w:rPr>
          <w:rFonts w:eastAsia="Batang" w:cs="Times New Roman"/>
          <w:kern w:val="22"/>
          <w:sz w:val="22"/>
          <w:lang w:val="fr-FR"/>
        </w:rPr>
        <w:t xml:space="preserve"> </w:t>
      </w:r>
      <w:r w:rsidR="0028742E" w:rsidRPr="00CD1466">
        <w:rPr>
          <w:rFonts w:eastAsia="Batang" w:cs="Times New Roman"/>
          <w:kern w:val="22"/>
          <w:sz w:val="22"/>
          <w:lang w:val="fr-FR"/>
        </w:rPr>
        <w:t>définition</w:t>
      </w:r>
      <w:r w:rsidR="248AA06A" w:rsidRPr="00CD1466">
        <w:rPr>
          <w:rFonts w:eastAsia="Batang" w:cs="Times New Roman"/>
          <w:kern w:val="22"/>
          <w:sz w:val="22"/>
          <w:lang w:val="fr-FR"/>
        </w:rPr>
        <w:t xml:space="preserve"> </w:t>
      </w:r>
      <w:r w:rsidR="00D6232E" w:rsidRPr="00CD1466">
        <w:rPr>
          <w:rFonts w:eastAsia="Batang" w:cs="Times New Roman"/>
          <w:kern w:val="22"/>
          <w:sz w:val="22"/>
          <w:lang w:val="fr-FR"/>
        </w:rPr>
        <w:t>de</w:t>
      </w:r>
      <w:r w:rsidR="00EA2111">
        <w:rPr>
          <w:rFonts w:eastAsia="Batang" w:cs="Times New Roman"/>
          <w:kern w:val="22"/>
          <w:sz w:val="22"/>
          <w:lang w:val="fr-FR"/>
        </w:rPr>
        <w:t>s</w:t>
      </w:r>
      <w:r w:rsidR="00D6232E" w:rsidRPr="00CD1466">
        <w:rPr>
          <w:rFonts w:eastAsia="Batang" w:cs="Times New Roman"/>
          <w:kern w:val="22"/>
          <w:sz w:val="22"/>
          <w:lang w:val="fr-FR"/>
        </w:rPr>
        <w:t xml:space="preserve"> ressources</w:t>
      </w:r>
      <w:r w:rsidR="00E3674F" w:rsidRPr="00CD1466">
        <w:rPr>
          <w:rFonts w:eastAsia="Batang" w:cs="Times New Roman"/>
          <w:kern w:val="22"/>
          <w:sz w:val="22"/>
          <w:lang w:val="fr-FR"/>
        </w:rPr>
        <w:t xml:space="preserve"> génétiques</w:t>
      </w:r>
      <w:r w:rsidR="00EA2111">
        <w:rPr>
          <w:rFonts w:eastAsia="Batang" w:cs="Times New Roman"/>
          <w:kern w:val="22"/>
          <w:sz w:val="22"/>
          <w:lang w:val="fr-FR"/>
        </w:rPr>
        <w:t>,</w:t>
      </w:r>
      <w:r w:rsidR="00E3674F" w:rsidRPr="00CD1466">
        <w:rPr>
          <w:rFonts w:eastAsia="Batang" w:cs="Times New Roman"/>
          <w:kern w:val="22"/>
          <w:sz w:val="22"/>
          <w:lang w:val="fr-FR"/>
        </w:rPr>
        <w:t xml:space="preserve"> et</w:t>
      </w:r>
      <w:r w:rsidR="00AA5919" w:rsidRPr="00CD1466">
        <w:rPr>
          <w:rFonts w:eastAsia="Batang" w:cs="Times New Roman"/>
          <w:kern w:val="22"/>
          <w:sz w:val="22"/>
          <w:lang w:val="fr-FR"/>
        </w:rPr>
        <w:t xml:space="preserve"> certains </w:t>
      </w:r>
      <w:r w:rsidR="00D61076">
        <w:rPr>
          <w:rFonts w:eastAsia="Batang" w:cs="Times New Roman"/>
          <w:kern w:val="22"/>
          <w:sz w:val="22"/>
          <w:lang w:val="fr-FR"/>
        </w:rPr>
        <w:t xml:space="preserve">pays ont réglementé leur accès. </w:t>
      </w:r>
      <w:r w:rsidR="00D61076" w:rsidRPr="00D61076">
        <w:rPr>
          <w:rFonts w:eastAsia="Batang" w:cs="Times New Roman"/>
          <w:kern w:val="22"/>
          <w:sz w:val="22"/>
          <w:lang w:val="fr-FR"/>
        </w:rPr>
        <w:t xml:space="preserve">D’autre Parties encore n’ont pas inclus </w:t>
      </w:r>
      <w:r w:rsidR="00EA2111">
        <w:rPr>
          <w:rFonts w:eastAsia="Batang" w:cs="Times New Roman"/>
          <w:kern w:val="22"/>
          <w:sz w:val="22"/>
          <w:lang w:val="fr-FR"/>
        </w:rPr>
        <w:t>l’information</w:t>
      </w:r>
      <w:r w:rsidR="00516613">
        <w:rPr>
          <w:rFonts w:eastAsia="Batang" w:cs="Times New Roman"/>
          <w:kern w:val="22"/>
          <w:sz w:val="22"/>
          <w:lang w:val="fr-FR"/>
        </w:rPr>
        <w:t xml:space="preserve"> de séquençage</w:t>
      </w:r>
      <w:r w:rsidR="00142D5A">
        <w:rPr>
          <w:rFonts w:eastAsia="Batang" w:cs="Times New Roman"/>
          <w:kern w:val="22"/>
          <w:sz w:val="22"/>
          <w:lang w:val="fr-FR"/>
        </w:rPr>
        <w:t xml:space="preserve"> numérique</w:t>
      </w:r>
      <w:r w:rsidR="00EA2111">
        <w:rPr>
          <w:rFonts w:eastAsia="Batang" w:cs="Times New Roman"/>
          <w:kern w:val="22"/>
          <w:sz w:val="22"/>
          <w:lang w:val="fr-FR"/>
        </w:rPr>
        <w:t xml:space="preserve"> dans leur définition des </w:t>
      </w:r>
      <w:r w:rsidR="00F27467" w:rsidRPr="00B65233">
        <w:rPr>
          <w:rFonts w:eastAsia="Batang" w:cs="Times New Roman"/>
          <w:kern w:val="22"/>
          <w:sz w:val="22"/>
          <w:lang w:val="fr-FR"/>
        </w:rPr>
        <w:t>ressource</w:t>
      </w:r>
      <w:r w:rsidR="00EA2111">
        <w:rPr>
          <w:rFonts w:eastAsia="Batang" w:cs="Times New Roman"/>
          <w:kern w:val="22"/>
          <w:sz w:val="22"/>
          <w:lang w:val="fr-FR"/>
        </w:rPr>
        <w:t>s</w:t>
      </w:r>
      <w:r w:rsidR="00F27467" w:rsidRPr="00B65233">
        <w:rPr>
          <w:rFonts w:eastAsia="Batang" w:cs="Times New Roman"/>
          <w:kern w:val="22"/>
          <w:sz w:val="22"/>
          <w:lang w:val="fr-FR"/>
        </w:rPr>
        <w:t xml:space="preserve"> génétique</w:t>
      </w:r>
      <w:r w:rsidR="00EA2111">
        <w:rPr>
          <w:rFonts w:eastAsia="Batang" w:cs="Times New Roman"/>
          <w:kern w:val="22"/>
          <w:sz w:val="22"/>
          <w:lang w:val="fr-FR"/>
        </w:rPr>
        <w:t>s</w:t>
      </w:r>
      <w:r w:rsidR="00D61076">
        <w:rPr>
          <w:rFonts w:eastAsia="Batang" w:cs="Times New Roman"/>
          <w:kern w:val="22"/>
          <w:sz w:val="22"/>
          <w:lang w:val="fr-FR"/>
        </w:rPr>
        <w:t>, mais</w:t>
      </w:r>
      <w:r w:rsidR="00EA7B61" w:rsidRPr="00B65233">
        <w:rPr>
          <w:rFonts w:eastAsia="Batang" w:cs="Times New Roman"/>
          <w:kern w:val="22"/>
          <w:sz w:val="22"/>
          <w:lang w:val="fr-FR"/>
        </w:rPr>
        <w:t xml:space="preserve"> </w:t>
      </w:r>
      <w:r w:rsidR="00B248FD" w:rsidRPr="00B65233">
        <w:rPr>
          <w:rFonts w:eastAsia="Batang" w:cs="Times New Roman"/>
          <w:kern w:val="22"/>
          <w:sz w:val="22"/>
          <w:lang w:val="fr-FR"/>
        </w:rPr>
        <w:t>accept</w:t>
      </w:r>
      <w:r w:rsidR="00EA2111">
        <w:rPr>
          <w:rFonts w:eastAsia="Batang" w:cs="Times New Roman"/>
          <w:kern w:val="22"/>
          <w:sz w:val="22"/>
          <w:lang w:val="fr-FR"/>
        </w:rPr>
        <w:t>ent que cette information peut résulter</w:t>
      </w:r>
      <w:r w:rsidR="00D61076">
        <w:rPr>
          <w:rFonts w:eastAsia="Batang" w:cs="Times New Roman"/>
          <w:kern w:val="22"/>
          <w:sz w:val="22"/>
          <w:lang w:val="fr-FR"/>
        </w:rPr>
        <w:t xml:space="preserve"> de l’</w:t>
      </w:r>
      <w:r w:rsidR="008627A9" w:rsidRPr="00B65233">
        <w:rPr>
          <w:rFonts w:eastAsia="Batang" w:cs="Times New Roman"/>
          <w:kern w:val="22"/>
          <w:sz w:val="22"/>
          <w:lang w:val="fr-FR"/>
        </w:rPr>
        <w:t>utilisation</w:t>
      </w:r>
      <w:r w:rsidR="00E3674F" w:rsidRPr="00B65233">
        <w:rPr>
          <w:rFonts w:eastAsia="Batang" w:cs="Times New Roman"/>
          <w:kern w:val="22"/>
          <w:sz w:val="22"/>
          <w:lang w:val="fr-FR"/>
        </w:rPr>
        <w:t xml:space="preserve"> </w:t>
      </w:r>
      <w:r w:rsidR="00D61076">
        <w:rPr>
          <w:rFonts w:eastAsia="Batang" w:cs="Times New Roman"/>
          <w:kern w:val="22"/>
          <w:sz w:val="22"/>
          <w:lang w:val="fr-FR"/>
        </w:rPr>
        <w:t xml:space="preserve">d’une ressource génétique </w:t>
      </w:r>
      <w:r w:rsidR="00E3674F" w:rsidRPr="00B65233">
        <w:rPr>
          <w:rFonts w:eastAsia="Batang" w:cs="Times New Roman"/>
          <w:kern w:val="22"/>
          <w:sz w:val="22"/>
          <w:lang w:val="fr-FR"/>
        </w:rPr>
        <w:t>et</w:t>
      </w:r>
      <w:r w:rsidR="00EA2111">
        <w:rPr>
          <w:rFonts w:eastAsia="Batang" w:cs="Times New Roman"/>
          <w:kern w:val="22"/>
          <w:sz w:val="22"/>
          <w:lang w:val="fr-FR"/>
        </w:rPr>
        <w:t>, par conséquent</w:t>
      </w:r>
      <w:r w:rsidR="00D61076">
        <w:rPr>
          <w:rFonts w:eastAsia="Batang" w:cs="Times New Roman"/>
          <w:kern w:val="22"/>
          <w:sz w:val="22"/>
          <w:lang w:val="fr-FR"/>
        </w:rPr>
        <w:t xml:space="preserve">, </w:t>
      </w:r>
      <w:r w:rsidR="00EA2111">
        <w:rPr>
          <w:rFonts w:eastAsia="Batang" w:cs="Times New Roman"/>
          <w:kern w:val="22"/>
          <w:sz w:val="22"/>
          <w:lang w:val="fr-FR"/>
        </w:rPr>
        <w:t xml:space="preserve">qu’elle </w:t>
      </w:r>
      <w:r w:rsidR="00D61076">
        <w:rPr>
          <w:rFonts w:eastAsia="Batang" w:cs="Times New Roman"/>
          <w:kern w:val="22"/>
          <w:sz w:val="22"/>
          <w:lang w:val="fr-FR"/>
        </w:rPr>
        <w:t>peut êt</w:t>
      </w:r>
      <w:r w:rsidR="00EA2111">
        <w:rPr>
          <w:rFonts w:eastAsia="Batang" w:cs="Times New Roman"/>
          <w:kern w:val="22"/>
          <w:sz w:val="22"/>
          <w:lang w:val="fr-FR"/>
        </w:rPr>
        <w:t>re subordonnée à des obligations liées au</w:t>
      </w:r>
      <w:r w:rsidR="00B248FD" w:rsidRPr="00B65233">
        <w:rPr>
          <w:rFonts w:eastAsia="Batang" w:cs="Times New Roman"/>
          <w:kern w:val="22"/>
          <w:sz w:val="22"/>
          <w:lang w:val="fr-FR"/>
        </w:rPr>
        <w:t xml:space="preserve"> </w:t>
      </w:r>
      <w:r w:rsidR="00E3674F" w:rsidRPr="00B65233">
        <w:rPr>
          <w:rFonts w:eastAsia="Batang" w:cs="Times New Roman"/>
          <w:kern w:val="22"/>
          <w:sz w:val="22"/>
          <w:lang w:val="fr-FR"/>
        </w:rPr>
        <w:t>partage des avantages</w:t>
      </w:r>
      <w:r w:rsidR="00D61076">
        <w:rPr>
          <w:rFonts w:eastAsia="Batang" w:cs="Times New Roman"/>
          <w:kern w:val="22"/>
          <w:sz w:val="22"/>
          <w:lang w:val="fr-FR"/>
        </w:rPr>
        <w:t xml:space="preserve"> dans des </w:t>
      </w:r>
      <w:r w:rsidR="000B36D3" w:rsidRPr="00B65233">
        <w:rPr>
          <w:rFonts w:eastAsia="Batang" w:cs="Times New Roman"/>
          <w:kern w:val="22"/>
          <w:sz w:val="22"/>
          <w:lang w:val="fr-FR"/>
        </w:rPr>
        <w:t>conditions convenues d’un commun accord</w:t>
      </w:r>
      <w:r w:rsidR="248AA06A" w:rsidRPr="00B65233">
        <w:rPr>
          <w:rFonts w:eastAsia="Batang" w:cs="Times New Roman"/>
          <w:kern w:val="22"/>
          <w:sz w:val="22"/>
          <w:lang w:val="fr-FR"/>
        </w:rPr>
        <w:t>.</w:t>
      </w:r>
      <w:r w:rsidR="00983773" w:rsidRPr="002364AB">
        <w:rPr>
          <w:rStyle w:val="FootnoteReference"/>
          <w:kern w:val="22"/>
          <w:sz w:val="22"/>
          <w:lang w:val="en-GB"/>
        </w:rPr>
        <w:footnoteReference w:id="34"/>
      </w:r>
    </w:p>
    <w:p w14:paraId="1BA221CE" w14:textId="50E1B6A0" w:rsidR="00983773" w:rsidRPr="00B65233" w:rsidRDefault="00060B66" w:rsidP="00B80668">
      <w:pPr>
        <w:pBdr>
          <w:top w:val="nil"/>
          <w:left w:val="nil"/>
          <w:bottom w:val="nil"/>
          <w:right w:val="nil"/>
          <w:between w:val="nil"/>
        </w:pBdr>
        <w:spacing w:after="120"/>
        <w:rPr>
          <w:rFonts w:eastAsia="Times New Roman" w:cs="Times New Roman"/>
          <w:i/>
          <w:iCs/>
          <w:color w:val="000000"/>
          <w:kern w:val="22"/>
          <w:sz w:val="22"/>
          <w:lang w:val="fr-FR" w:eastAsia="en-CA"/>
        </w:rPr>
      </w:pPr>
      <w:r w:rsidRPr="00B65233">
        <w:rPr>
          <w:rFonts w:eastAsia="Times New Roman" w:cs="Times New Roman"/>
          <w:color w:val="000000"/>
          <w:kern w:val="22"/>
          <w:sz w:val="22"/>
          <w:lang w:val="fr-FR" w:eastAsia="en-CA"/>
        </w:rPr>
        <w:tab/>
      </w:r>
      <w:r w:rsidR="00F27467" w:rsidRPr="00B65233">
        <w:rPr>
          <w:rFonts w:eastAsia="Times New Roman" w:cs="Times New Roman"/>
          <w:i/>
          <w:iCs/>
          <w:color w:val="000000"/>
          <w:kern w:val="22"/>
          <w:sz w:val="22"/>
          <w:lang w:val="fr-FR" w:eastAsia="en-CA"/>
        </w:rPr>
        <w:t>C</w:t>
      </w:r>
      <w:r w:rsidR="008F38B0" w:rsidRPr="00B65233">
        <w:rPr>
          <w:rFonts w:eastAsia="Times New Roman" w:cs="Times New Roman"/>
          <w:i/>
          <w:iCs/>
          <w:color w:val="000000"/>
          <w:kern w:val="22"/>
          <w:sz w:val="22"/>
          <w:lang w:val="fr-FR" w:eastAsia="en-CA"/>
        </w:rPr>
        <w:t>hamp d’application</w:t>
      </w:r>
      <w:r w:rsidR="00EA2111">
        <w:rPr>
          <w:rFonts w:eastAsia="Times New Roman" w:cs="Times New Roman"/>
          <w:i/>
          <w:iCs/>
          <w:color w:val="000000"/>
          <w:kern w:val="22"/>
          <w:sz w:val="22"/>
          <w:lang w:val="fr-FR" w:eastAsia="en-CA"/>
        </w:rPr>
        <w:t xml:space="preserve"> géographique</w:t>
      </w:r>
      <w:r w:rsidR="0058634A">
        <w:rPr>
          <w:rFonts w:eastAsia="Times New Roman" w:cs="Times New Roman"/>
          <w:i/>
          <w:iCs/>
          <w:color w:val="000000"/>
          <w:kern w:val="22"/>
          <w:sz w:val="22"/>
          <w:lang w:val="fr-FR" w:eastAsia="en-CA"/>
        </w:rPr>
        <w:t xml:space="preserve"> et/ou </w:t>
      </w:r>
      <w:r w:rsidR="00DB08F9">
        <w:rPr>
          <w:rFonts w:eastAsia="Times New Roman" w:cs="Times New Roman"/>
          <w:i/>
          <w:iCs/>
          <w:color w:val="000000"/>
          <w:kern w:val="22"/>
          <w:sz w:val="22"/>
          <w:lang w:val="fr-FR" w:eastAsia="en-CA"/>
        </w:rPr>
        <w:t>dans l’espace</w:t>
      </w:r>
    </w:p>
    <w:p w14:paraId="2B2E2D18" w14:textId="2A957729" w:rsidR="007542EB" w:rsidRPr="00E15AC0" w:rsidRDefault="00F34102" w:rsidP="00B80668">
      <w:pPr>
        <w:pBdr>
          <w:top w:val="nil"/>
          <w:left w:val="nil"/>
          <w:bottom w:val="nil"/>
          <w:right w:val="nil"/>
          <w:between w:val="nil"/>
        </w:pBdr>
        <w:spacing w:after="120"/>
        <w:rPr>
          <w:rFonts w:eastAsia="Times New Roman" w:cs="Times New Roman"/>
          <w:color w:val="000000"/>
          <w:kern w:val="22"/>
          <w:sz w:val="22"/>
          <w:lang w:val="fr-FR" w:eastAsia="en-CA"/>
        </w:rPr>
      </w:pPr>
      <w:r w:rsidRPr="00176298">
        <w:rPr>
          <w:rFonts w:eastAsia="Times New Roman" w:cs="Times New Roman"/>
          <w:color w:val="000000"/>
          <w:kern w:val="22"/>
          <w:sz w:val="22"/>
          <w:lang w:val="fr-FR" w:eastAsia="en-CA"/>
        </w:rPr>
        <w:t>Le</w:t>
      </w:r>
      <w:r w:rsidR="00EA2111">
        <w:rPr>
          <w:rFonts w:eastAsia="Times New Roman" w:cs="Times New Roman"/>
          <w:color w:val="000000"/>
          <w:kern w:val="22"/>
          <w:sz w:val="22"/>
          <w:lang w:val="fr-FR" w:eastAsia="en-CA"/>
        </w:rPr>
        <w:t>s Parties ont certains points de vue divergents également en ce qui concerne le</w:t>
      </w:r>
      <w:r w:rsidRPr="00176298">
        <w:rPr>
          <w:rFonts w:eastAsia="Times New Roman" w:cs="Times New Roman"/>
          <w:color w:val="000000"/>
          <w:kern w:val="22"/>
          <w:sz w:val="22"/>
          <w:lang w:val="fr-FR" w:eastAsia="en-CA"/>
        </w:rPr>
        <w:t xml:space="preserve"> </w:t>
      </w:r>
      <w:r w:rsidR="008F38B0" w:rsidRPr="00176298">
        <w:rPr>
          <w:rFonts w:eastAsia="Times New Roman" w:cs="Times New Roman"/>
          <w:color w:val="000000"/>
          <w:kern w:val="22"/>
          <w:sz w:val="22"/>
          <w:lang w:val="fr-FR" w:eastAsia="en-CA"/>
        </w:rPr>
        <w:t>champ d’application</w:t>
      </w:r>
      <w:r w:rsidRPr="00176298">
        <w:rPr>
          <w:rFonts w:eastAsia="Times New Roman" w:cs="Times New Roman"/>
          <w:color w:val="000000"/>
          <w:kern w:val="22"/>
          <w:sz w:val="22"/>
          <w:lang w:val="fr-FR" w:eastAsia="en-CA"/>
        </w:rPr>
        <w:t xml:space="preserve"> géographique</w:t>
      </w:r>
      <w:r w:rsidR="00AE2633" w:rsidRPr="00176298">
        <w:rPr>
          <w:rFonts w:eastAsia="Times New Roman" w:cs="Times New Roman"/>
          <w:color w:val="000000"/>
          <w:kern w:val="22"/>
          <w:sz w:val="22"/>
          <w:lang w:val="fr-FR" w:eastAsia="en-CA"/>
        </w:rPr>
        <w:t xml:space="preserve"> </w:t>
      </w:r>
      <w:r w:rsidR="00770AB8" w:rsidRPr="00176298">
        <w:rPr>
          <w:rFonts w:eastAsia="Times New Roman" w:cs="Times New Roman"/>
          <w:color w:val="000000"/>
          <w:kern w:val="22"/>
          <w:sz w:val="22"/>
          <w:lang w:val="fr-FR" w:eastAsia="en-CA"/>
        </w:rPr>
        <w:t>du Pro</w:t>
      </w:r>
      <w:r w:rsidR="00E3674F" w:rsidRPr="00176298">
        <w:rPr>
          <w:rFonts w:eastAsia="Times New Roman" w:cs="Times New Roman"/>
          <w:color w:val="000000"/>
          <w:kern w:val="22"/>
          <w:sz w:val="22"/>
          <w:lang w:val="fr-FR" w:eastAsia="en-CA"/>
        </w:rPr>
        <w:t>tocole de Nagoya</w:t>
      </w:r>
      <w:r w:rsidR="00836428" w:rsidRPr="00176298">
        <w:rPr>
          <w:rFonts w:eastAsia="Times New Roman" w:cs="Times New Roman"/>
          <w:color w:val="000000"/>
          <w:kern w:val="22"/>
          <w:sz w:val="22"/>
          <w:lang w:val="fr-FR" w:eastAsia="en-CA"/>
        </w:rPr>
        <w:t xml:space="preserve">. </w:t>
      </w:r>
      <w:r w:rsidR="00176298">
        <w:rPr>
          <w:rFonts w:eastAsia="Times New Roman" w:cs="Times New Roman"/>
          <w:color w:val="000000"/>
          <w:kern w:val="22"/>
          <w:sz w:val="22"/>
          <w:lang w:val="fr-FR" w:eastAsia="en-CA"/>
        </w:rPr>
        <w:t>Ce dé</w:t>
      </w:r>
      <w:r w:rsidR="00836428" w:rsidRPr="008F38B0">
        <w:rPr>
          <w:rFonts w:eastAsia="Times New Roman" w:cs="Times New Roman"/>
          <w:color w:val="000000"/>
          <w:kern w:val="22"/>
          <w:sz w:val="22"/>
          <w:lang w:val="fr-FR" w:eastAsia="en-CA"/>
        </w:rPr>
        <w:t>s</w:t>
      </w:r>
      <w:r w:rsidR="00E15AC0">
        <w:rPr>
          <w:rFonts w:eastAsia="Times New Roman" w:cs="Times New Roman"/>
          <w:color w:val="000000"/>
          <w:kern w:val="22"/>
          <w:sz w:val="22"/>
          <w:lang w:val="fr-FR" w:eastAsia="en-CA"/>
        </w:rPr>
        <w:t>accord</w:t>
      </w:r>
      <w:r w:rsidR="00836428" w:rsidRPr="008F38B0">
        <w:rPr>
          <w:rFonts w:eastAsia="Times New Roman" w:cs="Times New Roman"/>
          <w:color w:val="000000"/>
          <w:kern w:val="22"/>
          <w:sz w:val="22"/>
          <w:lang w:val="fr-FR" w:eastAsia="en-CA"/>
        </w:rPr>
        <w:t xml:space="preserve"> </w:t>
      </w:r>
      <w:r w:rsidR="00176298">
        <w:rPr>
          <w:rFonts w:eastAsia="Times New Roman" w:cs="Times New Roman"/>
          <w:color w:val="000000"/>
          <w:kern w:val="22"/>
          <w:sz w:val="22"/>
          <w:lang w:val="fr-FR" w:eastAsia="en-CA"/>
        </w:rPr>
        <w:t xml:space="preserve">découle du </w:t>
      </w:r>
      <w:r w:rsidR="008F38B0" w:rsidRPr="008F38B0">
        <w:rPr>
          <w:rFonts w:eastAsia="Times New Roman" w:cs="Times New Roman"/>
          <w:color w:val="000000"/>
          <w:kern w:val="22"/>
          <w:sz w:val="22"/>
          <w:lang w:val="fr-FR" w:eastAsia="en-CA"/>
        </w:rPr>
        <w:t>champ d’application</w:t>
      </w:r>
      <w:r w:rsidR="007408B7" w:rsidRPr="008F38B0">
        <w:rPr>
          <w:rFonts w:eastAsia="Times New Roman" w:cs="Times New Roman"/>
          <w:color w:val="000000"/>
          <w:kern w:val="22"/>
          <w:sz w:val="22"/>
          <w:lang w:val="fr-FR" w:eastAsia="en-CA"/>
        </w:rPr>
        <w:t xml:space="preserve"> </w:t>
      </w:r>
      <w:r w:rsidR="008F38B0" w:rsidRPr="008F38B0">
        <w:rPr>
          <w:rFonts w:eastAsia="Times New Roman" w:cs="Times New Roman"/>
          <w:color w:val="000000"/>
          <w:kern w:val="22"/>
          <w:sz w:val="22"/>
          <w:lang w:val="fr-FR" w:eastAsia="en-CA"/>
        </w:rPr>
        <w:t>de la Convention</w:t>
      </w:r>
      <w:r w:rsidR="007408B7" w:rsidRPr="008F38B0">
        <w:rPr>
          <w:rFonts w:eastAsia="Times New Roman" w:cs="Times New Roman"/>
          <w:color w:val="000000"/>
          <w:kern w:val="22"/>
          <w:sz w:val="22"/>
          <w:lang w:val="fr-FR" w:eastAsia="en-CA"/>
        </w:rPr>
        <w:t xml:space="preserve">, </w:t>
      </w:r>
      <w:r w:rsidR="00176298">
        <w:rPr>
          <w:rFonts w:eastAsia="Times New Roman" w:cs="Times New Roman"/>
          <w:color w:val="000000"/>
          <w:kern w:val="22"/>
          <w:sz w:val="22"/>
          <w:lang w:val="fr-FR" w:eastAsia="en-CA"/>
        </w:rPr>
        <w:t>lequel inclut les</w:t>
      </w:r>
      <w:r w:rsidR="007408B7" w:rsidRPr="008F38B0">
        <w:rPr>
          <w:rFonts w:eastAsia="Times New Roman" w:cs="Times New Roman"/>
          <w:color w:val="000000"/>
          <w:kern w:val="22"/>
          <w:sz w:val="22"/>
          <w:lang w:val="fr-FR" w:eastAsia="en-CA"/>
        </w:rPr>
        <w:t xml:space="preserve"> </w:t>
      </w:r>
      <w:r w:rsidR="00176298">
        <w:rPr>
          <w:rFonts w:eastAsia="Times New Roman" w:cs="Times New Roman"/>
          <w:color w:val="000000"/>
          <w:kern w:val="22"/>
          <w:sz w:val="22"/>
          <w:lang w:val="fr-FR" w:eastAsia="en-CA"/>
        </w:rPr>
        <w:t>processus</w:t>
      </w:r>
      <w:r w:rsidR="00E3674F" w:rsidRPr="008F38B0">
        <w:rPr>
          <w:rFonts w:eastAsia="Times New Roman" w:cs="Times New Roman"/>
          <w:color w:val="000000"/>
          <w:kern w:val="22"/>
          <w:sz w:val="22"/>
          <w:lang w:val="fr-FR" w:eastAsia="en-CA"/>
        </w:rPr>
        <w:t xml:space="preserve"> et </w:t>
      </w:r>
      <w:r w:rsidR="00176298">
        <w:rPr>
          <w:rFonts w:eastAsia="Times New Roman" w:cs="Times New Roman"/>
          <w:color w:val="000000"/>
          <w:kern w:val="22"/>
          <w:sz w:val="22"/>
          <w:lang w:val="fr-FR" w:eastAsia="en-CA"/>
        </w:rPr>
        <w:t>les activités</w:t>
      </w:r>
      <w:r w:rsidR="007408B7" w:rsidRPr="008F38B0">
        <w:rPr>
          <w:rFonts w:eastAsia="Times New Roman" w:cs="Times New Roman"/>
          <w:color w:val="000000"/>
          <w:kern w:val="22"/>
          <w:sz w:val="22"/>
          <w:lang w:val="fr-FR" w:eastAsia="en-CA"/>
        </w:rPr>
        <w:t xml:space="preserve"> </w:t>
      </w:r>
      <w:r w:rsidR="00176298">
        <w:rPr>
          <w:rFonts w:eastAsia="Times New Roman" w:cs="Times New Roman"/>
          <w:color w:val="000000"/>
          <w:kern w:val="22"/>
          <w:sz w:val="22"/>
          <w:lang w:val="fr-FR" w:eastAsia="en-CA"/>
        </w:rPr>
        <w:t>qui relè</w:t>
      </w:r>
      <w:r w:rsidR="00EA2111">
        <w:rPr>
          <w:rFonts w:eastAsia="Times New Roman" w:cs="Times New Roman"/>
          <w:color w:val="000000"/>
          <w:kern w:val="22"/>
          <w:sz w:val="22"/>
          <w:lang w:val="fr-FR" w:eastAsia="en-CA"/>
        </w:rPr>
        <w:t>vent de la juridiction des Etats</w:t>
      </w:r>
      <w:r w:rsidR="00176298">
        <w:rPr>
          <w:rFonts w:eastAsia="Times New Roman" w:cs="Times New Roman"/>
          <w:color w:val="000000"/>
          <w:kern w:val="22"/>
          <w:sz w:val="22"/>
          <w:lang w:val="fr-FR" w:eastAsia="en-CA"/>
        </w:rPr>
        <w:t>, ou que ceux-ci contrôlent dans des</w:t>
      </w:r>
      <w:r w:rsidR="00DE29A4" w:rsidRPr="008F38B0">
        <w:rPr>
          <w:rFonts w:eastAsia="Times New Roman" w:cs="Times New Roman"/>
          <w:color w:val="000000"/>
          <w:kern w:val="22"/>
          <w:sz w:val="22"/>
          <w:lang w:val="fr-FR" w:eastAsia="en-CA"/>
        </w:rPr>
        <w:t xml:space="preserve"> </w:t>
      </w:r>
      <w:r w:rsidR="00651FB0" w:rsidRPr="008F38B0">
        <w:rPr>
          <w:rFonts w:eastAsia="Times New Roman" w:cs="Times New Roman"/>
          <w:color w:val="000000"/>
          <w:kern w:val="22"/>
          <w:sz w:val="22"/>
          <w:lang w:val="fr-FR" w:eastAsia="en-CA"/>
        </w:rPr>
        <w:t>zones situées au-delà des limites de la juridiction nationale</w:t>
      </w:r>
      <w:r w:rsidR="00DE29A4" w:rsidRPr="008F38B0">
        <w:rPr>
          <w:rFonts w:eastAsia="Times New Roman" w:cs="Times New Roman"/>
          <w:color w:val="000000"/>
          <w:kern w:val="22"/>
          <w:sz w:val="22"/>
          <w:lang w:val="fr-FR" w:eastAsia="en-CA"/>
        </w:rPr>
        <w:t>.</w:t>
      </w:r>
      <w:r w:rsidR="00DE29A4" w:rsidRPr="002364AB">
        <w:rPr>
          <w:rStyle w:val="FootnoteReference"/>
          <w:rFonts w:eastAsia="Times New Roman" w:cs="Times New Roman"/>
          <w:color w:val="000000"/>
          <w:kern w:val="22"/>
          <w:sz w:val="22"/>
          <w:lang w:val="en-GB" w:eastAsia="en-CA"/>
        </w:rPr>
        <w:footnoteReference w:id="35"/>
      </w:r>
      <w:r w:rsidR="00AA5919">
        <w:rPr>
          <w:rFonts w:eastAsia="Times New Roman" w:cs="Times New Roman"/>
          <w:color w:val="000000"/>
          <w:kern w:val="22"/>
          <w:sz w:val="22"/>
          <w:lang w:val="fr-FR" w:eastAsia="en-CA"/>
        </w:rPr>
        <w:t xml:space="preserve"> </w:t>
      </w:r>
      <w:r w:rsidR="00176298">
        <w:rPr>
          <w:rFonts w:eastAsia="Times New Roman" w:cs="Times New Roman"/>
          <w:color w:val="000000"/>
          <w:kern w:val="22"/>
          <w:sz w:val="22"/>
          <w:lang w:val="fr-FR" w:eastAsia="en-CA"/>
        </w:rPr>
        <w:t>Certaines Parties</w:t>
      </w:r>
      <w:r w:rsidR="00FB6E0D" w:rsidRPr="00F27467">
        <w:rPr>
          <w:rFonts w:eastAsia="Times New Roman" w:cs="Times New Roman"/>
          <w:color w:val="000000"/>
          <w:kern w:val="22"/>
          <w:sz w:val="22"/>
          <w:lang w:val="fr-FR" w:eastAsia="en-CA"/>
        </w:rPr>
        <w:t xml:space="preserve"> </w:t>
      </w:r>
      <w:r w:rsidR="00176298">
        <w:rPr>
          <w:rFonts w:eastAsia="Times New Roman" w:cs="Times New Roman"/>
          <w:color w:val="000000"/>
          <w:kern w:val="22"/>
          <w:sz w:val="22"/>
          <w:lang w:val="fr-FR" w:eastAsia="en-CA"/>
        </w:rPr>
        <w:t>soutiennent que le lien entre l’</w:t>
      </w:r>
      <w:r w:rsidR="00FD73A5" w:rsidRPr="00F27467">
        <w:rPr>
          <w:rFonts w:eastAsia="Times New Roman" w:cs="Times New Roman"/>
          <w:color w:val="000000"/>
          <w:kern w:val="22"/>
          <w:sz w:val="22"/>
          <w:lang w:val="fr-FR" w:eastAsia="en-CA"/>
        </w:rPr>
        <w:t>article</w:t>
      </w:r>
      <w:r w:rsidR="00DB08F9">
        <w:rPr>
          <w:rFonts w:eastAsia="Times New Roman" w:cs="Times New Roman"/>
          <w:color w:val="000000"/>
          <w:kern w:val="22"/>
          <w:sz w:val="22"/>
          <w:lang w:val="fr-FR" w:eastAsia="en-CA"/>
        </w:rPr>
        <w:t xml:space="preserve"> du Protocole</w:t>
      </w:r>
      <w:r w:rsidR="00E3674F" w:rsidRPr="00F27467">
        <w:rPr>
          <w:rFonts w:eastAsia="Times New Roman" w:cs="Times New Roman"/>
          <w:color w:val="000000"/>
          <w:kern w:val="22"/>
          <w:sz w:val="22"/>
          <w:lang w:val="fr-FR" w:eastAsia="en-CA"/>
        </w:rPr>
        <w:t xml:space="preserve"> et </w:t>
      </w:r>
      <w:r w:rsidR="00176298">
        <w:rPr>
          <w:rFonts w:eastAsia="Times New Roman" w:cs="Times New Roman"/>
          <w:color w:val="000000"/>
          <w:kern w:val="22"/>
          <w:sz w:val="22"/>
          <w:lang w:val="fr-FR" w:eastAsia="en-CA"/>
        </w:rPr>
        <w:t>l’</w:t>
      </w:r>
      <w:r w:rsidR="00FD73A5" w:rsidRPr="00F27467">
        <w:rPr>
          <w:rFonts w:eastAsia="Times New Roman" w:cs="Times New Roman"/>
          <w:color w:val="000000"/>
          <w:kern w:val="22"/>
          <w:sz w:val="22"/>
          <w:lang w:val="fr-FR" w:eastAsia="en-CA"/>
        </w:rPr>
        <w:t>article</w:t>
      </w:r>
      <w:r w:rsidR="00FB6E0D" w:rsidRPr="00F27467">
        <w:rPr>
          <w:rFonts w:eastAsia="Times New Roman" w:cs="Times New Roman"/>
          <w:color w:val="000000"/>
          <w:kern w:val="22"/>
          <w:sz w:val="22"/>
          <w:lang w:val="fr-FR" w:eastAsia="en-CA"/>
        </w:rPr>
        <w:t xml:space="preserve"> 15</w:t>
      </w:r>
      <w:r w:rsidR="00176298">
        <w:rPr>
          <w:rFonts w:eastAsia="Times New Roman" w:cs="Times New Roman"/>
          <w:color w:val="000000"/>
          <w:kern w:val="22"/>
          <w:sz w:val="22"/>
          <w:lang w:val="fr-FR" w:eastAsia="en-CA"/>
        </w:rPr>
        <w:t xml:space="preserve"> restreint le</w:t>
      </w:r>
      <w:r w:rsidR="00FB6E0D" w:rsidRPr="00F27467">
        <w:rPr>
          <w:rFonts w:eastAsia="Times New Roman" w:cs="Times New Roman"/>
          <w:color w:val="000000"/>
          <w:kern w:val="22"/>
          <w:sz w:val="22"/>
          <w:lang w:val="fr-FR" w:eastAsia="en-CA"/>
        </w:rPr>
        <w:t xml:space="preserve"> </w:t>
      </w:r>
      <w:r w:rsidR="00176298">
        <w:rPr>
          <w:rFonts w:eastAsia="Times New Roman" w:cs="Times New Roman"/>
          <w:color w:val="000000"/>
          <w:kern w:val="22"/>
          <w:sz w:val="22"/>
          <w:lang w:val="fr-FR" w:eastAsia="en-CA"/>
        </w:rPr>
        <w:t>champ d’application géographique</w:t>
      </w:r>
      <w:r w:rsidR="00743AEE" w:rsidRPr="00F27467">
        <w:rPr>
          <w:rFonts w:eastAsia="Times New Roman" w:cs="Times New Roman"/>
          <w:color w:val="000000"/>
          <w:kern w:val="22"/>
          <w:sz w:val="22"/>
          <w:lang w:val="fr-FR" w:eastAsia="en-CA"/>
        </w:rPr>
        <w:t xml:space="preserve"> </w:t>
      </w:r>
      <w:r w:rsidR="00F27467" w:rsidRPr="00F27467">
        <w:rPr>
          <w:rFonts w:eastAsia="Times New Roman" w:cs="Times New Roman"/>
          <w:color w:val="000000"/>
          <w:kern w:val="22"/>
          <w:sz w:val="22"/>
          <w:lang w:val="fr-FR" w:eastAsia="en-CA"/>
        </w:rPr>
        <w:t>du Protocole</w:t>
      </w:r>
      <w:r w:rsidR="00176298">
        <w:rPr>
          <w:rFonts w:eastAsia="Times New Roman" w:cs="Times New Roman"/>
          <w:color w:val="000000"/>
          <w:kern w:val="22"/>
          <w:sz w:val="22"/>
          <w:lang w:val="fr-FR" w:eastAsia="en-CA"/>
        </w:rPr>
        <w:t xml:space="preserve"> </w:t>
      </w:r>
      <w:r w:rsidR="00EA2111">
        <w:rPr>
          <w:rFonts w:eastAsia="Times New Roman" w:cs="Times New Roman"/>
          <w:color w:val="000000"/>
          <w:kern w:val="22"/>
          <w:sz w:val="22"/>
          <w:lang w:val="fr-FR" w:eastAsia="en-CA"/>
        </w:rPr>
        <w:t xml:space="preserve">uniquement </w:t>
      </w:r>
      <w:r w:rsidR="00176298">
        <w:rPr>
          <w:rFonts w:eastAsia="Times New Roman" w:cs="Times New Roman"/>
          <w:color w:val="000000"/>
          <w:kern w:val="22"/>
          <w:sz w:val="22"/>
          <w:lang w:val="fr-FR" w:eastAsia="en-CA"/>
        </w:rPr>
        <w:t xml:space="preserve">aux </w:t>
      </w:r>
      <w:r w:rsidR="00E3674F" w:rsidRPr="00F27467">
        <w:rPr>
          <w:rFonts w:eastAsia="Times New Roman" w:cs="Times New Roman"/>
          <w:color w:val="000000"/>
          <w:kern w:val="22"/>
          <w:sz w:val="22"/>
          <w:lang w:val="fr-FR" w:eastAsia="en-CA"/>
        </w:rPr>
        <w:t>ressources génétiques</w:t>
      </w:r>
      <w:r w:rsidR="00743AEE" w:rsidRPr="00F27467">
        <w:rPr>
          <w:rFonts w:eastAsia="Times New Roman" w:cs="Times New Roman"/>
          <w:color w:val="000000"/>
          <w:kern w:val="22"/>
          <w:sz w:val="22"/>
          <w:lang w:val="fr-FR" w:eastAsia="en-CA"/>
        </w:rPr>
        <w:t xml:space="preserve"> </w:t>
      </w:r>
      <w:r w:rsidR="00176298">
        <w:rPr>
          <w:rFonts w:eastAsia="Times New Roman" w:cs="Times New Roman"/>
          <w:color w:val="000000"/>
          <w:kern w:val="22"/>
          <w:sz w:val="22"/>
          <w:lang w:val="fr-FR" w:eastAsia="en-CA"/>
        </w:rPr>
        <w:t>qui relèvent de la juridiction nationale, tandis que</w:t>
      </w:r>
      <w:r w:rsidR="002518EB">
        <w:rPr>
          <w:rFonts w:eastAsia="Times New Roman" w:cs="Times New Roman"/>
          <w:color w:val="000000"/>
          <w:kern w:val="22"/>
          <w:sz w:val="22"/>
          <w:lang w:val="fr-FR" w:eastAsia="en-CA"/>
        </w:rPr>
        <w:t xml:space="preserve"> d’autres </w:t>
      </w:r>
      <w:r w:rsidR="00743AEE" w:rsidRPr="00F27467">
        <w:rPr>
          <w:rFonts w:eastAsia="Times New Roman" w:cs="Times New Roman"/>
          <w:color w:val="000000"/>
          <w:kern w:val="22"/>
          <w:sz w:val="22"/>
          <w:lang w:val="fr-FR" w:eastAsia="en-CA"/>
        </w:rPr>
        <w:t xml:space="preserve">Parties </w:t>
      </w:r>
      <w:r w:rsidR="00176298">
        <w:rPr>
          <w:rFonts w:eastAsia="Times New Roman" w:cs="Times New Roman"/>
          <w:color w:val="000000"/>
          <w:kern w:val="22"/>
          <w:sz w:val="22"/>
          <w:lang w:val="fr-FR" w:eastAsia="en-CA"/>
        </w:rPr>
        <w:t>arguent de ce que le</w:t>
      </w:r>
      <w:r w:rsidR="007E7F81" w:rsidRPr="00F27467">
        <w:rPr>
          <w:rFonts w:eastAsia="Times New Roman" w:cs="Times New Roman"/>
          <w:color w:val="000000"/>
          <w:kern w:val="22"/>
          <w:sz w:val="22"/>
          <w:lang w:val="fr-FR" w:eastAsia="en-CA"/>
        </w:rPr>
        <w:t xml:space="preserve"> Protocol</w:t>
      </w:r>
      <w:r w:rsidR="00EA2111">
        <w:rPr>
          <w:rFonts w:eastAsia="Times New Roman" w:cs="Times New Roman"/>
          <w:color w:val="000000"/>
          <w:kern w:val="22"/>
          <w:sz w:val="22"/>
          <w:lang w:val="fr-FR" w:eastAsia="en-CA"/>
        </w:rPr>
        <w:t>e ne se prononce pas</w:t>
      </w:r>
      <w:r w:rsidR="00176298">
        <w:rPr>
          <w:rFonts w:eastAsia="Times New Roman" w:cs="Times New Roman"/>
          <w:color w:val="000000"/>
          <w:kern w:val="22"/>
          <w:sz w:val="22"/>
          <w:lang w:val="fr-FR" w:eastAsia="en-CA"/>
        </w:rPr>
        <w:t xml:space="preserve"> sur cette </w:t>
      </w:r>
      <w:r w:rsidR="00367430">
        <w:rPr>
          <w:rFonts w:eastAsia="Times New Roman" w:cs="Times New Roman"/>
          <w:color w:val="000000"/>
          <w:kern w:val="22"/>
          <w:sz w:val="22"/>
          <w:lang w:val="fr-FR" w:eastAsia="en-CA"/>
        </w:rPr>
        <w:t>question</w:t>
      </w:r>
      <w:r w:rsidR="007E7F81" w:rsidRPr="00F27467">
        <w:rPr>
          <w:rFonts w:eastAsia="Times New Roman" w:cs="Times New Roman"/>
          <w:color w:val="000000"/>
          <w:kern w:val="22"/>
          <w:sz w:val="22"/>
          <w:lang w:val="fr-FR" w:eastAsia="en-CA"/>
        </w:rPr>
        <w:t>.</w:t>
      </w:r>
      <w:r w:rsidR="00C1126E" w:rsidRPr="002364AB">
        <w:rPr>
          <w:rStyle w:val="FootnoteReference"/>
          <w:rFonts w:eastAsia="Times New Roman" w:cs="Times New Roman"/>
          <w:color w:val="000000"/>
          <w:kern w:val="22"/>
          <w:sz w:val="22"/>
          <w:lang w:val="en-GB" w:eastAsia="en-CA"/>
        </w:rPr>
        <w:footnoteReference w:id="36"/>
      </w:r>
      <w:r w:rsidR="007E7F81" w:rsidRPr="00F27467">
        <w:rPr>
          <w:rFonts w:eastAsia="Times New Roman" w:cs="Times New Roman"/>
          <w:color w:val="000000"/>
          <w:kern w:val="22"/>
          <w:sz w:val="22"/>
          <w:lang w:val="fr-FR" w:eastAsia="en-CA"/>
        </w:rPr>
        <w:t xml:space="preserve"> </w:t>
      </w:r>
      <w:r w:rsidR="00EA2111">
        <w:rPr>
          <w:rFonts w:eastAsia="Times New Roman" w:cs="Times New Roman"/>
          <w:color w:val="000000"/>
          <w:kern w:val="22"/>
          <w:sz w:val="22"/>
          <w:lang w:val="fr-FR" w:eastAsia="en-CA"/>
        </w:rPr>
        <w:t>Alors que</w:t>
      </w:r>
      <w:r w:rsidR="00CD1466">
        <w:rPr>
          <w:rFonts w:eastAsia="Times New Roman" w:cs="Times New Roman"/>
          <w:color w:val="000000"/>
          <w:kern w:val="22"/>
          <w:sz w:val="22"/>
          <w:lang w:val="fr-FR" w:eastAsia="en-CA"/>
        </w:rPr>
        <w:t xml:space="preserve"> les</w:t>
      </w:r>
      <w:r w:rsidR="009418AF" w:rsidRPr="00E15AC0">
        <w:rPr>
          <w:rFonts w:eastAsia="Times New Roman" w:cs="Times New Roman"/>
          <w:color w:val="000000"/>
          <w:kern w:val="22"/>
          <w:sz w:val="22"/>
          <w:lang w:val="fr-FR" w:eastAsia="en-CA"/>
        </w:rPr>
        <w:t xml:space="preserve"> </w:t>
      </w:r>
      <w:r w:rsidR="00F4156B">
        <w:rPr>
          <w:rFonts w:eastAsia="Times New Roman" w:cs="Times New Roman"/>
          <w:color w:val="000000"/>
          <w:kern w:val="22"/>
          <w:sz w:val="22"/>
          <w:lang w:val="fr-FR" w:eastAsia="en-CA"/>
        </w:rPr>
        <w:t>négociation</w:t>
      </w:r>
      <w:r w:rsidR="00DB08F9">
        <w:rPr>
          <w:rFonts w:eastAsia="Times New Roman" w:cs="Times New Roman"/>
          <w:color w:val="000000"/>
          <w:kern w:val="22"/>
          <w:sz w:val="22"/>
          <w:lang w:val="fr-FR" w:eastAsia="en-CA"/>
        </w:rPr>
        <w:t>s s</w:t>
      </w:r>
      <w:r w:rsidR="00EA2111">
        <w:rPr>
          <w:rFonts w:eastAsia="Times New Roman" w:cs="Times New Roman"/>
          <w:color w:val="000000"/>
          <w:kern w:val="22"/>
          <w:sz w:val="22"/>
          <w:lang w:val="fr-FR" w:eastAsia="en-CA"/>
        </w:rPr>
        <w:t>ur l’élaboration d’</w:t>
      </w:r>
      <w:r w:rsidR="00CD1466">
        <w:rPr>
          <w:rFonts w:eastAsia="Times New Roman" w:cs="Times New Roman"/>
          <w:color w:val="000000"/>
          <w:kern w:val="22"/>
          <w:sz w:val="22"/>
          <w:lang w:val="fr-FR" w:eastAsia="en-CA"/>
        </w:rPr>
        <w:t>un instrument international sur la</w:t>
      </w:r>
      <w:r w:rsidR="00427F0F" w:rsidRPr="00E15AC0">
        <w:rPr>
          <w:rFonts w:eastAsia="Times New Roman" w:cs="Times New Roman"/>
          <w:color w:val="000000"/>
          <w:kern w:val="22"/>
          <w:sz w:val="22"/>
          <w:lang w:val="fr-FR" w:eastAsia="en-CA"/>
        </w:rPr>
        <w:t xml:space="preserve"> </w:t>
      </w:r>
      <w:r w:rsidR="00B46D70" w:rsidRPr="00E15AC0">
        <w:rPr>
          <w:rFonts w:eastAsia="Times New Roman" w:cs="Times New Roman"/>
          <w:color w:val="000000"/>
          <w:kern w:val="22"/>
          <w:sz w:val="22"/>
          <w:lang w:val="fr-FR" w:eastAsia="en-CA"/>
        </w:rPr>
        <w:t>biodiversité</w:t>
      </w:r>
      <w:r w:rsidR="00427F0F" w:rsidRPr="00E15AC0">
        <w:rPr>
          <w:rFonts w:eastAsia="Times New Roman" w:cs="Times New Roman"/>
          <w:color w:val="000000"/>
          <w:kern w:val="22"/>
          <w:sz w:val="22"/>
          <w:lang w:val="fr-FR" w:eastAsia="en-CA"/>
        </w:rPr>
        <w:t xml:space="preserve"> </w:t>
      </w:r>
      <w:r w:rsidR="00B46D70" w:rsidRPr="00E15AC0">
        <w:rPr>
          <w:rFonts w:eastAsia="Times New Roman" w:cs="Times New Roman"/>
          <w:color w:val="000000"/>
          <w:kern w:val="22"/>
          <w:sz w:val="22"/>
          <w:lang w:val="fr-FR" w:eastAsia="en-CA"/>
        </w:rPr>
        <w:t>située au-delà des limites de la juridiction nationale</w:t>
      </w:r>
      <w:r w:rsidR="00427F0F" w:rsidRPr="00E15AC0">
        <w:rPr>
          <w:rFonts w:eastAsia="Times New Roman" w:cs="Times New Roman"/>
          <w:color w:val="000000"/>
          <w:kern w:val="22"/>
          <w:sz w:val="22"/>
          <w:lang w:val="fr-FR" w:eastAsia="en-CA"/>
        </w:rPr>
        <w:t xml:space="preserve"> – </w:t>
      </w:r>
      <w:r w:rsidR="00B43E38" w:rsidRPr="00E15AC0">
        <w:rPr>
          <w:rFonts w:eastAsia="Times New Roman" w:cs="Times New Roman"/>
          <w:color w:val="000000"/>
          <w:kern w:val="22"/>
          <w:sz w:val="22"/>
          <w:lang w:val="fr-FR" w:eastAsia="en-CA"/>
        </w:rPr>
        <w:t>y compris</w:t>
      </w:r>
      <w:r w:rsidR="00EA2111">
        <w:rPr>
          <w:rFonts w:eastAsia="Times New Roman" w:cs="Times New Roman"/>
          <w:color w:val="000000"/>
          <w:kern w:val="22"/>
          <w:sz w:val="22"/>
          <w:lang w:val="fr-FR" w:eastAsia="en-CA"/>
        </w:rPr>
        <w:t xml:space="preserve"> les </w:t>
      </w:r>
      <w:r w:rsidR="00E3674F" w:rsidRPr="00E15AC0">
        <w:rPr>
          <w:rFonts w:eastAsia="Times New Roman" w:cs="Times New Roman"/>
          <w:color w:val="000000"/>
          <w:kern w:val="22"/>
          <w:sz w:val="22"/>
          <w:lang w:val="fr-FR" w:eastAsia="en-CA"/>
        </w:rPr>
        <w:t>ressources génétiques</w:t>
      </w:r>
      <w:r w:rsidR="00EA2111">
        <w:rPr>
          <w:rFonts w:eastAsia="Times New Roman" w:cs="Times New Roman"/>
          <w:color w:val="000000"/>
          <w:kern w:val="22"/>
          <w:sz w:val="22"/>
          <w:lang w:val="fr-FR" w:eastAsia="en-CA"/>
        </w:rPr>
        <w:t xml:space="preserve"> marines</w:t>
      </w:r>
      <w:r w:rsidR="00CD1466">
        <w:rPr>
          <w:rFonts w:eastAsia="Times New Roman" w:cs="Times New Roman"/>
          <w:color w:val="000000"/>
          <w:kern w:val="22"/>
          <w:sz w:val="22"/>
          <w:lang w:val="fr-FR" w:eastAsia="en-CA"/>
        </w:rPr>
        <w:t xml:space="preserve"> – ont commencé</w:t>
      </w:r>
      <w:r w:rsidR="00427F0F" w:rsidRPr="00E15AC0">
        <w:rPr>
          <w:rFonts w:eastAsia="Times New Roman" w:cs="Times New Roman"/>
          <w:color w:val="000000"/>
          <w:kern w:val="22"/>
          <w:sz w:val="22"/>
          <w:lang w:val="fr-FR" w:eastAsia="en-CA"/>
        </w:rPr>
        <w:t xml:space="preserve">, </w:t>
      </w:r>
      <w:r w:rsidR="00367430">
        <w:rPr>
          <w:rFonts w:eastAsia="Times New Roman" w:cs="Times New Roman"/>
          <w:color w:val="000000"/>
          <w:kern w:val="22"/>
          <w:sz w:val="22"/>
          <w:lang w:val="fr-FR" w:eastAsia="en-CA"/>
        </w:rPr>
        <w:t>les auteurs</w:t>
      </w:r>
      <w:r w:rsidR="00CD1466">
        <w:rPr>
          <w:rFonts w:eastAsia="Times New Roman" w:cs="Times New Roman"/>
          <w:color w:val="000000"/>
          <w:kern w:val="22"/>
          <w:sz w:val="22"/>
          <w:lang w:val="fr-FR" w:eastAsia="en-CA"/>
        </w:rPr>
        <w:t xml:space="preserve"> abordent deux</w:t>
      </w:r>
      <w:r w:rsidR="00C1126E" w:rsidRPr="00E15AC0">
        <w:rPr>
          <w:rFonts w:eastAsia="Times New Roman" w:cs="Times New Roman"/>
          <w:color w:val="000000"/>
          <w:kern w:val="22"/>
          <w:sz w:val="22"/>
          <w:lang w:val="fr-FR" w:eastAsia="en-CA"/>
        </w:rPr>
        <w:t xml:space="preserve"> </w:t>
      </w:r>
      <w:r w:rsidR="00367430">
        <w:rPr>
          <w:rFonts w:eastAsia="Times New Roman" w:cs="Times New Roman"/>
          <w:color w:val="000000"/>
          <w:kern w:val="22"/>
          <w:sz w:val="22"/>
          <w:lang w:val="fr-FR" w:eastAsia="en-CA"/>
        </w:rPr>
        <w:t>question</w:t>
      </w:r>
      <w:r w:rsidR="00C1126E" w:rsidRPr="00E15AC0">
        <w:rPr>
          <w:rFonts w:eastAsia="Times New Roman" w:cs="Times New Roman"/>
          <w:color w:val="000000"/>
          <w:kern w:val="22"/>
          <w:sz w:val="22"/>
          <w:lang w:val="fr-FR" w:eastAsia="en-CA"/>
        </w:rPr>
        <w:t xml:space="preserve">s </w:t>
      </w:r>
      <w:r w:rsidR="00DB08F9">
        <w:rPr>
          <w:rFonts w:eastAsia="Times New Roman" w:cs="Times New Roman"/>
          <w:color w:val="000000"/>
          <w:kern w:val="22"/>
          <w:sz w:val="22"/>
          <w:lang w:val="fr-FR" w:eastAsia="en-CA"/>
        </w:rPr>
        <w:t>qui pourraient s’avérer</w:t>
      </w:r>
      <w:r w:rsidR="00CD1466">
        <w:rPr>
          <w:rFonts w:eastAsia="Times New Roman" w:cs="Times New Roman"/>
          <w:color w:val="000000"/>
          <w:kern w:val="22"/>
          <w:sz w:val="22"/>
          <w:lang w:val="fr-FR" w:eastAsia="en-CA"/>
        </w:rPr>
        <w:t xml:space="preserve"> pertinentes pour l’</w:t>
      </w:r>
      <w:r w:rsidR="00FD73A5" w:rsidRPr="00E15AC0">
        <w:rPr>
          <w:rFonts w:eastAsia="Times New Roman" w:cs="Times New Roman"/>
          <w:color w:val="000000"/>
          <w:kern w:val="22"/>
          <w:sz w:val="22"/>
          <w:lang w:val="fr-FR" w:eastAsia="en-CA"/>
        </w:rPr>
        <w:t>article</w:t>
      </w:r>
      <w:r w:rsidR="00DB08F9">
        <w:rPr>
          <w:rFonts w:eastAsia="Times New Roman" w:cs="Times New Roman"/>
          <w:color w:val="000000"/>
          <w:kern w:val="22"/>
          <w:sz w:val="22"/>
          <w:lang w:val="fr-FR" w:eastAsia="en-CA"/>
        </w:rPr>
        <w:t xml:space="preserve"> 10</w:t>
      </w:r>
      <w:r w:rsidR="00CD1466">
        <w:rPr>
          <w:rFonts w:eastAsia="Times New Roman" w:cs="Times New Roman"/>
          <w:color w:val="000000"/>
          <w:kern w:val="22"/>
          <w:sz w:val="22"/>
          <w:lang w:val="fr-FR" w:eastAsia="en-CA"/>
        </w:rPr>
        <w:t xml:space="preserve"> dans les p</w:t>
      </w:r>
      <w:r w:rsidR="00F27467" w:rsidRPr="00E15AC0">
        <w:rPr>
          <w:rFonts w:eastAsia="Times New Roman" w:cs="Times New Roman"/>
          <w:color w:val="000000"/>
          <w:kern w:val="22"/>
          <w:sz w:val="22"/>
          <w:lang w:val="fr-FR" w:eastAsia="en-CA"/>
        </w:rPr>
        <w:t>artie</w:t>
      </w:r>
      <w:r w:rsidR="008B7419" w:rsidRPr="00E15AC0">
        <w:rPr>
          <w:rFonts w:eastAsia="Times New Roman" w:cs="Times New Roman"/>
          <w:color w:val="000000"/>
          <w:kern w:val="22"/>
          <w:sz w:val="22"/>
          <w:lang w:val="fr-FR" w:eastAsia="en-CA"/>
        </w:rPr>
        <w:t>s</w:t>
      </w:r>
      <w:r w:rsidR="00C1126E" w:rsidRPr="00E15AC0">
        <w:rPr>
          <w:rFonts w:eastAsia="Times New Roman" w:cs="Times New Roman"/>
          <w:color w:val="000000"/>
          <w:kern w:val="22"/>
          <w:sz w:val="22"/>
          <w:lang w:val="fr-FR" w:eastAsia="en-CA"/>
        </w:rPr>
        <w:t xml:space="preserve"> 2.</w:t>
      </w:r>
      <w:r w:rsidR="008B7419" w:rsidRPr="00E15AC0">
        <w:rPr>
          <w:rFonts w:eastAsia="Times New Roman" w:cs="Times New Roman"/>
          <w:color w:val="000000"/>
          <w:kern w:val="22"/>
          <w:sz w:val="22"/>
          <w:lang w:val="fr-FR" w:eastAsia="en-CA"/>
        </w:rPr>
        <w:t>2</w:t>
      </w:r>
      <w:r w:rsidR="00E3674F" w:rsidRPr="00E15AC0">
        <w:rPr>
          <w:rFonts w:eastAsia="Times New Roman" w:cs="Times New Roman"/>
          <w:color w:val="000000"/>
          <w:kern w:val="22"/>
          <w:sz w:val="22"/>
          <w:lang w:val="fr-FR" w:eastAsia="en-CA"/>
        </w:rPr>
        <w:t xml:space="preserve"> et </w:t>
      </w:r>
      <w:r w:rsidR="008B7419" w:rsidRPr="00E15AC0">
        <w:rPr>
          <w:rFonts w:eastAsia="Times New Roman" w:cs="Times New Roman"/>
          <w:color w:val="000000"/>
          <w:kern w:val="22"/>
          <w:sz w:val="22"/>
          <w:lang w:val="fr-FR" w:eastAsia="en-CA"/>
        </w:rPr>
        <w:t>2.</w:t>
      </w:r>
      <w:r w:rsidR="00C1126E" w:rsidRPr="00E15AC0">
        <w:rPr>
          <w:rFonts w:eastAsia="Times New Roman" w:cs="Times New Roman"/>
          <w:color w:val="000000"/>
          <w:kern w:val="22"/>
          <w:sz w:val="22"/>
          <w:lang w:val="fr-FR" w:eastAsia="en-CA"/>
        </w:rPr>
        <w:t>3</w:t>
      </w:r>
      <w:r w:rsidR="00DB08F9">
        <w:rPr>
          <w:rFonts w:eastAsia="Times New Roman" w:cs="Times New Roman"/>
          <w:color w:val="000000"/>
          <w:kern w:val="22"/>
          <w:sz w:val="22"/>
          <w:lang w:val="fr-FR" w:eastAsia="en-CA"/>
        </w:rPr>
        <w:t xml:space="preserve"> de la présente </w:t>
      </w:r>
      <w:r w:rsidR="00CD1466">
        <w:rPr>
          <w:rFonts w:eastAsia="Times New Roman" w:cs="Times New Roman"/>
          <w:color w:val="000000"/>
          <w:kern w:val="22"/>
          <w:sz w:val="22"/>
          <w:lang w:val="fr-FR" w:eastAsia="en-CA"/>
        </w:rPr>
        <w:t>étude</w:t>
      </w:r>
      <w:r w:rsidR="00C1126E" w:rsidRPr="00E15AC0">
        <w:rPr>
          <w:rFonts w:eastAsia="Times New Roman" w:cs="Times New Roman"/>
          <w:color w:val="000000"/>
          <w:kern w:val="22"/>
          <w:sz w:val="22"/>
          <w:lang w:val="fr-FR" w:eastAsia="en-CA"/>
        </w:rPr>
        <w:t>.</w:t>
      </w:r>
    </w:p>
    <w:p w14:paraId="1EBFBA77" w14:textId="14AC1275" w:rsidR="00631691" w:rsidRPr="003F6B4A" w:rsidRDefault="00631691" w:rsidP="00B80668">
      <w:pPr>
        <w:pBdr>
          <w:top w:val="nil"/>
          <w:left w:val="nil"/>
          <w:bottom w:val="nil"/>
          <w:right w:val="nil"/>
          <w:between w:val="nil"/>
        </w:pBdr>
        <w:spacing w:after="120"/>
        <w:rPr>
          <w:rFonts w:eastAsia="Times New Roman" w:cs="Times New Roman"/>
          <w:i/>
          <w:color w:val="000000"/>
          <w:kern w:val="22"/>
          <w:sz w:val="22"/>
          <w:lang w:val="fr-FR" w:eastAsia="en-CA"/>
        </w:rPr>
      </w:pPr>
      <w:r w:rsidRPr="003F6B4A">
        <w:rPr>
          <w:rFonts w:eastAsia="Times New Roman" w:cs="Times New Roman"/>
          <w:i/>
          <w:color w:val="000000"/>
          <w:kern w:val="22"/>
          <w:sz w:val="22"/>
          <w:lang w:val="fr-FR" w:eastAsia="en-CA"/>
        </w:rPr>
        <w:t>Structure</w:t>
      </w:r>
    </w:p>
    <w:p w14:paraId="66509843" w14:textId="10CBE648" w:rsidR="00A77E43" w:rsidRPr="00FC7EA5" w:rsidRDefault="00B65233" w:rsidP="003E273A">
      <w:pPr>
        <w:rPr>
          <w:rFonts w:eastAsia="Times New Roman" w:cs="Times New Roman"/>
          <w:iCs/>
          <w:color w:val="000000"/>
          <w:kern w:val="22"/>
          <w:sz w:val="22"/>
          <w:lang w:val="fr-FR" w:eastAsia="en-CA"/>
        </w:rPr>
      </w:pPr>
      <w:r>
        <w:rPr>
          <w:rFonts w:eastAsia="Times New Roman" w:cs="Times New Roman"/>
          <w:iCs/>
          <w:color w:val="000000"/>
          <w:kern w:val="22"/>
          <w:sz w:val="22"/>
          <w:lang w:val="fr-FR" w:eastAsia="en-CA"/>
        </w:rPr>
        <w:t>En termes de structure</w:t>
      </w:r>
      <w:r w:rsidR="007457FB" w:rsidRPr="00651FB0">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la p</w:t>
      </w:r>
      <w:r w:rsidR="00F27467">
        <w:rPr>
          <w:rFonts w:eastAsia="Times New Roman" w:cs="Times New Roman"/>
          <w:iCs/>
          <w:color w:val="000000"/>
          <w:kern w:val="22"/>
          <w:sz w:val="22"/>
          <w:lang w:val="fr-FR" w:eastAsia="en-CA"/>
        </w:rPr>
        <w:t>artie</w:t>
      </w:r>
      <w:r>
        <w:rPr>
          <w:rFonts w:eastAsia="Times New Roman" w:cs="Times New Roman"/>
          <w:iCs/>
          <w:color w:val="000000"/>
          <w:kern w:val="22"/>
          <w:sz w:val="22"/>
          <w:lang w:val="fr-FR" w:eastAsia="en-CA"/>
        </w:rPr>
        <w:t xml:space="preserve"> 2 de l’</w:t>
      </w:r>
      <w:r w:rsidR="00E3674F" w:rsidRPr="00651FB0">
        <w:rPr>
          <w:rFonts w:eastAsia="Times New Roman" w:cs="Times New Roman"/>
          <w:iCs/>
          <w:color w:val="000000"/>
          <w:kern w:val="22"/>
          <w:sz w:val="22"/>
          <w:lang w:val="fr-FR" w:eastAsia="en-CA"/>
        </w:rPr>
        <w:t>étude</w:t>
      </w:r>
      <w:r>
        <w:rPr>
          <w:rFonts w:eastAsia="Times New Roman" w:cs="Times New Roman"/>
          <w:iCs/>
          <w:color w:val="000000"/>
          <w:kern w:val="22"/>
          <w:sz w:val="22"/>
          <w:lang w:val="fr-FR" w:eastAsia="en-CA"/>
        </w:rPr>
        <w:t xml:space="preserve"> présente</w:t>
      </w:r>
      <w:r w:rsidR="007457FB" w:rsidRPr="00651FB0">
        <w:rPr>
          <w:rFonts w:eastAsia="Times New Roman" w:cs="Times New Roman"/>
          <w:iCs/>
          <w:color w:val="000000"/>
          <w:kern w:val="22"/>
          <w:sz w:val="22"/>
          <w:lang w:val="fr-FR" w:eastAsia="en-CA"/>
        </w:rPr>
        <w:t xml:space="preserve"> </w:t>
      </w:r>
      <w:r w:rsidR="00E3674F" w:rsidRPr="00651FB0">
        <w:rPr>
          <w:rFonts w:eastAsia="Times New Roman" w:cs="Times New Roman"/>
          <w:iCs/>
          <w:color w:val="000000"/>
          <w:kern w:val="22"/>
          <w:sz w:val="22"/>
          <w:lang w:val="fr-FR" w:eastAsia="en-CA"/>
        </w:rPr>
        <w:t>des cas spécifiques</w:t>
      </w:r>
      <w:r w:rsidR="007457FB" w:rsidRPr="00651FB0">
        <w:rPr>
          <w:rFonts w:eastAsia="Times New Roman" w:cs="Times New Roman"/>
          <w:iCs/>
          <w:color w:val="000000"/>
          <w:kern w:val="22"/>
          <w:sz w:val="22"/>
          <w:lang w:val="fr-FR" w:eastAsia="en-CA"/>
        </w:rPr>
        <w:t xml:space="preserve"> </w:t>
      </w:r>
      <w:r w:rsidR="00D6232E">
        <w:rPr>
          <w:rFonts w:eastAsia="Times New Roman" w:cs="Times New Roman"/>
          <w:iCs/>
          <w:color w:val="000000"/>
          <w:kern w:val="22"/>
          <w:sz w:val="22"/>
          <w:lang w:val="fr-FR" w:eastAsia="en-CA"/>
        </w:rPr>
        <w:t>de ressources</w:t>
      </w:r>
      <w:r w:rsidR="00E3674F" w:rsidRPr="00651FB0">
        <w:rPr>
          <w:rFonts w:eastAsia="Times New Roman" w:cs="Times New Roman"/>
          <w:iCs/>
          <w:color w:val="000000"/>
          <w:kern w:val="22"/>
          <w:sz w:val="22"/>
          <w:lang w:val="fr-FR" w:eastAsia="en-CA"/>
        </w:rPr>
        <w:t xml:space="preserve"> génétiques</w:t>
      </w:r>
      <w:r w:rsidR="007457FB" w:rsidRPr="00651FB0">
        <w:rPr>
          <w:rFonts w:eastAsia="Times New Roman" w:cs="Times New Roman"/>
          <w:iCs/>
          <w:color w:val="000000"/>
          <w:kern w:val="22"/>
          <w:sz w:val="22"/>
          <w:lang w:val="fr-FR" w:eastAsia="en-CA"/>
        </w:rPr>
        <w:t xml:space="preserve"> </w:t>
      </w:r>
      <w:r w:rsidR="00651FB0" w:rsidRPr="00651FB0">
        <w:rPr>
          <w:rFonts w:eastAsia="Times New Roman" w:cs="Times New Roman"/>
          <w:iCs/>
          <w:color w:val="000000"/>
          <w:kern w:val="22"/>
          <w:sz w:val="22"/>
          <w:lang w:val="fr-FR" w:eastAsia="en-CA"/>
        </w:rPr>
        <w:t>qui se trouvent</w:t>
      </w:r>
      <w:r w:rsidR="00FB033A" w:rsidRPr="00651FB0">
        <w:rPr>
          <w:rFonts w:eastAsia="Times New Roman" w:cs="Times New Roman"/>
          <w:iCs/>
          <w:color w:val="000000"/>
          <w:kern w:val="22"/>
          <w:sz w:val="22"/>
          <w:lang w:val="fr-FR" w:eastAsia="en-CA"/>
        </w:rPr>
        <w:t xml:space="preserve"> </w:t>
      </w:r>
      <w:r w:rsidR="002A127F">
        <w:rPr>
          <w:rFonts w:eastAsia="Times New Roman" w:cs="Times New Roman"/>
          <w:iCs/>
          <w:color w:val="000000"/>
          <w:kern w:val="22"/>
          <w:sz w:val="22"/>
          <w:lang w:val="fr-FR" w:eastAsia="en-CA"/>
        </w:rPr>
        <w:t>dans des situations</w:t>
      </w:r>
      <w:r w:rsidR="00E3674F" w:rsidRPr="00651FB0">
        <w:rPr>
          <w:rFonts w:eastAsia="Times New Roman" w:cs="Times New Roman"/>
          <w:iCs/>
          <w:color w:val="000000"/>
          <w:kern w:val="22"/>
          <w:sz w:val="22"/>
          <w:lang w:val="fr-FR" w:eastAsia="en-CA"/>
        </w:rPr>
        <w:t xml:space="preserve"> transfrontières</w:t>
      </w:r>
      <w:r w:rsidR="007457FB" w:rsidRPr="00651FB0">
        <w:rPr>
          <w:rFonts w:eastAsia="Times New Roman" w:cs="Times New Roman"/>
          <w:iCs/>
          <w:color w:val="000000"/>
          <w:kern w:val="22"/>
          <w:sz w:val="22"/>
          <w:lang w:val="fr-FR" w:eastAsia="en-CA"/>
        </w:rPr>
        <w:t xml:space="preserve">, </w:t>
      </w:r>
      <w:r w:rsidR="00B43E38">
        <w:rPr>
          <w:rFonts w:eastAsia="Times New Roman" w:cs="Times New Roman"/>
          <w:iCs/>
          <w:color w:val="000000"/>
          <w:kern w:val="22"/>
          <w:sz w:val="22"/>
          <w:lang w:val="fr-FR" w:eastAsia="en-CA"/>
        </w:rPr>
        <w:t>y compris</w:t>
      </w:r>
      <w:r w:rsidR="007457FB" w:rsidRPr="00651FB0">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 xml:space="preserve">des </w:t>
      </w:r>
      <w:r w:rsidR="009D43F1">
        <w:rPr>
          <w:rFonts w:eastAsia="Times New Roman" w:cs="Times New Roman"/>
          <w:iCs/>
          <w:color w:val="000000"/>
          <w:kern w:val="22"/>
          <w:sz w:val="22"/>
          <w:lang w:val="fr-FR" w:eastAsia="en-CA"/>
        </w:rPr>
        <w:t>exemple</w:t>
      </w:r>
      <w:r>
        <w:rPr>
          <w:rFonts w:eastAsia="Times New Roman" w:cs="Times New Roman"/>
          <w:iCs/>
          <w:color w:val="000000"/>
          <w:kern w:val="22"/>
          <w:sz w:val="22"/>
          <w:lang w:val="fr-FR" w:eastAsia="en-CA"/>
        </w:rPr>
        <w:t>s d’</w:t>
      </w:r>
      <w:r w:rsidR="00651FB0" w:rsidRPr="00651FB0">
        <w:rPr>
          <w:rFonts w:eastAsia="Times New Roman" w:cs="Times New Roman"/>
          <w:iCs/>
          <w:color w:val="000000"/>
          <w:kern w:val="22"/>
          <w:sz w:val="22"/>
          <w:lang w:val="fr-FR" w:eastAsia="en-CA"/>
        </w:rPr>
        <w:t>écosystèmes</w:t>
      </w:r>
      <w:r>
        <w:rPr>
          <w:rFonts w:eastAsia="Times New Roman" w:cs="Times New Roman"/>
          <w:iCs/>
          <w:color w:val="000000"/>
          <w:kern w:val="22"/>
          <w:sz w:val="22"/>
          <w:lang w:val="fr-FR" w:eastAsia="en-CA"/>
        </w:rPr>
        <w:t xml:space="preserve"> et</w:t>
      </w:r>
      <w:r w:rsidR="00E3674F" w:rsidRPr="00651FB0">
        <w:rPr>
          <w:rFonts w:eastAsia="Times New Roman" w:cs="Times New Roman"/>
          <w:iCs/>
          <w:color w:val="000000"/>
          <w:kern w:val="22"/>
          <w:sz w:val="22"/>
          <w:lang w:val="fr-FR" w:eastAsia="en-CA"/>
        </w:rPr>
        <w:t xml:space="preserve"> </w:t>
      </w:r>
      <w:r w:rsidR="00DB08F9">
        <w:rPr>
          <w:rFonts w:eastAsia="Times New Roman" w:cs="Times New Roman"/>
          <w:iCs/>
          <w:color w:val="000000"/>
          <w:kern w:val="22"/>
          <w:sz w:val="22"/>
          <w:lang w:val="fr-FR" w:eastAsia="en-CA"/>
        </w:rPr>
        <w:t>d’</w:t>
      </w:r>
      <w:r w:rsidR="00DE459E" w:rsidRPr="00651FB0">
        <w:rPr>
          <w:rFonts w:eastAsia="Times New Roman" w:cs="Times New Roman"/>
          <w:iCs/>
          <w:color w:val="000000"/>
          <w:kern w:val="22"/>
          <w:sz w:val="22"/>
          <w:lang w:val="fr-FR" w:eastAsia="en-CA"/>
        </w:rPr>
        <w:t>habitat</w:t>
      </w:r>
      <w:r w:rsidR="007457FB" w:rsidRPr="00651FB0">
        <w:rPr>
          <w:rFonts w:eastAsia="Times New Roman" w:cs="Times New Roman"/>
          <w:iCs/>
          <w:color w:val="000000"/>
          <w:kern w:val="22"/>
          <w:sz w:val="22"/>
          <w:lang w:val="fr-FR" w:eastAsia="en-CA"/>
        </w:rPr>
        <w:t>s</w:t>
      </w:r>
      <w:r>
        <w:rPr>
          <w:rFonts w:eastAsia="Times New Roman" w:cs="Times New Roman"/>
          <w:iCs/>
          <w:color w:val="000000"/>
          <w:kern w:val="22"/>
          <w:sz w:val="22"/>
          <w:lang w:val="fr-FR" w:eastAsia="en-CA"/>
        </w:rPr>
        <w:t xml:space="preserve"> partagés</w:t>
      </w:r>
      <w:r w:rsidR="00DB08F9">
        <w:rPr>
          <w:rFonts w:eastAsia="Times New Roman" w:cs="Times New Roman"/>
          <w:iCs/>
          <w:color w:val="000000"/>
          <w:kern w:val="22"/>
          <w:sz w:val="22"/>
          <w:lang w:val="fr-FR" w:eastAsia="en-CA"/>
        </w:rPr>
        <w:t xml:space="preserve"> entre plusieurs pays</w:t>
      </w:r>
      <w:r w:rsidR="007457FB" w:rsidRPr="00651FB0">
        <w:rPr>
          <w:rFonts w:eastAsia="Times New Roman" w:cs="Times New Roman"/>
          <w:iCs/>
          <w:color w:val="000000"/>
          <w:kern w:val="22"/>
          <w:sz w:val="22"/>
          <w:lang w:val="fr-FR" w:eastAsia="en-CA"/>
        </w:rPr>
        <w:t>,</w:t>
      </w:r>
      <w:r>
        <w:rPr>
          <w:rFonts w:eastAsia="Times New Roman" w:cs="Times New Roman"/>
          <w:iCs/>
          <w:color w:val="000000"/>
          <w:kern w:val="22"/>
          <w:sz w:val="22"/>
          <w:lang w:val="fr-FR" w:eastAsia="en-CA"/>
        </w:rPr>
        <w:t xml:space="preserve"> </w:t>
      </w:r>
      <w:r w:rsidR="00DB08F9">
        <w:rPr>
          <w:rFonts w:eastAsia="Times New Roman" w:cs="Times New Roman"/>
          <w:iCs/>
          <w:color w:val="000000"/>
          <w:kern w:val="22"/>
          <w:sz w:val="22"/>
          <w:lang w:val="fr-FR" w:eastAsia="en-CA"/>
        </w:rPr>
        <w:t xml:space="preserve">mais aussi </w:t>
      </w:r>
      <w:r>
        <w:rPr>
          <w:rFonts w:eastAsia="Times New Roman" w:cs="Times New Roman"/>
          <w:iCs/>
          <w:color w:val="000000"/>
          <w:kern w:val="22"/>
          <w:sz w:val="22"/>
          <w:lang w:val="fr-FR" w:eastAsia="en-CA"/>
        </w:rPr>
        <w:t>d’</w:t>
      </w:r>
      <w:r w:rsidR="00651FB0">
        <w:rPr>
          <w:rFonts w:eastAsia="Times New Roman" w:cs="Times New Roman"/>
          <w:iCs/>
          <w:color w:val="000000"/>
          <w:kern w:val="22"/>
          <w:sz w:val="22"/>
          <w:lang w:val="fr-FR" w:eastAsia="en-CA"/>
        </w:rPr>
        <w:t>espèces migratrices</w:t>
      </w:r>
      <w:r w:rsidR="00E3674F" w:rsidRPr="00651FB0">
        <w:rPr>
          <w:rFonts w:eastAsia="Times New Roman" w:cs="Times New Roman"/>
          <w:iCs/>
          <w:color w:val="000000"/>
          <w:kern w:val="22"/>
          <w:sz w:val="22"/>
          <w:lang w:val="fr-FR" w:eastAsia="en-CA"/>
        </w:rPr>
        <w:t xml:space="preserve"> et</w:t>
      </w:r>
      <w:r>
        <w:rPr>
          <w:rFonts w:eastAsia="Times New Roman" w:cs="Times New Roman"/>
          <w:iCs/>
          <w:color w:val="000000"/>
          <w:kern w:val="22"/>
          <w:sz w:val="22"/>
          <w:lang w:val="fr-FR" w:eastAsia="en-CA"/>
        </w:rPr>
        <w:t xml:space="preserve"> de</w:t>
      </w:r>
      <w:r w:rsidR="00E3674F" w:rsidRPr="00651FB0">
        <w:rPr>
          <w:rFonts w:eastAsia="Times New Roman" w:cs="Times New Roman"/>
          <w:iCs/>
          <w:color w:val="000000"/>
          <w:kern w:val="22"/>
          <w:sz w:val="22"/>
          <w:lang w:val="fr-FR" w:eastAsia="en-CA"/>
        </w:rPr>
        <w:t xml:space="preserve"> </w:t>
      </w:r>
      <w:r w:rsidR="00651FB0">
        <w:rPr>
          <w:rFonts w:eastAsia="Times New Roman" w:cs="Times New Roman"/>
          <w:iCs/>
          <w:color w:val="000000"/>
          <w:kern w:val="22"/>
          <w:sz w:val="22"/>
          <w:lang w:val="fr-FR" w:eastAsia="en-CA"/>
        </w:rPr>
        <w:t>zones situées au-delà des limites de la juridiction nationale</w:t>
      </w:r>
      <w:r w:rsidR="00C6430B" w:rsidRPr="00651FB0">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La p</w:t>
      </w:r>
      <w:r w:rsidR="00F27467">
        <w:rPr>
          <w:rFonts w:eastAsia="Times New Roman" w:cs="Times New Roman"/>
          <w:iCs/>
          <w:color w:val="000000"/>
          <w:kern w:val="22"/>
          <w:sz w:val="22"/>
          <w:lang w:val="fr-FR" w:eastAsia="en-CA"/>
        </w:rPr>
        <w:t>artie</w:t>
      </w:r>
      <w:r>
        <w:rPr>
          <w:rFonts w:eastAsia="Times New Roman" w:cs="Times New Roman"/>
          <w:iCs/>
          <w:color w:val="000000"/>
          <w:kern w:val="22"/>
          <w:sz w:val="22"/>
          <w:lang w:val="fr-FR" w:eastAsia="en-CA"/>
        </w:rPr>
        <w:t xml:space="preserve"> 3 présente</w:t>
      </w:r>
      <w:r w:rsidR="007457FB" w:rsidRPr="00FB033A">
        <w:rPr>
          <w:rFonts w:eastAsia="Times New Roman" w:cs="Times New Roman"/>
          <w:iCs/>
          <w:color w:val="000000"/>
          <w:kern w:val="22"/>
          <w:sz w:val="22"/>
          <w:lang w:val="fr-FR" w:eastAsia="en-CA"/>
        </w:rPr>
        <w:t xml:space="preserve"> </w:t>
      </w:r>
      <w:r w:rsidR="00E3674F" w:rsidRPr="00FB033A">
        <w:rPr>
          <w:rFonts w:eastAsia="Times New Roman" w:cs="Times New Roman"/>
          <w:iCs/>
          <w:color w:val="000000"/>
          <w:kern w:val="22"/>
          <w:sz w:val="22"/>
          <w:lang w:val="fr-FR" w:eastAsia="en-CA"/>
        </w:rPr>
        <w:t>des cas spécifiques</w:t>
      </w:r>
      <w:r w:rsidR="007457FB" w:rsidRPr="00FB033A">
        <w:rPr>
          <w:rFonts w:eastAsia="Times New Roman" w:cs="Times New Roman"/>
          <w:iCs/>
          <w:color w:val="000000"/>
          <w:kern w:val="22"/>
          <w:sz w:val="22"/>
          <w:lang w:val="fr-FR" w:eastAsia="en-CA"/>
        </w:rPr>
        <w:t xml:space="preserve"> </w:t>
      </w:r>
      <w:r w:rsidR="00D6232E">
        <w:rPr>
          <w:rFonts w:eastAsia="Times New Roman" w:cs="Times New Roman"/>
          <w:iCs/>
          <w:color w:val="000000"/>
          <w:kern w:val="22"/>
          <w:sz w:val="22"/>
          <w:lang w:val="fr-FR" w:eastAsia="en-CA"/>
        </w:rPr>
        <w:t>de ressources</w:t>
      </w:r>
      <w:r w:rsidR="00E3674F" w:rsidRPr="00FB033A">
        <w:rPr>
          <w:rFonts w:eastAsia="Times New Roman" w:cs="Times New Roman"/>
          <w:iCs/>
          <w:color w:val="000000"/>
          <w:kern w:val="22"/>
          <w:sz w:val="22"/>
          <w:lang w:val="fr-FR" w:eastAsia="en-CA"/>
        </w:rPr>
        <w:t xml:space="preserve"> génétiques</w:t>
      </w:r>
      <w:r w:rsidR="007457FB" w:rsidRPr="00FB033A">
        <w:rPr>
          <w:rFonts w:eastAsia="Times New Roman" w:cs="Times New Roman"/>
          <w:iCs/>
          <w:color w:val="000000"/>
          <w:kern w:val="22"/>
          <w:sz w:val="22"/>
          <w:lang w:val="fr-FR" w:eastAsia="en-CA"/>
        </w:rPr>
        <w:t xml:space="preserve"> </w:t>
      </w:r>
      <w:r w:rsidR="0020703A">
        <w:rPr>
          <w:rFonts w:eastAsia="Times New Roman" w:cs="Times New Roman"/>
          <w:iCs/>
          <w:color w:val="000000"/>
          <w:kern w:val="22"/>
          <w:sz w:val="22"/>
          <w:lang w:val="fr-FR" w:eastAsia="en-CA"/>
        </w:rPr>
        <w:t xml:space="preserve">pour lesquels </w:t>
      </w:r>
      <w:r w:rsidR="007D7761">
        <w:rPr>
          <w:rFonts w:eastAsia="Times New Roman" w:cs="Times New Roman"/>
          <w:iCs/>
          <w:color w:val="000000"/>
          <w:kern w:val="22"/>
          <w:sz w:val="22"/>
          <w:lang w:val="fr-FR" w:eastAsia="en-CA"/>
        </w:rPr>
        <w:t>il n’est pas possible</w:t>
      </w:r>
      <w:r w:rsidR="007457FB" w:rsidRPr="00FB033A">
        <w:rPr>
          <w:rFonts w:eastAsia="Times New Roman" w:cs="Times New Roman"/>
          <w:iCs/>
          <w:color w:val="000000"/>
          <w:kern w:val="22"/>
          <w:sz w:val="22"/>
          <w:lang w:val="fr-FR" w:eastAsia="en-CA"/>
        </w:rPr>
        <w:t xml:space="preserve"> </w:t>
      </w:r>
      <w:r w:rsidR="00FB033A" w:rsidRPr="00FB033A">
        <w:rPr>
          <w:rFonts w:eastAsia="Times New Roman" w:cs="Times New Roman"/>
          <w:iCs/>
          <w:color w:val="000000"/>
          <w:kern w:val="22"/>
          <w:sz w:val="22"/>
          <w:lang w:val="fr-FR" w:eastAsia="en-CA"/>
        </w:rPr>
        <w:t>d’accorder ou d’obtenir un</w:t>
      </w:r>
      <w:r w:rsidR="007457FB" w:rsidRPr="00FB033A">
        <w:rPr>
          <w:rFonts w:eastAsia="Times New Roman" w:cs="Times New Roman"/>
          <w:iCs/>
          <w:color w:val="000000"/>
          <w:kern w:val="22"/>
          <w:sz w:val="22"/>
          <w:lang w:val="fr-FR" w:eastAsia="en-CA"/>
        </w:rPr>
        <w:t xml:space="preserve"> </w:t>
      </w:r>
      <w:r w:rsidR="007D7761">
        <w:rPr>
          <w:rFonts w:eastAsia="Times New Roman" w:cs="Times New Roman"/>
          <w:iCs/>
          <w:color w:val="000000"/>
          <w:kern w:val="22"/>
          <w:sz w:val="22"/>
          <w:lang w:val="fr-FR" w:eastAsia="en-CA"/>
        </w:rPr>
        <w:t>consentement préalable donné en connaissance de cause</w:t>
      </w:r>
      <w:r w:rsidR="00C67F61" w:rsidRPr="00FB033A">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Ceci</w:t>
      </w:r>
      <w:r w:rsidR="00C67F61" w:rsidRPr="003F6B4A">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inclut des</w:t>
      </w:r>
      <w:r w:rsidR="007457FB" w:rsidRPr="003F6B4A">
        <w:rPr>
          <w:rFonts w:eastAsia="Times New Roman" w:cs="Times New Roman"/>
          <w:iCs/>
          <w:color w:val="000000"/>
          <w:kern w:val="22"/>
          <w:sz w:val="22"/>
          <w:lang w:val="fr-FR" w:eastAsia="en-CA"/>
        </w:rPr>
        <w:t xml:space="preserve"> </w:t>
      </w:r>
      <w:r w:rsidR="009D43F1">
        <w:rPr>
          <w:rFonts w:eastAsia="Times New Roman" w:cs="Times New Roman"/>
          <w:iCs/>
          <w:color w:val="000000"/>
          <w:kern w:val="22"/>
          <w:sz w:val="22"/>
          <w:lang w:val="fr-FR" w:eastAsia="en-CA"/>
        </w:rPr>
        <w:t>exemple</w:t>
      </w:r>
      <w:r w:rsidR="007457FB" w:rsidRPr="003F6B4A">
        <w:rPr>
          <w:rFonts w:eastAsia="Times New Roman" w:cs="Times New Roman"/>
          <w:iCs/>
          <w:color w:val="000000"/>
          <w:kern w:val="22"/>
          <w:sz w:val="22"/>
          <w:lang w:val="fr-FR" w:eastAsia="en-CA"/>
        </w:rPr>
        <w:t xml:space="preserve">s </w:t>
      </w:r>
      <w:r w:rsidR="00D6232E" w:rsidRPr="003F6B4A">
        <w:rPr>
          <w:rFonts w:eastAsia="Times New Roman" w:cs="Times New Roman"/>
          <w:iCs/>
          <w:color w:val="000000"/>
          <w:kern w:val="22"/>
          <w:sz w:val="22"/>
          <w:lang w:val="fr-FR" w:eastAsia="en-CA"/>
        </w:rPr>
        <w:t>de ressources</w:t>
      </w:r>
      <w:r w:rsidR="00E3674F" w:rsidRPr="003F6B4A">
        <w:rPr>
          <w:rFonts w:eastAsia="Times New Roman" w:cs="Times New Roman"/>
          <w:iCs/>
          <w:color w:val="000000"/>
          <w:kern w:val="22"/>
          <w:sz w:val="22"/>
          <w:lang w:val="fr-FR" w:eastAsia="en-CA"/>
        </w:rPr>
        <w:t xml:space="preserve"> génétiques</w:t>
      </w:r>
      <w:r w:rsidR="00C6430B" w:rsidRPr="003F6B4A">
        <w:rPr>
          <w:rFonts w:eastAsia="Times New Roman" w:cs="Times New Roman"/>
          <w:iCs/>
          <w:color w:val="000000"/>
          <w:kern w:val="22"/>
          <w:sz w:val="22"/>
          <w:lang w:val="fr-FR" w:eastAsia="en-CA"/>
        </w:rPr>
        <w:t xml:space="preserve"> </w:t>
      </w:r>
      <w:r w:rsidR="008D43E2">
        <w:rPr>
          <w:rFonts w:eastAsia="Times New Roman" w:cs="Times New Roman"/>
          <w:iCs/>
          <w:color w:val="000000"/>
          <w:kern w:val="22"/>
          <w:sz w:val="22"/>
          <w:lang w:val="fr-FR" w:eastAsia="en-CA"/>
        </w:rPr>
        <w:t xml:space="preserve">dont on ne peut </w:t>
      </w:r>
      <w:r w:rsidR="00DB08F9">
        <w:rPr>
          <w:rFonts w:eastAsia="Times New Roman" w:cs="Times New Roman"/>
          <w:iCs/>
          <w:color w:val="000000"/>
          <w:kern w:val="22"/>
          <w:sz w:val="22"/>
          <w:lang w:val="fr-FR" w:eastAsia="en-CA"/>
        </w:rPr>
        <w:t>déterminer la provenance</w:t>
      </w:r>
      <w:r w:rsidR="00C6430B" w:rsidRPr="003F6B4A">
        <w:rPr>
          <w:rFonts w:eastAsia="Times New Roman" w:cs="Times New Roman"/>
          <w:iCs/>
          <w:color w:val="000000"/>
          <w:kern w:val="22"/>
          <w:sz w:val="22"/>
          <w:lang w:val="fr-FR" w:eastAsia="en-CA"/>
        </w:rPr>
        <w:t xml:space="preserve"> </w:t>
      </w:r>
      <w:r w:rsidR="007A438A">
        <w:rPr>
          <w:rFonts w:eastAsia="Times New Roman" w:cs="Times New Roman"/>
          <w:iCs/>
          <w:color w:val="000000"/>
          <w:kern w:val="22"/>
          <w:sz w:val="22"/>
          <w:lang w:val="fr-FR" w:eastAsia="en-CA"/>
        </w:rPr>
        <w:t>dans des collections</w:t>
      </w:r>
      <w:r w:rsidR="00FC7EA5" w:rsidRPr="003F6B4A">
        <w:rPr>
          <w:rFonts w:eastAsia="Times New Roman" w:cs="Times New Roman"/>
          <w:i/>
          <w:iCs/>
          <w:color w:val="000000"/>
          <w:kern w:val="22"/>
          <w:sz w:val="22"/>
          <w:lang w:val="fr-FR" w:eastAsia="en-CA"/>
        </w:rPr>
        <w:t xml:space="preserve"> ex situ</w:t>
      </w:r>
      <w:r w:rsidR="00C6430B" w:rsidRPr="003F6B4A">
        <w:rPr>
          <w:rFonts w:eastAsia="Times New Roman" w:cs="Times New Roman"/>
          <w:iCs/>
          <w:color w:val="000000"/>
          <w:kern w:val="22"/>
          <w:sz w:val="22"/>
          <w:lang w:val="fr-FR" w:eastAsia="en-CA"/>
        </w:rPr>
        <w:t xml:space="preserve">, </w:t>
      </w:r>
      <w:r w:rsidR="00DB08F9">
        <w:rPr>
          <w:rFonts w:eastAsia="Times New Roman" w:cs="Times New Roman"/>
          <w:iCs/>
          <w:color w:val="000000"/>
          <w:kern w:val="22"/>
          <w:sz w:val="22"/>
          <w:lang w:val="fr-FR" w:eastAsia="en-CA"/>
        </w:rPr>
        <w:t xml:space="preserve">ainsi que </w:t>
      </w:r>
      <w:r>
        <w:rPr>
          <w:rFonts w:eastAsia="Times New Roman" w:cs="Times New Roman"/>
          <w:iCs/>
          <w:color w:val="000000"/>
          <w:kern w:val="22"/>
          <w:sz w:val="22"/>
          <w:lang w:val="fr-FR" w:eastAsia="en-CA"/>
        </w:rPr>
        <w:t>l’</w:t>
      </w:r>
      <w:r w:rsidR="008627A9" w:rsidRPr="003F6B4A">
        <w:rPr>
          <w:rFonts w:eastAsia="Times New Roman" w:cs="Times New Roman"/>
          <w:iCs/>
          <w:color w:val="000000"/>
          <w:kern w:val="22"/>
          <w:sz w:val="22"/>
          <w:lang w:val="fr-FR" w:eastAsia="en-CA"/>
        </w:rPr>
        <w:t>utilisation</w:t>
      </w:r>
      <w:r>
        <w:rPr>
          <w:rFonts w:eastAsia="Times New Roman" w:cs="Times New Roman"/>
          <w:iCs/>
          <w:color w:val="000000"/>
          <w:kern w:val="22"/>
          <w:sz w:val="22"/>
          <w:lang w:val="fr-FR" w:eastAsia="en-CA"/>
        </w:rPr>
        <w:t xml:space="preserve"> d’</w:t>
      </w:r>
      <w:r w:rsidR="00E40444" w:rsidRPr="003F6B4A">
        <w:rPr>
          <w:rFonts w:eastAsia="Times New Roman" w:cs="Times New Roman"/>
          <w:iCs/>
          <w:color w:val="000000"/>
          <w:kern w:val="22"/>
          <w:sz w:val="22"/>
          <w:lang w:val="fr-FR" w:eastAsia="en-CA"/>
        </w:rPr>
        <w:t>échantillons</w:t>
      </w:r>
      <w:r w:rsidR="00C6430B" w:rsidRPr="003F6B4A">
        <w:rPr>
          <w:rFonts w:eastAsia="Times New Roman" w:cs="Times New Roman"/>
          <w:iCs/>
          <w:color w:val="000000"/>
          <w:kern w:val="22"/>
          <w:sz w:val="22"/>
          <w:lang w:val="fr-FR" w:eastAsia="en-CA"/>
        </w:rPr>
        <w:t xml:space="preserve"> </w:t>
      </w:r>
      <w:r w:rsidR="00DB08F9">
        <w:rPr>
          <w:rFonts w:eastAsia="Times New Roman" w:cs="Times New Roman"/>
          <w:iCs/>
          <w:color w:val="000000"/>
          <w:kern w:val="22"/>
          <w:sz w:val="22"/>
          <w:lang w:val="fr-FR" w:eastAsia="en-CA"/>
        </w:rPr>
        <w:t xml:space="preserve">de multiples </w:t>
      </w:r>
      <w:r w:rsidR="00D04EC6">
        <w:rPr>
          <w:rFonts w:eastAsia="Times New Roman" w:cs="Times New Roman"/>
          <w:iCs/>
          <w:color w:val="000000"/>
          <w:kern w:val="22"/>
          <w:sz w:val="22"/>
          <w:lang w:val="fr-FR" w:eastAsia="en-CA"/>
        </w:rPr>
        <w:t>organismes provenant de différentes zones géographiques</w:t>
      </w:r>
      <w:r w:rsidR="00C6430B" w:rsidRPr="003F6B4A">
        <w:rPr>
          <w:rFonts w:eastAsia="Times New Roman" w:cs="Times New Roman"/>
          <w:iCs/>
          <w:color w:val="000000"/>
          <w:kern w:val="22"/>
          <w:sz w:val="22"/>
          <w:lang w:val="fr-FR" w:eastAsia="en-CA"/>
        </w:rPr>
        <w:t>,</w:t>
      </w:r>
      <w:r w:rsidR="00E3674F" w:rsidRPr="003F6B4A">
        <w:rPr>
          <w:rFonts w:eastAsia="Times New Roman" w:cs="Times New Roman"/>
          <w:iCs/>
          <w:color w:val="000000"/>
          <w:kern w:val="22"/>
          <w:sz w:val="22"/>
          <w:lang w:val="fr-FR" w:eastAsia="en-CA"/>
        </w:rPr>
        <w:t xml:space="preserve"> et </w:t>
      </w:r>
      <w:r>
        <w:rPr>
          <w:rFonts w:eastAsia="Times New Roman" w:cs="Times New Roman"/>
          <w:iCs/>
          <w:color w:val="000000"/>
          <w:kern w:val="22"/>
          <w:sz w:val="22"/>
          <w:lang w:val="fr-FR" w:eastAsia="en-CA"/>
        </w:rPr>
        <w:t xml:space="preserve">des données de séquence génomique et/ou </w:t>
      </w:r>
      <w:r w:rsidR="00516613">
        <w:rPr>
          <w:rFonts w:eastAsia="Times New Roman" w:cs="Times New Roman"/>
          <w:iCs/>
          <w:color w:val="000000"/>
          <w:kern w:val="22"/>
          <w:sz w:val="22"/>
          <w:lang w:val="fr-FR" w:eastAsia="en-CA"/>
        </w:rPr>
        <w:t>informations de séquençage</w:t>
      </w:r>
      <w:r w:rsidR="00142D5A">
        <w:rPr>
          <w:rFonts w:eastAsia="Times New Roman" w:cs="Times New Roman"/>
          <w:iCs/>
          <w:color w:val="000000"/>
          <w:kern w:val="22"/>
          <w:sz w:val="22"/>
          <w:lang w:val="fr-FR" w:eastAsia="en-CA"/>
        </w:rPr>
        <w:t xml:space="preserve"> numérique</w:t>
      </w:r>
      <w:r w:rsidR="00BE3909" w:rsidRPr="003F6B4A">
        <w:rPr>
          <w:rFonts w:eastAsia="Times New Roman" w:cs="Times New Roman"/>
          <w:iCs/>
          <w:color w:val="000000"/>
          <w:kern w:val="22"/>
          <w:sz w:val="22"/>
          <w:lang w:val="fr-FR" w:eastAsia="en-CA"/>
        </w:rPr>
        <w:t xml:space="preserve"> </w:t>
      </w:r>
      <w:r w:rsidR="003F6B4A" w:rsidRPr="003F6B4A">
        <w:rPr>
          <w:rFonts w:eastAsia="Times New Roman" w:cs="Times New Roman"/>
          <w:iCs/>
          <w:color w:val="000000"/>
          <w:kern w:val="22"/>
          <w:sz w:val="22"/>
          <w:lang w:val="fr-FR" w:eastAsia="en-CA"/>
        </w:rPr>
        <w:t>pour lesquel</w:t>
      </w:r>
      <w:r>
        <w:rPr>
          <w:rFonts w:eastAsia="Times New Roman" w:cs="Times New Roman"/>
          <w:iCs/>
          <w:color w:val="000000"/>
          <w:kern w:val="22"/>
          <w:sz w:val="22"/>
          <w:lang w:val="fr-FR" w:eastAsia="en-CA"/>
        </w:rPr>
        <w:t>le</w:t>
      </w:r>
      <w:r w:rsidR="003F6B4A" w:rsidRPr="003F6B4A">
        <w:rPr>
          <w:rFonts w:eastAsia="Times New Roman" w:cs="Times New Roman"/>
          <w:iCs/>
          <w:color w:val="000000"/>
          <w:kern w:val="22"/>
          <w:sz w:val="22"/>
          <w:lang w:val="fr-FR" w:eastAsia="en-CA"/>
        </w:rPr>
        <w:t>s aucun accès physique n’est nécessaire</w:t>
      </w:r>
      <w:r w:rsidR="007457FB" w:rsidRPr="003F6B4A">
        <w:rPr>
          <w:rFonts w:eastAsia="Times New Roman" w:cs="Times New Roman"/>
          <w:iCs/>
          <w:color w:val="000000"/>
          <w:kern w:val="22"/>
          <w:sz w:val="22"/>
          <w:lang w:val="fr-FR" w:eastAsia="en-CA"/>
        </w:rPr>
        <w:t xml:space="preserve"> </w:t>
      </w:r>
      <w:r w:rsidR="00DB08F9">
        <w:rPr>
          <w:rFonts w:eastAsia="Times New Roman" w:cs="Times New Roman"/>
          <w:iCs/>
          <w:color w:val="000000"/>
          <w:kern w:val="22"/>
          <w:sz w:val="22"/>
          <w:lang w:val="fr-FR" w:eastAsia="en-CA"/>
        </w:rPr>
        <w:t>pour en extraire</w:t>
      </w:r>
      <w:r w:rsidR="00AA5919">
        <w:rPr>
          <w:rFonts w:eastAsia="Times New Roman" w:cs="Times New Roman"/>
          <w:iCs/>
          <w:color w:val="000000"/>
          <w:kern w:val="22"/>
          <w:sz w:val="22"/>
          <w:lang w:val="fr-FR" w:eastAsia="en-CA"/>
        </w:rPr>
        <w:t xml:space="preserve"> </w:t>
      </w:r>
      <w:r w:rsidR="00A73B5B" w:rsidRPr="003F6B4A">
        <w:rPr>
          <w:rFonts w:eastAsia="Times New Roman" w:cs="Times New Roman"/>
          <w:iCs/>
          <w:color w:val="000000"/>
          <w:kern w:val="22"/>
          <w:sz w:val="22"/>
          <w:lang w:val="fr-FR" w:eastAsia="en-CA"/>
        </w:rPr>
        <w:t>l’information génétique</w:t>
      </w:r>
      <w:r w:rsidR="00BE3909" w:rsidRPr="003F6B4A">
        <w:rPr>
          <w:rFonts w:eastAsia="Times New Roman" w:cs="Times New Roman"/>
          <w:iCs/>
          <w:color w:val="000000"/>
          <w:kern w:val="22"/>
          <w:sz w:val="22"/>
          <w:lang w:val="fr-FR" w:eastAsia="en-CA"/>
        </w:rPr>
        <w:t>,</w:t>
      </w:r>
      <w:r w:rsidR="00E3674F" w:rsidRPr="003F6B4A">
        <w:rPr>
          <w:rFonts w:eastAsia="Times New Roman" w:cs="Times New Roman"/>
          <w:iCs/>
          <w:color w:val="000000"/>
          <w:kern w:val="22"/>
          <w:sz w:val="22"/>
          <w:lang w:val="fr-FR" w:eastAsia="en-CA"/>
        </w:rPr>
        <w:t xml:space="preserve"> et</w:t>
      </w:r>
      <w:r>
        <w:rPr>
          <w:rFonts w:eastAsia="Times New Roman" w:cs="Times New Roman"/>
          <w:iCs/>
          <w:color w:val="000000"/>
          <w:kern w:val="22"/>
          <w:sz w:val="22"/>
          <w:lang w:val="fr-FR" w:eastAsia="en-CA"/>
        </w:rPr>
        <w:t xml:space="preserve"> </w:t>
      </w:r>
      <w:r w:rsidR="00DB08F9">
        <w:rPr>
          <w:rFonts w:eastAsia="Times New Roman" w:cs="Times New Roman"/>
          <w:iCs/>
          <w:color w:val="000000"/>
          <w:kern w:val="22"/>
          <w:sz w:val="22"/>
          <w:lang w:val="fr-FR" w:eastAsia="en-CA"/>
        </w:rPr>
        <w:t>qui incluent</w:t>
      </w:r>
      <w:r>
        <w:rPr>
          <w:rFonts w:eastAsia="Times New Roman" w:cs="Times New Roman"/>
          <w:iCs/>
          <w:color w:val="000000"/>
          <w:kern w:val="22"/>
          <w:sz w:val="22"/>
          <w:lang w:val="fr-FR" w:eastAsia="en-CA"/>
        </w:rPr>
        <w:t xml:space="preserve"> l’</w:t>
      </w:r>
      <w:r w:rsidR="008627A9" w:rsidRPr="003F6B4A">
        <w:rPr>
          <w:rFonts w:eastAsia="Times New Roman" w:cs="Times New Roman"/>
          <w:iCs/>
          <w:color w:val="000000"/>
          <w:kern w:val="22"/>
          <w:sz w:val="22"/>
          <w:lang w:val="fr-FR" w:eastAsia="en-CA"/>
        </w:rPr>
        <w:t>utilisation</w:t>
      </w:r>
      <w:r>
        <w:rPr>
          <w:rFonts w:eastAsia="Times New Roman" w:cs="Times New Roman"/>
          <w:iCs/>
          <w:color w:val="000000"/>
          <w:kern w:val="22"/>
          <w:sz w:val="22"/>
          <w:lang w:val="fr-FR" w:eastAsia="en-CA"/>
        </w:rPr>
        <w:t xml:space="preserve"> de</w:t>
      </w:r>
      <w:r w:rsidR="007457FB" w:rsidRPr="003F6B4A">
        <w:rPr>
          <w:rFonts w:eastAsia="Times New Roman" w:cs="Times New Roman"/>
          <w:iCs/>
          <w:color w:val="000000"/>
          <w:kern w:val="22"/>
          <w:sz w:val="22"/>
          <w:lang w:val="fr-FR" w:eastAsia="en-CA"/>
        </w:rPr>
        <w:t xml:space="preserve"> </w:t>
      </w:r>
      <w:r w:rsidR="00DB08F9">
        <w:rPr>
          <w:rFonts w:eastAsia="Times New Roman" w:cs="Times New Roman"/>
          <w:iCs/>
          <w:color w:val="000000"/>
          <w:kern w:val="22"/>
          <w:sz w:val="22"/>
          <w:lang w:val="fr-FR" w:eastAsia="en-CA"/>
        </w:rPr>
        <w:t>composé</w:t>
      </w:r>
      <w:r w:rsidR="0072393B">
        <w:rPr>
          <w:rFonts w:eastAsia="Times New Roman" w:cs="Times New Roman"/>
          <w:iCs/>
          <w:color w:val="000000"/>
          <w:kern w:val="22"/>
          <w:sz w:val="22"/>
          <w:lang w:val="fr-FR" w:eastAsia="en-CA"/>
        </w:rPr>
        <w:t>s génétiques</w:t>
      </w:r>
      <w:r w:rsidR="007457FB" w:rsidRPr="003F6B4A">
        <w:rPr>
          <w:rFonts w:eastAsia="Times New Roman" w:cs="Times New Roman"/>
          <w:iCs/>
          <w:color w:val="000000"/>
          <w:kern w:val="22"/>
          <w:sz w:val="22"/>
          <w:lang w:val="fr-FR" w:eastAsia="en-CA"/>
        </w:rPr>
        <w:t xml:space="preserve"> </w:t>
      </w:r>
      <w:r w:rsidR="00DB08F9">
        <w:rPr>
          <w:rFonts w:eastAsia="Times New Roman" w:cs="Times New Roman"/>
          <w:iCs/>
          <w:color w:val="000000"/>
          <w:kern w:val="22"/>
          <w:sz w:val="22"/>
          <w:lang w:val="fr-FR" w:eastAsia="en-CA"/>
        </w:rPr>
        <w:t>provenant de</w:t>
      </w:r>
      <w:r>
        <w:rPr>
          <w:rFonts w:eastAsia="Times New Roman" w:cs="Times New Roman"/>
          <w:iCs/>
          <w:color w:val="000000"/>
          <w:kern w:val="22"/>
          <w:sz w:val="22"/>
          <w:lang w:val="fr-FR" w:eastAsia="en-CA"/>
        </w:rPr>
        <w:t xml:space="preserve"> </w:t>
      </w:r>
      <w:r w:rsidR="0072393B">
        <w:rPr>
          <w:rFonts w:eastAsia="Times New Roman" w:cs="Times New Roman"/>
          <w:iCs/>
          <w:color w:val="000000"/>
          <w:kern w:val="22"/>
          <w:sz w:val="22"/>
          <w:lang w:val="fr-FR" w:eastAsia="en-CA"/>
        </w:rPr>
        <w:t>plusieurs organismes</w:t>
      </w:r>
      <w:r w:rsidR="007457FB" w:rsidRPr="003F6B4A">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Enfin</w:t>
      </w:r>
      <w:r w:rsidR="00A77E43" w:rsidRPr="00FB033A">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la p</w:t>
      </w:r>
      <w:r w:rsidR="00F27467">
        <w:rPr>
          <w:rFonts w:eastAsia="Times New Roman" w:cs="Times New Roman"/>
          <w:iCs/>
          <w:color w:val="000000"/>
          <w:kern w:val="22"/>
          <w:sz w:val="22"/>
          <w:lang w:val="fr-FR" w:eastAsia="en-CA"/>
        </w:rPr>
        <w:t>artie</w:t>
      </w:r>
      <w:r w:rsidR="00DB08F9">
        <w:rPr>
          <w:rFonts w:eastAsia="Times New Roman" w:cs="Times New Roman"/>
          <w:iCs/>
          <w:color w:val="000000"/>
          <w:kern w:val="22"/>
          <w:sz w:val="22"/>
          <w:lang w:val="fr-FR" w:eastAsia="en-CA"/>
        </w:rPr>
        <w:t xml:space="preserve"> 4 décrit</w:t>
      </w:r>
      <w:r w:rsidR="00A77E43" w:rsidRPr="00FB033A">
        <w:rPr>
          <w:rFonts w:eastAsia="Times New Roman" w:cs="Times New Roman"/>
          <w:iCs/>
          <w:color w:val="000000"/>
          <w:kern w:val="22"/>
          <w:sz w:val="22"/>
          <w:lang w:val="fr-FR" w:eastAsia="en-CA"/>
        </w:rPr>
        <w:t xml:space="preserve"> </w:t>
      </w:r>
      <w:r w:rsidR="00E3674F" w:rsidRPr="00FB033A">
        <w:rPr>
          <w:rFonts w:eastAsia="Times New Roman" w:cs="Times New Roman"/>
          <w:iCs/>
          <w:color w:val="000000"/>
          <w:kern w:val="22"/>
          <w:sz w:val="22"/>
          <w:lang w:val="fr-FR" w:eastAsia="en-CA"/>
        </w:rPr>
        <w:t xml:space="preserve">des cas </w:t>
      </w:r>
      <w:r w:rsidR="00E3674F" w:rsidRPr="00FB033A">
        <w:rPr>
          <w:rFonts w:eastAsia="Times New Roman" w:cs="Times New Roman"/>
          <w:iCs/>
          <w:color w:val="000000"/>
          <w:kern w:val="22"/>
          <w:sz w:val="22"/>
          <w:lang w:val="fr-FR" w:eastAsia="en-CA"/>
        </w:rPr>
        <w:lastRenderedPageBreak/>
        <w:t>spécifiques</w:t>
      </w:r>
      <w:r>
        <w:rPr>
          <w:rFonts w:eastAsia="Times New Roman" w:cs="Times New Roman"/>
          <w:iCs/>
          <w:color w:val="000000"/>
          <w:kern w:val="22"/>
          <w:sz w:val="22"/>
          <w:lang w:val="fr-FR" w:eastAsia="en-CA"/>
        </w:rPr>
        <w:t xml:space="preserve"> de</w:t>
      </w:r>
      <w:r w:rsidR="00A77E43" w:rsidRPr="00FB033A">
        <w:rPr>
          <w:rFonts w:eastAsia="Times New Roman" w:cs="Times New Roman"/>
          <w:iCs/>
          <w:color w:val="000000"/>
          <w:kern w:val="22"/>
          <w:sz w:val="22"/>
          <w:lang w:val="fr-FR" w:eastAsia="en-CA"/>
        </w:rPr>
        <w:t xml:space="preserve"> </w:t>
      </w:r>
      <w:r w:rsidR="00E3674F" w:rsidRPr="00FB033A">
        <w:rPr>
          <w:rFonts w:eastAsia="Times New Roman" w:cs="Times New Roman"/>
          <w:iCs/>
          <w:color w:val="000000"/>
          <w:kern w:val="22"/>
          <w:sz w:val="22"/>
          <w:lang w:val="fr-FR" w:eastAsia="en-CA"/>
        </w:rPr>
        <w:t>connaissances traditionnelles</w:t>
      </w:r>
      <w:r w:rsidR="00A77E43" w:rsidRPr="00FB033A">
        <w:rPr>
          <w:rFonts w:eastAsia="Times New Roman" w:cs="Times New Roman"/>
          <w:iCs/>
          <w:color w:val="000000"/>
          <w:kern w:val="22"/>
          <w:sz w:val="22"/>
          <w:lang w:val="fr-FR" w:eastAsia="en-CA"/>
        </w:rPr>
        <w:t xml:space="preserve"> </w:t>
      </w:r>
      <w:r w:rsidR="00E3674F" w:rsidRPr="00FB033A">
        <w:rPr>
          <w:rFonts w:eastAsia="Times New Roman" w:cs="Times New Roman"/>
          <w:iCs/>
          <w:color w:val="000000"/>
          <w:kern w:val="22"/>
          <w:sz w:val="22"/>
          <w:lang w:val="fr-FR" w:eastAsia="en-CA"/>
        </w:rPr>
        <w:t>associées aux</w:t>
      </w:r>
      <w:r w:rsidR="00283ACC" w:rsidRPr="00FB033A">
        <w:rPr>
          <w:rFonts w:eastAsia="Times New Roman" w:cs="Times New Roman"/>
          <w:iCs/>
          <w:color w:val="000000"/>
          <w:kern w:val="22"/>
          <w:sz w:val="22"/>
          <w:lang w:val="fr-FR" w:eastAsia="en-CA"/>
        </w:rPr>
        <w:t xml:space="preserve"> </w:t>
      </w:r>
      <w:r w:rsidR="00E3674F" w:rsidRPr="00FB033A">
        <w:rPr>
          <w:rFonts w:eastAsia="Times New Roman" w:cs="Times New Roman"/>
          <w:iCs/>
          <w:color w:val="000000"/>
          <w:kern w:val="22"/>
          <w:sz w:val="22"/>
          <w:lang w:val="fr-FR" w:eastAsia="en-CA"/>
        </w:rPr>
        <w:t>ressources génétiques</w:t>
      </w:r>
      <w:r w:rsidR="00283ACC" w:rsidRPr="00FB033A">
        <w:rPr>
          <w:rFonts w:eastAsia="Times New Roman" w:cs="Times New Roman"/>
          <w:iCs/>
          <w:color w:val="000000"/>
          <w:kern w:val="22"/>
          <w:sz w:val="22"/>
          <w:lang w:val="fr-FR" w:eastAsia="en-CA"/>
        </w:rPr>
        <w:t xml:space="preserve"> </w:t>
      </w:r>
      <w:r w:rsidR="00651FB0">
        <w:rPr>
          <w:rFonts w:eastAsia="Times New Roman" w:cs="Times New Roman"/>
          <w:iCs/>
          <w:color w:val="000000"/>
          <w:kern w:val="22"/>
          <w:sz w:val="22"/>
          <w:lang w:val="fr-FR" w:eastAsia="en-CA"/>
        </w:rPr>
        <w:t>qui se trouvent</w:t>
      </w:r>
      <w:r w:rsidR="00FB033A" w:rsidRPr="00FB033A">
        <w:rPr>
          <w:rFonts w:eastAsia="Times New Roman" w:cs="Times New Roman"/>
          <w:iCs/>
          <w:color w:val="000000"/>
          <w:kern w:val="22"/>
          <w:sz w:val="22"/>
          <w:lang w:val="fr-FR" w:eastAsia="en-CA"/>
        </w:rPr>
        <w:t xml:space="preserve"> </w:t>
      </w:r>
      <w:r w:rsidR="002A127F">
        <w:rPr>
          <w:rFonts w:eastAsia="Times New Roman" w:cs="Times New Roman"/>
          <w:iCs/>
          <w:color w:val="000000"/>
          <w:kern w:val="22"/>
          <w:sz w:val="22"/>
          <w:lang w:val="fr-FR" w:eastAsia="en-CA"/>
        </w:rPr>
        <w:t>dans des situations</w:t>
      </w:r>
      <w:r w:rsidR="00E3674F" w:rsidRPr="00FB033A">
        <w:rPr>
          <w:rFonts w:eastAsia="Times New Roman" w:cs="Times New Roman"/>
          <w:iCs/>
          <w:color w:val="000000"/>
          <w:kern w:val="22"/>
          <w:sz w:val="22"/>
          <w:lang w:val="fr-FR" w:eastAsia="en-CA"/>
        </w:rPr>
        <w:t xml:space="preserve"> transfrontières</w:t>
      </w:r>
      <w:r w:rsidR="00F60342" w:rsidRPr="00FB033A">
        <w:rPr>
          <w:rFonts w:eastAsia="Times New Roman" w:cs="Times New Roman"/>
          <w:iCs/>
          <w:color w:val="000000"/>
          <w:kern w:val="22"/>
          <w:sz w:val="22"/>
          <w:lang w:val="fr-FR" w:eastAsia="en-CA"/>
        </w:rPr>
        <w:t xml:space="preserve"> </w:t>
      </w:r>
      <w:r w:rsidR="00755B2D">
        <w:rPr>
          <w:rFonts w:eastAsia="Times New Roman" w:cs="Times New Roman"/>
          <w:iCs/>
          <w:color w:val="000000"/>
          <w:kern w:val="22"/>
          <w:sz w:val="22"/>
          <w:lang w:val="fr-FR" w:eastAsia="en-CA"/>
        </w:rPr>
        <w:t>ou pour lesquelles</w:t>
      </w:r>
      <w:r w:rsidR="0020703A">
        <w:rPr>
          <w:rFonts w:eastAsia="Times New Roman" w:cs="Times New Roman"/>
          <w:iCs/>
          <w:color w:val="000000"/>
          <w:kern w:val="22"/>
          <w:sz w:val="22"/>
          <w:lang w:val="fr-FR" w:eastAsia="en-CA"/>
        </w:rPr>
        <w:t xml:space="preserve"> </w:t>
      </w:r>
      <w:r w:rsidR="007D7761">
        <w:rPr>
          <w:rFonts w:eastAsia="Times New Roman" w:cs="Times New Roman"/>
          <w:iCs/>
          <w:color w:val="000000"/>
          <w:kern w:val="22"/>
          <w:sz w:val="22"/>
          <w:lang w:val="fr-FR" w:eastAsia="en-CA"/>
        </w:rPr>
        <w:t>il n’est pas possible</w:t>
      </w:r>
      <w:r w:rsidR="00A77E43" w:rsidRPr="00FB033A">
        <w:rPr>
          <w:rFonts w:eastAsia="Times New Roman" w:cs="Times New Roman"/>
          <w:iCs/>
          <w:color w:val="000000"/>
          <w:kern w:val="22"/>
          <w:sz w:val="22"/>
          <w:lang w:val="fr-FR" w:eastAsia="en-CA"/>
        </w:rPr>
        <w:t xml:space="preserve"> </w:t>
      </w:r>
      <w:r w:rsidR="00FB033A">
        <w:rPr>
          <w:rFonts w:eastAsia="Times New Roman" w:cs="Times New Roman"/>
          <w:iCs/>
          <w:color w:val="000000"/>
          <w:kern w:val="22"/>
          <w:sz w:val="22"/>
          <w:lang w:val="fr-FR" w:eastAsia="en-CA"/>
        </w:rPr>
        <w:t>d’accorder ou d’obtenir un</w:t>
      </w:r>
      <w:r w:rsidR="00A77E43" w:rsidRPr="00FB033A">
        <w:rPr>
          <w:rFonts w:eastAsia="Times New Roman" w:cs="Times New Roman"/>
          <w:iCs/>
          <w:color w:val="000000"/>
          <w:kern w:val="22"/>
          <w:sz w:val="22"/>
          <w:lang w:val="fr-FR" w:eastAsia="en-CA"/>
        </w:rPr>
        <w:t xml:space="preserve"> </w:t>
      </w:r>
      <w:r w:rsidR="007D7761">
        <w:rPr>
          <w:rFonts w:eastAsia="Times New Roman" w:cs="Times New Roman"/>
          <w:iCs/>
          <w:color w:val="000000"/>
          <w:kern w:val="22"/>
          <w:sz w:val="22"/>
          <w:lang w:val="fr-FR" w:eastAsia="en-CA"/>
        </w:rPr>
        <w:t>consentement préalable donné en connaissance de cause</w:t>
      </w:r>
      <w:r w:rsidR="00F60342" w:rsidRPr="00FB033A">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Ceci inclut</w:t>
      </w:r>
      <w:r w:rsidR="00F60342" w:rsidRPr="00FC7EA5">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 xml:space="preserve">des </w:t>
      </w:r>
      <w:r w:rsidR="00830BE4">
        <w:rPr>
          <w:rFonts w:eastAsia="Times New Roman" w:cs="Times New Roman"/>
          <w:iCs/>
          <w:color w:val="000000"/>
          <w:kern w:val="22"/>
          <w:sz w:val="22"/>
          <w:lang w:val="fr-FR" w:eastAsia="en-CA"/>
        </w:rPr>
        <w:t>connaissances traditionnelles connexes</w:t>
      </w:r>
      <w:r w:rsidR="00F60342" w:rsidRPr="00FC7EA5">
        <w:rPr>
          <w:rFonts w:eastAsia="Times New Roman" w:cs="Times New Roman"/>
          <w:iCs/>
          <w:color w:val="000000"/>
          <w:kern w:val="22"/>
          <w:sz w:val="22"/>
          <w:lang w:val="fr-FR" w:eastAsia="en-CA"/>
        </w:rPr>
        <w:t xml:space="preserve"> </w:t>
      </w:r>
      <w:r w:rsidR="003F6B4A">
        <w:rPr>
          <w:rFonts w:eastAsia="Times New Roman" w:cs="Times New Roman"/>
          <w:iCs/>
          <w:color w:val="000000"/>
          <w:kern w:val="22"/>
          <w:sz w:val="22"/>
          <w:lang w:val="fr-FR" w:eastAsia="en-CA"/>
        </w:rPr>
        <w:t>détenues par</w:t>
      </w:r>
      <w:r w:rsidR="00F60342" w:rsidRPr="00FC7EA5">
        <w:rPr>
          <w:rFonts w:eastAsia="Times New Roman" w:cs="Times New Roman"/>
          <w:iCs/>
          <w:color w:val="000000"/>
          <w:kern w:val="22"/>
          <w:sz w:val="22"/>
          <w:lang w:val="fr-FR" w:eastAsia="en-CA"/>
        </w:rPr>
        <w:t xml:space="preserve"> </w:t>
      </w:r>
      <w:r w:rsidR="00830BE4">
        <w:rPr>
          <w:rFonts w:eastAsia="Times New Roman" w:cs="Times New Roman"/>
          <w:iCs/>
          <w:color w:val="000000"/>
          <w:kern w:val="22"/>
          <w:sz w:val="22"/>
          <w:lang w:val="fr-FR" w:eastAsia="en-CA"/>
        </w:rPr>
        <w:t>des peuples autochtones et communautés locales</w:t>
      </w:r>
      <w:r w:rsidR="00F60342" w:rsidRPr="00FC7EA5">
        <w:rPr>
          <w:rFonts w:eastAsia="Times New Roman" w:cs="Times New Roman"/>
          <w:iCs/>
          <w:color w:val="000000"/>
          <w:kern w:val="22"/>
          <w:sz w:val="22"/>
          <w:lang w:val="fr-FR" w:eastAsia="en-CA"/>
        </w:rPr>
        <w:t xml:space="preserve"> </w:t>
      </w:r>
      <w:r w:rsidR="00DB08F9">
        <w:rPr>
          <w:rFonts w:eastAsia="Times New Roman" w:cs="Times New Roman"/>
          <w:iCs/>
          <w:color w:val="000000"/>
          <w:kern w:val="22"/>
          <w:sz w:val="22"/>
          <w:lang w:val="fr-FR" w:eastAsia="en-CA"/>
        </w:rPr>
        <w:t>situés dans plusieurs juridictions nationales</w:t>
      </w:r>
      <w:r w:rsidR="00A77E43" w:rsidRPr="00FC7EA5">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d</w:t>
      </w:r>
      <w:r w:rsidR="00367430">
        <w:rPr>
          <w:rFonts w:eastAsia="Times New Roman" w:cs="Times New Roman"/>
          <w:iCs/>
          <w:color w:val="000000"/>
          <w:kern w:val="22"/>
          <w:sz w:val="22"/>
          <w:lang w:val="fr-FR" w:eastAsia="en-CA"/>
        </w:rPr>
        <w:t xml:space="preserve">es connaissances traditionnelles </w:t>
      </w:r>
      <w:r>
        <w:rPr>
          <w:rFonts w:eastAsia="Times New Roman" w:cs="Times New Roman"/>
          <w:iCs/>
          <w:color w:val="000000"/>
          <w:kern w:val="22"/>
          <w:sz w:val="22"/>
          <w:lang w:val="fr-FR" w:eastAsia="en-CA"/>
        </w:rPr>
        <w:t xml:space="preserve">connexes </w:t>
      </w:r>
      <w:r w:rsidR="00367430">
        <w:rPr>
          <w:rFonts w:eastAsia="Times New Roman" w:cs="Times New Roman"/>
          <w:iCs/>
          <w:color w:val="000000"/>
          <w:kern w:val="22"/>
          <w:sz w:val="22"/>
          <w:lang w:val="fr-FR" w:eastAsia="en-CA"/>
        </w:rPr>
        <w:t>accessibles au public</w:t>
      </w:r>
      <w:r w:rsidR="00711BD3" w:rsidRPr="00FC7EA5">
        <w:rPr>
          <w:rFonts w:eastAsia="Times New Roman" w:cs="Times New Roman"/>
          <w:iCs/>
          <w:color w:val="000000"/>
          <w:kern w:val="22"/>
          <w:sz w:val="22"/>
          <w:lang w:val="fr-FR" w:eastAsia="en-CA"/>
        </w:rPr>
        <w:t>,</w:t>
      </w:r>
      <w:r w:rsidR="00E3674F" w:rsidRPr="00FC7EA5">
        <w:rPr>
          <w:rFonts w:eastAsia="Times New Roman" w:cs="Times New Roman"/>
          <w:iCs/>
          <w:color w:val="000000"/>
          <w:kern w:val="22"/>
          <w:sz w:val="22"/>
          <w:lang w:val="fr-FR" w:eastAsia="en-CA"/>
        </w:rPr>
        <w:t xml:space="preserve"> et </w:t>
      </w:r>
      <w:r>
        <w:rPr>
          <w:rFonts w:eastAsia="Times New Roman" w:cs="Times New Roman"/>
          <w:iCs/>
          <w:color w:val="000000"/>
          <w:kern w:val="22"/>
          <w:sz w:val="22"/>
          <w:lang w:val="fr-FR" w:eastAsia="en-CA"/>
        </w:rPr>
        <w:t xml:space="preserve">des </w:t>
      </w:r>
      <w:r w:rsidR="00830BE4">
        <w:rPr>
          <w:rFonts w:eastAsia="Times New Roman" w:cs="Times New Roman"/>
          <w:iCs/>
          <w:color w:val="000000"/>
          <w:kern w:val="22"/>
          <w:sz w:val="22"/>
          <w:lang w:val="fr-FR" w:eastAsia="en-CA"/>
        </w:rPr>
        <w:t>connaissances traditionnelles connexes</w:t>
      </w:r>
      <w:r w:rsidR="00F03336" w:rsidRPr="00FC7EA5">
        <w:rPr>
          <w:rFonts w:eastAsia="Times New Roman" w:cs="Times New Roman"/>
          <w:iCs/>
          <w:color w:val="000000"/>
          <w:kern w:val="22"/>
          <w:sz w:val="22"/>
          <w:lang w:val="fr-FR" w:eastAsia="en-CA"/>
        </w:rPr>
        <w:t xml:space="preserve"> </w:t>
      </w:r>
      <w:r w:rsidR="00E411BF">
        <w:rPr>
          <w:rFonts w:eastAsia="Times New Roman" w:cs="Times New Roman"/>
          <w:iCs/>
          <w:color w:val="000000"/>
          <w:kern w:val="22"/>
          <w:sz w:val="22"/>
          <w:lang w:val="fr-FR" w:eastAsia="en-CA"/>
        </w:rPr>
        <w:t>dont on ne peut déterminer l’origine</w:t>
      </w:r>
      <w:r w:rsidR="00A77E43" w:rsidRPr="00FC7EA5">
        <w:rPr>
          <w:rFonts w:eastAsia="Times New Roman" w:cs="Times New Roman"/>
          <w:iCs/>
          <w:color w:val="000000"/>
          <w:kern w:val="22"/>
          <w:sz w:val="22"/>
          <w:lang w:val="fr-FR" w:eastAsia="en-CA"/>
        </w:rPr>
        <w:t xml:space="preserve"> </w:t>
      </w:r>
      <w:r w:rsidR="007A438A">
        <w:rPr>
          <w:rFonts w:eastAsia="Times New Roman" w:cs="Times New Roman"/>
          <w:iCs/>
          <w:color w:val="000000"/>
          <w:kern w:val="22"/>
          <w:sz w:val="22"/>
          <w:lang w:val="fr-FR" w:eastAsia="en-CA"/>
        </w:rPr>
        <w:t>dans des collections</w:t>
      </w:r>
      <w:r w:rsidR="00FC7EA5" w:rsidRPr="00FC7EA5">
        <w:rPr>
          <w:rFonts w:eastAsia="Times New Roman" w:cs="Times New Roman"/>
          <w:i/>
          <w:color w:val="000000"/>
          <w:kern w:val="22"/>
          <w:sz w:val="22"/>
          <w:lang w:val="fr-FR" w:eastAsia="en-CA"/>
        </w:rPr>
        <w:t xml:space="preserve"> ex situ</w:t>
      </w:r>
      <w:r w:rsidR="00A77E43" w:rsidRPr="00FC7EA5">
        <w:rPr>
          <w:rFonts w:eastAsia="Times New Roman" w:cs="Times New Roman"/>
          <w:iCs/>
          <w:color w:val="000000"/>
          <w:kern w:val="22"/>
          <w:sz w:val="22"/>
          <w:lang w:val="fr-FR" w:eastAsia="en-CA"/>
        </w:rPr>
        <w:t>.</w:t>
      </w:r>
    </w:p>
    <w:p w14:paraId="136C1B29" w14:textId="16C71B01" w:rsidR="00A76399" w:rsidRPr="0022044D" w:rsidRDefault="00B65233" w:rsidP="00255422">
      <w:pPr>
        <w:pBdr>
          <w:top w:val="nil"/>
          <w:left w:val="nil"/>
          <w:bottom w:val="nil"/>
          <w:right w:val="nil"/>
          <w:between w:val="nil"/>
        </w:pBdr>
        <w:spacing w:after="120"/>
        <w:rPr>
          <w:rFonts w:eastAsia="Times New Roman" w:cs="Times New Roman"/>
          <w:iCs/>
          <w:color w:val="000000"/>
          <w:kern w:val="22"/>
          <w:sz w:val="22"/>
          <w:lang w:val="fr-FR" w:eastAsia="en-CA"/>
        </w:rPr>
      </w:pPr>
      <w:r>
        <w:rPr>
          <w:rFonts w:eastAsia="Times New Roman" w:cs="Times New Roman"/>
          <w:iCs/>
          <w:color w:val="000000"/>
          <w:kern w:val="22"/>
          <w:sz w:val="22"/>
          <w:lang w:val="fr-FR" w:eastAsia="en-CA"/>
        </w:rPr>
        <w:t>Nous prenons</w:t>
      </w:r>
      <w:r w:rsidR="007457FB" w:rsidRPr="00B43E38">
        <w:rPr>
          <w:rFonts w:eastAsia="Times New Roman" w:cs="Times New Roman"/>
          <w:iCs/>
          <w:color w:val="000000"/>
          <w:kern w:val="22"/>
          <w:sz w:val="22"/>
          <w:lang w:val="fr-FR" w:eastAsia="en-CA"/>
        </w:rPr>
        <w:t xml:space="preserve"> note </w:t>
      </w:r>
      <w:r>
        <w:rPr>
          <w:rFonts w:eastAsia="Times New Roman" w:cs="Times New Roman"/>
          <w:iCs/>
          <w:color w:val="000000"/>
          <w:kern w:val="22"/>
          <w:sz w:val="22"/>
          <w:lang w:val="fr-FR" w:eastAsia="en-CA"/>
        </w:rPr>
        <w:t xml:space="preserve">du fait que le </w:t>
      </w:r>
      <w:r w:rsidR="002518EB">
        <w:rPr>
          <w:rFonts w:eastAsia="Calibri" w:cs="Times New Roman"/>
          <w:kern w:val="22"/>
          <w:sz w:val="22"/>
          <w:lang w:val="fr-FR"/>
        </w:rPr>
        <w:t>rapport</w:t>
      </w:r>
      <w:r w:rsidR="007457FB" w:rsidRPr="00B43E38">
        <w:rPr>
          <w:rFonts w:eastAsia="Calibri" w:cs="Times New Roman"/>
          <w:kern w:val="22"/>
          <w:sz w:val="22"/>
          <w:lang w:val="fr-FR"/>
        </w:rPr>
        <w:t xml:space="preserve"> </w:t>
      </w:r>
      <w:r>
        <w:rPr>
          <w:rFonts w:eastAsia="Calibri" w:cs="Times New Roman"/>
          <w:kern w:val="22"/>
          <w:sz w:val="22"/>
          <w:lang w:val="fr-FR"/>
        </w:rPr>
        <w:t>de la réunion</w:t>
      </w:r>
      <w:r w:rsidR="001A200E" w:rsidRPr="00B43E38">
        <w:rPr>
          <w:rFonts w:eastAsia="Calibri" w:cs="Times New Roman"/>
          <w:kern w:val="22"/>
          <w:sz w:val="22"/>
          <w:lang w:val="fr-FR"/>
        </w:rPr>
        <w:t xml:space="preserve"> du groupe d’experts</w:t>
      </w:r>
      <w:r w:rsidR="007457FB" w:rsidRPr="00B43E38">
        <w:rPr>
          <w:rFonts w:eastAsia="Calibri" w:cs="Times New Roman"/>
          <w:kern w:val="22"/>
          <w:sz w:val="22"/>
          <w:lang w:val="fr-FR"/>
        </w:rPr>
        <w:t xml:space="preserve"> </w:t>
      </w:r>
      <w:r w:rsidR="00E15AC0">
        <w:rPr>
          <w:rFonts w:eastAsia="Calibri" w:cs="Times New Roman"/>
          <w:kern w:val="22"/>
          <w:sz w:val="22"/>
          <w:lang w:val="fr-FR"/>
        </w:rPr>
        <w:t>sur l’article</w:t>
      </w:r>
      <w:r w:rsidR="007457FB" w:rsidRPr="00B43E38">
        <w:rPr>
          <w:rFonts w:eastAsia="Calibri" w:cs="Times New Roman"/>
          <w:kern w:val="22"/>
          <w:sz w:val="22"/>
          <w:lang w:val="fr-FR"/>
        </w:rPr>
        <w:t xml:space="preserve"> 10 </w:t>
      </w:r>
      <w:r w:rsidR="00770AB8" w:rsidRPr="00B43E38">
        <w:rPr>
          <w:rFonts w:eastAsia="Calibri" w:cs="Times New Roman"/>
          <w:kern w:val="22"/>
          <w:sz w:val="22"/>
          <w:lang w:val="fr-FR"/>
        </w:rPr>
        <w:t>du Pro</w:t>
      </w:r>
      <w:r w:rsidR="00E3674F" w:rsidRPr="00B43E38">
        <w:rPr>
          <w:rFonts w:eastAsia="Calibri" w:cs="Times New Roman"/>
          <w:kern w:val="22"/>
          <w:sz w:val="22"/>
          <w:lang w:val="fr-FR"/>
        </w:rPr>
        <w:t>tocole de Nagoya</w:t>
      </w:r>
      <w:r w:rsidR="00DB08F9">
        <w:rPr>
          <w:rFonts w:eastAsia="Calibri" w:cs="Times New Roman"/>
          <w:kern w:val="22"/>
          <w:sz w:val="22"/>
          <w:lang w:val="fr-FR"/>
        </w:rPr>
        <w:t xml:space="preserve"> relatif à l’accès et au </w:t>
      </w:r>
      <w:r w:rsidR="00E3674F" w:rsidRPr="00B43E38">
        <w:rPr>
          <w:rFonts w:eastAsia="Calibri" w:cs="Times New Roman"/>
          <w:kern w:val="22"/>
          <w:sz w:val="22"/>
          <w:lang w:val="fr-FR"/>
        </w:rPr>
        <w:t>partage des avantages</w:t>
      </w:r>
      <w:r w:rsidR="001A2094" w:rsidRPr="002364AB">
        <w:rPr>
          <w:rStyle w:val="FootnoteReference"/>
          <w:rFonts w:eastAsia="Calibri" w:cs="Times New Roman"/>
          <w:kern w:val="22"/>
          <w:sz w:val="22"/>
          <w:lang w:val="en-GB"/>
        </w:rPr>
        <w:footnoteReference w:id="37"/>
      </w:r>
      <w:r w:rsidR="007457FB" w:rsidRPr="00B43E38">
        <w:rPr>
          <w:rFonts w:eastAsia="Calibri" w:cs="Times New Roman"/>
          <w:kern w:val="22"/>
          <w:sz w:val="22"/>
          <w:lang w:val="fr-FR"/>
        </w:rPr>
        <w:t xml:space="preserve"> </w:t>
      </w:r>
      <w:r w:rsidR="00DB08F9">
        <w:rPr>
          <w:rFonts w:eastAsia="Calibri" w:cs="Times New Roman"/>
          <w:kern w:val="22"/>
          <w:sz w:val="22"/>
          <w:lang w:val="fr-FR"/>
        </w:rPr>
        <w:t>a identifié d’autres</w:t>
      </w:r>
      <w:r>
        <w:rPr>
          <w:rFonts w:eastAsia="Calibri" w:cs="Times New Roman"/>
          <w:kern w:val="22"/>
          <w:sz w:val="22"/>
          <w:lang w:val="fr-FR"/>
        </w:rPr>
        <w:t xml:space="preserve"> </w:t>
      </w:r>
      <w:r w:rsidR="00E752CB">
        <w:rPr>
          <w:rFonts w:eastAsia="Calibri" w:cs="Times New Roman"/>
          <w:kern w:val="22"/>
          <w:sz w:val="22"/>
          <w:lang w:val="fr-FR"/>
        </w:rPr>
        <w:t>scénario</w:t>
      </w:r>
      <w:r w:rsidR="007457FB" w:rsidRPr="00B43E38">
        <w:rPr>
          <w:rFonts w:eastAsia="Calibri" w:cs="Times New Roman"/>
          <w:kern w:val="22"/>
          <w:sz w:val="22"/>
          <w:lang w:val="fr-FR"/>
        </w:rPr>
        <w:t>s</w:t>
      </w:r>
      <w:r w:rsidR="00DB08F9">
        <w:rPr>
          <w:rFonts w:eastAsia="Calibri" w:cs="Times New Roman"/>
          <w:kern w:val="22"/>
          <w:sz w:val="22"/>
          <w:lang w:val="fr-FR"/>
        </w:rPr>
        <w:t xml:space="preserve"> encore qui pourraient être abord</w:t>
      </w:r>
      <w:r>
        <w:rPr>
          <w:rFonts w:eastAsia="Calibri" w:cs="Times New Roman"/>
          <w:kern w:val="22"/>
          <w:sz w:val="22"/>
          <w:lang w:val="fr-FR"/>
        </w:rPr>
        <w:t>és dans la</w:t>
      </w:r>
      <w:r w:rsidR="007457FB" w:rsidRPr="00B43E38">
        <w:rPr>
          <w:rFonts w:eastAsia="Calibri" w:cs="Times New Roman"/>
          <w:kern w:val="22"/>
          <w:sz w:val="22"/>
          <w:lang w:val="fr-FR"/>
        </w:rPr>
        <w:t xml:space="preserve"> </w:t>
      </w:r>
      <w:r>
        <w:rPr>
          <w:rFonts w:eastAsia="Calibri" w:cs="Times New Roman"/>
          <w:kern w:val="22"/>
          <w:sz w:val="22"/>
          <w:lang w:val="fr-FR"/>
        </w:rPr>
        <w:t>p</w:t>
      </w:r>
      <w:r w:rsidR="00F27467">
        <w:rPr>
          <w:rFonts w:eastAsia="Calibri" w:cs="Times New Roman"/>
          <w:kern w:val="22"/>
          <w:sz w:val="22"/>
          <w:lang w:val="fr-FR"/>
        </w:rPr>
        <w:t>artie</w:t>
      </w:r>
      <w:r w:rsidR="00A77E43" w:rsidRPr="00B43E38">
        <w:rPr>
          <w:rFonts w:eastAsia="Calibri" w:cs="Times New Roman"/>
          <w:kern w:val="22"/>
          <w:sz w:val="22"/>
          <w:lang w:val="fr-FR"/>
        </w:rPr>
        <w:t xml:space="preserve"> 3</w:t>
      </w:r>
      <w:r w:rsidR="007457FB" w:rsidRPr="00B43E38">
        <w:rPr>
          <w:rFonts w:eastAsia="Calibri" w:cs="Times New Roman"/>
          <w:kern w:val="22"/>
          <w:sz w:val="22"/>
          <w:lang w:val="fr-FR"/>
        </w:rPr>
        <w:t xml:space="preserve">, </w:t>
      </w:r>
      <w:r>
        <w:rPr>
          <w:rFonts w:eastAsia="Calibri" w:cs="Times New Roman"/>
          <w:kern w:val="22"/>
          <w:sz w:val="22"/>
          <w:lang w:val="fr-FR"/>
        </w:rPr>
        <w:t xml:space="preserve">à savoir, des situations dans lesquelles une </w:t>
      </w:r>
      <w:r w:rsidR="001A200E" w:rsidRPr="00B43E38">
        <w:rPr>
          <w:rFonts w:eastAsia="Calibri" w:cs="Times New Roman"/>
          <w:kern w:val="22"/>
          <w:sz w:val="22"/>
          <w:lang w:val="fr-FR"/>
        </w:rPr>
        <w:t>Partie</w:t>
      </w:r>
      <w:r w:rsidR="007457FB" w:rsidRPr="00B43E38">
        <w:rPr>
          <w:rFonts w:eastAsia="Calibri" w:cs="Times New Roman"/>
          <w:kern w:val="22"/>
          <w:sz w:val="22"/>
          <w:lang w:val="fr-FR"/>
        </w:rPr>
        <w:t xml:space="preserve"> </w:t>
      </w:r>
      <w:r>
        <w:rPr>
          <w:rFonts w:eastAsia="Calibri" w:cs="Times New Roman"/>
          <w:kern w:val="22"/>
          <w:sz w:val="22"/>
          <w:lang w:val="fr-FR"/>
        </w:rPr>
        <w:t>n’</w:t>
      </w:r>
      <w:r w:rsidR="00DB08F9">
        <w:rPr>
          <w:rFonts w:eastAsia="Calibri" w:cs="Times New Roman"/>
          <w:kern w:val="22"/>
          <w:sz w:val="22"/>
          <w:lang w:val="fr-FR"/>
        </w:rPr>
        <w:t>a pas encore élaboré des</w:t>
      </w:r>
      <w:r w:rsidR="007457FB" w:rsidRPr="00B43E38">
        <w:rPr>
          <w:rFonts w:eastAsia="Calibri" w:cs="Times New Roman"/>
          <w:kern w:val="22"/>
          <w:sz w:val="22"/>
          <w:lang w:val="fr-FR"/>
        </w:rPr>
        <w:t xml:space="preserve"> </w:t>
      </w:r>
      <w:r>
        <w:rPr>
          <w:rFonts w:eastAsia="Calibri" w:cs="Times New Roman"/>
          <w:kern w:val="22"/>
          <w:sz w:val="22"/>
          <w:lang w:val="fr-FR"/>
        </w:rPr>
        <w:t xml:space="preserve">procédures </w:t>
      </w:r>
      <w:r w:rsidR="00DB08F9">
        <w:rPr>
          <w:rFonts w:eastAsia="Calibri" w:cs="Times New Roman"/>
          <w:kern w:val="22"/>
          <w:sz w:val="22"/>
          <w:lang w:val="fr-FR"/>
        </w:rPr>
        <w:t xml:space="preserve">au niveau national </w:t>
      </w:r>
      <w:r>
        <w:rPr>
          <w:rFonts w:eastAsia="Calibri" w:cs="Times New Roman"/>
          <w:kern w:val="22"/>
          <w:sz w:val="22"/>
          <w:lang w:val="fr-FR"/>
        </w:rPr>
        <w:t>et/o</w:t>
      </w:r>
      <w:r w:rsidR="00DB08F9">
        <w:rPr>
          <w:rFonts w:eastAsia="Calibri" w:cs="Times New Roman"/>
          <w:kern w:val="22"/>
          <w:sz w:val="22"/>
          <w:lang w:val="fr-FR"/>
        </w:rPr>
        <w:t>u n’ont pas les</w:t>
      </w:r>
      <w:r>
        <w:rPr>
          <w:rFonts w:eastAsia="Calibri" w:cs="Times New Roman"/>
          <w:kern w:val="22"/>
          <w:sz w:val="22"/>
          <w:lang w:val="fr-FR"/>
        </w:rPr>
        <w:t xml:space="preserve"> capacités </w:t>
      </w:r>
      <w:r w:rsidR="00DB08F9">
        <w:rPr>
          <w:rFonts w:eastAsia="Calibri" w:cs="Times New Roman"/>
          <w:kern w:val="22"/>
          <w:sz w:val="22"/>
          <w:lang w:val="fr-FR"/>
        </w:rPr>
        <w:t xml:space="preserve">requises </w:t>
      </w:r>
      <w:r>
        <w:rPr>
          <w:rFonts w:eastAsia="Calibri" w:cs="Times New Roman"/>
          <w:kern w:val="22"/>
          <w:sz w:val="22"/>
          <w:lang w:val="fr-FR"/>
        </w:rPr>
        <w:t xml:space="preserve">pour accorder un </w:t>
      </w:r>
      <w:r w:rsidR="007D7761">
        <w:rPr>
          <w:rFonts w:eastAsia="Calibri" w:cs="Times New Roman"/>
          <w:kern w:val="22"/>
          <w:sz w:val="22"/>
          <w:lang w:val="fr-FR"/>
        </w:rPr>
        <w:t>consentement préalable donné en connaissance de cause</w:t>
      </w:r>
      <w:r w:rsidR="00DB08F9">
        <w:rPr>
          <w:rFonts w:eastAsia="Calibri" w:cs="Times New Roman"/>
          <w:kern w:val="22"/>
          <w:sz w:val="22"/>
          <w:lang w:val="fr-FR"/>
        </w:rPr>
        <w:t>, notamment lorsqu’</w:t>
      </w:r>
      <w:r w:rsidR="002644CC">
        <w:rPr>
          <w:rFonts w:eastAsia="Calibri" w:cs="Times New Roman"/>
          <w:kern w:val="22"/>
          <w:sz w:val="22"/>
          <w:lang w:val="fr-FR"/>
        </w:rPr>
        <w:t>il s</w:t>
      </w:r>
      <w:r w:rsidR="00DB08F9">
        <w:rPr>
          <w:rFonts w:eastAsia="Calibri" w:cs="Times New Roman"/>
          <w:kern w:val="22"/>
          <w:sz w:val="22"/>
          <w:lang w:val="fr-FR"/>
        </w:rPr>
        <w:t>ubsiste des incertitudes sur l’identification des</w:t>
      </w:r>
      <w:r w:rsidR="002644CC">
        <w:rPr>
          <w:rFonts w:eastAsia="Calibri" w:cs="Times New Roman"/>
          <w:kern w:val="22"/>
          <w:sz w:val="22"/>
          <w:lang w:val="fr-FR"/>
        </w:rPr>
        <w:t xml:space="preserve"> personnes ayant autorité pour </w:t>
      </w:r>
      <w:r w:rsidR="002644CC">
        <w:rPr>
          <w:kern w:val="22"/>
          <w:sz w:val="22"/>
          <w:lang w:val="fr-FR"/>
        </w:rPr>
        <w:t xml:space="preserve">accorder un </w:t>
      </w:r>
      <w:r w:rsidR="007D7761">
        <w:rPr>
          <w:kern w:val="22"/>
          <w:sz w:val="22"/>
          <w:lang w:val="fr-FR"/>
        </w:rPr>
        <w:t>consentement préalable donné en connaissance de cause</w:t>
      </w:r>
      <w:r w:rsidR="00DB08F9">
        <w:rPr>
          <w:kern w:val="22"/>
          <w:sz w:val="22"/>
          <w:lang w:val="fr-FR"/>
        </w:rPr>
        <w:t>, ou</w:t>
      </w:r>
      <w:r w:rsidR="00E3674F" w:rsidRPr="00B43E38">
        <w:rPr>
          <w:kern w:val="22"/>
          <w:sz w:val="22"/>
          <w:lang w:val="fr-FR"/>
        </w:rPr>
        <w:t xml:space="preserve"> </w:t>
      </w:r>
      <w:r w:rsidR="0022044D">
        <w:rPr>
          <w:kern w:val="22"/>
          <w:sz w:val="22"/>
          <w:lang w:val="fr-FR"/>
        </w:rPr>
        <w:t>lorsque les</w:t>
      </w:r>
      <w:r w:rsidR="00A77E43" w:rsidRPr="00B43E38">
        <w:rPr>
          <w:kern w:val="22"/>
          <w:sz w:val="22"/>
          <w:lang w:val="fr-FR"/>
        </w:rPr>
        <w:t xml:space="preserve"> </w:t>
      </w:r>
      <w:r w:rsidR="0022044D">
        <w:rPr>
          <w:kern w:val="22"/>
          <w:sz w:val="22"/>
          <w:lang w:val="fr-FR"/>
        </w:rPr>
        <w:t>protocoles communautaires</w:t>
      </w:r>
      <w:r w:rsidR="00A77E43" w:rsidRPr="00B43E38">
        <w:rPr>
          <w:kern w:val="22"/>
          <w:sz w:val="22"/>
          <w:lang w:val="fr-FR"/>
        </w:rPr>
        <w:t xml:space="preserve"> </w:t>
      </w:r>
      <w:r w:rsidR="00DB08F9">
        <w:rPr>
          <w:kern w:val="22"/>
          <w:sz w:val="22"/>
          <w:lang w:val="fr-FR"/>
        </w:rPr>
        <w:t>ont mis en place des procédures sur</w:t>
      </w:r>
      <w:r w:rsidR="009620A7">
        <w:rPr>
          <w:kern w:val="22"/>
          <w:sz w:val="22"/>
          <w:lang w:val="fr-FR"/>
        </w:rPr>
        <w:t xml:space="preserve"> l’accès</w:t>
      </w:r>
      <w:r w:rsidR="00DB08F9">
        <w:rPr>
          <w:kern w:val="22"/>
          <w:sz w:val="22"/>
          <w:lang w:val="fr-FR"/>
        </w:rPr>
        <w:t xml:space="preserve"> aux ressources</w:t>
      </w:r>
      <w:r w:rsidR="0022044D">
        <w:rPr>
          <w:kern w:val="22"/>
          <w:sz w:val="22"/>
          <w:lang w:val="fr-FR"/>
        </w:rPr>
        <w:t>, mai</w:t>
      </w:r>
      <w:r w:rsidR="00DB08F9">
        <w:rPr>
          <w:kern w:val="22"/>
          <w:sz w:val="22"/>
          <w:lang w:val="fr-FR"/>
        </w:rPr>
        <w:t>s qu’il n’existe aucune réglementation nationale en matière de</w:t>
      </w:r>
      <w:r w:rsidR="00A77E43" w:rsidRPr="00B43E38">
        <w:rPr>
          <w:kern w:val="22"/>
          <w:sz w:val="22"/>
          <w:lang w:val="fr-FR"/>
        </w:rPr>
        <w:t xml:space="preserve"> </w:t>
      </w:r>
      <w:r w:rsidR="00651FB0" w:rsidRPr="00B43E38">
        <w:rPr>
          <w:kern w:val="22"/>
          <w:sz w:val="22"/>
          <w:lang w:val="fr-FR"/>
        </w:rPr>
        <w:t xml:space="preserve">consentement préalable </w:t>
      </w:r>
      <w:r w:rsidR="00DB08F9">
        <w:rPr>
          <w:kern w:val="22"/>
          <w:sz w:val="22"/>
          <w:lang w:val="fr-FR"/>
        </w:rPr>
        <w:t xml:space="preserve">donné </w:t>
      </w:r>
      <w:r w:rsidR="00651FB0" w:rsidRPr="00B43E38">
        <w:rPr>
          <w:kern w:val="22"/>
          <w:sz w:val="22"/>
          <w:lang w:val="fr-FR"/>
        </w:rPr>
        <w:t>en connaissance de cause</w:t>
      </w:r>
      <w:r w:rsidR="006E2D18">
        <w:rPr>
          <w:kern w:val="22"/>
          <w:sz w:val="22"/>
          <w:lang w:val="fr-FR"/>
        </w:rPr>
        <w:t xml:space="preserve"> ; ceci inclut </w:t>
      </w:r>
      <w:r w:rsidR="009573F5">
        <w:rPr>
          <w:kern w:val="22"/>
          <w:sz w:val="22"/>
          <w:lang w:val="fr-FR"/>
        </w:rPr>
        <w:t xml:space="preserve">aussi </w:t>
      </w:r>
      <w:r w:rsidR="006E2D18">
        <w:rPr>
          <w:kern w:val="22"/>
          <w:sz w:val="22"/>
          <w:lang w:val="fr-FR"/>
        </w:rPr>
        <w:t>les situations où</w:t>
      </w:r>
      <w:r w:rsidR="006E2D18">
        <w:rPr>
          <w:rFonts w:eastAsia="Calibri" w:cs="Times New Roman"/>
          <w:kern w:val="22"/>
          <w:sz w:val="22"/>
          <w:lang w:val="fr-FR"/>
        </w:rPr>
        <w:t xml:space="preserve"> </w:t>
      </w:r>
      <w:r w:rsidR="0022044D">
        <w:rPr>
          <w:rFonts w:eastAsia="Calibri" w:cs="Times New Roman"/>
          <w:kern w:val="22"/>
          <w:sz w:val="22"/>
          <w:lang w:val="fr-FR"/>
        </w:rPr>
        <w:t xml:space="preserve">une </w:t>
      </w:r>
      <w:r w:rsidR="001A200E" w:rsidRPr="00B43E38">
        <w:rPr>
          <w:rFonts w:eastAsia="Calibri" w:cs="Times New Roman"/>
          <w:kern w:val="22"/>
          <w:sz w:val="22"/>
          <w:lang w:val="fr-FR"/>
        </w:rPr>
        <w:t>Partie</w:t>
      </w:r>
      <w:r w:rsidR="007457FB" w:rsidRPr="00B43E38">
        <w:rPr>
          <w:rFonts w:eastAsia="Calibri" w:cs="Times New Roman"/>
          <w:kern w:val="22"/>
          <w:sz w:val="22"/>
          <w:lang w:val="fr-FR"/>
        </w:rPr>
        <w:t xml:space="preserve"> </w:t>
      </w:r>
      <w:r w:rsidR="0022044D">
        <w:rPr>
          <w:rFonts w:eastAsia="Calibri" w:cs="Times New Roman"/>
          <w:kern w:val="22"/>
          <w:sz w:val="22"/>
          <w:lang w:val="fr-FR"/>
        </w:rPr>
        <w:t>a décidé de ne pas exiger un</w:t>
      </w:r>
      <w:r w:rsidR="007457FB" w:rsidRPr="00B43E38">
        <w:rPr>
          <w:rFonts w:eastAsia="Calibri" w:cs="Times New Roman"/>
          <w:kern w:val="22"/>
          <w:sz w:val="22"/>
          <w:lang w:val="fr-FR"/>
        </w:rPr>
        <w:t xml:space="preserve"> </w:t>
      </w:r>
      <w:r w:rsidR="00651FB0" w:rsidRPr="00B43E38">
        <w:rPr>
          <w:rFonts w:eastAsia="Calibri" w:cs="Times New Roman"/>
          <w:kern w:val="22"/>
          <w:sz w:val="22"/>
          <w:lang w:val="fr-FR"/>
        </w:rPr>
        <w:t xml:space="preserve">consentement préalable </w:t>
      </w:r>
      <w:r w:rsidR="0022044D">
        <w:rPr>
          <w:rFonts w:eastAsia="Calibri" w:cs="Times New Roman"/>
          <w:kern w:val="22"/>
          <w:sz w:val="22"/>
          <w:lang w:val="fr-FR"/>
        </w:rPr>
        <w:t xml:space="preserve">donné </w:t>
      </w:r>
      <w:r w:rsidR="00651FB0" w:rsidRPr="00B43E38">
        <w:rPr>
          <w:rFonts w:eastAsia="Calibri" w:cs="Times New Roman"/>
          <w:kern w:val="22"/>
          <w:sz w:val="22"/>
          <w:lang w:val="fr-FR"/>
        </w:rPr>
        <w:t>en connaissance de cause</w:t>
      </w:r>
      <w:r w:rsidR="007457FB" w:rsidRPr="00B43E38">
        <w:rPr>
          <w:rFonts w:eastAsia="Calibri" w:cs="Times New Roman"/>
          <w:kern w:val="22"/>
          <w:sz w:val="22"/>
          <w:lang w:val="fr-FR"/>
        </w:rPr>
        <w:t xml:space="preserve">. </w:t>
      </w:r>
      <w:r w:rsidR="0022044D" w:rsidRPr="0022044D">
        <w:rPr>
          <w:rFonts w:eastAsia="Calibri" w:cs="Times New Roman"/>
          <w:kern w:val="22"/>
          <w:sz w:val="22"/>
          <w:lang w:val="fr-FR"/>
        </w:rPr>
        <w:t>Nous avons choisi de n</w:t>
      </w:r>
      <w:r w:rsidR="009573F5">
        <w:rPr>
          <w:rFonts w:eastAsia="Calibri" w:cs="Times New Roman"/>
          <w:kern w:val="22"/>
          <w:sz w:val="22"/>
          <w:lang w:val="fr-FR"/>
        </w:rPr>
        <w:t>e pas aborder ces différents cas</w:t>
      </w:r>
      <w:r w:rsidR="0022044D">
        <w:rPr>
          <w:rFonts w:eastAsia="Calibri" w:cs="Times New Roman"/>
          <w:kern w:val="22"/>
          <w:sz w:val="22"/>
          <w:lang w:val="fr-FR"/>
        </w:rPr>
        <w:t>, car la mise en place d’un</w:t>
      </w:r>
      <w:r w:rsidR="006030C1" w:rsidRPr="0022044D">
        <w:rPr>
          <w:kern w:val="22"/>
          <w:sz w:val="22"/>
          <w:lang w:val="fr-FR"/>
        </w:rPr>
        <w:t xml:space="preserve"> </w:t>
      </w:r>
      <w:bookmarkStart w:id="50" w:name="_Hlk34046286"/>
      <w:r w:rsidR="001A200E" w:rsidRPr="0022044D">
        <w:rPr>
          <w:kern w:val="22"/>
          <w:sz w:val="22"/>
          <w:lang w:val="fr-FR"/>
        </w:rPr>
        <w:t>mécanisme multilatéral mondial</w:t>
      </w:r>
      <w:r w:rsidR="00E3674F" w:rsidRPr="0022044D">
        <w:rPr>
          <w:kern w:val="22"/>
          <w:sz w:val="22"/>
          <w:lang w:val="fr-FR"/>
        </w:rPr>
        <w:t xml:space="preserve"> de partage des avantages</w:t>
      </w:r>
      <w:r w:rsidR="005E6291" w:rsidRPr="0022044D">
        <w:rPr>
          <w:kern w:val="22"/>
          <w:sz w:val="22"/>
          <w:lang w:val="fr-FR"/>
        </w:rPr>
        <w:t xml:space="preserve"> </w:t>
      </w:r>
      <w:bookmarkEnd w:id="50"/>
      <w:r w:rsidR="0022044D">
        <w:rPr>
          <w:kern w:val="22"/>
          <w:sz w:val="22"/>
          <w:lang w:val="fr-FR"/>
        </w:rPr>
        <w:t>couvrant ces</w:t>
      </w:r>
      <w:r w:rsidR="00255422" w:rsidRPr="0022044D">
        <w:rPr>
          <w:kern w:val="22"/>
          <w:sz w:val="22"/>
          <w:lang w:val="fr-FR"/>
        </w:rPr>
        <w:t xml:space="preserve"> situations</w:t>
      </w:r>
      <w:r w:rsidR="004A1F58">
        <w:rPr>
          <w:kern w:val="22"/>
          <w:sz w:val="22"/>
          <w:lang w:val="fr-FR"/>
        </w:rPr>
        <w:t xml:space="preserve"> semble entrer directement en conflit </w:t>
      </w:r>
      <w:r w:rsidR="0022044D">
        <w:rPr>
          <w:kern w:val="22"/>
          <w:sz w:val="22"/>
          <w:lang w:val="fr-FR"/>
        </w:rPr>
        <w:t>avec l’</w:t>
      </w:r>
      <w:r w:rsidR="004B2C45">
        <w:rPr>
          <w:kern w:val="22"/>
          <w:sz w:val="22"/>
          <w:lang w:val="fr-FR"/>
        </w:rPr>
        <w:t>exercice</w:t>
      </w:r>
      <w:r w:rsidR="0022044D">
        <w:rPr>
          <w:kern w:val="22"/>
          <w:sz w:val="22"/>
          <w:lang w:val="fr-FR"/>
        </w:rPr>
        <w:t xml:space="preserve"> des</w:t>
      </w:r>
      <w:r w:rsidR="00255422" w:rsidRPr="0022044D">
        <w:rPr>
          <w:kern w:val="22"/>
          <w:sz w:val="22"/>
          <w:lang w:val="fr-FR"/>
        </w:rPr>
        <w:t xml:space="preserve"> </w:t>
      </w:r>
      <w:r w:rsidR="00E15AC0" w:rsidRPr="0022044D">
        <w:rPr>
          <w:kern w:val="22"/>
          <w:sz w:val="22"/>
          <w:lang w:val="fr-FR"/>
        </w:rPr>
        <w:t>droits souverains</w:t>
      </w:r>
      <w:r w:rsidR="0022044D">
        <w:rPr>
          <w:kern w:val="22"/>
          <w:sz w:val="22"/>
          <w:lang w:val="fr-FR"/>
        </w:rPr>
        <w:t xml:space="preserve"> des Etats sur leurs</w:t>
      </w:r>
      <w:r w:rsidR="00255422" w:rsidRPr="0022044D">
        <w:rPr>
          <w:kern w:val="22"/>
          <w:sz w:val="22"/>
          <w:lang w:val="fr-FR"/>
        </w:rPr>
        <w:t xml:space="preserve"> </w:t>
      </w:r>
      <w:r w:rsidR="00E3674F" w:rsidRPr="0022044D">
        <w:rPr>
          <w:kern w:val="22"/>
          <w:sz w:val="22"/>
          <w:lang w:val="fr-FR"/>
        </w:rPr>
        <w:t>ressources génétiques</w:t>
      </w:r>
      <w:r w:rsidR="0022044D">
        <w:rPr>
          <w:kern w:val="22"/>
          <w:sz w:val="22"/>
          <w:lang w:val="fr-FR"/>
        </w:rPr>
        <w:t>, e</w:t>
      </w:r>
      <w:r w:rsidR="004A1F58">
        <w:rPr>
          <w:kern w:val="22"/>
          <w:sz w:val="22"/>
          <w:lang w:val="fr-FR"/>
        </w:rPr>
        <w:t>n anticipant ou en allant à l’encontre d</w:t>
      </w:r>
      <w:r w:rsidR="0022044D">
        <w:rPr>
          <w:kern w:val="22"/>
          <w:sz w:val="22"/>
          <w:lang w:val="fr-FR"/>
        </w:rPr>
        <w:t>es décisions</w:t>
      </w:r>
      <w:r w:rsidR="005E6291" w:rsidRPr="0022044D">
        <w:rPr>
          <w:kern w:val="22"/>
          <w:sz w:val="22"/>
          <w:lang w:val="fr-FR"/>
        </w:rPr>
        <w:t xml:space="preserve"> </w:t>
      </w:r>
      <w:r w:rsidR="0022044D">
        <w:rPr>
          <w:kern w:val="22"/>
          <w:sz w:val="22"/>
          <w:lang w:val="fr-FR"/>
        </w:rPr>
        <w:t>juridiques, administrative et/ou</w:t>
      </w:r>
      <w:r w:rsidR="006030C1" w:rsidRPr="0022044D">
        <w:rPr>
          <w:kern w:val="22"/>
          <w:sz w:val="22"/>
          <w:lang w:val="fr-FR"/>
        </w:rPr>
        <w:t xml:space="preserve"> </w:t>
      </w:r>
      <w:r w:rsidR="0022044D">
        <w:rPr>
          <w:kern w:val="22"/>
          <w:sz w:val="22"/>
          <w:lang w:val="fr-FR"/>
        </w:rPr>
        <w:t>de politique générale des Parties</w:t>
      </w:r>
      <w:r w:rsidR="00255422" w:rsidRPr="0022044D">
        <w:rPr>
          <w:kern w:val="22"/>
          <w:sz w:val="22"/>
          <w:lang w:val="fr-FR"/>
        </w:rPr>
        <w:t>.</w:t>
      </w:r>
      <w:r w:rsidR="00A76399" w:rsidRPr="0022044D">
        <w:rPr>
          <w:kern w:val="22"/>
          <w:sz w:val="22"/>
          <w:lang w:val="fr-FR"/>
        </w:rPr>
        <w:t xml:space="preserve"> </w:t>
      </w:r>
      <w:r w:rsidR="0022044D">
        <w:rPr>
          <w:kern w:val="22"/>
          <w:sz w:val="22"/>
          <w:lang w:val="fr-FR"/>
        </w:rPr>
        <w:t>Nous souhait</w:t>
      </w:r>
      <w:r w:rsidR="004A1F58">
        <w:rPr>
          <w:kern w:val="22"/>
          <w:sz w:val="22"/>
          <w:lang w:val="fr-FR"/>
        </w:rPr>
        <w:t xml:space="preserve">ons souligner </w:t>
      </w:r>
      <w:r w:rsidR="0022044D">
        <w:rPr>
          <w:kern w:val="22"/>
          <w:sz w:val="22"/>
          <w:lang w:val="fr-FR"/>
        </w:rPr>
        <w:t>que le mandat de la présente étude est uniquement d’</w:t>
      </w:r>
      <w:r w:rsidR="00E3674F" w:rsidRPr="0022044D">
        <w:rPr>
          <w:kern w:val="22"/>
          <w:sz w:val="22"/>
          <w:lang w:val="fr-FR"/>
        </w:rPr>
        <w:t>identifier</w:t>
      </w:r>
      <w:r w:rsidR="00A76399" w:rsidRPr="0022044D">
        <w:rPr>
          <w:kern w:val="22"/>
          <w:sz w:val="22"/>
          <w:lang w:val="fr-FR"/>
        </w:rPr>
        <w:t xml:space="preserve"> </w:t>
      </w:r>
      <w:r w:rsidR="0022044D">
        <w:rPr>
          <w:kern w:val="22"/>
          <w:sz w:val="22"/>
          <w:lang w:val="fr-FR"/>
        </w:rPr>
        <w:t xml:space="preserve">les </w:t>
      </w:r>
      <w:r w:rsidR="00D04EC6" w:rsidRPr="0022044D">
        <w:rPr>
          <w:kern w:val="22"/>
          <w:sz w:val="22"/>
          <w:lang w:val="fr-FR"/>
        </w:rPr>
        <w:t>cas</w:t>
      </w:r>
      <w:r w:rsidR="00A76399" w:rsidRPr="0022044D">
        <w:rPr>
          <w:kern w:val="22"/>
          <w:sz w:val="22"/>
          <w:lang w:val="fr-FR"/>
        </w:rPr>
        <w:t xml:space="preserve"> </w:t>
      </w:r>
      <w:r w:rsidR="00B83E01" w:rsidRPr="0022044D">
        <w:rPr>
          <w:kern w:val="22"/>
          <w:sz w:val="22"/>
          <w:lang w:val="fr-FR"/>
        </w:rPr>
        <w:t>susceptibles d’entrer dans</w:t>
      </w:r>
      <w:r w:rsidR="00934A20" w:rsidRPr="0022044D">
        <w:rPr>
          <w:kern w:val="22"/>
          <w:sz w:val="22"/>
          <w:lang w:val="fr-FR"/>
        </w:rPr>
        <w:t xml:space="preserve"> le champ d’application</w:t>
      </w:r>
      <w:r w:rsidR="00A76399" w:rsidRPr="0022044D">
        <w:rPr>
          <w:kern w:val="22"/>
          <w:sz w:val="22"/>
          <w:lang w:val="fr-FR"/>
        </w:rPr>
        <w:t xml:space="preserve"> </w:t>
      </w:r>
      <w:r w:rsidR="0028742E" w:rsidRPr="0022044D">
        <w:rPr>
          <w:kern w:val="22"/>
          <w:sz w:val="22"/>
          <w:lang w:val="fr-FR"/>
        </w:rPr>
        <w:t>de l’article</w:t>
      </w:r>
      <w:r w:rsidR="00A76399" w:rsidRPr="0022044D">
        <w:rPr>
          <w:kern w:val="22"/>
          <w:sz w:val="22"/>
          <w:lang w:val="fr-FR"/>
        </w:rPr>
        <w:t xml:space="preserve"> 10</w:t>
      </w:r>
      <w:r w:rsidR="0022044D">
        <w:rPr>
          <w:kern w:val="22"/>
          <w:sz w:val="22"/>
          <w:lang w:val="fr-FR"/>
        </w:rPr>
        <w:t>, afin d’éclairer les débats qui seront menés à la troisième réunion de l’</w:t>
      </w:r>
      <w:r w:rsidR="00666EC9" w:rsidRPr="0022044D">
        <w:rPr>
          <w:kern w:val="22"/>
          <w:sz w:val="22"/>
          <w:lang w:val="fr-FR"/>
        </w:rPr>
        <w:t>Organe sub</w:t>
      </w:r>
      <w:r w:rsidR="0022044D">
        <w:rPr>
          <w:kern w:val="22"/>
          <w:sz w:val="22"/>
          <w:lang w:val="fr-FR"/>
        </w:rPr>
        <w:t>sidiaire chargé de l’application</w:t>
      </w:r>
      <w:r w:rsidR="00A76399" w:rsidRPr="0022044D">
        <w:rPr>
          <w:kern w:val="22"/>
          <w:sz w:val="22"/>
          <w:lang w:val="fr-FR"/>
        </w:rPr>
        <w:t xml:space="preserve">. </w:t>
      </w:r>
      <w:r w:rsidR="0022044D">
        <w:rPr>
          <w:kern w:val="22"/>
          <w:sz w:val="22"/>
          <w:lang w:val="fr-FR"/>
        </w:rPr>
        <w:t>La présente</w:t>
      </w:r>
      <w:r w:rsidR="00A76399" w:rsidRPr="0022044D">
        <w:rPr>
          <w:kern w:val="22"/>
          <w:sz w:val="22"/>
          <w:lang w:val="fr-FR"/>
        </w:rPr>
        <w:t xml:space="preserve"> </w:t>
      </w:r>
      <w:r w:rsidR="00E3674F" w:rsidRPr="0022044D">
        <w:rPr>
          <w:kern w:val="22"/>
          <w:sz w:val="22"/>
          <w:lang w:val="fr-FR"/>
        </w:rPr>
        <w:t>étude</w:t>
      </w:r>
      <w:r w:rsidR="00A76399" w:rsidRPr="0022044D">
        <w:rPr>
          <w:kern w:val="22"/>
          <w:sz w:val="22"/>
          <w:lang w:val="fr-FR"/>
        </w:rPr>
        <w:t xml:space="preserve"> </w:t>
      </w:r>
      <w:r w:rsidR="004A1F58">
        <w:rPr>
          <w:kern w:val="22"/>
          <w:sz w:val="22"/>
          <w:lang w:val="fr-FR"/>
        </w:rPr>
        <w:t xml:space="preserve">n’entend pas </w:t>
      </w:r>
      <w:r w:rsidR="0022044D">
        <w:rPr>
          <w:kern w:val="22"/>
          <w:sz w:val="22"/>
          <w:lang w:val="fr-FR"/>
        </w:rPr>
        <w:t xml:space="preserve">émettre des conclusions sur </w:t>
      </w:r>
      <w:r w:rsidR="004A1F58">
        <w:rPr>
          <w:kern w:val="22"/>
          <w:sz w:val="22"/>
          <w:lang w:val="fr-FR"/>
        </w:rPr>
        <w:t>la nécessité ou non d’un</w:t>
      </w:r>
      <w:r w:rsidR="00A76399" w:rsidRPr="0022044D">
        <w:rPr>
          <w:kern w:val="22"/>
          <w:sz w:val="22"/>
          <w:lang w:val="fr-FR"/>
        </w:rPr>
        <w:t xml:space="preserve"> </w:t>
      </w:r>
      <w:r w:rsidR="001A200E" w:rsidRPr="0022044D">
        <w:rPr>
          <w:kern w:val="22"/>
          <w:sz w:val="22"/>
          <w:lang w:val="fr-FR"/>
        </w:rPr>
        <w:t>mécanisme multilatéral mondial</w:t>
      </w:r>
      <w:r w:rsidR="00E3674F" w:rsidRPr="0022044D">
        <w:rPr>
          <w:kern w:val="22"/>
          <w:sz w:val="22"/>
          <w:lang w:val="fr-FR"/>
        </w:rPr>
        <w:t xml:space="preserve"> de partage des avantages</w:t>
      </w:r>
      <w:r w:rsidR="00A76399" w:rsidRPr="0022044D">
        <w:rPr>
          <w:kern w:val="22"/>
          <w:sz w:val="22"/>
          <w:lang w:val="fr-FR"/>
        </w:rPr>
        <w:t xml:space="preserve">, </w:t>
      </w:r>
      <w:r w:rsidR="0022044D">
        <w:rPr>
          <w:kern w:val="22"/>
          <w:sz w:val="22"/>
          <w:lang w:val="fr-FR"/>
        </w:rPr>
        <w:t xml:space="preserve">ni sur </w:t>
      </w:r>
      <w:r w:rsidR="00E3674F" w:rsidRPr="0022044D">
        <w:rPr>
          <w:kern w:val="22"/>
          <w:sz w:val="22"/>
          <w:lang w:val="fr-FR"/>
        </w:rPr>
        <w:t>les modalités</w:t>
      </w:r>
      <w:r w:rsidR="0022044D">
        <w:rPr>
          <w:kern w:val="22"/>
          <w:sz w:val="22"/>
          <w:lang w:val="fr-FR"/>
        </w:rPr>
        <w:t xml:space="preserve"> d’un tel </w:t>
      </w:r>
      <w:r w:rsidR="00E3674F" w:rsidRPr="0022044D">
        <w:rPr>
          <w:kern w:val="22"/>
          <w:sz w:val="22"/>
          <w:lang w:val="fr-FR"/>
        </w:rPr>
        <w:t>mécanisme</w:t>
      </w:r>
      <w:r w:rsidR="001129FF" w:rsidRPr="0022044D">
        <w:rPr>
          <w:kern w:val="22"/>
          <w:sz w:val="22"/>
          <w:lang w:val="fr-FR"/>
        </w:rPr>
        <w:t>,</w:t>
      </w:r>
      <w:r w:rsidR="004A1F58">
        <w:rPr>
          <w:kern w:val="22"/>
          <w:sz w:val="22"/>
          <w:lang w:val="fr-FR"/>
        </w:rPr>
        <w:t xml:space="preserve"> ni </w:t>
      </w:r>
      <w:r w:rsidR="0022044D">
        <w:rPr>
          <w:kern w:val="22"/>
          <w:sz w:val="22"/>
          <w:lang w:val="fr-FR"/>
        </w:rPr>
        <w:t xml:space="preserve">s’il convient de </w:t>
      </w:r>
      <w:r w:rsidR="00AA5919" w:rsidRPr="0022044D">
        <w:rPr>
          <w:kern w:val="22"/>
          <w:sz w:val="22"/>
          <w:lang w:val="fr-FR"/>
        </w:rPr>
        <w:t>négocier</w:t>
      </w:r>
      <w:r w:rsidR="0022044D">
        <w:rPr>
          <w:kern w:val="22"/>
          <w:sz w:val="22"/>
          <w:lang w:val="fr-FR"/>
        </w:rPr>
        <w:t xml:space="preserve"> un tel</w:t>
      </w:r>
      <w:r w:rsidR="00A76399" w:rsidRPr="0022044D">
        <w:rPr>
          <w:kern w:val="22"/>
          <w:sz w:val="22"/>
          <w:lang w:val="fr-FR"/>
        </w:rPr>
        <w:t xml:space="preserve"> </w:t>
      </w:r>
      <w:r w:rsidR="00E3674F" w:rsidRPr="0022044D">
        <w:rPr>
          <w:kern w:val="22"/>
          <w:sz w:val="22"/>
          <w:lang w:val="fr-FR"/>
        </w:rPr>
        <w:t>mécanisme</w:t>
      </w:r>
      <w:r w:rsidR="00A76399" w:rsidRPr="0022044D">
        <w:rPr>
          <w:kern w:val="22"/>
          <w:sz w:val="22"/>
          <w:lang w:val="fr-FR"/>
        </w:rPr>
        <w:t xml:space="preserve"> </w:t>
      </w:r>
      <w:r w:rsidR="0022044D">
        <w:rPr>
          <w:kern w:val="22"/>
          <w:sz w:val="22"/>
          <w:lang w:val="fr-FR"/>
        </w:rPr>
        <w:t xml:space="preserve">dans n’importe quelle </w:t>
      </w:r>
      <w:r w:rsidR="00A76399" w:rsidRPr="0022044D">
        <w:rPr>
          <w:kern w:val="22"/>
          <w:sz w:val="22"/>
          <w:lang w:val="fr-FR"/>
        </w:rPr>
        <w:t xml:space="preserve">situation.   </w:t>
      </w:r>
    </w:p>
    <w:p w14:paraId="27B0DA21" w14:textId="655EB511" w:rsidR="001C1C45" w:rsidRPr="00E3674F" w:rsidRDefault="002E32B7" w:rsidP="00F43F79">
      <w:pPr>
        <w:pStyle w:val="Heading1"/>
        <w:numPr>
          <w:ilvl w:val="0"/>
          <w:numId w:val="4"/>
        </w:numPr>
        <w:spacing w:before="240"/>
        <w:ind w:left="357" w:right="431" w:hanging="357"/>
        <w:rPr>
          <w:kern w:val="22"/>
          <w:sz w:val="22"/>
          <w:szCs w:val="22"/>
          <w:lang w:val="fr-FR"/>
        </w:rPr>
      </w:pPr>
      <w:bookmarkStart w:id="51" w:name="_Toc31040286"/>
      <w:bookmarkStart w:id="52" w:name="_Toc31056853"/>
      <w:bookmarkStart w:id="53" w:name="_Toc32490847"/>
      <w:r w:rsidRPr="00E3674F">
        <w:rPr>
          <w:vanish/>
          <w:kern w:val="22"/>
          <w:sz w:val="22"/>
          <w:szCs w:val="22"/>
          <w:lang w:val="fr-FR"/>
        </w:rPr>
        <w:t>S</w:t>
      </w:r>
      <w:r w:rsidR="00FC5588" w:rsidRPr="00E3674F">
        <w:rPr>
          <w:vanish/>
          <w:kern w:val="22"/>
          <w:sz w:val="22"/>
          <w:szCs w:val="22"/>
          <w:lang w:val="fr-FR"/>
        </w:rPr>
        <w:t xml:space="preserve">pecific </w:t>
      </w:r>
      <w:r w:rsidRPr="00E3674F">
        <w:rPr>
          <w:vanish/>
          <w:kern w:val="22"/>
          <w:sz w:val="22"/>
          <w:szCs w:val="22"/>
          <w:lang w:val="fr-FR"/>
        </w:rPr>
        <w:t>C</w:t>
      </w:r>
      <w:r w:rsidR="00FC5588" w:rsidRPr="00E3674F">
        <w:rPr>
          <w:vanish/>
          <w:kern w:val="22"/>
          <w:sz w:val="22"/>
          <w:szCs w:val="22"/>
          <w:lang w:val="fr-FR"/>
        </w:rPr>
        <w:t>ases of</w:t>
      </w:r>
      <w:r w:rsidRPr="00E3674F">
        <w:rPr>
          <w:vanish/>
          <w:kern w:val="22"/>
          <w:sz w:val="22"/>
          <w:szCs w:val="22"/>
          <w:lang w:val="fr-FR"/>
        </w:rPr>
        <w:t xml:space="preserve"> G</w:t>
      </w:r>
      <w:r w:rsidR="00FC5588" w:rsidRPr="00E3674F">
        <w:rPr>
          <w:vanish/>
          <w:kern w:val="22"/>
          <w:sz w:val="22"/>
          <w:szCs w:val="22"/>
          <w:lang w:val="fr-FR"/>
        </w:rPr>
        <w:t xml:space="preserve">enetic </w:t>
      </w:r>
      <w:r w:rsidRPr="00E3674F">
        <w:rPr>
          <w:vanish/>
          <w:kern w:val="22"/>
          <w:sz w:val="22"/>
          <w:szCs w:val="22"/>
          <w:lang w:val="fr-FR"/>
        </w:rPr>
        <w:t>R</w:t>
      </w:r>
      <w:r w:rsidR="00FC5588" w:rsidRPr="00E3674F">
        <w:rPr>
          <w:vanish/>
          <w:kern w:val="22"/>
          <w:sz w:val="22"/>
          <w:szCs w:val="22"/>
          <w:lang w:val="fr-FR"/>
        </w:rPr>
        <w:t>esources and T</w:t>
      </w:r>
      <w:r w:rsidR="003C1CC4" w:rsidRPr="00E3674F">
        <w:rPr>
          <w:vanish/>
          <w:kern w:val="22"/>
          <w:sz w:val="22"/>
          <w:szCs w:val="22"/>
          <w:lang w:val="fr-FR"/>
        </w:rPr>
        <w:t xml:space="preserve">raditional </w:t>
      </w:r>
      <w:r w:rsidR="00FC5588" w:rsidRPr="00E3674F">
        <w:rPr>
          <w:vanish/>
          <w:kern w:val="22"/>
          <w:sz w:val="22"/>
          <w:szCs w:val="22"/>
          <w:lang w:val="fr-FR"/>
        </w:rPr>
        <w:t>K</w:t>
      </w:r>
      <w:r w:rsidR="003C1CC4" w:rsidRPr="00E3674F">
        <w:rPr>
          <w:vanish/>
          <w:kern w:val="22"/>
          <w:sz w:val="22"/>
          <w:szCs w:val="22"/>
          <w:lang w:val="fr-FR"/>
        </w:rPr>
        <w:t>nowledge</w:t>
      </w:r>
      <w:r w:rsidR="00FC5588" w:rsidRPr="00E3674F">
        <w:rPr>
          <w:vanish/>
          <w:kern w:val="22"/>
          <w:sz w:val="22"/>
          <w:szCs w:val="22"/>
          <w:lang w:val="fr-FR"/>
        </w:rPr>
        <w:t xml:space="preserve"> </w:t>
      </w:r>
      <w:r w:rsidR="006030C1" w:rsidRPr="00E3674F">
        <w:rPr>
          <w:vanish/>
          <w:kern w:val="22"/>
          <w:sz w:val="22"/>
          <w:szCs w:val="22"/>
          <w:lang w:val="fr-FR"/>
        </w:rPr>
        <w:t xml:space="preserve">Associated with Genetic Resources </w:t>
      </w:r>
      <w:r w:rsidR="00FC5588" w:rsidRPr="00E3674F">
        <w:rPr>
          <w:vanish/>
          <w:kern w:val="22"/>
          <w:sz w:val="22"/>
          <w:szCs w:val="22"/>
          <w:lang w:val="fr-FR"/>
        </w:rPr>
        <w:t xml:space="preserve">that </w:t>
      </w:r>
      <w:r w:rsidRPr="00E3674F">
        <w:rPr>
          <w:vanish/>
          <w:kern w:val="22"/>
          <w:sz w:val="22"/>
          <w:szCs w:val="22"/>
          <w:lang w:val="fr-FR"/>
        </w:rPr>
        <w:t>O</w:t>
      </w:r>
      <w:r w:rsidR="00FC5588" w:rsidRPr="00E3674F">
        <w:rPr>
          <w:vanish/>
          <w:kern w:val="22"/>
          <w:sz w:val="22"/>
          <w:szCs w:val="22"/>
          <w:lang w:val="fr-FR"/>
        </w:rPr>
        <w:t xml:space="preserve">ccur in </w:t>
      </w:r>
      <w:r w:rsidRPr="00E3674F">
        <w:rPr>
          <w:vanish/>
          <w:kern w:val="22"/>
          <w:sz w:val="22"/>
          <w:szCs w:val="22"/>
          <w:lang w:val="fr-FR"/>
        </w:rPr>
        <w:t>T</w:t>
      </w:r>
      <w:r w:rsidR="00FC5588" w:rsidRPr="00E3674F">
        <w:rPr>
          <w:vanish/>
          <w:kern w:val="22"/>
          <w:sz w:val="22"/>
          <w:szCs w:val="22"/>
          <w:lang w:val="fr-FR"/>
        </w:rPr>
        <w:t xml:space="preserve">ransboundary </w:t>
      </w:r>
      <w:r w:rsidRPr="00E3674F">
        <w:rPr>
          <w:vanish/>
          <w:kern w:val="22"/>
          <w:sz w:val="22"/>
          <w:szCs w:val="22"/>
          <w:lang w:val="fr-FR"/>
        </w:rPr>
        <w:t>S</w:t>
      </w:r>
      <w:r w:rsidR="00FC5588" w:rsidRPr="00E3674F">
        <w:rPr>
          <w:vanish/>
          <w:kern w:val="22"/>
          <w:sz w:val="22"/>
          <w:szCs w:val="22"/>
          <w:lang w:val="fr-FR"/>
        </w:rPr>
        <w:t>ituations</w:t>
      </w:r>
      <w:bookmarkEnd w:id="51"/>
      <w:bookmarkEnd w:id="52"/>
      <w:bookmarkEnd w:id="53"/>
      <w:r w:rsidR="00FC5588" w:rsidRPr="00E3674F">
        <w:rPr>
          <w:vanish/>
          <w:kern w:val="22"/>
          <w:sz w:val="22"/>
          <w:szCs w:val="22"/>
          <w:lang w:val="fr-FR"/>
        </w:rPr>
        <w:t xml:space="preserve"> </w:t>
      </w:r>
      <w:bookmarkStart w:id="54" w:name="_Toc34249582"/>
      <w:bookmarkStart w:id="55" w:name="_Toc39580425"/>
      <w:bookmarkStart w:id="56" w:name="_Toc48914793"/>
      <w:r w:rsidR="00E3674F" w:rsidRPr="00E3674F">
        <w:rPr>
          <w:kern w:val="22"/>
          <w:sz w:val="22"/>
          <w:szCs w:val="22"/>
          <w:lang w:val="fr-FR"/>
        </w:rPr>
        <w:t>cas spécifiques</w:t>
      </w:r>
      <w:r w:rsidR="001C1C45" w:rsidRPr="00E3674F">
        <w:rPr>
          <w:kern w:val="22"/>
          <w:sz w:val="22"/>
          <w:szCs w:val="22"/>
          <w:lang w:val="fr-FR"/>
        </w:rPr>
        <w:t xml:space="preserve"> </w:t>
      </w:r>
      <w:r w:rsidR="00D6232E">
        <w:rPr>
          <w:kern w:val="22"/>
          <w:sz w:val="22"/>
          <w:szCs w:val="22"/>
          <w:lang w:val="fr-FR"/>
        </w:rPr>
        <w:t>de ressources</w:t>
      </w:r>
      <w:r w:rsidR="00E3674F" w:rsidRPr="00E3674F">
        <w:rPr>
          <w:kern w:val="22"/>
          <w:sz w:val="22"/>
          <w:szCs w:val="22"/>
          <w:lang w:val="fr-FR"/>
        </w:rPr>
        <w:t xml:space="preserve"> génétiques</w:t>
      </w:r>
      <w:r w:rsidR="001C1C45" w:rsidRPr="00E3674F">
        <w:rPr>
          <w:kern w:val="22"/>
          <w:sz w:val="22"/>
          <w:szCs w:val="22"/>
          <w:lang w:val="fr-FR"/>
        </w:rPr>
        <w:t xml:space="preserve"> </w:t>
      </w:r>
      <w:r w:rsidR="008811C9">
        <w:rPr>
          <w:kern w:val="22"/>
          <w:sz w:val="22"/>
          <w:szCs w:val="22"/>
          <w:lang w:val="fr-FR"/>
        </w:rPr>
        <w:t>q</w:t>
      </w:r>
      <w:r w:rsidR="00651FB0">
        <w:rPr>
          <w:kern w:val="22"/>
          <w:sz w:val="22"/>
          <w:szCs w:val="22"/>
          <w:lang w:val="fr-FR"/>
        </w:rPr>
        <w:t>ui se trouvent</w:t>
      </w:r>
      <w:r w:rsidR="00FB033A">
        <w:rPr>
          <w:kern w:val="22"/>
          <w:sz w:val="22"/>
          <w:szCs w:val="22"/>
          <w:lang w:val="fr-FR"/>
        </w:rPr>
        <w:t xml:space="preserve"> </w:t>
      </w:r>
      <w:r w:rsidR="002A127F">
        <w:rPr>
          <w:kern w:val="22"/>
          <w:sz w:val="22"/>
          <w:szCs w:val="22"/>
          <w:lang w:val="fr-FR"/>
        </w:rPr>
        <w:t>dans des situations</w:t>
      </w:r>
      <w:r w:rsidR="00E3674F" w:rsidRPr="00E3674F">
        <w:rPr>
          <w:kern w:val="22"/>
          <w:sz w:val="22"/>
          <w:szCs w:val="22"/>
          <w:lang w:val="fr-FR"/>
        </w:rPr>
        <w:t xml:space="preserve"> transfrontières</w:t>
      </w:r>
      <w:bookmarkEnd w:id="54"/>
      <w:bookmarkEnd w:id="55"/>
      <w:bookmarkEnd w:id="56"/>
      <w:r w:rsidR="001C1C45" w:rsidRPr="00E3674F">
        <w:rPr>
          <w:kern w:val="22"/>
          <w:sz w:val="22"/>
          <w:szCs w:val="22"/>
          <w:lang w:val="fr-FR"/>
        </w:rPr>
        <w:t xml:space="preserve"> </w:t>
      </w:r>
    </w:p>
    <w:p w14:paraId="23028C80" w14:textId="198C6DA0" w:rsidR="00C928C2" w:rsidRPr="00CD1466" w:rsidRDefault="009573F5" w:rsidP="00B80668">
      <w:pPr>
        <w:rPr>
          <w:rFonts w:cs="Times New Roman"/>
          <w:kern w:val="22"/>
          <w:sz w:val="22"/>
          <w:lang w:val="fr-FR"/>
        </w:rPr>
      </w:pPr>
      <w:r>
        <w:rPr>
          <w:rFonts w:cs="Times New Roman"/>
          <w:kern w:val="22"/>
          <w:sz w:val="22"/>
          <w:lang w:val="fr-FR"/>
        </w:rPr>
        <w:t xml:space="preserve">Bien qu’il soit difficile d’évaluer </w:t>
      </w:r>
      <w:r w:rsidR="00874B20" w:rsidRPr="00874B20">
        <w:rPr>
          <w:rFonts w:cs="Times New Roman"/>
          <w:kern w:val="22"/>
          <w:sz w:val="22"/>
          <w:lang w:val="fr-FR"/>
        </w:rPr>
        <w:t xml:space="preserve">le pourcentage de </w:t>
      </w:r>
      <w:r w:rsidR="00D6232E" w:rsidRPr="00874B20">
        <w:rPr>
          <w:rFonts w:cs="Times New Roman"/>
          <w:kern w:val="22"/>
          <w:sz w:val="22"/>
          <w:lang w:val="fr-FR"/>
        </w:rPr>
        <w:t>ressources</w:t>
      </w:r>
      <w:r w:rsidR="00E3674F" w:rsidRPr="00874B20">
        <w:rPr>
          <w:rFonts w:cs="Times New Roman"/>
          <w:kern w:val="22"/>
          <w:sz w:val="22"/>
          <w:lang w:val="fr-FR"/>
        </w:rPr>
        <w:t xml:space="preserve"> génétiques</w:t>
      </w:r>
      <w:r>
        <w:rPr>
          <w:rFonts w:cs="Times New Roman"/>
          <w:kern w:val="22"/>
          <w:sz w:val="22"/>
          <w:lang w:val="fr-FR"/>
        </w:rPr>
        <w:t xml:space="preserve"> partagées entre plusieurs juridictions nationales</w:t>
      </w:r>
      <w:r w:rsidR="00874B20" w:rsidRPr="00874B20">
        <w:rPr>
          <w:rFonts w:cs="Times New Roman"/>
          <w:kern w:val="22"/>
          <w:sz w:val="22"/>
          <w:lang w:val="fr-FR"/>
        </w:rPr>
        <w:t>, il est probable que ce pourcentage soit élevé</w:t>
      </w:r>
      <w:r w:rsidR="001A1D45" w:rsidRPr="00874B20">
        <w:rPr>
          <w:rFonts w:cs="Times New Roman"/>
          <w:kern w:val="22"/>
          <w:sz w:val="22"/>
          <w:lang w:val="fr-FR"/>
        </w:rPr>
        <w:t>.</w:t>
      </w:r>
      <w:r w:rsidR="001A1D45" w:rsidRPr="002364AB">
        <w:rPr>
          <w:rStyle w:val="FootnoteReference"/>
          <w:rFonts w:cs="Times New Roman"/>
          <w:kern w:val="22"/>
          <w:sz w:val="22"/>
          <w:lang w:val="en-GB"/>
        </w:rPr>
        <w:footnoteReference w:id="38"/>
      </w:r>
      <w:r w:rsidR="001A1D45" w:rsidRPr="00874B20">
        <w:rPr>
          <w:rFonts w:cs="Times New Roman"/>
          <w:kern w:val="22"/>
          <w:sz w:val="22"/>
          <w:lang w:val="fr-FR"/>
        </w:rPr>
        <w:t xml:space="preserve"> </w:t>
      </w:r>
      <w:r w:rsidR="00874B20" w:rsidRPr="00874B20">
        <w:rPr>
          <w:rFonts w:cs="Times New Roman"/>
          <w:kern w:val="22"/>
          <w:sz w:val="22"/>
          <w:lang w:val="fr-FR"/>
        </w:rPr>
        <w:t>Etant donné la n</w:t>
      </w:r>
      <w:r>
        <w:rPr>
          <w:rFonts w:cs="Times New Roman"/>
          <w:kern w:val="22"/>
          <w:sz w:val="22"/>
          <w:lang w:val="fr-FR"/>
        </w:rPr>
        <w:t>ature artificielle des frontières</w:t>
      </w:r>
      <w:r w:rsidR="00874B20" w:rsidRPr="00874B20">
        <w:rPr>
          <w:rFonts w:cs="Times New Roman"/>
          <w:kern w:val="22"/>
          <w:sz w:val="22"/>
          <w:lang w:val="fr-FR"/>
        </w:rPr>
        <w:t xml:space="preserve"> nationales, il n’est pas surprenant que de nombreuses </w:t>
      </w:r>
      <w:r w:rsidR="00651FB0" w:rsidRPr="00874B20">
        <w:rPr>
          <w:rFonts w:cs="Times New Roman"/>
          <w:kern w:val="22"/>
          <w:sz w:val="22"/>
          <w:lang w:val="fr-FR"/>
        </w:rPr>
        <w:t>espèces</w:t>
      </w:r>
      <w:r w:rsidR="00070BCA" w:rsidRPr="00874B20">
        <w:rPr>
          <w:rFonts w:cs="Times New Roman"/>
          <w:kern w:val="22"/>
          <w:sz w:val="22"/>
          <w:lang w:val="fr-FR"/>
        </w:rPr>
        <w:t xml:space="preserve"> </w:t>
      </w:r>
      <w:r>
        <w:rPr>
          <w:rFonts w:cs="Times New Roman"/>
          <w:kern w:val="22"/>
          <w:sz w:val="22"/>
          <w:lang w:val="fr-FR"/>
        </w:rPr>
        <w:t>se trouvent dans plusieurs juridictions nationales</w:t>
      </w:r>
      <w:r w:rsidR="00070BCA" w:rsidRPr="00874B20">
        <w:rPr>
          <w:rFonts w:cs="Times New Roman"/>
          <w:kern w:val="22"/>
          <w:sz w:val="22"/>
          <w:lang w:val="fr-FR"/>
        </w:rPr>
        <w:t xml:space="preserve">. </w:t>
      </w:r>
      <w:r w:rsidR="00CD1466" w:rsidRPr="00CD1466">
        <w:rPr>
          <w:rFonts w:cs="Times New Roman"/>
          <w:kern w:val="22"/>
          <w:sz w:val="22"/>
          <w:lang w:val="fr-FR"/>
        </w:rPr>
        <w:t>Comme indiqué par</w:t>
      </w:r>
      <w:r w:rsidR="00C928C2" w:rsidRPr="00CD1466">
        <w:rPr>
          <w:rFonts w:cs="Times New Roman"/>
          <w:kern w:val="22"/>
          <w:sz w:val="22"/>
          <w:lang w:val="fr-FR"/>
        </w:rPr>
        <w:t xml:space="preserve"> Morgera</w:t>
      </w:r>
      <w:r w:rsidR="00E3674F" w:rsidRPr="00CD1466">
        <w:rPr>
          <w:rFonts w:cs="Times New Roman"/>
          <w:kern w:val="22"/>
          <w:sz w:val="22"/>
          <w:lang w:val="fr-FR"/>
        </w:rPr>
        <w:t xml:space="preserve"> et </w:t>
      </w:r>
      <w:r>
        <w:rPr>
          <w:rFonts w:cs="Times New Roman"/>
          <w:kern w:val="22"/>
          <w:sz w:val="22"/>
          <w:lang w:val="fr-FR"/>
        </w:rPr>
        <w:t>al.</w:t>
      </w:r>
      <w:r w:rsidR="00C928C2" w:rsidRPr="00CD1466">
        <w:rPr>
          <w:rFonts w:cs="Times New Roman"/>
          <w:kern w:val="22"/>
          <w:sz w:val="22"/>
          <w:lang w:val="fr-FR"/>
        </w:rPr>
        <w:t xml:space="preserve">, </w:t>
      </w:r>
      <w:r w:rsidR="00CD1466" w:rsidRPr="00CD1466">
        <w:rPr>
          <w:rFonts w:cs="Times New Roman"/>
          <w:kern w:val="22"/>
          <w:sz w:val="22"/>
          <w:lang w:val="fr-FR"/>
        </w:rPr>
        <w:t xml:space="preserve">les </w:t>
      </w:r>
      <w:r w:rsidR="00E3674F" w:rsidRPr="00CD1466">
        <w:rPr>
          <w:rFonts w:cs="Times New Roman"/>
          <w:kern w:val="22"/>
          <w:sz w:val="22"/>
          <w:lang w:val="fr-FR"/>
        </w:rPr>
        <w:t>situations transfrontières</w:t>
      </w:r>
      <w:r w:rsidR="00C928C2" w:rsidRPr="00CD1466">
        <w:rPr>
          <w:rFonts w:cs="Times New Roman"/>
          <w:kern w:val="22"/>
          <w:sz w:val="22"/>
          <w:lang w:val="fr-FR"/>
        </w:rPr>
        <w:t xml:space="preserve"> </w:t>
      </w:r>
      <w:r w:rsidR="00CD1466">
        <w:rPr>
          <w:rFonts w:cs="Times New Roman"/>
          <w:kern w:val="22"/>
          <w:sz w:val="22"/>
          <w:lang w:val="fr-FR"/>
        </w:rPr>
        <w:t>peuve</w:t>
      </w:r>
      <w:r>
        <w:rPr>
          <w:rFonts w:cs="Times New Roman"/>
          <w:kern w:val="22"/>
          <w:sz w:val="22"/>
          <w:lang w:val="fr-FR"/>
        </w:rPr>
        <w:t>nt recouvrir au moins deux forme</w:t>
      </w:r>
      <w:r w:rsidR="00CD1466">
        <w:rPr>
          <w:rFonts w:cs="Times New Roman"/>
          <w:kern w:val="22"/>
          <w:sz w:val="22"/>
          <w:lang w:val="fr-FR"/>
        </w:rPr>
        <w:t>s</w:t>
      </w:r>
      <w:r w:rsidR="00C928C2" w:rsidRPr="00CD1466">
        <w:rPr>
          <w:rFonts w:cs="Times New Roman"/>
          <w:kern w:val="22"/>
          <w:sz w:val="22"/>
          <w:lang w:val="fr-FR"/>
        </w:rPr>
        <w:t>:</w:t>
      </w:r>
    </w:p>
    <w:p w14:paraId="45AB4F96" w14:textId="166A4A5A" w:rsidR="00C928C2" w:rsidRPr="00B65233" w:rsidRDefault="009573F5" w:rsidP="00325375">
      <w:pPr>
        <w:ind w:left="284" w:right="432"/>
        <w:rPr>
          <w:rFonts w:cs="Times New Roman"/>
          <w:kern w:val="22"/>
          <w:sz w:val="22"/>
          <w:lang w:val="fr-FR"/>
        </w:rPr>
      </w:pPr>
      <w:r>
        <w:rPr>
          <w:rFonts w:cs="Times New Roman"/>
          <w:kern w:val="22"/>
          <w:sz w:val="22"/>
          <w:lang w:val="fr-FR"/>
        </w:rPr>
        <w:t>‘U</w:t>
      </w:r>
      <w:r w:rsidR="00874B20">
        <w:rPr>
          <w:rFonts w:cs="Times New Roman"/>
          <w:kern w:val="22"/>
          <w:sz w:val="22"/>
          <w:lang w:val="fr-FR"/>
        </w:rPr>
        <w:t>ne situation transfrontière</w:t>
      </w:r>
      <w:r w:rsidR="00F15982" w:rsidRPr="00B65233">
        <w:rPr>
          <w:rFonts w:cs="Times New Roman"/>
          <w:kern w:val="22"/>
          <w:sz w:val="22"/>
          <w:lang w:val="fr-FR"/>
        </w:rPr>
        <w:t xml:space="preserve"> </w:t>
      </w:r>
      <w:r w:rsidR="00F15982" w:rsidRPr="00B65233">
        <w:rPr>
          <w:rFonts w:cs="Times New Roman"/>
          <w:i/>
          <w:kern w:val="22"/>
          <w:sz w:val="22"/>
          <w:lang w:val="fr-FR"/>
        </w:rPr>
        <w:t>in situ</w:t>
      </w:r>
      <w:r w:rsidR="00874B20">
        <w:rPr>
          <w:rFonts w:cs="Times New Roman"/>
          <w:kern w:val="22"/>
          <w:sz w:val="22"/>
          <w:lang w:val="fr-FR"/>
        </w:rPr>
        <w:t xml:space="preserve">’, dans laquelle des </w:t>
      </w:r>
      <w:r w:rsidR="00E3674F" w:rsidRPr="00B65233">
        <w:rPr>
          <w:rFonts w:cs="Times New Roman"/>
          <w:kern w:val="22"/>
          <w:sz w:val="22"/>
          <w:lang w:val="fr-FR"/>
        </w:rPr>
        <w:t>ressources génétiques</w:t>
      </w:r>
      <w:r w:rsidR="0028742E" w:rsidRPr="00B65233">
        <w:rPr>
          <w:rFonts w:cs="Times New Roman"/>
          <w:kern w:val="22"/>
          <w:sz w:val="22"/>
          <w:lang w:val="fr-FR"/>
        </w:rPr>
        <w:t xml:space="preserve"> ou </w:t>
      </w:r>
      <w:r w:rsidR="00E3674F" w:rsidRPr="00B65233">
        <w:rPr>
          <w:rFonts w:cs="Times New Roman"/>
          <w:kern w:val="22"/>
          <w:sz w:val="22"/>
          <w:lang w:val="fr-FR"/>
        </w:rPr>
        <w:t>connaissances traditionnelles</w:t>
      </w:r>
      <w:r w:rsidR="00F15982" w:rsidRPr="00B65233">
        <w:rPr>
          <w:rFonts w:cs="Times New Roman"/>
          <w:kern w:val="22"/>
          <w:sz w:val="22"/>
          <w:lang w:val="fr-FR"/>
        </w:rPr>
        <w:t xml:space="preserve"> </w:t>
      </w:r>
      <w:r w:rsidR="00874B20">
        <w:rPr>
          <w:rFonts w:cs="Times New Roman"/>
          <w:kern w:val="22"/>
          <w:sz w:val="22"/>
          <w:lang w:val="fr-FR"/>
        </w:rPr>
        <w:t xml:space="preserve">ont développé des caractéristiques particulières et existent </w:t>
      </w:r>
      <w:r>
        <w:rPr>
          <w:rFonts w:cs="Times New Roman"/>
          <w:kern w:val="22"/>
          <w:sz w:val="22"/>
          <w:lang w:val="fr-FR"/>
        </w:rPr>
        <w:t xml:space="preserve">à l’état sauvage </w:t>
      </w:r>
      <w:r w:rsidR="00874B20">
        <w:rPr>
          <w:rFonts w:cs="Times New Roman"/>
          <w:kern w:val="22"/>
          <w:sz w:val="22"/>
          <w:lang w:val="fr-FR"/>
        </w:rPr>
        <w:t>dans plusie</w:t>
      </w:r>
      <w:r>
        <w:rPr>
          <w:rFonts w:cs="Times New Roman"/>
          <w:kern w:val="22"/>
          <w:sz w:val="22"/>
          <w:lang w:val="fr-FR"/>
        </w:rPr>
        <w:t>urs juridictions nationales</w:t>
      </w:r>
      <w:r w:rsidR="00F15982" w:rsidRPr="00B65233">
        <w:rPr>
          <w:rFonts w:cs="Times New Roman"/>
          <w:kern w:val="22"/>
          <w:sz w:val="22"/>
          <w:lang w:val="fr-FR"/>
        </w:rPr>
        <w:t>;</w:t>
      </w:r>
      <w:r w:rsidR="00E3674F" w:rsidRPr="00B65233">
        <w:rPr>
          <w:rFonts w:cs="Times New Roman"/>
          <w:kern w:val="22"/>
          <w:sz w:val="22"/>
          <w:lang w:val="fr-FR"/>
        </w:rPr>
        <w:t xml:space="preserve"> et </w:t>
      </w:r>
      <w:r w:rsidR="00874B20">
        <w:rPr>
          <w:rFonts w:cs="Times New Roman"/>
          <w:kern w:val="22"/>
          <w:sz w:val="22"/>
          <w:lang w:val="fr-FR"/>
        </w:rPr>
        <w:t xml:space="preserve">‘une situation transfrontière </w:t>
      </w:r>
      <w:r w:rsidR="00F15982" w:rsidRPr="00B65233">
        <w:rPr>
          <w:rFonts w:cs="Times New Roman"/>
          <w:i/>
          <w:kern w:val="22"/>
          <w:sz w:val="22"/>
          <w:lang w:val="fr-FR"/>
        </w:rPr>
        <w:t>ex situ</w:t>
      </w:r>
      <w:r w:rsidR="00027BDD">
        <w:rPr>
          <w:rFonts w:cs="Times New Roman"/>
          <w:kern w:val="22"/>
          <w:sz w:val="22"/>
          <w:lang w:val="fr-FR"/>
        </w:rPr>
        <w:t xml:space="preserve">’, dans laquelle des </w:t>
      </w:r>
      <w:r w:rsidR="00E3674F" w:rsidRPr="00B65233">
        <w:rPr>
          <w:rFonts w:cs="Times New Roman"/>
          <w:kern w:val="22"/>
          <w:sz w:val="22"/>
          <w:lang w:val="fr-FR"/>
        </w:rPr>
        <w:t>ressources génétiques</w:t>
      </w:r>
      <w:r w:rsidR="0028742E" w:rsidRPr="00B65233">
        <w:rPr>
          <w:rFonts w:cs="Times New Roman"/>
          <w:kern w:val="22"/>
          <w:sz w:val="22"/>
          <w:lang w:val="fr-FR"/>
        </w:rPr>
        <w:t xml:space="preserve"> ou </w:t>
      </w:r>
      <w:r w:rsidR="00E3674F" w:rsidRPr="00B65233">
        <w:rPr>
          <w:rFonts w:cs="Times New Roman"/>
          <w:kern w:val="22"/>
          <w:sz w:val="22"/>
          <w:lang w:val="fr-FR"/>
        </w:rPr>
        <w:t>connaissances traditionnelles</w:t>
      </w:r>
      <w:r w:rsidR="00F15982" w:rsidRPr="00B65233">
        <w:rPr>
          <w:rFonts w:cs="Times New Roman"/>
          <w:kern w:val="22"/>
          <w:sz w:val="22"/>
          <w:lang w:val="fr-FR"/>
        </w:rPr>
        <w:t xml:space="preserve"> </w:t>
      </w:r>
      <w:r w:rsidR="00027BDD">
        <w:rPr>
          <w:rFonts w:cs="Times New Roman"/>
          <w:kern w:val="22"/>
          <w:sz w:val="22"/>
          <w:lang w:val="fr-FR"/>
        </w:rPr>
        <w:t>se t</w:t>
      </w:r>
      <w:r>
        <w:rPr>
          <w:rFonts w:cs="Times New Roman"/>
          <w:kern w:val="22"/>
          <w:sz w:val="22"/>
          <w:lang w:val="fr-FR"/>
        </w:rPr>
        <w:t>rouvent en dehors des ha</w:t>
      </w:r>
      <w:r w:rsidR="00F15982" w:rsidRPr="00B65233">
        <w:rPr>
          <w:rFonts w:cs="Times New Roman"/>
          <w:kern w:val="22"/>
          <w:sz w:val="22"/>
          <w:lang w:val="fr-FR"/>
        </w:rPr>
        <w:t>bitats</w:t>
      </w:r>
      <w:r>
        <w:rPr>
          <w:rFonts w:cs="Times New Roman"/>
          <w:kern w:val="22"/>
          <w:sz w:val="22"/>
          <w:lang w:val="fr-FR"/>
        </w:rPr>
        <w:t xml:space="preserve"> dans lesquelles</w:t>
      </w:r>
      <w:r w:rsidR="00027BDD">
        <w:rPr>
          <w:rFonts w:cs="Times New Roman"/>
          <w:kern w:val="22"/>
          <w:sz w:val="22"/>
          <w:lang w:val="fr-FR"/>
        </w:rPr>
        <w:t xml:space="preserve"> elles ont développé leurs caractéristique</w:t>
      </w:r>
      <w:r w:rsidR="00F15982" w:rsidRPr="00B65233">
        <w:rPr>
          <w:rFonts w:cs="Times New Roman"/>
          <w:kern w:val="22"/>
          <w:sz w:val="22"/>
          <w:lang w:val="fr-FR"/>
        </w:rPr>
        <w:t xml:space="preserve">s </w:t>
      </w:r>
      <w:r w:rsidR="00027BDD">
        <w:rPr>
          <w:rFonts w:cs="Times New Roman"/>
          <w:kern w:val="22"/>
          <w:sz w:val="22"/>
          <w:lang w:val="fr-FR"/>
        </w:rPr>
        <w:t>particulières</w:t>
      </w:r>
      <w:r>
        <w:rPr>
          <w:rFonts w:cs="Times New Roman"/>
          <w:kern w:val="22"/>
          <w:sz w:val="22"/>
          <w:lang w:val="fr-FR"/>
        </w:rPr>
        <w:t>,</w:t>
      </w:r>
      <w:r w:rsidR="00027BDD">
        <w:rPr>
          <w:rFonts w:cs="Times New Roman"/>
          <w:kern w:val="22"/>
          <w:sz w:val="22"/>
          <w:lang w:val="fr-FR"/>
        </w:rPr>
        <w:t xml:space="preserve"> dans plusieurs </w:t>
      </w:r>
      <w:r>
        <w:rPr>
          <w:rFonts w:cs="Times New Roman"/>
          <w:kern w:val="22"/>
          <w:sz w:val="22"/>
          <w:lang w:val="fr-FR"/>
        </w:rPr>
        <w:t>juridiction</w:t>
      </w:r>
      <w:r w:rsidR="008A5BE1" w:rsidRPr="00B65233">
        <w:rPr>
          <w:rFonts w:cs="Times New Roman"/>
          <w:kern w:val="22"/>
          <w:sz w:val="22"/>
          <w:lang w:val="fr-FR"/>
        </w:rPr>
        <w:t>s</w:t>
      </w:r>
      <w:r>
        <w:rPr>
          <w:rFonts w:cs="Times New Roman"/>
          <w:kern w:val="22"/>
          <w:sz w:val="22"/>
          <w:lang w:val="fr-FR"/>
        </w:rPr>
        <w:t xml:space="preserve"> nationales</w:t>
      </w:r>
      <w:r w:rsidR="00F15982" w:rsidRPr="00B65233">
        <w:rPr>
          <w:rFonts w:cs="Times New Roman"/>
          <w:kern w:val="22"/>
          <w:sz w:val="22"/>
          <w:lang w:val="fr-FR"/>
        </w:rPr>
        <w:t>.</w:t>
      </w:r>
      <w:r w:rsidR="00F15982" w:rsidRPr="002364AB">
        <w:rPr>
          <w:rStyle w:val="FootnoteReference"/>
          <w:rFonts w:cs="Times New Roman"/>
          <w:kern w:val="22"/>
          <w:sz w:val="22"/>
          <w:lang w:val="en-GB"/>
        </w:rPr>
        <w:footnoteReference w:id="39"/>
      </w:r>
    </w:p>
    <w:p w14:paraId="75FBD50F" w14:textId="71CDD4C1" w:rsidR="00B80668" w:rsidRPr="00B65233" w:rsidRDefault="00CD1466" w:rsidP="00B80668">
      <w:pPr>
        <w:rPr>
          <w:rFonts w:cs="Times New Roman"/>
          <w:kern w:val="22"/>
          <w:sz w:val="22"/>
          <w:lang w:val="fr-FR"/>
        </w:rPr>
      </w:pPr>
      <w:r w:rsidRPr="00B65233">
        <w:rPr>
          <w:rFonts w:cs="Times New Roman"/>
          <w:kern w:val="22"/>
          <w:sz w:val="22"/>
          <w:lang w:val="fr-FR"/>
        </w:rPr>
        <w:t>Des e</w:t>
      </w:r>
      <w:r w:rsidR="009D43F1" w:rsidRPr="00B65233">
        <w:rPr>
          <w:rFonts w:cs="Times New Roman"/>
          <w:kern w:val="22"/>
          <w:sz w:val="22"/>
          <w:lang w:val="fr-FR"/>
        </w:rPr>
        <w:t>xemple</w:t>
      </w:r>
      <w:r w:rsidRPr="00B65233">
        <w:rPr>
          <w:rFonts w:cs="Times New Roman"/>
          <w:kern w:val="22"/>
          <w:sz w:val="22"/>
          <w:lang w:val="fr-FR"/>
        </w:rPr>
        <w:t>s de ces situations sont</w:t>
      </w:r>
      <w:r w:rsidR="008B253A" w:rsidRPr="00B65233">
        <w:rPr>
          <w:rFonts w:cs="Times New Roman"/>
          <w:kern w:val="22"/>
          <w:sz w:val="22"/>
          <w:lang w:val="fr-FR"/>
        </w:rPr>
        <w:t xml:space="preserve"> </w:t>
      </w:r>
      <w:r w:rsidR="00B83E01" w:rsidRPr="00B65233">
        <w:rPr>
          <w:rFonts w:cs="Times New Roman"/>
          <w:kern w:val="22"/>
          <w:sz w:val="22"/>
          <w:lang w:val="fr-FR"/>
        </w:rPr>
        <w:t>fournis</w:t>
      </w:r>
      <w:r w:rsidR="009C2A5C" w:rsidRPr="00B65233">
        <w:rPr>
          <w:rFonts w:cs="Times New Roman"/>
          <w:kern w:val="22"/>
          <w:sz w:val="22"/>
          <w:lang w:val="fr-FR"/>
        </w:rPr>
        <w:t xml:space="preserve"> </w:t>
      </w:r>
      <w:r w:rsidRPr="00B65233">
        <w:rPr>
          <w:rFonts w:cs="Times New Roman"/>
          <w:kern w:val="22"/>
          <w:sz w:val="22"/>
          <w:lang w:val="fr-FR"/>
        </w:rPr>
        <w:t>ci-dessous</w:t>
      </w:r>
      <w:r w:rsidR="007375F2" w:rsidRPr="00B65233">
        <w:rPr>
          <w:rFonts w:cs="Times New Roman"/>
          <w:kern w:val="22"/>
          <w:sz w:val="22"/>
          <w:lang w:val="fr-FR"/>
        </w:rPr>
        <w:t>,</w:t>
      </w:r>
      <w:r w:rsidR="00D6232E" w:rsidRPr="00B65233">
        <w:rPr>
          <w:rFonts w:cs="Times New Roman"/>
          <w:kern w:val="22"/>
          <w:sz w:val="22"/>
          <w:lang w:val="fr-FR"/>
        </w:rPr>
        <w:t xml:space="preserve"> </w:t>
      </w:r>
      <w:r w:rsidR="00027BDD">
        <w:rPr>
          <w:rFonts w:cs="Times New Roman"/>
          <w:kern w:val="22"/>
          <w:sz w:val="22"/>
          <w:lang w:val="fr-FR"/>
        </w:rPr>
        <w:t>sachant que certa</w:t>
      </w:r>
      <w:r w:rsidR="00D530A5">
        <w:rPr>
          <w:rFonts w:cs="Times New Roman"/>
          <w:kern w:val="22"/>
          <w:sz w:val="22"/>
          <w:lang w:val="fr-FR"/>
        </w:rPr>
        <w:t>ines situations peuvent être abord</w:t>
      </w:r>
      <w:r w:rsidR="00027BDD">
        <w:rPr>
          <w:rFonts w:cs="Times New Roman"/>
          <w:kern w:val="22"/>
          <w:sz w:val="22"/>
          <w:lang w:val="fr-FR"/>
        </w:rPr>
        <w:t>ées dans le cadre de l’</w:t>
      </w:r>
      <w:r w:rsidR="00FD73A5" w:rsidRPr="00B65233">
        <w:rPr>
          <w:rFonts w:cs="Times New Roman"/>
          <w:kern w:val="22"/>
          <w:sz w:val="22"/>
          <w:lang w:val="fr-FR"/>
        </w:rPr>
        <w:t>article</w:t>
      </w:r>
      <w:r w:rsidR="007375F2" w:rsidRPr="00B65233">
        <w:rPr>
          <w:rFonts w:cs="Times New Roman"/>
          <w:kern w:val="22"/>
          <w:sz w:val="22"/>
          <w:lang w:val="fr-FR"/>
        </w:rPr>
        <w:t xml:space="preserve"> </w:t>
      </w:r>
      <w:r w:rsidR="00177470" w:rsidRPr="00B65233">
        <w:rPr>
          <w:rFonts w:cs="Times New Roman"/>
          <w:kern w:val="22"/>
          <w:sz w:val="22"/>
          <w:lang w:val="fr-FR"/>
        </w:rPr>
        <w:t>10</w:t>
      </w:r>
      <w:r w:rsidR="0028742E" w:rsidRPr="00B65233">
        <w:rPr>
          <w:rFonts w:cs="Times New Roman"/>
          <w:kern w:val="22"/>
          <w:sz w:val="22"/>
          <w:lang w:val="fr-FR"/>
        </w:rPr>
        <w:t xml:space="preserve"> ou </w:t>
      </w:r>
      <w:r w:rsidR="00027BDD">
        <w:rPr>
          <w:rFonts w:cs="Times New Roman"/>
          <w:kern w:val="22"/>
          <w:sz w:val="22"/>
          <w:lang w:val="fr-FR"/>
        </w:rPr>
        <w:t>de l’</w:t>
      </w:r>
      <w:r w:rsidR="00FD73A5" w:rsidRPr="00B65233">
        <w:rPr>
          <w:rFonts w:cs="Times New Roman"/>
          <w:kern w:val="22"/>
          <w:sz w:val="22"/>
          <w:lang w:val="fr-FR"/>
        </w:rPr>
        <w:t>article</w:t>
      </w:r>
      <w:r w:rsidR="002E1A47" w:rsidRPr="00B65233">
        <w:rPr>
          <w:rFonts w:cs="Times New Roman"/>
          <w:kern w:val="22"/>
          <w:sz w:val="22"/>
          <w:lang w:val="fr-FR"/>
        </w:rPr>
        <w:t xml:space="preserve"> </w:t>
      </w:r>
      <w:r w:rsidR="007375F2" w:rsidRPr="00B65233">
        <w:rPr>
          <w:rFonts w:cs="Times New Roman"/>
          <w:kern w:val="22"/>
          <w:sz w:val="22"/>
          <w:lang w:val="fr-FR"/>
        </w:rPr>
        <w:t>11</w:t>
      </w:r>
      <w:r w:rsidR="00D530A5">
        <w:rPr>
          <w:rFonts w:cs="Times New Roman"/>
          <w:kern w:val="22"/>
          <w:sz w:val="22"/>
          <w:lang w:val="fr-FR"/>
        </w:rPr>
        <w:t xml:space="preserve"> du Protocole</w:t>
      </w:r>
      <w:r w:rsidR="006E4A8A" w:rsidRPr="00B65233">
        <w:rPr>
          <w:rFonts w:cs="Times New Roman"/>
          <w:kern w:val="22"/>
          <w:sz w:val="22"/>
          <w:lang w:val="fr-FR"/>
        </w:rPr>
        <w:t>,</w:t>
      </w:r>
      <w:r w:rsidR="00D530A5">
        <w:rPr>
          <w:rFonts w:cs="Times New Roman"/>
          <w:kern w:val="22"/>
          <w:sz w:val="22"/>
          <w:lang w:val="fr-FR"/>
        </w:rPr>
        <w:t xml:space="preserve"> tandis que d’autres </w:t>
      </w:r>
      <w:r w:rsidR="00027BDD">
        <w:rPr>
          <w:rFonts w:cs="Times New Roman"/>
          <w:kern w:val="22"/>
          <w:sz w:val="22"/>
          <w:lang w:val="fr-FR"/>
        </w:rPr>
        <w:t>situatio</w:t>
      </w:r>
      <w:r w:rsidR="00D530A5">
        <w:rPr>
          <w:rFonts w:cs="Times New Roman"/>
          <w:kern w:val="22"/>
          <w:sz w:val="22"/>
          <w:lang w:val="fr-FR"/>
        </w:rPr>
        <w:t>ns n’entreront pas dans</w:t>
      </w:r>
      <w:r w:rsidR="00027BDD">
        <w:rPr>
          <w:rFonts w:cs="Times New Roman"/>
          <w:kern w:val="22"/>
          <w:sz w:val="22"/>
          <w:lang w:val="fr-FR"/>
        </w:rPr>
        <w:t xml:space="preserve"> </w:t>
      </w:r>
      <w:r w:rsidR="00D530A5">
        <w:rPr>
          <w:rFonts w:cs="Times New Roman"/>
          <w:kern w:val="22"/>
          <w:sz w:val="22"/>
          <w:lang w:val="fr-FR"/>
        </w:rPr>
        <w:t xml:space="preserve">le </w:t>
      </w:r>
      <w:r w:rsidR="00775976" w:rsidRPr="00B65233">
        <w:rPr>
          <w:rFonts w:cs="Times New Roman"/>
          <w:kern w:val="22"/>
          <w:sz w:val="22"/>
          <w:lang w:val="fr-FR"/>
        </w:rPr>
        <w:t>champ</w:t>
      </w:r>
      <w:r w:rsidR="008F38B0" w:rsidRPr="00B65233">
        <w:rPr>
          <w:rFonts w:cs="Times New Roman"/>
          <w:kern w:val="22"/>
          <w:sz w:val="22"/>
          <w:lang w:val="fr-FR"/>
        </w:rPr>
        <w:t xml:space="preserve"> d’application</w:t>
      </w:r>
      <w:r w:rsidR="001B24DF" w:rsidRPr="00B65233">
        <w:rPr>
          <w:rFonts w:cs="Times New Roman"/>
          <w:kern w:val="22"/>
          <w:sz w:val="22"/>
          <w:lang w:val="fr-FR"/>
        </w:rPr>
        <w:t xml:space="preserve"> </w:t>
      </w:r>
      <w:r w:rsidR="004F1D8A">
        <w:rPr>
          <w:rFonts w:cs="Times New Roman"/>
          <w:kern w:val="22"/>
          <w:sz w:val="22"/>
          <w:lang w:val="fr-FR"/>
        </w:rPr>
        <w:t xml:space="preserve">de la </w:t>
      </w:r>
      <w:r w:rsidR="007347F7">
        <w:rPr>
          <w:rFonts w:cs="Times New Roman"/>
          <w:kern w:val="22"/>
          <w:sz w:val="22"/>
          <w:lang w:val="fr-FR"/>
        </w:rPr>
        <w:t>Convention</w:t>
      </w:r>
      <w:r w:rsidR="00D530A5">
        <w:rPr>
          <w:rFonts w:cs="Times New Roman"/>
          <w:kern w:val="22"/>
          <w:sz w:val="22"/>
          <w:lang w:val="fr-FR"/>
        </w:rPr>
        <w:t xml:space="preserve"> ou</w:t>
      </w:r>
      <w:r w:rsidR="00E3674F" w:rsidRPr="00B65233">
        <w:rPr>
          <w:rFonts w:cs="Times New Roman"/>
          <w:kern w:val="22"/>
          <w:sz w:val="22"/>
          <w:lang w:val="fr-FR"/>
        </w:rPr>
        <w:t xml:space="preserve"> </w:t>
      </w:r>
      <w:r w:rsidR="004F1D8A">
        <w:rPr>
          <w:rFonts w:cs="Times New Roman"/>
          <w:kern w:val="22"/>
          <w:sz w:val="22"/>
          <w:lang w:val="fr-FR"/>
        </w:rPr>
        <w:t xml:space="preserve">du </w:t>
      </w:r>
      <w:r w:rsidR="001B24DF" w:rsidRPr="00B65233">
        <w:rPr>
          <w:rFonts w:cs="Times New Roman"/>
          <w:kern w:val="22"/>
          <w:sz w:val="22"/>
          <w:lang w:val="fr-FR"/>
        </w:rPr>
        <w:t>Protocol</w:t>
      </w:r>
      <w:r w:rsidR="004F1D8A">
        <w:rPr>
          <w:rFonts w:cs="Times New Roman"/>
          <w:kern w:val="22"/>
          <w:sz w:val="22"/>
          <w:lang w:val="fr-FR"/>
        </w:rPr>
        <w:t>e</w:t>
      </w:r>
      <w:r w:rsidR="00C21954" w:rsidRPr="00B65233">
        <w:rPr>
          <w:rFonts w:cs="Times New Roman"/>
          <w:kern w:val="22"/>
          <w:sz w:val="22"/>
          <w:lang w:val="fr-FR"/>
        </w:rPr>
        <w:t>.</w:t>
      </w:r>
    </w:p>
    <w:p w14:paraId="4351DB9D" w14:textId="2D41D358" w:rsidR="00FC5588" w:rsidRPr="00651FB0" w:rsidRDefault="00651FB0" w:rsidP="00C44EBD">
      <w:pPr>
        <w:pStyle w:val="Heading2"/>
        <w:rPr>
          <w:kern w:val="22"/>
          <w:sz w:val="22"/>
          <w:szCs w:val="22"/>
          <w:lang w:val="fr-FR"/>
        </w:rPr>
      </w:pPr>
      <w:bookmarkStart w:id="57" w:name="_Toc30776997"/>
      <w:bookmarkStart w:id="58" w:name="_Toc30777019"/>
      <w:bookmarkStart w:id="59" w:name="_Toc30777055"/>
      <w:bookmarkStart w:id="60" w:name="_Toc30777170"/>
      <w:bookmarkStart w:id="61" w:name="_Toc30777197"/>
      <w:bookmarkStart w:id="62" w:name="_Toc30979014"/>
      <w:bookmarkStart w:id="63" w:name="_Toc31040287"/>
      <w:bookmarkStart w:id="64" w:name="_Toc31024059"/>
      <w:bookmarkStart w:id="65" w:name="_Toc31035007"/>
      <w:bookmarkStart w:id="66" w:name="_Toc31035125"/>
      <w:bookmarkStart w:id="67" w:name="_Toc31035203"/>
      <w:bookmarkStart w:id="68" w:name="_Toc31035227"/>
      <w:bookmarkStart w:id="69" w:name="_Toc31056854"/>
      <w:bookmarkStart w:id="70" w:name="_Toc31035345"/>
      <w:bookmarkStart w:id="71" w:name="_Toc31035495"/>
      <w:bookmarkStart w:id="72" w:name="_Toc31035515"/>
      <w:bookmarkStart w:id="73" w:name="_Toc31036207"/>
      <w:bookmarkStart w:id="74" w:name="_Toc31036980"/>
      <w:bookmarkStart w:id="75" w:name="_Toc31042114"/>
      <w:bookmarkStart w:id="76" w:name="_Toc32398769"/>
      <w:bookmarkStart w:id="77" w:name="_Toc32490804"/>
      <w:bookmarkStart w:id="78" w:name="_Toc32490848"/>
      <w:bookmarkStart w:id="79" w:name="_Toc32477709"/>
      <w:bookmarkStart w:id="80" w:name="_Toc33744279"/>
      <w:bookmarkStart w:id="81" w:name="_Toc33783831"/>
      <w:bookmarkStart w:id="82" w:name="_Toc33904776"/>
      <w:bookmarkStart w:id="83" w:name="_Toc33976905"/>
      <w:bookmarkStart w:id="84" w:name="_Toc33977021"/>
      <w:bookmarkStart w:id="85" w:name="_Toc33989556"/>
      <w:bookmarkStart w:id="86" w:name="_Toc33989676"/>
      <w:bookmarkStart w:id="87" w:name="_Toc32398770"/>
      <w:bookmarkStart w:id="88" w:name="_Toc32490805"/>
      <w:bookmarkStart w:id="89" w:name="_Toc32490849"/>
      <w:bookmarkStart w:id="90" w:name="_Toc32477710"/>
      <w:bookmarkStart w:id="91" w:name="_Toc33744280"/>
      <w:bookmarkStart w:id="92" w:name="_Toc33783832"/>
      <w:bookmarkStart w:id="93" w:name="_Toc33904777"/>
      <w:bookmarkStart w:id="94" w:name="_Toc33976906"/>
      <w:bookmarkStart w:id="95" w:name="_Toc33977022"/>
      <w:bookmarkStart w:id="96" w:name="_Toc33989557"/>
      <w:bookmarkStart w:id="97" w:name="_Toc33989677"/>
      <w:bookmarkStart w:id="98" w:name="_Toc31040288"/>
      <w:bookmarkStart w:id="99" w:name="_Toc31056856"/>
      <w:bookmarkStart w:id="100" w:name="_Toc32490850"/>
      <w:bookmarkStart w:id="101" w:name="_Toc34249583"/>
      <w:bookmarkStart w:id="102" w:name="_Toc39580426"/>
      <w:bookmarkStart w:id="103" w:name="_Toc4891479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51FB0">
        <w:rPr>
          <w:kern w:val="22"/>
          <w:sz w:val="22"/>
          <w:szCs w:val="22"/>
          <w:lang w:val="fr-FR"/>
        </w:rPr>
        <w:lastRenderedPageBreak/>
        <w:t>Écosystèmes et habitats/espèces partagés</w:t>
      </w:r>
      <w:r w:rsidR="00D6232E">
        <w:rPr>
          <w:kern w:val="22"/>
          <w:sz w:val="22"/>
          <w:szCs w:val="22"/>
          <w:lang w:val="fr-FR"/>
        </w:rPr>
        <w:t xml:space="preserve"> entre plusieurs</w:t>
      </w:r>
      <w:bookmarkEnd w:id="98"/>
      <w:bookmarkEnd w:id="99"/>
      <w:bookmarkEnd w:id="100"/>
      <w:bookmarkEnd w:id="101"/>
      <w:bookmarkEnd w:id="102"/>
      <w:r w:rsidR="00D530A5">
        <w:rPr>
          <w:kern w:val="22"/>
          <w:sz w:val="22"/>
          <w:szCs w:val="22"/>
          <w:lang w:val="fr-FR"/>
        </w:rPr>
        <w:t xml:space="preserve"> juridictions nationales</w:t>
      </w:r>
      <w:bookmarkEnd w:id="103"/>
    </w:p>
    <w:p w14:paraId="76B804DA" w14:textId="2CC2F9E1" w:rsidR="007D03C2" w:rsidRPr="004F1D8A" w:rsidRDefault="00775976" w:rsidP="00B80668">
      <w:pPr>
        <w:rPr>
          <w:kern w:val="22"/>
          <w:sz w:val="22"/>
          <w:lang w:val="fr-FR"/>
        </w:rPr>
      </w:pPr>
      <w:r w:rsidRPr="00775976">
        <w:rPr>
          <w:kern w:val="22"/>
          <w:sz w:val="22"/>
          <w:lang w:val="fr-FR"/>
        </w:rPr>
        <w:t xml:space="preserve">Certaines </w:t>
      </w:r>
      <w:r w:rsidR="00651FB0" w:rsidRPr="00775976">
        <w:rPr>
          <w:kern w:val="22"/>
          <w:sz w:val="22"/>
          <w:lang w:val="fr-FR"/>
        </w:rPr>
        <w:t>espèces</w:t>
      </w:r>
      <w:r w:rsidR="00D530A5">
        <w:rPr>
          <w:kern w:val="22"/>
          <w:sz w:val="22"/>
          <w:lang w:val="fr-FR"/>
        </w:rPr>
        <w:t xml:space="preserve"> sont présentes</w:t>
      </w:r>
      <w:r w:rsidRPr="00775976">
        <w:rPr>
          <w:kern w:val="22"/>
          <w:sz w:val="22"/>
          <w:lang w:val="fr-FR"/>
        </w:rPr>
        <w:t xml:space="preserve"> dans de</w:t>
      </w:r>
      <w:r>
        <w:rPr>
          <w:kern w:val="22"/>
          <w:sz w:val="22"/>
          <w:lang w:val="fr-FR"/>
        </w:rPr>
        <w:t>s</w:t>
      </w:r>
      <w:r w:rsidR="00AC44BD" w:rsidRPr="00775976">
        <w:rPr>
          <w:kern w:val="22"/>
          <w:sz w:val="22"/>
          <w:lang w:val="fr-FR"/>
        </w:rPr>
        <w:t xml:space="preserve"> </w:t>
      </w:r>
      <w:r>
        <w:rPr>
          <w:kern w:val="22"/>
          <w:sz w:val="22"/>
          <w:lang w:val="fr-FR"/>
        </w:rPr>
        <w:t>pays voisin</w:t>
      </w:r>
      <w:r w:rsidR="00FB2FE9" w:rsidRPr="00775976">
        <w:rPr>
          <w:kern w:val="22"/>
          <w:sz w:val="22"/>
          <w:lang w:val="fr-FR"/>
        </w:rPr>
        <w:t>s</w:t>
      </w:r>
      <w:r w:rsidR="007D1E9C" w:rsidRPr="00775976">
        <w:rPr>
          <w:kern w:val="22"/>
          <w:sz w:val="22"/>
          <w:lang w:val="fr-FR"/>
        </w:rPr>
        <w:t>,</w:t>
      </w:r>
      <w:r w:rsidR="00AC44BD" w:rsidRPr="00775976">
        <w:rPr>
          <w:kern w:val="22"/>
          <w:sz w:val="22"/>
          <w:lang w:val="fr-FR"/>
        </w:rPr>
        <w:t xml:space="preserve"> </w:t>
      </w:r>
      <w:r w:rsidR="00733DB1" w:rsidRPr="00775976">
        <w:rPr>
          <w:kern w:val="22"/>
          <w:sz w:val="22"/>
          <w:lang w:val="fr-FR"/>
        </w:rPr>
        <w:t>tels que</w:t>
      </w:r>
      <w:r w:rsidR="00703BE4">
        <w:rPr>
          <w:kern w:val="22"/>
          <w:sz w:val="22"/>
          <w:lang w:val="fr-FR"/>
        </w:rPr>
        <w:t xml:space="preserve"> l’espèce </w:t>
      </w:r>
      <w:r w:rsidR="00AC44BD" w:rsidRPr="00775976">
        <w:rPr>
          <w:i/>
          <w:iCs/>
          <w:kern w:val="22"/>
          <w:sz w:val="22"/>
          <w:lang w:val="fr-FR"/>
        </w:rPr>
        <w:t>Pentas longiflora</w:t>
      </w:r>
      <w:r w:rsidR="00AC44BD" w:rsidRPr="00775976">
        <w:rPr>
          <w:kern w:val="22"/>
          <w:sz w:val="22"/>
          <w:lang w:val="fr-FR"/>
        </w:rPr>
        <w:t xml:space="preserve">, </w:t>
      </w:r>
      <w:r w:rsidR="004F1D8A">
        <w:rPr>
          <w:kern w:val="22"/>
          <w:sz w:val="22"/>
          <w:lang w:val="fr-FR"/>
        </w:rPr>
        <w:t>qui est utilisé</w:t>
      </w:r>
      <w:r w:rsidR="00D530A5">
        <w:rPr>
          <w:kern w:val="22"/>
          <w:sz w:val="22"/>
          <w:lang w:val="fr-FR"/>
        </w:rPr>
        <w:t>e</w:t>
      </w:r>
      <w:r w:rsidR="00AC44BD" w:rsidRPr="00775976">
        <w:rPr>
          <w:kern w:val="22"/>
          <w:sz w:val="22"/>
          <w:lang w:val="fr-FR"/>
        </w:rPr>
        <w:t xml:space="preserve"> </w:t>
      </w:r>
      <w:r w:rsidR="004F1D8A">
        <w:rPr>
          <w:kern w:val="22"/>
          <w:sz w:val="22"/>
          <w:lang w:val="fr-FR"/>
        </w:rPr>
        <w:t>traditionnellement</w:t>
      </w:r>
      <w:r>
        <w:rPr>
          <w:kern w:val="22"/>
          <w:sz w:val="22"/>
          <w:lang w:val="fr-FR"/>
        </w:rPr>
        <w:t xml:space="preserve"> </w:t>
      </w:r>
      <w:r w:rsidR="004F1D8A">
        <w:rPr>
          <w:kern w:val="22"/>
          <w:sz w:val="22"/>
          <w:lang w:val="fr-FR"/>
        </w:rPr>
        <w:t>comme trait</w:t>
      </w:r>
      <w:r w:rsidR="00D530A5">
        <w:rPr>
          <w:kern w:val="22"/>
          <w:sz w:val="22"/>
          <w:lang w:val="fr-FR"/>
        </w:rPr>
        <w:t>ement contre les mycoses</w:t>
      </w:r>
      <w:r w:rsidR="004F1D8A">
        <w:rPr>
          <w:kern w:val="22"/>
          <w:sz w:val="22"/>
          <w:lang w:val="fr-FR"/>
        </w:rPr>
        <w:t xml:space="preserve"> en </w:t>
      </w:r>
      <w:r>
        <w:rPr>
          <w:kern w:val="22"/>
          <w:sz w:val="22"/>
          <w:lang w:val="fr-FR"/>
        </w:rPr>
        <w:t>Ou</w:t>
      </w:r>
      <w:r w:rsidR="00AC44BD" w:rsidRPr="00775976">
        <w:rPr>
          <w:kern w:val="22"/>
          <w:sz w:val="22"/>
          <w:lang w:val="fr-FR"/>
        </w:rPr>
        <w:t>ganda,</w:t>
      </w:r>
      <w:r w:rsidR="00AC44BD" w:rsidRPr="002364AB">
        <w:rPr>
          <w:rStyle w:val="FootnoteReference"/>
          <w:kern w:val="22"/>
          <w:sz w:val="22"/>
          <w:lang w:val="en-GB"/>
        </w:rPr>
        <w:footnoteReference w:id="40"/>
      </w:r>
      <w:r w:rsidR="00AC44BD" w:rsidRPr="00775976">
        <w:rPr>
          <w:kern w:val="22"/>
          <w:sz w:val="22"/>
          <w:lang w:val="fr-FR"/>
        </w:rPr>
        <w:t xml:space="preserve"> </w:t>
      </w:r>
      <w:r w:rsidR="004F1D8A">
        <w:rPr>
          <w:kern w:val="22"/>
          <w:sz w:val="22"/>
          <w:lang w:val="fr-FR"/>
        </w:rPr>
        <w:t xml:space="preserve">mais que l’on trouve aussi </w:t>
      </w:r>
      <w:r w:rsidR="00D530A5">
        <w:rPr>
          <w:kern w:val="22"/>
          <w:sz w:val="22"/>
          <w:lang w:val="fr-FR"/>
        </w:rPr>
        <w:t xml:space="preserve">au </w:t>
      </w:r>
      <w:r w:rsidR="00AC44BD" w:rsidRPr="00775976">
        <w:rPr>
          <w:kern w:val="22"/>
          <w:sz w:val="22"/>
          <w:lang w:val="fr-FR"/>
        </w:rPr>
        <w:t>Kenya.</w:t>
      </w:r>
      <w:r w:rsidR="00AC44BD" w:rsidRPr="002364AB">
        <w:rPr>
          <w:rStyle w:val="FootnoteReference"/>
          <w:kern w:val="22"/>
          <w:sz w:val="22"/>
          <w:lang w:val="en-GB"/>
        </w:rPr>
        <w:footnoteReference w:id="41"/>
      </w:r>
      <w:r w:rsidR="00D530A5">
        <w:rPr>
          <w:kern w:val="22"/>
          <w:sz w:val="22"/>
          <w:lang w:val="fr-FR"/>
        </w:rPr>
        <w:t xml:space="preserve"> D’autres</w:t>
      </w:r>
      <w:r w:rsidR="004F1D8A">
        <w:rPr>
          <w:kern w:val="22"/>
          <w:sz w:val="22"/>
          <w:lang w:val="fr-FR"/>
        </w:rPr>
        <w:t xml:space="preserve"> espèces se trouvent dans </w:t>
      </w:r>
      <w:r w:rsidR="00D530A5">
        <w:rPr>
          <w:kern w:val="22"/>
          <w:sz w:val="22"/>
          <w:lang w:val="fr-FR"/>
        </w:rPr>
        <w:t>plusieurs pays à une</w:t>
      </w:r>
      <w:r w:rsidR="004F1D8A">
        <w:rPr>
          <w:kern w:val="22"/>
          <w:sz w:val="22"/>
          <w:lang w:val="fr-FR"/>
        </w:rPr>
        <w:t xml:space="preserve"> échelle</w:t>
      </w:r>
      <w:r w:rsidR="00D530A5">
        <w:rPr>
          <w:kern w:val="22"/>
          <w:sz w:val="22"/>
          <w:lang w:val="fr-FR"/>
        </w:rPr>
        <w:t xml:space="preserve"> plus étendue</w:t>
      </w:r>
      <w:r w:rsidR="004F1D8A">
        <w:rPr>
          <w:kern w:val="22"/>
          <w:sz w:val="22"/>
          <w:lang w:val="fr-FR"/>
        </w:rPr>
        <w:t xml:space="preserve">, comme </w:t>
      </w:r>
      <w:r w:rsidRPr="00775976">
        <w:rPr>
          <w:kern w:val="22"/>
          <w:sz w:val="22"/>
          <w:lang w:val="fr-FR"/>
        </w:rPr>
        <w:t>l</w:t>
      </w:r>
      <w:r w:rsidR="00C33E5E" w:rsidRPr="00775976">
        <w:rPr>
          <w:kern w:val="22"/>
          <w:sz w:val="22"/>
          <w:lang w:val="fr-FR"/>
        </w:rPr>
        <w:t>a Pervenche rose</w:t>
      </w:r>
      <w:r w:rsidRPr="00775976">
        <w:rPr>
          <w:kern w:val="22"/>
          <w:sz w:val="22"/>
          <w:lang w:val="fr-FR"/>
        </w:rPr>
        <w:t xml:space="preserve"> (</w:t>
      </w:r>
      <w:r w:rsidR="006A1ED0" w:rsidRPr="00775976">
        <w:rPr>
          <w:i/>
          <w:iCs/>
          <w:kern w:val="22"/>
          <w:sz w:val="22"/>
          <w:lang w:val="fr-FR"/>
        </w:rPr>
        <w:t>Catharanthus roseus</w:t>
      </w:r>
      <w:r w:rsidRPr="00775976">
        <w:rPr>
          <w:i/>
          <w:iCs/>
          <w:kern w:val="22"/>
          <w:sz w:val="22"/>
          <w:lang w:val="fr-FR"/>
        </w:rPr>
        <w:t>)</w:t>
      </w:r>
      <w:r w:rsidR="006A1ED0" w:rsidRPr="00775976">
        <w:rPr>
          <w:kern w:val="22"/>
          <w:sz w:val="22"/>
          <w:lang w:val="fr-FR"/>
        </w:rPr>
        <w:t xml:space="preserve">, </w:t>
      </w:r>
      <w:r w:rsidRPr="00775976">
        <w:rPr>
          <w:kern w:val="22"/>
          <w:sz w:val="22"/>
          <w:lang w:val="fr-FR"/>
        </w:rPr>
        <w:t>qui est originaire de</w:t>
      </w:r>
      <w:r w:rsidR="006A1ED0" w:rsidRPr="00775976">
        <w:rPr>
          <w:kern w:val="22"/>
          <w:sz w:val="22"/>
          <w:lang w:val="fr-FR"/>
        </w:rPr>
        <w:t xml:space="preserve"> Madagascar, </w:t>
      </w:r>
      <w:r w:rsidR="004F1D8A">
        <w:rPr>
          <w:kern w:val="22"/>
          <w:sz w:val="22"/>
          <w:lang w:val="fr-FR"/>
        </w:rPr>
        <w:t>mais semble avoir été cultivée et naturalisée depuis longtemps en Inde, et dans d’autres endroits également</w:t>
      </w:r>
      <w:r w:rsidR="00A23812" w:rsidRPr="00775976">
        <w:rPr>
          <w:kern w:val="22"/>
          <w:sz w:val="22"/>
          <w:lang w:val="fr-FR"/>
        </w:rPr>
        <w:t>.</w:t>
      </w:r>
      <w:r w:rsidR="006A1ED0" w:rsidRPr="002364AB">
        <w:rPr>
          <w:rStyle w:val="FootnoteReference"/>
          <w:kern w:val="22"/>
          <w:sz w:val="22"/>
          <w:lang w:val="en-GB"/>
        </w:rPr>
        <w:footnoteReference w:id="42"/>
      </w:r>
      <w:r w:rsidR="00F00705" w:rsidRPr="00775976">
        <w:rPr>
          <w:kern w:val="22"/>
          <w:sz w:val="22"/>
          <w:lang w:val="fr-FR"/>
        </w:rPr>
        <w:t xml:space="preserve"> </w:t>
      </w:r>
      <w:r w:rsidR="00D530A5">
        <w:rPr>
          <w:kern w:val="22"/>
          <w:sz w:val="22"/>
          <w:lang w:val="fr-FR"/>
        </w:rPr>
        <w:t>Un compendium</w:t>
      </w:r>
      <w:r w:rsidR="004F1D8A" w:rsidRPr="004F1D8A">
        <w:rPr>
          <w:kern w:val="22"/>
          <w:sz w:val="22"/>
          <w:lang w:val="fr-FR"/>
        </w:rPr>
        <w:t xml:space="preserve"> des plantes médicinales d’</w:t>
      </w:r>
      <w:r w:rsidR="004A3877" w:rsidRPr="004F1D8A">
        <w:rPr>
          <w:kern w:val="22"/>
          <w:sz w:val="22"/>
          <w:lang w:val="fr-FR"/>
        </w:rPr>
        <w:t>Afri</w:t>
      </w:r>
      <w:r w:rsidR="004F1D8A" w:rsidRPr="004F1D8A">
        <w:rPr>
          <w:kern w:val="22"/>
          <w:sz w:val="22"/>
          <w:lang w:val="fr-FR"/>
        </w:rPr>
        <w:t>que, publié par l’Union africaine,</w:t>
      </w:r>
      <w:r w:rsidR="00D530A5">
        <w:rPr>
          <w:kern w:val="22"/>
          <w:sz w:val="22"/>
          <w:lang w:val="fr-FR"/>
        </w:rPr>
        <w:t xml:space="preserve"> dresse</w:t>
      </w:r>
      <w:r w:rsidR="004F1D8A" w:rsidRPr="004F1D8A">
        <w:rPr>
          <w:kern w:val="22"/>
          <w:sz w:val="22"/>
          <w:lang w:val="fr-FR"/>
        </w:rPr>
        <w:t xml:space="preserve"> un inventaire de nombreuses espèces végétales qui sont endémiques à plusieurs pays et </w:t>
      </w:r>
      <w:r w:rsidR="004F1D8A">
        <w:rPr>
          <w:kern w:val="22"/>
          <w:sz w:val="22"/>
          <w:lang w:val="fr-FR"/>
        </w:rPr>
        <w:t xml:space="preserve">peuvent être connues sous différents noms dans différents </w:t>
      </w:r>
      <w:r w:rsidR="00E40444" w:rsidRPr="004F1D8A">
        <w:rPr>
          <w:kern w:val="22"/>
          <w:sz w:val="22"/>
          <w:lang w:val="fr-FR"/>
        </w:rPr>
        <w:t>pays</w:t>
      </w:r>
      <w:r w:rsidR="007D03C2" w:rsidRPr="004F1D8A">
        <w:rPr>
          <w:kern w:val="22"/>
          <w:sz w:val="22"/>
          <w:lang w:val="fr-FR"/>
        </w:rPr>
        <w:t>.</w:t>
      </w:r>
      <w:r w:rsidR="007D03C2" w:rsidRPr="002364AB">
        <w:rPr>
          <w:rStyle w:val="FootnoteReference"/>
          <w:kern w:val="22"/>
          <w:sz w:val="22"/>
          <w:lang w:val="en-GB"/>
        </w:rPr>
        <w:footnoteReference w:id="43"/>
      </w:r>
    </w:p>
    <w:p w14:paraId="03CEFEE0" w14:textId="064EC218" w:rsidR="00FC5588" w:rsidRPr="0050280F" w:rsidRDefault="008A5BE1" w:rsidP="00B80668">
      <w:pPr>
        <w:rPr>
          <w:kern w:val="22"/>
          <w:sz w:val="22"/>
          <w:lang w:val="fr-FR"/>
        </w:rPr>
      </w:pPr>
      <w:r w:rsidRPr="00541795">
        <w:rPr>
          <w:kern w:val="22"/>
          <w:sz w:val="22"/>
          <w:lang w:val="fr-FR"/>
        </w:rPr>
        <w:t>Un autre</w:t>
      </w:r>
      <w:r w:rsidR="00B66F64" w:rsidRPr="00541795">
        <w:rPr>
          <w:kern w:val="22"/>
          <w:sz w:val="22"/>
          <w:lang w:val="fr-FR"/>
        </w:rPr>
        <w:t xml:space="preserve"> </w:t>
      </w:r>
      <w:r w:rsidR="009D43F1" w:rsidRPr="00541795">
        <w:rPr>
          <w:kern w:val="22"/>
          <w:sz w:val="22"/>
          <w:lang w:val="fr-FR"/>
        </w:rPr>
        <w:t>exemple</w:t>
      </w:r>
      <w:r w:rsidR="00D05EB8" w:rsidRPr="00541795">
        <w:rPr>
          <w:kern w:val="22"/>
          <w:sz w:val="22"/>
          <w:lang w:val="fr-FR"/>
        </w:rPr>
        <w:t xml:space="preserve"> concerne l’espèce</w:t>
      </w:r>
      <w:r w:rsidR="00B94A6D" w:rsidRPr="00541795">
        <w:rPr>
          <w:kern w:val="22"/>
          <w:sz w:val="22"/>
          <w:lang w:val="fr-FR"/>
        </w:rPr>
        <w:t xml:space="preserve"> </w:t>
      </w:r>
      <w:r w:rsidR="00445987" w:rsidRPr="00541795">
        <w:rPr>
          <w:rStyle w:val="searchhit"/>
          <w:i/>
          <w:iCs/>
          <w:kern w:val="22"/>
          <w:sz w:val="22"/>
          <w:lang w:val="fr-FR"/>
        </w:rPr>
        <w:t>Heliotropium foertherianum</w:t>
      </w:r>
      <w:r w:rsidR="00D530A5">
        <w:rPr>
          <w:rStyle w:val="searchhit"/>
          <w:kern w:val="22"/>
          <w:sz w:val="22"/>
          <w:lang w:val="fr-FR"/>
        </w:rPr>
        <w:t>, une plante contenant</w:t>
      </w:r>
      <w:r w:rsidR="00007BFB">
        <w:rPr>
          <w:rStyle w:val="searchhit"/>
          <w:kern w:val="22"/>
          <w:sz w:val="22"/>
          <w:lang w:val="fr-FR"/>
        </w:rPr>
        <w:t xml:space="preserve"> de l’acide</w:t>
      </w:r>
      <w:r w:rsidR="00007BFB">
        <w:rPr>
          <w:kern w:val="22"/>
          <w:sz w:val="22"/>
          <w:lang w:val="fr-FR"/>
        </w:rPr>
        <w:t xml:space="preserve"> rosmarinique et utilisée</w:t>
      </w:r>
      <w:r w:rsidR="00541795" w:rsidRPr="00541795">
        <w:rPr>
          <w:kern w:val="22"/>
          <w:sz w:val="22"/>
          <w:lang w:val="fr-FR"/>
        </w:rPr>
        <w:t xml:space="preserve"> par les habitants de la</w:t>
      </w:r>
      <w:r w:rsidR="00541795">
        <w:rPr>
          <w:kern w:val="22"/>
          <w:sz w:val="22"/>
          <w:lang w:val="fr-FR"/>
        </w:rPr>
        <w:t xml:space="preserve"> région Pacifique comme traitem</w:t>
      </w:r>
      <w:r w:rsidR="00D530A5">
        <w:rPr>
          <w:kern w:val="22"/>
          <w:sz w:val="22"/>
          <w:lang w:val="fr-FR"/>
        </w:rPr>
        <w:t xml:space="preserve">ent contre les </w:t>
      </w:r>
      <w:r w:rsidR="00147AC2">
        <w:rPr>
          <w:kern w:val="22"/>
          <w:sz w:val="22"/>
          <w:lang w:val="fr-FR"/>
        </w:rPr>
        <w:t>ciguatoxines</w:t>
      </w:r>
      <w:r w:rsidR="00D530A5">
        <w:rPr>
          <w:kern w:val="22"/>
          <w:sz w:val="22"/>
          <w:lang w:val="fr-FR"/>
        </w:rPr>
        <w:t xml:space="preserve">. On trouve cette plante </w:t>
      </w:r>
      <w:r w:rsidR="00541795">
        <w:rPr>
          <w:kern w:val="22"/>
          <w:sz w:val="22"/>
          <w:lang w:val="fr-FR"/>
        </w:rPr>
        <w:t xml:space="preserve">en Nouvelle-Calédonie, </w:t>
      </w:r>
      <w:r w:rsidR="00D530A5">
        <w:rPr>
          <w:kern w:val="22"/>
          <w:sz w:val="22"/>
          <w:lang w:val="fr-FR"/>
        </w:rPr>
        <w:t xml:space="preserve">en </w:t>
      </w:r>
      <w:r w:rsidR="00541795">
        <w:rPr>
          <w:kern w:val="22"/>
          <w:sz w:val="22"/>
          <w:lang w:val="fr-FR"/>
        </w:rPr>
        <w:t xml:space="preserve">Polynésie française, </w:t>
      </w:r>
      <w:r w:rsidR="00D530A5">
        <w:rPr>
          <w:kern w:val="22"/>
          <w:sz w:val="22"/>
          <w:lang w:val="fr-FR"/>
        </w:rPr>
        <w:t xml:space="preserve">au </w:t>
      </w:r>
      <w:r w:rsidR="00541795">
        <w:rPr>
          <w:kern w:val="22"/>
          <w:sz w:val="22"/>
          <w:lang w:val="fr-FR"/>
        </w:rPr>
        <w:t xml:space="preserve">Vanuatu, </w:t>
      </w:r>
      <w:r w:rsidR="00D530A5">
        <w:rPr>
          <w:kern w:val="22"/>
          <w:sz w:val="22"/>
          <w:lang w:val="fr-FR"/>
        </w:rPr>
        <w:t xml:space="preserve">à </w:t>
      </w:r>
      <w:r w:rsidR="00541795">
        <w:rPr>
          <w:kern w:val="22"/>
          <w:sz w:val="22"/>
          <w:lang w:val="fr-FR"/>
        </w:rPr>
        <w:t xml:space="preserve">Tonga, </w:t>
      </w:r>
      <w:r w:rsidR="00D530A5">
        <w:rPr>
          <w:kern w:val="22"/>
          <w:sz w:val="22"/>
          <w:lang w:val="fr-FR"/>
        </w:rPr>
        <w:t xml:space="preserve">en </w:t>
      </w:r>
      <w:r w:rsidR="00541795">
        <w:rPr>
          <w:kern w:val="22"/>
          <w:sz w:val="22"/>
          <w:lang w:val="fr-FR"/>
        </w:rPr>
        <w:t>Micronésie</w:t>
      </w:r>
      <w:r w:rsidR="00B94A6D" w:rsidRPr="00541795">
        <w:rPr>
          <w:kern w:val="22"/>
          <w:sz w:val="22"/>
          <w:lang w:val="fr-FR"/>
        </w:rPr>
        <w:t>,</w:t>
      </w:r>
      <w:r w:rsidR="00E3674F" w:rsidRPr="00541795">
        <w:rPr>
          <w:kern w:val="22"/>
          <w:sz w:val="22"/>
          <w:lang w:val="fr-FR"/>
        </w:rPr>
        <w:t xml:space="preserve"> et </w:t>
      </w:r>
      <w:r w:rsidR="00541795">
        <w:rPr>
          <w:kern w:val="22"/>
          <w:sz w:val="22"/>
          <w:lang w:val="fr-FR"/>
        </w:rPr>
        <w:t>même au Japo</w:t>
      </w:r>
      <w:r w:rsidR="00B94A6D" w:rsidRPr="00541795">
        <w:rPr>
          <w:kern w:val="22"/>
          <w:sz w:val="22"/>
          <w:lang w:val="fr-FR"/>
        </w:rPr>
        <w:t>n.</w:t>
      </w:r>
      <w:r w:rsidR="00B94A6D" w:rsidRPr="002364AB">
        <w:rPr>
          <w:rStyle w:val="FootnoteReference"/>
          <w:kern w:val="22"/>
          <w:sz w:val="22"/>
          <w:lang w:val="en-GB"/>
        </w:rPr>
        <w:footnoteReference w:id="44"/>
      </w:r>
      <w:r w:rsidR="00B94A6D" w:rsidRPr="00541795">
        <w:rPr>
          <w:kern w:val="22"/>
          <w:sz w:val="22"/>
          <w:lang w:val="fr-FR"/>
        </w:rPr>
        <w:t xml:space="preserve"> </w:t>
      </w:r>
      <w:r w:rsidR="00541795" w:rsidRPr="00541795">
        <w:rPr>
          <w:kern w:val="22"/>
          <w:sz w:val="22"/>
          <w:lang w:val="fr-FR"/>
        </w:rPr>
        <w:t xml:space="preserve">Un autre </w:t>
      </w:r>
      <w:r w:rsidR="009D43F1" w:rsidRPr="00541795">
        <w:rPr>
          <w:kern w:val="22"/>
          <w:sz w:val="22"/>
          <w:lang w:val="fr-FR"/>
        </w:rPr>
        <w:t>exemple</w:t>
      </w:r>
      <w:r w:rsidR="000E53C0">
        <w:rPr>
          <w:kern w:val="22"/>
          <w:sz w:val="22"/>
          <w:lang w:val="fr-FR"/>
        </w:rPr>
        <w:t xml:space="preserve"> </w:t>
      </w:r>
      <w:r w:rsidR="00D530A5">
        <w:rPr>
          <w:kern w:val="22"/>
          <w:sz w:val="22"/>
          <w:lang w:val="fr-FR"/>
        </w:rPr>
        <w:t>concerne</w:t>
      </w:r>
      <w:r w:rsidR="000E53C0">
        <w:rPr>
          <w:kern w:val="22"/>
          <w:sz w:val="22"/>
          <w:lang w:val="fr-FR"/>
        </w:rPr>
        <w:t xml:space="preserve"> l’arbre n</w:t>
      </w:r>
      <w:r w:rsidR="00F00705" w:rsidRPr="00541795">
        <w:rPr>
          <w:kern w:val="22"/>
          <w:sz w:val="22"/>
          <w:lang w:val="fr-FR"/>
        </w:rPr>
        <w:t xml:space="preserve">eem, </w:t>
      </w:r>
      <w:r w:rsidR="00541795">
        <w:rPr>
          <w:kern w:val="22"/>
          <w:sz w:val="22"/>
          <w:lang w:val="fr-FR"/>
        </w:rPr>
        <w:t xml:space="preserve">bien connu pour ses </w:t>
      </w:r>
      <w:r w:rsidR="004478A5" w:rsidRPr="00541795">
        <w:rPr>
          <w:kern w:val="22"/>
          <w:sz w:val="22"/>
          <w:lang w:val="fr-FR"/>
        </w:rPr>
        <w:t>utilisations traditionnelles</w:t>
      </w:r>
      <w:r w:rsidR="00541795">
        <w:rPr>
          <w:kern w:val="22"/>
          <w:sz w:val="22"/>
          <w:lang w:val="fr-FR"/>
        </w:rPr>
        <w:t xml:space="preserve"> en Inde</w:t>
      </w:r>
      <w:r w:rsidR="00F00705" w:rsidRPr="00541795">
        <w:rPr>
          <w:kern w:val="22"/>
          <w:sz w:val="22"/>
          <w:lang w:val="fr-FR"/>
        </w:rPr>
        <w:t>,</w:t>
      </w:r>
      <w:r w:rsidR="00D530A5">
        <w:rPr>
          <w:kern w:val="22"/>
          <w:sz w:val="22"/>
          <w:lang w:val="fr-FR"/>
        </w:rPr>
        <w:t xml:space="preserve"> bien que cet arbre soit aussi endémique </w:t>
      </w:r>
      <w:r w:rsidR="00541795">
        <w:rPr>
          <w:kern w:val="22"/>
          <w:sz w:val="22"/>
          <w:lang w:val="fr-FR"/>
        </w:rPr>
        <w:t xml:space="preserve">à de nombreux </w:t>
      </w:r>
      <w:r w:rsidR="00D530A5">
        <w:rPr>
          <w:kern w:val="22"/>
          <w:sz w:val="22"/>
          <w:lang w:val="fr-FR"/>
        </w:rPr>
        <w:t xml:space="preserve">autres </w:t>
      </w:r>
      <w:r w:rsidR="00541795">
        <w:rPr>
          <w:kern w:val="22"/>
          <w:sz w:val="22"/>
          <w:lang w:val="fr-FR"/>
        </w:rPr>
        <w:t xml:space="preserve">pays du sous-continent indien, comme le Népal, le Pakistan, le </w:t>
      </w:r>
      <w:r w:rsidR="00F00705" w:rsidRPr="00541795">
        <w:rPr>
          <w:kern w:val="22"/>
          <w:sz w:val="22"/>
          <w:lang w:val="fr-FR"/>
        </w:rPr>
        <w:t xml:space="preserve">Bangladesh, </w:t>
      </w:r>
      <w:r w:rsidR="00541795">
        <w:rPr>
          <w:kern w:val="22"/>
          <w:sz w:val="22"/>
          <w:lang w:val="fr-FR"/>
        </w:rPr>
        <w:t xml:space="preserve">le </w:t>
      </w:r>
      <w:r w:rsidR="00F00705" w:rsidRPr="00541795">
        <w:rPr>
          <w:kern w:val="22"/>
          <w:sz w:val="22"/>
          <w:lang w:val="fr-FR"/>
        </w:rPr>
        <w:t>Sri Lanka,</w:t>
      </w:r>
      <w:r w:rsidR="00E3674F" w:rsidRPr="00541795">
        <w:rPr>
          <w:kern w:val="22"/>
          <w:sz w:val="22"/>
          <w:lang w:val="fr-FR"/>
        </w:rPr>
        <w:t xml:space="preserve"> et </w:t>
      </w:r>
      <w:r w:rsidR="00541795">
        <w:rPr>
          <w:kern w:val="22"/>
          <w:sz w:val="22"/>
          <w:lang w:val="fr-FR"/>
        </w:rPr>
        <w:t>les</w:t>
      </w:r>
      <w:r w:rsidR="00D530A5">
        <w:rPr>
          <w:kern w:val="22"/>
          <w:sz w:val="22"/>
          <w:lang w:val="fr-FR"/>
        </w:rPr>
        <w:t xml:space="preserve"> Maldives ; on </w:t>
      </w:r>
      <w:r w:rsidR="00541795">
        <w:rPr>
          <w:kern w:val="22"/>
          <w:sz w:val="22"/>
          <w:lang w:val="fr-FR"/>
        </w:rPr>
        <w:t xml:space="preserve">trouve </w:t>
      </w:r>
      <w:r w:rsidR="00D530A5">
        <w:rPr>
          <w:kern w:val="22"/>
          <w:sz w:val="22"/>
          <w:lang w:val="fr-FR"/>
        </w:rPr>
        <w:t xml:space="preserve">cet arbre </w:t>
      </w:r>
      <w:r w:rsidR="00541795">
        <w:rPr>
          <w:kern w:val="22"/>
          <w:sz w:val="22"/>
          <w:lang w:val="fr-FR"/>
        </w:rPr>
        <w:t>également dans certaines régions d’Afrique</w:t>
      </w:r>
      <w:r w:rsidR="00F00705" w:rsidRPr="00541795">
        <w:rPr>
          <w:kern w:val="22"/>
          <w:sz w:val="22"/>
          <w:lang w:val="fr-FR"/>
        </w:rPr>
        <w:t>.</w:t>
      </w:r>
      <w:r w:rsidR="00F00705" w:rsidRPr="002364AB">
        <w:rPr>
          <w:rStyle w:val="FootnoteReference"/>
          <w:kern w:val="22"/>
          <w:sz w:val="22"/>
          <w:lang w:val="en-GB"/>
        </w:rPr>
        <w:footnoteReference w:id="45"/>
      </w:r>
      <w:r w:rsidR="00F00705" w:rsidRPr="00541795">
        <w:rPr>
          <w:kern w:val="22"/>
          <w:sz w:val="22"/>
          <w:lang w:val="fr-FR"/>
        </w:rPr>
        <w:t xml:space="preserve"> </w:t>
      </w:r>
      <w:r w:rsidR="00D530A5">
        <w:rPr>
          <w:kern w:val="22"/>
          <w:sz w:val="22"/>
          <w:lang w:val="fr-FR"/>
        </w:rPr>
        <w:t>La répartition très vaste</w:t>
      </w:r>
      <w:r w:rsidR="00541795" w:rsidRPr="00541795">
        <w:rPr>
          <w:kern w:val="22"/>
          <w:sz w:val="22"/>
          <w:lang w:val="fr-FR"/>
        </w:rPr>
        <w:t xml:space="preserve"> d’une telle espèce transfrontière pourrait potent</w:t>
      </w:r>
      <w:r w:rsidR="00541795">
        <w:rPr>
          <w:kern w:val="22"/>
          <w:sz w:val="22"/>
          <w:lang w:val="fr-FR"/>
        </w:rPr>
        <w:t xml:space="preserve">iellement permettre à des </w:t>
      </w:r>
      <w:r w:rsidR="00AA5919" w:rsidRPr="00541795">
        <w:rPr>
          <w:kern w:val="22"/>
          <w:sz w:val="22"/>
          <w:lang w:val="fr-FR"/>
        </w:rPr>
        <w:t xml:space="preserve">utilisateurs </w:t>
      </w:r>
      <w:r w:rsidR="00D530A5">
        <w:rPr>
          <w:kern w:val="22"/>
          <w:sz w:val="22"/>
          <w:lang w:val="fr-FR"/>
        </w:rPr>
        <w:t>de faire une déclaration inexacte d’acquisition de la ressource dans</w:t>
      </w:r>
      <w:r w:rsidR="004A3877" w:rsidRPr="00541795">
        <w:rPr>
          <w:kern w:val="22"/>
          <w:sz w:val="22"/>
          <w:lang w:val="fr-FR"/>
        </w:rPr>
        <w:t xml:space="preserve"> </w:t>
      </w:r>
      <w:r w:rsidR="0050280F">
        <w:rPr>
          <w:kern w:val="22"/>
          <w:sz w:val="22"/>
          <w:lang w:val="fr-FR"/>
        </w:rPr>
        <w:t xml:space="preserve">un pays qui n’est pas </w:t>
      </w:r>
      <w:r w:rsidR="00D530A5">
        <w:rPr>
          <w:kern w:val="22"/>
          <w:sz w:val="22"/>
          <w:lang w:val="fr-FR"/>
        </w:rPr>
        <w:t>en réalité le pays d’origine de cette ressource</w:t>
      </w:r>
      <w:r w:rsidR="00F96273" w:rsidRPr="00541795">
        <w:rPr>
          <w:kern w:val="22"/>
          <w:sz w:val="22"/>
          <w:lang w:val="fr-FR"/>
        </w:rPr>
        <w:t>.</w:t>
      </w:r>
      <w:r w:rsidR="00756F08" w:rsidRPr="002364AB">
        <w:rPr>
          <w:rStyle w:val="FootnoteReference"/>
          <w:kern w:val="22"/>
          <w:sz w:val="22"/>
          <w:lang w:val="en-GB"/>
        </w:rPr>
        <w:footnoteReference w:id="46"/>
      </w:r>
      <w:r w:rsidR="004A3877" w:rsidRPr="00541795">
        <w:rPr>
          <w:kern w:val="22"/>
          <w:sz w:val="22"/>
          <w:lang w:val="fr-FR"/>
        </w:rPr>
        <w:t xml:space="preserve"> </w:t>
      </w:r>
      <w:r w:rsidRPr="0050280F">
        <w:rPr>
          <w:kern w:val="22"/>
          <w:sz w:val="22"/>
          <w:lang w:val="fr-FR"/>
        </w:rPr>
        <w:t>De plus</w:t>
      </w:r>
      <w:r w:rsidR="00C328C9" w:rsidRPr="0050280F">
        <w:rPr>
          <w:kern w:val="22"/>
          <w:sz w:val="22"/>
          <w:lang w:val="fr-FR"/>
        </w:rPr>
        <w:t xml:space="preserve">, </w:t>
      </w:r>
      <w:r w:rsidR="00D530A5">
        <w:rPr>
          <w:kern w:val="22"/>
          <w:sz w:val="22"/>
          <w:lang w:val="fr-FR"/>
        </w:rPr>
        <w:t>si un</w:t>
      </w:r>
      <w:r w:rsidR="0050280F" w:rsidRPr="0050280F">
        <w:rPr>
          <w:kern w:val="22"/>
          <w:sz w:val="22"/>
          <w:lang w:val="fr-FR"/>
        </w:rPr>
        <w:t xml:space="preserve"> </w:t>
      </w:r>
      <w:r w:rsidR="00E40444" w:rsidRPr="0050280F">
        <w:rPr>
          <w:kern w:val="22"/>
          <w:sz w:val="22"/>
          <w:lang w:val="fr-FR"/>
        </w:rPr>
        <w:t>pays</w:t>
      </w:r>
      <w:r w:rsidR="0050280F" w:rsidRPr="0050280F">
        <w:rPr>
          <w:kern w:val="22"/>
          <w:sz w:val="22"/>
          <w:lang w:val="fr-FR"/>
        </w:rPr>
        <w:t xml:space="preserve"> four</w:t>
      </w:r>
      <w:r w:rsidR="00D530A5">
        <w:rPr>
          <w:kern w:val="22"/>
          <w:sz w:val="22"/>
          <w:lang w:val="fr-FR"/>
        </w:rPr>
        <w:t>nisseur impose le respect d’obligations</w:t>
      </w:r>
      <w:r w:rsidR="0050280F" w:rsidRPr="0050280F">
        <w:rPr>
          <w:kern w:val="22"/>
          <w:sz w:val="22"/>
          <w:lang w:val="fr-FR"/>
        </w:rPr>
        <w:t xml:space="preserve"> relatives au </w:t>
      </w:r>
      <w:r w:rsidR="00E3674F" w:rsidRPr="0050280F">
        <w:rPr>
          <w:kern w:val="22"/>
          <w:sz w:val="22"/>
          <w:lang w:val="fr-FR"/>
        </w:rPr>
        <w:t>partage des avantages</w:t>
      </w:r>
      <w:r w:rsidR="00D530A5">
        <w:rPr>
          <w:kern w:val="22"/>
          <w:sz w:val="22"/>
          <w:lang w:val="fr-FR"/>
        </w:rPr>
        <w:t xml:space="preserve"> pour</w:t>
      </w:r>
      <w:r w:rsidR="0050280F">
        <w:rPr>
          <w:kern w:val="22"/>
          <w:sz w:val="22"/>
          <w:lang w:val="fr-FR"/>
        </w:rPr>
        <w:t xml:space="preserve"> l’</w:t>
      </w:r>
      <w:r w:rsidR="008627A9" w:rsidRPr="0050280F">
        <w:rPr>
          <w:kern w:val="22"/>
          <w:sz w:val="22"/>
          <w:lang w:val="fr-FR"/>
        </w:rPr>
        <w:t>utilisation</w:t>
      </w:r>
      <w:r w:rsidR="00CF1B8F">
        <w:rPr>
          <w:kern w:val="22"/>
          <w:sz w:val="22"/>
          <w:lang w:val="fr-FR"/>
        </w:rPr>
        <w:t xml:space="preserve"> de se</w:t>
      </w:r>
      <w:r w:rsidR="0050280F">
        <w:rPr>
          <w:kern w:val="22"/>
          <w:sz w:val="22"/>
          <w:lang w:val="fr-FR"/>
        </w:rPr>
        <w:t>s</w:t>
      </w:r>
      <w:r w:rsidR="003169D6" w:rsidRPr="0050280F">
        <w:rPr>
          <w:kern w:val="22"/>
          <w:sz w:val="22"/>
          <w:lang w:val="fr-FR"/>
        </w:rPr>
        <w:t xml:space="preserve"> </w:t>
      </w:r>
      <w:r w:rsidR="00E3674F" w:rsidRPr="0050280F">
        <w:rPr>
          <w:kern w:val="22"/>
          <w:sz w:val="22"/>
          <w:lang w:val="fr-FR"/>
        </w:rPr>
        <w:lastRenderedPageBreak/>
        <w:t>ressources génétiques</w:t>
      </w:r>
      <w:r w:rsidR="00CF1B8F">
        <w:rPr>
          <w:kern w:val="22"/>
          <w:sz w:val="22"/>
          <w:lang w:val="fr-FR"/>
        </w:rPr>
        <w:t>, ce pays</w:t>
      </w:r>
      <w:r w:rsidR="003169D6" w:rsidRPr="0050280F">
        <w:rPr>
          <w:kern w:val="22"/>
          <w:sz w:val="22"/>
          <w:lang w:val="fr-FR"/>
        </w:rPr>
        <w:t xml:space="preserve"> </w:t>
      </w:r>
      <w:r w:rsidR="0050280F">
        <w:rPr>
          <w:kern w:val="22"/>
          <w:sz w:val="22"/>
          <w:lang w:val="fr-FR"/>
        </w:rPr>
        <w:t xml:space="preserve">pourra dans </w:t>
      </w:r>
      <w:r w:rsidR="00AA5919" w:rsidRPr="0050280F">
        <w:rPr>
          <w:kern w:val="22"/>
          <w:sz w:val="22"/>
          <w:lang w:val="fr-FR"/>
        </w:rPr>
        <w:t xml:space="preserve">certains </w:t>
      </w:r>
      <w:r w:rsidR="00D04EC6" w:rsidRPr="0050280F">
        <w:rPr>
          <w:kern w:val="22"/>
          <w:sz w:val="22"/>
          <w:lang w:val="fr-FR"/>
        </w:rPr>
        <w:t>cas</w:t>
      </w:r>
      <w:r w:rsidR="00913E9F" w:rsidRPr="0050280F">
        <w:rPr>
          <w:kern w:val="22"/>
          <w:sz w:val="22"/>
          <w:lang w:val="fr-FR"/>
        </w:rPr>
        <w:t xml:space="preserve"> </w:t>
      </w:r>
      <w:r w:rsidR="00CF1B8F">
        <w:rPr>
          <w:kern w:val="22"/>
          <w:sz w:val="22"/>
          <w:lang w:val="fr-FR"/>
        </w:rPr>
        <w:t xml:space="preserve">être incapable de prouver </w:t>
      </w:r>
      <w:r w:rsidR="0050280F">
        <w:rPr>
          <w:kern w:val="22"/>
          <w:sz w:val="22"/>
          <w:lang w:val="fr-FR"/>
        </w:rPr>
        <w:t xml:space="preserve">que les obligations relatives au partage des avantages doivent être effectivement appliquées. </w:t>
      </w:r>
      <w:r w:rsidR="0050280F" w:rsidRPr="0050280F">
        <w:rPr>
          <w:kern w:val="22"/>
          <w:sz w:val="22"/>
          <w:lang w:val="fr-FR"/>
        </w:rPr>
        <w:t xml:space="preserve">Dans </w:t>
      </w:r>
      <w:r w:rsidR="00AA5919" w:rsidRPr="0050280F">
        <w:rPr>
          <w:kern w:val="22"/>
          <w:sz w:val="22"/>
          <w:lang w:val="fr-FR"/>
        </w:rPr>
        <w:t xml:space="preserve">certains </w:t>
      </w:r>
      <w:r w:rsidR="00D04EC6" w:rsidRPr="0050280F">
        <w:rPr>
          <w:kern w:val="22"/>
          <w:sz w:val="22"/>
          <w:lang w:val="fr-FR"/>
        </w:rPr>
        <w:t>cas</w:t>
      </w:r>
      <w:r w:rsidR="00FF5A9D" w:rsidRPr="0050280F">
        <w:rPr>
          <w:kern w:val="22"/>
          <w:sz w:val="22"/>
          <w:lang w:val="fr-FR"/>
        </w:rPr>
        <w:t xml:space="preserve"> </w:t>
      </w:r>
      <w:r w:rsidR="00D6232E" w:rsidRPr="0050280F">
        <w:rPr>
          <w:kern w:val="22"/>
          <w:sz w:val="22"/>
          <w:lang w:val="fr-FR"/>
        </w:rPr>
        <w:t>cependant</w:t>
      </w:r>
      <w:r w:rsidR="00FF5A9D" w:rsidRPr="0050280F">
        <w:rPr>
          <w:kern w:val="22"/>
          <w:sz w:val="22"/>
          <w:lang w:val="fr-FR"/>
        </w:rPr>
        <w:t>,</w:t>
      </w:r>
      <w:r w:rsidR="0050280F" w:rsidRPr="0050280F">
        <w:rPr>
          <w:kern w:val="22"/>
          <w:sz w:val="22"/>
          <w:lang w:val="fr-FR"/>
        </w:rPr>
        <w:t xml:space="preserve"> certaines populations d’une</w:t>
      </w:r>
      <w:r w:rsidR="00EC454B" w:rsidRPr="0050280F">
        <w:rPr>
          <w:kern w:val="22"/>
          <w:sz w:val="22"/>
          <w:lang w:val="fr-FR"/>
        </w:rPr>
        <w:t xml:space="preserve"> </w:t>
      </w:r>
      <w:r w:rsidR="00CF1B8F">
        <w:rPr>
          <w:kern w:val="22"/>
          <w:sz w:val="22"/>
          <w:lang w:val="fr-FR"/>
        </w:rPr>
        <w:t>espèce peuvent acquérir des diffé</w:t>
      </w:r>
      <w:r w:rsidR="0050280F" w:rsidRPr="0050280F">
        <w:rPr>
          <w:kern w:val="22"/>
          <w:sz w:val="22"/>
          <w:lang w:val="fr-FR"/>
        </w:rPr>
        <w:t>rences génétiques suffisantes pour</w:t>
      </w:r>
      <w:r w:rsidR="0050280F">
        <w:rPr>
          <w:kern w:val="22"/>
          <w:sz w:val="22"/>
          <w:lang w:val="fr-FR"/>
        </w:rPr>
        <w:t xml:space="preserve"> pouvoir</w:t>
      </w:r>
      <w:r w:rsidR="00CF1B8F">
        <w:rPr>
          <w:kern w:val="22"/>
          <w:sz w:val="22"/>
          <w:lang w:val="fr-FR"/>
        </w:rPr>
        <w:t xml:space="preserve"> identifier leur source</w:t>
      </w:r>
      <w:r w:rsidR="00EC454B" w:rsidRPr="0050280F">
        <w:rPr>
          <w:kern w:val="22"/>
          <w:sz w:val="22"/>
          <w:lang w:val="fr-FR"/>
        </w:rPr>
        <w:t>.</w:t>
      </w:r>
    </w:p>
    <w:p w14:paraId="0AAACC4B" w14:textId="625E1ED8" w:rsidR="00FC5588" w:rsidRPr="002364AB" w:rsidRDefault="00651FB0" w:rsidP="00B80668">
      <w:pPr>
        <w:pStyle w:val="Heading2"/>
        <w:rPr>
          <w:kern w:val="22"/>
          <w:sz w:val="22"/>
          <w:szCs w:val="22"/>
          <w:lang w:val="en-GB"/>
        </w:rPr>
      </w:pPr>
      <w:bookmarkStart w:id="108" w:name="_Toc48914795"/>
      <w:r>
        <w:rPr>
          <w:kern w:val="22"/>
          <w:sz w:val="22"/>
          <w:szCs w:val="22"/>
          <w:lang w:val="en-GB"/>
        </w:rPr>
        <w:t>Espèces migratrices</w:t>
      </w:r>
      <w:bookmarkEnd w:id="108"/>
      <w:r w:rsidR="00A67C4B" w:rsidRPr="002364AB">
        <w:rPr>
          <w:kern w:val="22"/>
          <w:sz w:val="22"/>
          <w:szCs w:val="22"/>
          <w:lang w:val="en-GB"/>
        </w:rPr>
        <w:t xml:space="preserve"> </w:t>
      </w:r>
    </w:p>
    <w:p w14:paraId="3023BEA4" w14:textId="4080AB27" w:rsidR="00F63091" w:rsidRPr="0050280F" w:rsidRDefault="00CF1B8F" w:rsidP="00592915">
      <w:pPr>
        <w:rPr>
          <w:kern w:val="22"/>
          <w:sz w:val="22"/>
          <w:lang w:val="fr-FR"/>
        </w:rPr>
      </w:pPr>
      <w:r w:rsidRPr="00CF1B8F">
        <w:rPr>
          <w:kern w:val="22"/>
          <w:sz w:val="22"/>
          <w:lang w:val="fr-FR"/>
        </w:rPr>
        <w:t>De</w:t>
      </w:r>
      <w:r w:rsidR="00D05EB8" w:rsidRPr="00D05EB8">
        <w:rPr>
          <w:kern w:val="22"/>
          <w:sz w:val="22"/>
          <w:lang w:val="fr-FR"/>
        </w:rPr>
        <w:t xml:space="preserve"> nombre</w:t>
      </w:r>
      <w:r>
        <w:rPr>
          <w:kern w:val="22"/>
          <w:sz w:val="22"/>
          <w:lang w:val="fr-FR"/>
        </w:rPr>
        <w:t xml:space="preserve">uses </w:t>
      </w:r>
      <w:r w:rsidR="00651FB0" w:rsidRPr="00D05EB8">
        <w:rPr>
          <w:kern w:val="22"/>
          <w:sz w:val="22"/>
          <w:lang w:val="fr-FR"/>
        </w:rPr>
        <w:t>espèces migratrices</w:t>
      </w:r>
      <w:r w:rsidR="00592915" w:rsidRPr="00D05EB8">
        <w:rPr>
          <w:kern w:val="22"/>
          <w:sz w:val="22"/>
          <w:lang w:val="fr-FR"/>
        </w:rPr>
        <w:t xml:space="preserve"> </w:t>
      </w:r>
      <w:r>
        <w:rPr>
          <w:kern w:val="22"/>
          <w:sz w:val="22"/>
          <w:lang w:val="fr-FR"/>
        </w:rPr>
        <w:t>séjournent pendant</w:t>
      </w:r>
      <w:r w:rsidR="0050280F">
        <w:rPr>
          <w:kern w:val="22"/>
          <w:sz w:val="22"/>
          <w:lang w:val="fr-FR"/>
        </w:rPr>
        <w:t xml:space="preserve"> une partie de leur cycle de vie dans diffé</w:t>
      </w:r>
      <w:r w:rsidR="00592915" w:rsidRPr="00D05EB8">
        <w:rPr>
          <w:kern w:val="22"/>
          <w:sz w:val="22"/>
          <w:lang w:val="fr-FR"/>
        </w:rPr>
        <w:t>rent</w:t>
      </w:r>
      <w:r w:rsidR="0050280F">
        <w:rPr>
          <w:kern w:val="22"/>
          <w:sz w:val="22"/>
          <w:lang w:val="fr-FR"/>
        </w:rPr>
        <w:t>es</w:t>
      </w:r>
      <w:r w:rsidR="00592915" w:rsidRPr="00D05EB8">
        <w:rPr>
          <w:kern w:val="22"/>
          <w:sz w:val="22"/>
          <w:lang w:val="fr-FR"/>
        </w:rPr>
        <w:t xml:space="preserve"> </w:t>
      </w:r>
      <w:r w:rsidR="00176298" w:rsidRPr="00D05EB8">
        <w:rPr>
          <w:kern w:val="22"/>
          <w:sz w:val="22"/>
          <w:lang w:val="fr-FR"/>
        </w:rPr>
        <w:t>juridiction</w:t>
      </w:r>
      <w:r w:rsidR="0050280F">
        <w:rPr>
          <w:kern w:val="22"/>
          <w:sz w:val="22"/>
          <w:lang w:val="fr-FR"/>
        </w:rPr>
        <w:t>s</w:t>
      </w:r>
      <w:r w:rsidR="00176298" w:rsidRPr="00D05EB8">
        <w:rPr>
          <w:kern w:val="22"/>
          <w:sz w:val="22"/>
          <w:lang w:val="fr-FR"/>
        </w:rPr>
        <w:t xml:space="preserve"> nationale</w:t>
      </w:r>
      <w:r w:rsidR="00592915" w:rsidRPr="00D05EB8">
        <w:rPr>
          <w:kern w:val="22"/>
          <w:sz w:val="22"/>
          <w:lang w:val="fr-FR"/>
        </w:rPr>
        <w:t>s</w:t>
      </w:r>
      <w:r w:rsidR="0028742E" w:rsidRPr="00D05EB8">
        <w:rPr>
          <w:kern w:val="22"/>
          <w:sz w:val="22"/>
          <w:lang w:val="fr-FR"/>
        </w:rPr>
        <w:t xml:space="preserve"> ou </w:t>
      </w:r>
      <w:r w:rsidR="009B2B98" w:rsidRPr="00D05EB8">
        <w:rPr>
          <w:kern w:val="22"/>
          <w:sz w:val="22"/>
          <w:lang w:val="fr-FR"/>
        </w:rPr>
        <w:t>à l’extérieur</w:t>
      </w:r>
      <w:r w:rsidR="0050280F">
        <w:rPr>
          <w:kern w:val="22"/>
          <w:sz w:val="22"/>
          <w:lang w:val="fr-FR"/>
        </w:rPr>
        <w:t xml:space="preserve"> d’une </w:t>
      </w:r>
      <w:r w:rsidR="00176298" w:rsidRPr="00D05EB8">
        <w:rPr>
          <w:kern w:val="22"/>
          <w:sz w:val="22"/>
          <w:lang w:val="fr-FR"/>
        </w:rPr>
        <w:t>juridiction nationale</w:t>
      </w:r>
      <w:r>
        <w:rPr>
          <w:kern w:val="22"/>
          <w:sz w:val="22"/>
          <w:lang w:val="fr-FR"/>
        </w:rPr>
        <w:t xml:space="preserve"> donnée</w:t>
      </w:r>
      <w:r w:rsidR="00592915" w:rsidRPr="00D05EB8">
        <w:rPr>
          <w:kern w:val="22"/>
          <w:sz w:val="22"/>
          <w:lang w:val="fr-FR"/>
        </w:rPr>
        <w:t xml:space="preserve">. </w:t>
      </w:r>
      <w:r>
        <w:rPr>
          <w:kern w:val="22"/>
          <w:sz w:val="22"/>
          <w:lang w:val="fr-FR"/>
        </w:rPr>
        <w:t>On peut donc considérer que c</w:t>
      </w:r>
      <w:r w:rsidR="0050280F">
        <w:rPr>
          <w:kern w:val="22"/>
          <w:sz w:val="22"/>
          <w:lang w:val="fr-FR"/>
        </w:rPr>
        <w:t xml:space="preserve">es </w:t>
      </w:r>
      <w:r w:rsidR="00651FB0" w:rsidRPr="00770AB8">
        <w:rPr>
          <w:kern w:val="22"/>
          <w:sz w:val="22"/>
          <w:lang w:val="fr-FR"/>
        </w:rPr>
        <w:t>espèces</w:t>
      </w:r>
      <w:r>
        <w:rPr>
          <w:kern w:val="22"/>
          <w:sz w:val="22"/>
          <w:lang w:val="fr-FR"/>
        </w:rPr>
        <w:t xml:space="preserve"> se trouve</w:t>
      </w:r>
      <w:r w:rsidR="00770AB8" w:rsidRPr="00770AB8">
        <w:rPr>
          <w:kern w:val="22"/>
          <w:sz w:val="22"/>
          <w:lang w:val="fr-FR"/>
        </w:rPr>
        <w:t xml:space="preserve">nt </w:t>
      </w:r>
      <w:r w:rsidR="002A127F">
        <w:rPr>
          <w:kern w:val="22"/>
          <w:sz w:val="22"/>
          <w:lang w:val="fr-FR"/>
        </w:rPr>
        <w:t>dans des situations</w:t>
      </w:r>
      <w:r w:rsidR="00E3674F" w:rsidRPr="00770AB8">
        <w:rPr>
          <w:kern w:val="22"/>
          <w:sz w:val="22"/>
          <w:lang w:val="fr-FR"/>
        </w:rPr>
        <w:t xml:space="preserve"> transfrontières</w:t>
      </w:r>
      <w:r w:rsidR="00592915" w:rsidRPr="00770AB8">
        <w:rPr>
          <w:kern w:val="22"/>
          <w:sz w:val="22"/>
          <w:lang w:val="fr-FR"/>
        </w:rPr>
        <w:t xml:space="preserve">. </w:t>
      </w:r>
      <w:r w:rsidR="0050280F" w:rsidRPr="0050280F">
        <w:rPr>
          <w:kern w:val="22"/>
          <w:sz w:val="22"/>
          <w:lang w:val="fr-FR"/>
        </w:rPr>
        <w:t>La</w:t>
      </w:r>
      <w:r w:rsidR="00592915" w:rsidRPr="0050280F">
        <w:rPr>
          <w:kern w:val="22"/>
          <w:sz w:val="22"/>
          <w:lang w:val="fr-FR"/>
        </w:rPr>
        <w:t xml:space="preserve"> </w:t>
      </w:r>
      <w:r w:rsidR="0050280F" w:rsidRPr="0050280F">
        <w:rPr>
          <w:i/>
          <w:kern w:val="22"/>
          <w:sz w:val="22"/>
          <w:lang w:val="fr-FR"/>
        </w:rPr>
        <w:t xml:space="preserve">Convention sur </w:t>
      </w:r>
      <w:r w:rsidR="0050280F">
        <w:rPr>
          <w:i/>
          <w:kern w:val="22"/>
          <w:sz w:val="22"/>
          <w:lang w:val="fr-FR"/>
        </w:rPr>
        <w:t>la conservation des e</w:t>
      </w:r>
      <w:r w:rsidR="00651FB0" w:rsidRPr="0050280F">
        <w:rPr>
          <w:i/>
          <w:kern w:val="22"/>
          <w:sz w:val="22"/>
          <w:lang w:val="fr-FR"/>
        </w:rPr>
        <w:t>spèces migratrices</w:t>
      </w:r>
      <w:r w:rsidR="0050280F">
        <w:rPr>
          <w:i/>
          <w:kern w:val="22"/>
          <w:sz w:val="22"/>
          <w:lang w:val="fr-FR"/>
        </w:rPr>
        <w:t xml:space="preserve"> appartenant à la faune sauvage</w:t>
      </w:r>
      <w:r w:rsidR="00592915" w:rsidRPr="002364AB">
        <w:rPr>
          <w:rStyle w:val="FootnoteReference"/>
          <w:kern w:val="22"/>
          <w:sz w:val="22"/>
          <w:lang w:val="en-GB"/>
        </w:rPr>
        <w:footnoteReference w:id="47"/>
      </w:r>
      <w:r w:rsidR="00592915" w:rsidRPr="0050280F">
        <w:rPr>
          <w:i/>
          <w:kern w:val="22"/>
          <w:sz w:val="22"/>
          <w:lang w:val="fr-FR"/>
        </w:rPr>
        <w:t xml:space="preserve"> </w:t>
      </w:r>
      <w:r w:rsidR="00592915" w:rsidRPr="0050280F">
        <w:rPr>
          <w:kern w:val="22"/>
          <w:sz w:val="22"/>
          <w:lang w:val="fr-FR"/>
        </w:rPr>
        <w:t xml:space="preserve">(CMS) – </w:t>
      </w:r>
      <w:r>
        <w:rPr>
          <w:kern w:val="22"/>
          <w:sz w:val="22"/>
          <w:lang w:val="fr-FR"/>
        </w:rPr>
        <w:t xml:space="preserve">un traité sur </w:t>
      </w:r>
      <w:r w:rsidR="0050280F">
        <w:rPr>
          <w:kern w:val="22"/>
          <w:sz w:val="22"/>
          <w:lang w:val="fr-FR"/>
        </w:rPr>
        <w:t>la</w:t>
      </w:r>
      <w:r w:rsidR="00592915" w:rsidRPr="0050280F">
        <w:rPr>
          <w:kern w:val="22"/>
          <w:sz w:val="22"/>
          <w:lang w:val="fr-FR"/>
        </w:rPr>
        <w:t xml:space="preserve"> </w:t>
      </w:r>
      <w:r w:rsidR="0050280F">
        <w:rPr>
          <w:kern w:val="22"/>
          <w:sz w:val="22"/>
          <w:lang w:val="fr-FR"/>
        </w:rPr>
        <w:t>biodiversité comprenant</w:t>
      </w:r>
      <w:r w:rsidR="00D6232E" w:rsidRPr="0050280F">
        <w:rPr>
          <w:kern w:val="22"/>
          <w:sz w:val="22"/>
          <w:lang w:val="fr-FR"/>
        </w:rPr>
        <w:t xml:space="preserve"> </w:t>
      </w:r>
      <w:r w:rsidR="00592915" w:rsidRPr="0050280F">
        <w:rPr>
          <w:kern w:val="22"/>
          <w:sz w:val="22"/>
          <w:lang w:val="fr-FR"/>
        </w:rPr>
        <w:t>130 Parties</w:t>
      </w:r>
      <w:r w:rsidR="0050280F">
        <w:rPr>
          <w:kern w:val="22"/>
          <w:sz w:val="22"/>
          <w:lang w:val="fr-FR"/>
        </w:rPr>
        <w:t xml:space="preserve">, </w:t>
      </w:r>
      <w:r>
        <w:rPr>
          <w:kern w:val="22"/>
          <w:sz w:val="22"/>
          <w:lang w:val="fr-FR"/>
        </w:rPr>
        <w:t xml:space="preserve">et </w:t>
      </w:r>
      <w:r w:rsidR="0050280F">
        <w:rPr>
          <w:kern w:val="22"/>
          <w:sz w:val="22"/>
          <w:lang w:val="fr-FR"/>
        </w:rPr>
        <w:t xml:space="preserve">dont l’objectif est la </w:t>
      </w:r>
      <w:r w:rsidR="00592915" w:rsidRPr="0050280F">
        <w:rPr>
          <w:kern w:val="22"/>
          <w:sz w:val="22"/>
          <w:lang w:val="fr-FR"/>
        </w:rPr>
        <w:t>conservation</w:t>
      </w:r>
      <w:r w:rsidR="00E3674F" w:rsidRPr="0050280F">
        <w:rPr>
          <w:kern w:val="22"/>
          <w:sz w:val="22"/>
          <w:lang w:val="fr-FR"/>
        </w:rPr>
        <w:t xml:space="preserve"> et </w:t>
      </w:r>
      <w:r w:rsidR="0050280F">
        <w:rPr>
          <w:kern w:val="22"/>
          <w:sz w:val="22"/>
          <w:lang w:val="fr-FR"/>
        </w:rPr>
        <w:t xml:space="preserve">l’utilisation durable des </w:t>
      </w:r>
      <w:r w:rsidR="00651FB0" w:rsidRPr="0050280F">
        <w:rPr>
          <w:kern w:val="22"/>
          <w:sz w:val="22"/>
          <w:lang w:val="fr-FR"/>
        </w:rPr>
        <w:t>espèces migratrices</w:t>
      </w:r>
      <w:r w:rsidR="0050280F">
        <w:rPr>
          <w:kern w:val="22"/>
          <w:sz w:val="22"/>
          <w:lang w:val="fr-FR"/>
        </w:rPr>
        <w:t xml:space="preserve"> terrestres, aquatiques et aviaires</w:t>
      </w:r>
      <w:r w:rsidR="00592915" w:rsidRPr="0050280F">
        <w:rPr>
          <w:kern w:val="22"/>
          <w:sz w:val="22"/>
          <w:lang w:val="fr-FR"/>
        </w:rPr>
        <w:t>,</w:t>
      </w:r>
      <w:r w:rsidR="0050280F">
        <w:rPr>
          <w:kern w:val="22"/>
          <w:sz w:val="22"/>
          <w:lang w:val="fr-FR"/>
        </w:rPr>
        <w:t xml:space="preserve"> leurs </w:t>
      </w:r>
      <w:r w:rsidR="00592915" w:rsidRPr="0050280F">
        <w:rPr>
          <w:kern w:val="22"/>
          <w:sz w:val="22"/>
          <w:lang w:val="fr-FR"/>
        </w:rPr>
        <w:t>habitats</w:t>
      </w:r>
      <w:r w:rsidR="00E3674F" w:rsidRPr="0050280F">
        <w:rPr>
          <w:kern w:val="22"/>
          <w:sz w:val="22"/>
          <w:lang w:val="fr-FR"/>
        </w:rPr>
        <w:t xml:space="preserve"> et </w:t>
      </w:r>
      <w:r>
        <w:rPr>
          <w:kern w:val="22"/>
          <w:sz w:val="22"/>
          <w:lang w:val="fr-FR"/>
        </w:rPr>
        <w:t>leurs voies de migration – définit le terme « </w:t>
      </w:r>
      <w:r w:rsidR="00F86971">
        <w:rPr>
          <w:kern w:val="22"/>
          <w:sz w:val="22"/>
          <w:lang w:val="fr-FR"/>
        </w:rPr>
        <w:t>espèce migratrice</w:t>
      </w:r>
      <w:r>
        <w:rPr>
          <w:kern w:val="22"/>
          <w:sz w:val="22"/>
          <w:lang w:val="fr-FR"/>
        </w:rPr>
        <w:t> »</w:t>
      </w:r>
      <w:r w:rsidR="0050280F">
        <w:rPr>
          <w:kern w:val="22"/>
          <w:sz w:val="22"/>
          <w:lang w:val="fr-FR"/>
        </w:rPr>
        <w:t xml:space="preserve"> comme</w:t>
      </w:r>
      <w:r w:rsidR="00592915" w:rsidRPr="0050280F">
        <w:rPr>
          <w:kern w:val="22"/>
          <w:sz w:val="22"/>
          <w:lang w:val="fr-FR"/>
        </w:rPr>
        <w:t xml:space="preserve"> “</w:t>
      </w:r>
      <w:r w:rsidR="00F86971" w:rsidRPr="00F86971">
        <w:rPr>
          <w:rFonts w:cs="Times New Roman"/>
          <w:color w:val="333333"/>
          <w:sz w:val="22"/>
          <w:shd w:val="clear" w:color="auto" w:fill="FFFFFF"/>
          <w:lang w:val="fr-FR"/>
        </w:rPr>
        <w:t>l'ensemble de la population ou toute partie séparée géographiquement de la population de toute espèce ou de tout taxon inférieur d'animaux sauvages, dont une fraction importante franchit cycliquement et de façon prévisible une ou plusieurs des limites de juridiction</w:t>
      </w:r>
      <w:r w:rsidR="00592915" w:rsidRPr="0050280F">
        <w:rPr>
          <w:kern w:val="22"/>
          <w:sz w:val="22"/>
          <w:lang w:val="fr-FR"/>
        </w:rPr>
        <w:t>.”</w:t>
      </w:r>
      <w:r w:rsidR="00592915" w:rsidRPr="002364AB">
        <w:rPr>
          <w:rStyle w:val="FootnoteReference"/>
          <w:kern w:val="22"/>
          <w:sz w:val="22"/>
          <w:lang w:val="en-GB"/>
        </w:rPr>
        <w:footnoteReference w:id="48"/>
      </w:r>
      <w:r w:rsidR="00592915" w:rsidRPr="0050280F">
        <w:rPr>
          <w:kern w:val="22"/>
          <w:sz w:val="22"/>
          <w:lang w:val="fr-FR"/>
        </w:rPr>
        <w:t xml:space="preserve"> </w:t>
      </w:r>
    </w:p>
    <w:p w14:paraId="38D4C45B" w14:textId="3DF6BD32" w:rsidR="00592915" w:rsidRPr="00F86971" w:rsidRDefault="00D05EB8" w:rsidP="00592915">
      <w:pPr>
        <w:rPr>
          <w:kern w:val="22"/>
          <w:sz w:val="22"/>
          <w:lang w:val="fr-FR"/>
        </w:rPr>
      </w:pPr>
      <w:r w:rsidRPr="00D05EB8">
        <w:rPr>
          <w:kern w:val="22"/>
          <w:sz w:val="22"/>
          <w:lang w:val="fr-FR"/>
        </w:rPr>
        <w:t xml:space="preserve">Bien que </w:t>
      </w:r>
      <w:r>
        <w:rPr>
          <w:kern w:val="22"/>
          <w:sz w:val="22"/>
          <w:lang w:val="fr-FR"/>
        </w:rPr>
        <w:t>l’</w:t>
      </w:r>
      <w:r w:rsidR="008627A9" w:rsidRPr="00D05EB8">
        <w:rPr>
          <w:kern w:val="22"/>
          <w:sz w:val="22"/>
          <w:lang w:val="fr-FR"/>
        </w:rPr>
        <w:t>utilisation</w:t>
      </w:r>
      <w:r w:rsidR="00592915" w:rsidRPr="00D05EB8">
        <w:rPr>
          <w:kern w:val="22"/>
          <w:sz w:val="22"/>
          <w:lang w:val="fr-FR"/>
        </w:rPr>
        <w:t xml:space="preserve"> </w:t>
      </w:r>
      <w:r w:rsidR="00D6232E" w:rsidRPr="00D05EB8">
        <w:rPr>
          <w:kern w:val="22"/>
          <w:sz w:val="22"/>
          <w:lang w:val="fr-FR"/>
        </w:rPr>
        <w:t>de</w:t>
      </w:r>
      <w:r w:rsidR="0050280F">
        <w:rPr>
          <w:kern w:val="22"/>
          <w:sz w:val="22"/>
          <w:lang w:val="fr-FR"/>
        </w:rPr>
        <w:t>s</w:t>
      </w:r>
      <w:r w:rsidR="00D6232E" w:rsidRPr="00D05EB8">
        <w:rPr>
          <w:kern w:val="22"/>
          <w:sz w:val="22"/>
          <w:lang w:val="fr-FR"/>
        </w:rPr>
        <w:t xml:space="preserve"> ressources</w:t>
      </w:r>
      <w:r w:rsidR="00E3674F" w:rsidRPr="00D05EB8">
        <w:rPr>
          <w:kern w:val="22"/>
          <w:sz w:val="22"/>
          <w:lang w:val="fr-FR"/>
        </w:rPr>
        <w:t xml:space="preserve"> génétiques</w:t>
      </w:r>
      <w:r w:rsidR="0050280F">
        <w:rPr>
          <w:kern w:val="22"/>
          <w:sz w:val="22"/>
          <w:lang w:val="fr-FR"/>
        </w:rPr>
        <w:t xml:space="preserve"> provenant</w:t>
      </w:r>
      <w:r>
        <w:rPr>
          <w:kern w:val="22"/>
          <w:sz w:val="22"/>
          <w:lang w:val="fr-FR"/>
        </w:rPr>
        <w:t xml:space="preserve"> d’</w:t>
      </w:r>
      <w:r w:rsidR="00651FB0" w:rsidRPr="00D05EB8">
        <w:rPr>
          <w:kern w:val="22"/>
          <w:sz w:val="22"/>
          <w:lang w:val="fr-FR"/>
        </w:rPr>
        <w:t>espèces migratrices</w:t>
      </w:r>
      <w:r w:rsidR="00592915" w:rsidRPr="00D05EB8">
        <w:rPr>
          <w:kern w:val="22"/>
          <w:sz w:val="22"/>
          <w:lang w:val="fr-FR"/>
        </w:rPr>
        <w:t xml:space="preserve"> </w:t>
      </w:r>
      <w:r w:rsidR="00CF1B8F">
        <w:rPr>
          <w:kern w:val="22"/>
          <w:sz w:val="22"/>
          <w:lang w:val="fr-FR"/>
        </w:rPr>
        <w:t>soit généralement trait</w:t>
      </w:r>
      <w:r w:rsidR="0050280F">
        <w:rPr>
          <w:kern w:val="22"/>
          <w:sz w:val="22"/>
          <w:lang w:val="fr-FR"/>
        </w:rPr>
        <w:t>ée dans le cadre d’une</w:t>
      </w:r>
      <w:r w:rsidR="00592915" w:rsidRPr="00D05EB8">
        <w:rPr>
          <w:kern w:val="22"/>
          <w:sz w:val="22"/>
          <w:lang w:val="fr-FR"/>
        </w:rPr>
        <w:t xml:space="preserve"> </w:t>
      </w:r>
      <w:r w:rsidR="001A200E" w:rsidRPr="00D05EB8">
        <w:rPr>
          <w:kern w:val="22"/>
          <w:sz w:val="22"/>
          <w:lang w:val="fr-FR"/>
        </w:rPr>
        <w:t>approche bilatérale</w:t>
      </w:r>
      <w:r w:rsidR="00592915" w:rsidRPr="00D05EB8">
        <w:rPr>
          <w:kern w:val="22"/>
          <w:sz w:val="22"/>
          <w:lang w:val="fr-FR"/>
        </w:rPr>
        <w:t>,</w:t>
      </w:r>
      <w:r w:rsidR="009706B0" w:rsidRPr="002364AB">
        <w:rPr>
          <w:rStyle w:val="FootnoteReference"/>
          <w:kern w:val="22"/>
          <w:sz w:val="22"/>
          <w:lang w:val="en-GB"/>
        </w:rPr>
        <w:footnoteReference w:id="49"/>
      </w:r>
      <w:r w:rsidR="00592915" w:rsidRPr="00D05EB8">
        <w:rPr>
          <w:kern w:val="22"/>
          <w:sz w:val="22"/>
          <w:lang w:val="fr-FR"/>
        </w:rPr>
        <w:t xml:space="preserve"> </w:t>
      </w:r>
      <w:r w:rsidR="00F86971">
        <w:rPr>
          <w:kern w:val="22"/>
          <w:sz w:val="22"/>
          <w:lang w:val="fr-FR"/>
        </w:rPr>
        <w:t>ceci pose des questions d’équité</w:t>
      </w:r>
      <w:r w:rsidR="00592915" w:rsidRPr="00D05EB8">
        <w:rPr>
          <w:kern w:val="22"/>
          <w:sz w:val="22"/>
          <w:lang w:val="fr-FR"/>
        </w:rPr>
        <w:t xml:space="preserve"> </w:t>
      </w:r>
      <w:r w:rsidR="00D6232E" w:rsidRPr="00D05EB8">
        <w:rPr>
          <w:kern w:val="22"/>
          <w:sz w:val="22"/>
          <w:lang w:val="fr-FR"/>
        </w:rPr>
        <w:t>entre</w:t>
      </w:r>
      <w:r w:rsidR="00592915" w:rsidRPr="00D05EB8">
        <w:rPr>
          <w:kern w:val="22"/>
          <w:sz w:val="22"/>
          <w:lang w:val="fr-FR"/>
        </w:rPr>
        <w:t xml:space="preserve"> </w:t>
      </w:r>
      <w:r w:rsidR="00934A20" w:rsidRPr="00D05EB8">
        <w:rPr>
          <w:kern w:val="22"/>
          <w:sz w:val="22"/>
          <w:lang w:val="fr-FR"/>
        </w:rPr>
        <w:t>Etats</w:t>
      </w:r>
      <w:r w:rsidR="00592915" w:rsidRPr="00D05EB8">
        <w:rPr>
          <w:kern w:val="22"/>
          <w:sz w:val="22"/>
          <w:lang w:val="fr-FR"/>
        </w:rPr>
        <w:t xml:space="preserve">, </w:t>
      </w:r>
      <w:r w:rsidR="00CF1B8F">
        <w:rPr>
          <w:kern w:val="22"/>
          <w:sz w:val="22"/>
          <w:lang w:val="fr-FR"/>
        </w:rPr>
        <w:t xml:space="preserve">notamment lorsque </w:t>
      </w:r>
      <w:r w:rsidR="00F86971">
        <w:rPr>
          <w:kern w:val="22"/>
          <w:sz w:val="22"/>
          <w:lang w:val="fr-FR"/>
        </w:rPr>
        <w:t>des</w:t>
      </w:r>
      <w:r w:rsidR="00592915" w:rsidRPr="00D05EB8">
        <w:rPr>
          <w:kern w:val="22"/>
          <w:sz w:val="22"/>
          <w:lang w:val="fr-FR"/>
        </w:rPr>
        <w:t xml:space="preserve"> </w:t>
      </w:r>
      <w:r w:rsidR="00651FB0" w:rsidRPr="00D05EB8">
        <w:rPr>
          <w:kern w:val="22"/>
          <w:sz w:val="22"/>
          <w:lang w:val="fr-FR"/>
        </w:rPr>
        <w:t>espèces</w:t>
      </w:r>
      <w:r w:rsidR="00592915" w:rsidRPr="00D05EB8">
        <w:rPr>
          <w:kern w:val="22"/>
          <w:sz w:val="22"/>
          <w:lang w:val="fr-FR"/>
        </w:rPr>
        <w:t xml:space="preserve"> </w:t>
      </w:r>
      <w:r w:rsidR="00F86971">
        <w:rPr>
          <w:kern w:val="22"/>
          <w:sz w:val="22"/>
          <w:lang w:val="fr-FR"/>
        </w:rPr>
        <w:t>effectuent des migrations sur plusieurs</w:t>
      </w:r>
      <w:r w:rsidR="00592915" w:rsidRPr="00D05EB8">
        <w:rPr>
          <w:kern w:val="22"/>
          <w:sz w:val="22"/>
          <w:lang w:val="fr-FR"/>
        </w:rPr>
        <w:t xml:space="preserve"> continents.</w:t>
      </w:r>
      <w:r w:rsidR="00CA5E2B" w:rsidRPr="002364AB">
        <w:rPr>
          <w:rStyle w:val="FootnoteReference"/>
          <w:kern w:val="22"/>
          <w:sz w:val="22"/>
          <w:lang w:val="en-GB"/>
        </w:rPr>
        <w:footnoteReference w:id="50"/>
      </w:r>
      <w:r w:rsidR="00D27A95" w:rsidRPr="00D05EB8">
        <w:rPr>
          <w:kern w:val="22"/>
          <w:sz w:val="22"/>
          <w:lang w:val="fr-FR"/>
        </w:rPr>
        <w:t xml:space="preserve"> </w:t>
      </w:r>
      <w:r w:rsidR="0050280F" w:rsidRPr="0050280F">
        <w:rPr>
          <w:kern w:val="22"/>
          <w:sz w:val="22"/>
          <w:lang w:val="fr-FR"/>
        </w:rPr>
        <w:t>Une</w:t>
      </w:r>
      <w:r w:rsidR="00F63091" w:rsidRPr="0050280F">
        <w:rPr>
          <w:kern w:val="22"/>
          <w:sz w:val="22"/>
          <w:lang w:val="fr-FR"/>
        </w:rPr>
        <w:t xml:space="preserve"> </w:t>
      </w:r>
      <w:r w:rsidR="001A200E" w:rsidRPr="0050280F">
        <w:rPr>
          <w:kern w:val="22"/>
          <w:sz w:val="22"/>
          <w:lang w:val="fr-FR"/>
        </w:rPr>
        <w:t>approche bilatérale</w:t>
      </w:r>
      <w:r w:rsidR="0050280F" w:rsidRPr="0050280F">
        <w:rPr>
          <w:kern w:val="22"/>
          <w:sz w:val="22"/>
          <w:lang w:val="fr-FR"/>
        </w:rPr>
        <w:t xml:space="preserve"> en matière de</w:t>
      </w:r>
      <w:r w:rsidR="00F63091" w:rsidRPr="0050280F">
        <w:rPr>
          <w:kern w:val="22"/>
          <w:sz w:val="22"/>
          <w:lang w:val="fr-FR"/>
        </w:rPr>
        <w:t xml:space="preserve"> </w:t>
      </w:r>
      <w:r w:rsidR="00E3674F" w:rsidRPr="0050280F">
        <w:rPr>
          <w:kern w:val="22"/>
          <w:sz w:val="22"/>
          <w:lang w:val="fr-FR"/>
        </w:rPr>
        <w:t>partage des avantages</w:t>
      </w:r>
      <w:r w:rsidR="00F63091" w:rsidRPr="0050280F">
        <w:rPr>
          <w:kern w:val="22"/>
          <w:sz w:val="22"/>
          <w:lang w:val="fr-FR"/>
        </w:rPr>
        <w:t xml:space="preserve"> </w:t>
      </w:r>
      <w:r w:rsidR="00CF1B8F">
        <w:rPr>
          <w:kern w:val="22"/>
          <w:sz w:val="22"/>
          <w:lang w:val="fr-FR"/>
        </w:rPr>
        <w:t>n’alloue pas toujours d</w:t>
      </w:r>
      <w:r w:rsidR="00F86971">
        <w:rPr>
          <w:kern w:val="22"/>
          <w:sz w:val="22"/>
          <w:lang w:val="fr-FR"/>
        </w:rPr>
        <w:t xml:space="preserve">es ressources de façon </w:t>
      </w:r>
      <w:r w:rsidR="0050280F">
        <w:rPr>
          <w:kern w:val="22"/>
          <w:sz w:val="22"/>
          <w:lang w:val="fr-FR"/>
        </w:rPr>
        <w:t xml:space="preserve">équitable </w:t>
      </w:r>
      <w:r w:rsidR="00F86971">
        <w:rPr>
          <w:kern w:val="22"/>
          <w:sz w:val="22"/>
          <w:lang w:val="fr-FR"/>
        </w:rPr>
        <w:t>aux endroits le</w:t>
      </w:r>
      <w:r w:rsidR="00CF1B8F">
        <w:rPr>
          <w:kern w:val="22"/>
          <w:sz w:val="22"/>
          <w:lang w:val="fr-FR"/>
        </w:rPr>
        <w:t>s plus critiques</w:t>
      </w:r>
      <w:r w:rsidR="00F86971">
        <w:rPr>
          <w:kern w:val="22"/>
          <w:sz w:val="22"/>
          <w:lang w:val="fr-FR"/>
        </w:rPr>
        <w:t xml:space="preserve"> pour préserver ces</w:t>
      </w:r>
      <w:r w:rsidR="00F63091" w:rsidRPr="0050280F" w:rsidDel="00910976">
        <w:rPr>
          <w:kern w:val="22"/>
          <w:sz w:val="22"/>
          <w:lang w:val="fr-FR"/>
        </w:rPr>
        <w:t xml:space="preserve"> </w:t>
      </w:r>
      <w:r w:rsidR="00651FB0" w:rsidRPr="0050280F">
        <w:rPr>
          <w:kern w:val="22"/>
          <w:sz w:val="22"/>
          <w:lang w:val="fr-FR"/>
        </w:rPr>
        <w:t>espèces</w:t>
      </w:r>
      <w:r w:rsidR="00F63091" w:rsidRPr="0050280F" w:rsidDel="00910976">
        <w:rPr>
          <w:kern w:val="22"/>
          <w:sz w:val="22"/>
          <w:lang w:val="fr-FR"/>
        </w:rPr>
        <w:t>.</w:t>
      </w:r>
      <w:r w:rsidR="00F63091" w:rsidRPr="002364AB">
        <w:rPr>
          <w:kern w:val="22"/>
          <w:sz w:val="22"/>
          <w:vertAlign w:val="superscript"/>
          <w:lang w:val="en-GB"/>
        </w:rPr>
        <w:footnoteReference w:id="51"/>
      </w:r>
      <w:r w:rsidR="00F63091" w:rsidRPr="0050280F">
        <w:rPr>
          <w:kern w:val="22"/>
          <w:sz w:val="22"/>
          <w:lang w:val="fr-FR"/>
        </w:rPr>
        <w:t xml:space="preserve"> </w:t>
      </w:r>
      <w:r w:rsidR="0050280F" w:rsidRPr="0050280F">
        <w:rPr>
          <w:kern w:val="22"/>
          <w:sz w:val="22"/>
          <w:lang w:val="fr-FR"/>
        </w:rPr>
        <w:t>Les trois</w:t>
      </w:r>
      <w:r w:rsidR="00D27A95" w:rsidRPr="0050280F">
        <w:rPr>
          <w:kern w:val="22"/>
          <w:sz w:val="22"/>
          <w:lang w:val="fr-FR"/>
        </w:rPr>
        <w:t xml:space="preserve"> </w:t>
      </w:r>
      <w:r w:rsidR="009D43F1" w:rsidRPr="0050280F">
        <w:rPr>
          <w:kern w:val="22"/>
          <w:sz w:val="22"/>
          <w:lang w:val="fr-FR"/>
        </w:rPr>
        <w:t>exemple</w:t>
      </w:r>
      <w:r w:rsidR="00D27A95" w:rsidRPr="0050280F">
        <w:rPr>
          <w:kern w:val="22"/>
          <w:sz w:val="22"/>
          <w:lang w:val="fr-FR"/>
        </w:rPr>
        <w:t xml:space="preserve">s </w:t>
      </w:r>
      <w:r w:rsidR="00CF1B8F">
        <w:rPr>
          <w:kern w:val="22"/>
          <w:sz w:val="22"/>
          <w:lang w:val="fr-FR"/>
        </w:rPr>
        <w:t xml:space="preserve">ci-dessous illustrent plusieurs </w:t>
      </w:r>
      <w:r w:rsidR="0050280F" w:rsidRPr="0050280F">
        <w:rPr>
          <w:kern w:val="22"/>
          <w:sz w:val="22"/>
          <w:lang w:val="fr-FR"/>
        </w:rPr>
        <w:t>difficultés rencon</w:t>
      </w:r>
      <w:r w:rsidR="00CF1B8F">
        <w:rPr>
          <w:kern w:val="22"/>
          <w:sz w:val="22"/>
          <w:lang w:val="fr-FR"/>
        </w:rPr>
        <w:t>trées dans le cas spécifique de</w:t>
      </w:r>
      <w:r w:rsidR="00AA5919" w:rsidRPr="0050280F">
        <w:rPr>
          <w:kern w:val="22"/>
          <w:sz w:val="22"/>
          <w:lang w:val="fr-FR"/>
        </w:rPr>
        <w:t xml:space="preserve"> certain</w:t>
      </w:r>
      <w:r w:rsidR="00CF1B8F">
        <w:rPr>
          <w:kern w:val="22"/>
          <w:sz w:val="22"/>
          <w:lang w:val="fr-FR"/>
        </w:rPr>
        <w:t>e</w:t>
      </w:r>
      <w:r w:rsidR="00AA5919" w:rsidRPr="0050280F">
        <w:rPr>
          <w:kern w:val="22"/>
          <w:sz w:val="22"/>
          <w:lang w:val="fr-FR"/>
        </w:rPr>
        <w:t xml:space="preserve">s </w:t>
      </w:r>
      <w:r w:rsidR="00651FB0" w:rsidRPr="0050280F">
        <w:rPr>
          <w:kern w:val="22"/>
          <w:sz w:val="22"/>
          <w:lang w:val="fr-FR"/>
        </w:rPr>
        <w:t>espèces migratrices</w:t>
      </w:r>
      <w:r w:rsidR="00D27A95" w:rsidRPr="0050280F">
        <w:rPr>
          <w:kern w:val="22"/>
          <w:sz w:val="22"/>
          <w:lang w:val="fr-FR"/>
        </w:rPr>
        <w:t>.</w:t>
      </w:r>
      <w:r w:rsidR="00CF1B8F">
        <w:rPr>
          <w:kern w:val="22"/>
          <w:sz w:val="22"/>
          <w:lang w:val="fr-FR"/>
        </w:rPr>
        <w:t xml:space="preserve"> Les références faites à des</w:t>
      </w:r>
      <w:r w:rsidR="00D406EA" w:rsidRPr="0050280F">
        <w:rPr>
          <w:kern w:val="22"/>
          <w:sz w:val="22"/>
          <w:lang w:val="fr-FR"/>
        </w:rPr>
        <w:t xml:space="preserve"> </w:t>
      </w:r>
      <w:r w:rsidR="00B43E38" w:rsidRPr="0050280F">
        <w:rPr>
          <w:kern w:val="22"/>
          <w:sz w:val="22"/>
          <w:lang w:val="fr-FR"/>
        </w:rPr>
        <w:t>brevet</w:t>
      </w:r>
      <w:r w:rsidR="00D406EA" w:rsidRPr="0050280F">
        <w:rPr>
          <w:kern w:val="22"/>
          <w:sz w:val="22"/>
          <w:lang w:val="fr-FR"/>
        </w:rPr>
        <w:t xml:space="preserve">s </w:t>
      </w:r>
      <w:r w:rsidR="00CD1466" w:rsidRPr="0050280F">
        <w:rPr>
          <w:kern w:val="22"/>
          <w:sz w:val="22"/>
          <w:lang w:val="fr-FR"/>
        </w:rPr>
        <w:t>ci-dessous</w:t>
      </w:r>
      <w:r w:rsidR="00D406EA" w:rsidRPr="0050280F">
        <w:rPr>
          <w:kern w:val="22"/>
          <w:sz w:val="22"/>
          <w:lang w:val="fr-FR"/>
        </w:rPr>
        <w:t xml:space="preserve"> </w:t>
      </w:r>
      <w:r w:rsidR="00CF1B8F">
        <w:rPr>
          <w:kern w:val="22"/>
          <w:sz w:val="22"/>
          <w:lang w:val="fr-FR"/>
        </w:rPr>
        <w:t>visent à</w:t>
      </w:r>
      <w:r w:rsidR="00F86971">
        <w:rPr>
          <w:kern w:val="22"/>
          <w:sz w:val="22"/>
          <w:lang w:val="fr-FR"/>
        </w:rPr>
        <w:t xml:space="preserve"> indiquer l’</w:t>
      </w:r>
      <w:r w:rsidR="008627A9" w:rsidRPr="0050280F">
        <w:rPr>
          <w:kern w:val="22"/>
          <w:sz w:val="22"/>
          <w:lang w:val="fr-FR"/>
        </w:rPr>
        <w:t>utilisation</w:t>
      </w:r>
      <w:r w:rsidR="007974D8" w:rsidRPr="0050280F">
        <w:rPr>
          <w:kern w:val="22"/>
          <w:sz w:val="22"/>
          <w:lang w:val="fr-FR"/>
        </w:rPr>
        <w:t xml:space="preserve"> </w:t>
      </w:r>
      <w:r w:rsidR="00D6232E" w:rsidRPr="0050280F">
        <w:rPr>
          <w:kern w:val="22"/>
          <w:sz w:val="22"/>
          <w:lang w:val="fr-FR"/>
        </w:rPr>
        <w:t>de ressources</w:t>
      </w:r>
      <w:r w:rsidR="00E3674F" w:rsidRPr="0050280F">
        <w:rPr>
          <w:kern w:val="22"/>
          <w:sz w:val="22"/>
          <w:lang w:val="fr-FR"/>
        </w:rPr>
        <w:t xml:space="preserve"> génétiques et </w:t>
      </w:r>
      <w:r w:rsidR="00F86971">
        <w:rPr>
          <w:kern w:val="22"/>
          <w:sz w:val="22"/>
          <w:lang w:val="fr-FR"/>
        </w:rPr>
        <w:t>la</w:t>
      </w:r>
      <w:r w:rsidR="009F168A" w:rsidRPr="0050280F">
        <w:rPr>
          <w:kern w:val="22"/>
          <w:sz w:val="22"/>
          <w:lang w:val="fr-FR"/>
        </w:rPr>
        <w:t xml:space="preserve"> </w:t>
      </w:r>
      <w:r w:rsidR="0050280F" w:rsidRPr="0050280F">
        <w:rPr>
          <w:kern w:val="22"/>
          <w:sz w:val="22"/>
          <w:lang w:val="fr-FR"/>
        </w:rPr>
        <w:t>possibilité</w:t>
      </w:r>
      <w:r w:rsidR="00F86971">
        <w:rPr>
          <w:kern w:val="22"/>
          <w:sz w:val="22"/>
          <w:lang w:val="fr-FR"/>
        </w:rPr>
        <w:t xml:space="preserve"> que des </w:t>
      </w:r>
      <w:r w:rsidR="000B36BE" w:rsidRPr="0050280F">
        <w:rPr>
          <w:kern w:val="22"/>
          <w:sz w:val="22"/>
          <w:lang w:val="fr-FR"/>
        </w:rPr>
        <w:t>avantages</w:t>
      </w:r>
      <w:r w:rsidR="009F168A" w:rsidRPr="0050280F">
        <w:rPr>
          <w:kern w:val="22"/>
          <w:sz w:val="22"/>
          <w:lang w:val="fr-FR"/>
        </w:rPr>
        <w:t xml:space="preserve"> </w:t>
      </w:r>
      <w:r w:rsidR="00CF1B8F">
        <w:rPr>
          <w:kern w:val="22"/>
          <w:sz w:val="22"/>
          <w:lang w:val="fr-FR"/>
        </w:rPr>
        <w:t>aient été retiré</w:t>
      </w:r>
      <w:r w:rsidR="00F86971">
        <w:rPr>
          <w:kern w:val="22"/>
          <w:sz w:val="22"/>
          <w:lang w:val="fr-FR"/>
        </w:rPr>
        <w:t>s</w:t>
      </w:r>
      <w:r w:rsidR="00CF1B8F">
        <w:rPr>
          <w:kern w:val="22"/>
          <w:sz w:val="22"/>
          <w:lang w:val="fr-FR"/>
        </w:rPr>
        <w:t xml:space="preserve"> de cette utilisation</w:t>
      </w:r>
      <w:r w:rsidR="007974D8" w:rsidRPr="0050280F">
        <w:rPr>
          <w:kern w:val="22"/>
          <w:sz w:val="22"/>
          <w:lang w:val="fr-FR"/>
        </w:rPr>
        <w:t>.</w:t>
      </w:r>
      <w:r w:rsidR="009F168A" w:rsidRPr="0050280F">
        <w:rPr>
          <w:kern w:val="22"/>
          <w:sz w:val="22"/>
          <w:lang w:val="fr-FR"/>
        </w:rPr>
        <w:t xml:space="preserve"> </w:t>
      </w:r>
      <w:r w:rsidR="00367430" w:rsidRPr="00F86971">
        <w:rPr>
          <w:kern w:val="22"/>
          <w:sz w:val="22"/>
          <w:lang w:val="fr-FR"/>
        </w:rPr>
        <w:t>Les auteurs</w:t>
      </w:r>
      <w:r w:rsidR="00CF1B8F">
        <w:rPr>
          <w:kern w:val="22"/>
          <w:sz w:val="22"/>
          <w:lang w:val="fr-FR"/>
        </w:rPr>
        <w:t xml:space="preserve"> n’entendent pas suggérer qu’il est né</w:t>
      </w:r>
      <w:r w:rsidR="00F86971" w:rsidRPr="00F86971">
        <w:rPr>
          <w:kern w:val="22"/>
          <w:sz w:val="22"/>
          <w:lang w:val="fr-FR"/>
        </w:rPr>
        <w:t xml:space="preserve">cessaire </w:t>
      </w:r>
      <w:r w:rsidR="00CF1B8F">
        <w:rPr>
          <w:kern w:val="22"/>
          <w:sz w:val="22"/>
          <w:lang w:val="fr-FR"/>
        </w:rPr>
        <w:t>d’assurer un partage d</w:t>
      </w:r>
      <w:r w:rsidR="00F86971">
        <w:rPr>
          <w:kern w:val="22"/>
          <w:sz w:val="22"/>
          <w:lang w:val="fr-FR"/>
        </w:rPr>
        <w:t>es a</w:t>
      </w:r>
      <w:r w:rsidR="000B36BE" w:rsidRPr="00F86971">
        <w:rPr>
          <w:kern w:val="22"/>
          <w:sz w:val="22"/>
          <w:lang w:val="fr-FR"/>
        </w:rPr>
        <w:t>vantages</w:t>
      </w:r>
      <w:r w:rsidR="009F168A" w:rsidRPr="00F86971">
        <w:rPr>
          <w:kern w:val="22"/>
          <w:sz w:val="22"/>
          <w:lang w:val="fr-FR"/>
        </w:rPr>
        <w:t xml:space="preserve"> </w:t>
      </w:r>
      <w:r w:rsidR="00CF1B8F">
        <w:rPr>
          <w:kern w:val="22"/>
          <w:sz w:val="22"/>
          <w:lang w:val="fr-FR"/>
        </w:rPr>
        <w:t>dans n’importe quel</w:t>
      </w:r>
      <w:r w:rsidR="009F168A" w:rsidRPr="00F86971">
        <w:rPr>
          <w:kern w:val="22"/>
          <w:sz w:val="22"/>
          <w:lang w:val="fr-FR"/>
        </w:rPr>
        <w:t xml:space="preserve"> </w:t>
      </w:r>
      <w:r w:rsidR="00CF1B8F">
        <w:rPr>
          <w:kern w:val="22"/>
          <w:sz w:val="22"/>
          <w:lang w:val="fr-FR"/>
        </w:rPr>
        <w:t>cas spécifique décrit</w:t>
      </w:r>
      <w:r w:rsidR="009F168A" w:rsidRPr="00F86971">
        <w:rPr>
          <w:kern w:val="22"/>
          <w:sz w:val="22"/>
          <w:lang w:val="fr-FR"/>
        </w:rPr>
        <w:t xml:space="preserve"> </w:t>
      </w:r>
      <w:r w:rsidR="00CD1466" w:rsidRPr="00F86971">
        <w:rPr>
          <w:kern w:val="22"/>
          <w:sz w:val="22"/>
          <w:lang w:val="fr-FR"/>
        </w:rPr>
        <w:t>ci-dessous</w:t>
      </w:r>
      <w:r w:rsidR="009F168A" w:rsidRPr="00F86971">
        <w:rPr>
          <w:kern w:val="22"/>
          <w:sz w:val="22"/>
          <w:lang w:val="fr-FR"/>
        </w:rPr>
        <w:t>.</w:t>
      </w:r>
    </w:p>
    <w:p w14:paraId="0140043A" w14:textId="30178660" w:rsidR="00E83104" w:rsidRPr="00130D0F" w:rsidRDefault="00D6232E" w:rsidP="008811EE">
      <w:pPr>
        <w:rPr>
          <w:i/>
          <w:kern w:val="22"/>
          <w:sz w:val="22"/>
          <w:lang w:val="fr-FR"/>
        </w:rPr>
      </w:pPr>
      <w:r w:rsidRPr="00130D0F">
        <w:rPr>
          <w:i/>
          <w:iCs/>
          <w:kern w:val="22"/>
          <w:sz w:val="22"/>
          <w:lang w:val="fr-FR"/>
        </w:rPr>
        <w:t>Anguille d’Europe</w:t>
      </w:r>
      <w:r w:rsidR="00E83104" w:rsidRPr="00130D0F">
        <w:rPr>
          <w:i/>
          <w:iCs/>
          <w:kern w:val="22"/>
          <w:sz w:val="22"/>
          <w:lang w:val="fr-FR"/>
        </w:rPr>
        <w:t xml:space="preserve"> (Anguilla anguilla)</w:t>
      </w:r>
    </w:p>
    <w:p w14:paraId="4F311C27" w14:textId="23B70240" w:rsidR="006B2D98" w:rsidRPr="000A2069" w:rsidRDefault="009A6A8C" w:rsidP="008811EE">
      <w:pPr>
        <w:rPr>
          <w:kern w:val="22"/>
          <w:sz w:val="22"/>
          <w:lang w:val="fr-FR"/>
        </w:rPr>
      </w:pPr>
      <w:r w:rsidRPr="00F86971">
        <w:rPr>
          <w:kern w:val="22"/>
          <w:sz w:val="22"/>
          <w:lang w:val="fr-FR"/>
        </w:rPr>
        <w:t>L’</w:t>
      </w:r>
      <w:r w:rsidR="0076689D">
        <w:rPr>
          <w:kern w:val="22"/>
          <w:sz w:val="22"/>
          <w:lang w:val="fr-FR"/>
        </w:rPr>
        <w:t>a</w:t>
      </w:r>
      <w:r w:rsidR="00FB2FE9" w:rsidRPr="00F86971">
        <w:rPr>
          <w:kern w:val="22"/>
          <w:sz w:val="22"/>
          <w:lang w:val="fr-FR"/>
        </w:rPr>
        <w:t>nguille d’Europe</w:t>
      </w:r>
      <w:r w:rsidR="00592915" w:rsidRPr="00F86971">
        <w:rPr>
          <w:kern w:val="22"/>
          <w:sz w:val="22"/>
          <w:lang w:val="fr-FR"/>
        </w:rPr>
        <w:t xml:space="preserve"> (</w:t>
      </w:r>
      <w:r w:rsidR="00592915" w:rsidRPr="00F86971">
        <w:rPr>
          <w:rStyle w:val="Emphasis"/>
          <w:kern w:val="22"/>
          <w:sz w:val="22"/>
          <w:lang w:val="fr-FR"/>
        </w:rPr>
        <w:t>Anguilla anguilla</w:t>
      </w:r>
      <w:r w:rsidR="00592915" w:rsidRPr="00F86971">
        <w:rPr>
          <w:rStyle w:val="Emphasis"/>
          <w:i w:val="0"/>
          <w:iCs w:val="0"/>
          <w:kern w:val="22"/>
          <w:sz w:val="22"/>
          <w:lang w:val="fr-FR"/>
        </w:rPr>
        <w:t>)</w:t>
      </w:r>
      <w:r w:rsidR="00592915" w:rsidRPr="00F86971" w:rsidDel="00E83104">
        <w:rPr>
          <w:kern w:val="22"/>
          <w:sz w:val="22"/>
          <w:lang w:val="fr-FR"/>
        </w:rPr>
        <w:t xml:space="preserve"> </w:t>
      </w:r>
      <w:r w:rsidR="00F86971" w:rsidRPr="00F86971">
        <w:rPr>
          <w:kern w:val="22"/>
          <w:sz w:val="22"/>
          <w:lang w:val="fr-FR"/>
        </w:rPr>
        <w:t>est une</w:t>
      </w:r>
      <w:r w:rsidR="003E3CFA" w:rsidRPr="00F86971">
        <w:rPr>
          <w:kern w:val="22"/>
          <w:sz w:val="22"/>
          <w:lang w:val="fr-FR"/>
        </w:rPr>
        <w:t xml:space="preserve"> </w:t>
      </w:r>
      <w:r w:rsidR="00CF1B8F">
        <w:rPr>
          <w:kern w:val="22"/>
          <w:sz w:val="22"/>
          <w:lang w:val="fr-FR"/>
        </w:rPr>
        <w:t xml:space="preserve">espèce dont l’aire de répartition est </w:t>
      </w:r>
      <w:r w:rsidR="00F86971" w:rsidRPr="00F86971">
        <w:rPr>
          <w:kern w:val="22"/>
          <w:sz w:val="22"/>
          <w:lang w:val="fr-FR"/>
        </w:rPr>
        <w:t>vaste durant son cycle de vie.</w:t>
      </w:r>
      <w:r w:rsidR="00F86971">
        <w:rPr>
          <w:kern w:val="22"/>
          <w:sz w:val="22"/>
          <w:lang w:val="fr-FR"/>
        </w:rPr>
        <w:t xml:space="preserve"> </w:t>
      </w:r>
      <w:r w:rsidR="00F86971" w:rsidRPr="00F86971">
        <w:rPr>
          <w:kern w:val="22"/>
          <w:sz w:val="22"/>
          <w:lang w:val="fr-FR"/>
        </w:rPr>
        <w:t xml:space="preserve">Au milieu de son </w:t>
      </w:r>
      <w:r w:rsidRPr="00F86971">
        <w:rPr>
          <w:kern w:val="22"/>
          <w:sz w:val="22"/>
          <w:lang w:val="fr-FR"/>
        </w:rPr>
        <w:t>cycle de vie</w:t>
      </w:r>
      <w:r w:rsidR="00F86971" w:rsidRPr="00F86971">
        <w:rPr>
          <w:kern w:val="22"/>
          <w:sz w:val="22"/>
          <w:lang w:val="fr-FR"/>
        </w:rPr>
        <w:t>, son</w:t>
      </w:r>
      <w:r w:rsidR="00592915" w:rsidRPr="00F86971">
        <w:rPr>
          <w:kern w:val="22"/>
          <w:sz w:val="22"/>
          <w:lang w:val="fr-FR"/>
        </w:rPr>
        <w:t xml:space="preserve"> habitat </w:t>
      </w:r>
      <w:r w:rsidR="00F86971">
        <w:rPr>
          <w:kern w:val="22"/>
          <w:sz w:val="22"/>
          <w:lang w:val="fr-FR"/>
        </w:rPr>
        <w:t>s’étend de</w:t>
      </w:r>
      <w:r w:rsidR="004259B5">
        <w:rPr>
          <w:kern w:val="22"/>
          <w:sz w:val="22"/>
          <w:lang w:val="fr-FR"/>
        </w:rPr>
        <w:t>puis</w:t>
      </w:r>
      <w:r w:rsidR="00F86971">
        <w:rPr>
          <w:kern w:val="22"/>
          <w:sz w:val="22"/>
          <w:lang w:val="fr-FR"/>
        </w:rPr>
        <w:t xml:space="preserve"> la mer Baltique jusqu’en Afrique du Nord</w:t>
      </w:r>
      <w:r w:rsidR="00592915" w:rsidRPr="00F86971">
        <w:rPr>
          <w:kern w:val="22"/>
          <w:sz w:val="22"/>
          <w:lang w:val="fr-FR"/>
        </w:rPr>
        <w:t>.</w:t>
      </w:r>
      <w:r w:rsidR="00592915" w:rsidRPr="002364AB">
        <w:rPr>
          <w:rStyle w:val="FootnoteReference"/>
          <w:kern w:val="22"/>
          <w:sz w:val="22"/>
          <w:lang w:val="en-GB"/>
        </w:rPr>
        <w:footnoteReference w:id="52"/>
      </w:r>
      <w:r w:rsidR="00AA5919" w:rsidRPr="00F86971">
        <w:rPr>
          <w:kern w:val="22"/>
          <w:sz w:val="22"/>
          <w:lang w:val="fr-FR"/>
        </w:rPr>
        <w:t xml:space="preserve"> </w:t>
      </w:r>
      <w:r w:rsidR="00F86971" w:rsidRPr="00F86971">
        <w:rPr>
          <w:kern w:val="22"/>
          <w:sz w:val="22"/>
          <w:lang w:val="fr-FR"/>
        </w:rPr>
        <w:t>C</w:t>
      </w:r>
      <w:r w:rsidR="00AA5919" w:rsidRPr="00F86971">
        <w:rPr>
          <w:kern w:val="22"/>
          <w:sz w:val="22"/>
          <w:lang w:val="fr-FR"/>
        </w:rPr>
        <w:t>ertain</w:t>
      </w:r>
      <w:r w:rsidR="00F86971" w:rsidRPr="00F86971">
        <w:rPr>
          <w:kern w:val="22"/>
          <w:sz w:val="22"/>
          <w:lang w:val="fr-FR"/>
        </w:rPr>
        <w:t>e</w:t>
      </w:r>
      <w:r w:rsidR="00AA5919" w:rsidRPr="00F86971">
        <w:rPr>
          <w:kern w:val="22"/>
          <w:sz w:val="22"/>
          <w:lang w:val="fr-FR"/>
        </w:rPr>
        <w:t xml:space="preserve">s </w:t>
      </w:r>
      <w:r w:rsidR="00F86971" w:rsidRPr="00F86971">
        <w:rPr>
          <w:kern w:val="22"/>
          <w:sz w:val="22"/>
          <w:lang w:val="fr-FR"/>
        </w:rPr>
        <w:t>populations migrent également sur une</w:t>
      </w:r>
      <w:r w:rsidR="00F86971">
        <w:rPr>
          <w:kern w:val="22"/>
          <w:sz w:val="22"/>
          <w:lang w:val="fr-FR"/>
        </w:rPr>
        <w:t xml:space="preserve"> certain</w:t>
      </w:r>
      <w:r w:rsidR="004259B5">
        <w:rPr>
          <w:kern w:val="22"/>
          <w:sz w:val="22"/>
          <w:lang w:val="fr-FR"/>
        </w:rPr>
        <w:t>e</w:t>
      </w:r>
      <w:r w:rsidR="00AA5919" w:rsidRPr="00F86971">
        <w:rPr>
          <w:kern w:val="22"/>
          <w:sz w:val="22"/>
          <w:lang w:val="fr-FR"/>
        </w:rPr>
        <w:t xml:space="preserve"> </w:t>
      </w:r>
      <w:r w:rsidR="0021706C" w:rsidRPr="00F86971">
        <w:rPr>
          <w:kern w:val="22"/>
          <w:sz w:val="22"/>
          <w:lang w:val="fr-FR"/>
        </w:rPr>
        <w:t>distance</w:t>
      </w:r>
      <w:r w:rsidR="00F86971">
        <w:rPr>
          <w:kern w:val="22"/>
          <w:sz w:val="22"/>
          <w:lang w:val="fr-FR"/>
        </w:rPr>
        <w:t xml:space="preserve"> à l’intér</w:t>
      </w:r>
      <w:r w:rsidR="004259B5">
        <w:rPr>
          <w:kern w:val="22"/>
          <w:sz w:val="22"/>
          <w:lang w:val="fr-FR"/>
        </w:rPr>
        <w:t>ieur des terres, le long des</w:t>
      </w:r>
      <w:r w:rsidR="00F86971">
        <w:rPr>
          <w:kern w:val="22"/>
          <w:sz w:val="22"/>
          <w:lang w:val="fr-FR"/>
        </w:rPr>
        <w:t xml:space="preserve"> </w:t>
      </w:r>
      <w:r w:rsidR="004259B5">
        <w:rPr>
          <w:kern w:val="22"/>
          <w:sz w:val="22"/>
          <w:lang w:val="fr-FR"/>
        </w:rPr>
        <w:t>éco</w:t>
      </w:r>
      <w:r w:rsidR="00F86971">
        <w:rPr>
          <w:kern w:val="22"/>
          <w:sz w:val="22"/>
          <w:lang w:val="fr-FR"/>
        </w:rPr>
        <w:t>systèmes d’eaux intérieures</w:t>
      </w:r>
      <w:r w:rsidR="0001332F" w:rsidRPr="00F86971">
        <w:rPr>
          <w:kern w:val="22"/>
          <w:sz w:val="22"/>
          <w:lang w:val="fr-FR"/>
        </w:rPr>
        <w:t xml:space="preserve"> (</w:t>
      </w:r>
      <w:r w:rsidR="00F86971">
        <w:rPr>
          <w:kern w:val="22"/>
          <w:sz w:val="22"/>
          <w:lang w:val="fr-FR"/>
        </w:rPr>
        <w:t xml:space="preserve">de manière inhabituelle, les anguilles vivent à la fois dans les </w:t>
      </w:r>
      <w:r w:rsidR="004259B5">
        <w:rPr>
          <w:kern w:val="22"/>
          <w:sz w:val="22"/>
          <w:lang w:val="fr-FR"/>
        </w:rPr>
        <w:t>écosystèmes d’eau salée et d’eau douce</w:t>
      </w:r>
      <w:r w:rsidR="00AA29D0">
        <w:rPr>
          <w:kern w:val="22"/>
          <w:sz w:val="22"/>
          <w:lang w:val="fr-FR"/>
        </w:rPr>
        <w:t xml:space="preserve"> durant</w:t>
      </w:r>
      <w:r w:rsidR="004259B5">
        <w:rPr>
          <w:kern w:val="22"/>
          <w:sz w:val="22"/>
          <w:lang w:val="fr-FR"/>
        </w:rPr>
        <w:t xml:space="preserve"> leur</w:t>
      </w:r>
      <w:r w:rsidR="0050280F" w:rsidRPr="00F86971">
        <w:rPr>
          <w:kern w:val="22"/>
          <w:sz w:val="22"/>
          <w:lang w:val="fr-FR"/>
        </w:rPr>
        <w:t xml:space="preserve"> </w:t>
      </w:r>
      <w:r w:rsidR="004259B5">
        <w:rPr>
          <w:kern w:val="22"/>
          <w:sz w:val="22"/>
          <w:lang w:val="fr-FR"/>
        </w:rPr>
        <w:t>cycle</w:t>
      </w:r>
      <w:r w:rsidR="00AA29D0">
        <w:rPr>
          <w:kern w:val="22"/>
          <w:sz w:val="22"/>
          <w:lang w:val="fr-FR"/>
        </w:rPr>
        <w:t xml:space="preserve"> de vie</w:t>
      </w:r>
      <w:r w:rsidR="0001332F" w:rsidRPr="00F86971">
        <w:rPr>
          <w:kern w:val="22"/>
          <w:sz w:val="22"/>
          <w:lang w:val="fr-FR"/>
        </w:rPr>
        <w:t>)</w:t>
      </w:r>
      <w:r w:rsidR="0021706C" w:rsidRPr="00F86971">
        <w:rPr>
          <w:kern w:val="22"/>
          <w:sz w:val="22"/>
          <w:lang w:val="fr-FR"/>
        </w:rPr>
        <w:t xml:space="preserve">. </w:t>
      </w:r>
      <w:r w:rsidR="00D6232E" w:rsidRPr="00AA29D0">
        <w:rPr>
          <w:kern w:val="22"/>
          <w:sz w:val="22"/>
          <w:lang w:val="fr-FR"/>
        </w:rPr>
        <w:t>Cependant</w:t>
      </w:r>
      <w:r w:rsidR="00AA29D0" w:rsidRPr="00AA29D0">
        <w:rPr>
          <w:kern w:val="22"/>
          <w:sz w:val="22"/>
          <w:lang w:val="fr-FR"/>
        </w:rPr>
        <w:t>, au début et à la</w:t>
      </w:r>
      <w:r w:rsidR="00AA29D0">
        <w:rPr>
          <w:kern w:val="22"/>
          <w:sz w:val="22"/>
          <w:lang w:val="fr-FR"/>
        </w:rPr>
        <w:t xml:space="preserve"> fin de leur </w:t>
      </w:r>
      <w:r w:rsidR="00AA29D0" w:rsidRPr="00AA29D0">
        <w:rPr>
          <w:kern w:val="22"/>
          <w:sz w:val="22"/>
          <w:lang w:val="fr-FR"/>
        </w:rPr>
        <w:t>cycle de vie</w:t>
      </w:r>
      <w:r w:rsidR="00592915" w:rsidRPr="00AA29D0">
        <w:rPr>
          <w:kern w:val="22"/>
          <w:sz w:val="22"/>
          <w:lang w:val="fr-FR"/>
        </w:rPr>
        <w:t xml:space="preserve">, </w:t>
      </w:r>
      <w:r w:rsidR="00AA29D0">
        <w:rPr>
          <w:kern w:val="22"/>
          <w:sz w:val="22"/>
          <w:lang w:val="fr-FR"/>
        </w:rPr>
        <w:t>elles traversent l’océan Atlantique pour att</w:t>
      </w:r>
      <w:r w:rsidR="006E62C2">
        <w:rPr>
          <w:kern w:val="22"/>
          <w:sz w:val="22"/>
          <w:lang w:val="fr-FR"/>
        </w:rPr>
        <w:t>eindre leur unique zone de frai connue</w:t>
      </w:r>
      <w:r w:rsidR="00AA29D0">
        <w:rPr>
          <w:kern w:val="22"/>
          <w:sz w:val="22"/>
          <w:lang w:val="fr-FR"/>
        </w:rPr>
        <w:t>, la mer des Sargasses</w:t>
      </w:r>
      <w:r w:rsidR="0013470C" w:rsidRPr="00AA29D0">
        <w:rPr>
          <w:kern w:val="22"/>
          <w:sz w:val="22"/>
          <w:lang w:val="fr-FR"/>
        </w:rPr>
        <w:t xml:space="preserve"> (</w:t>
      </w:r>
      <w:r w:rsidR="00AA29D0">
        <w:rPr>
          <w:kern w:val="22"/>
          <w:sz w:val="22"/>
          <w:lang w:val="fr-FR"/>
        </w:rPr>
        <w:t xml:space="preserve">reconnue par la Conférence des Parties à la </w:t>
      </w:r>
      <w:r w:rsidR="007347F7">
        <w:rPr>
          <w:kern w:val="22"/>
          <w:sz w:val="22"/>
          <w:lang w:val="fr-FR"/>
        </w:rPr>
        <w:t>Convention</w:t>
      </w:r>
      <w:r w:rsidR="00E42B5E">
        <w:rPr>
          <w:kern w:val="22"/>
          <w:sz w:val="22"/>
          <w:lang w:val="fr-FR"/>
        </w:rPr>
        <w:t xml:space="preserve"> sur la diversité biologique</w:t>
      </w:r>
      <w:r w:rsidR="00AA29D0">
        <w:rPr>
          <w:kern w:val="22"/>
          <w:sz w:val="22"/>
          <w:lang w:val="fr-FR"/>
        </w:rPr>
        <w:t xml:space="preserve"> comme une zone</w:t>
      </w:r>
      <w:r w:rsidR="00923804" w:rsidRPr="00AA29D0">
        <w:rPr>
          <w:kern w:val="22"/>
          <w:sz w:val="22"/>
          <w:lang w:val="fr-FR"/>
        </w:rPr>
        <w:t xml:space="preserve"> écologiqueme</w:t>
      </w:r>
      <w:r w:rsidR="00AA29D0">
        <w:rPr>
          <w:kern w:val="22"/>
          <w:sz w:val="22"/>
          <w:lang w:val="fr-FR"/>
        </w:rPr>
        <w:t>nt ou biologiquement importante</w:t>
      </w:r>
      <w:r w:rsidR="0013470C" w:rsidRPr="00AA29D0">
        <w:rPr>
          <w:kern w:val="22"/>
          <w:sz w:val="22"/>
          <w:lang w:val="fr-FR"/>
        </w:rPr>
        <w:t>).</w:t>
      </w:r>
      <w:r w:rsidR="00592915" w:rsidRPr="002364AB">
        <w:rPr>
          <w:rStyle w:val="FootnoteReference"/>
          <w:kern w:val="22"/>
          <w:sz w:val="22"/>
          <w:lang w:val="en-GB"/>
        </w:rPr>
        <w:footnoteReference w:id="53"/>
      </w:r>
      <w:r w:rsidR="00592915" w:rsidRPr="00AA29D0">
        <w:rPr>
          <w:kern w:val="22"/>
          <w:sz w:val="22"/>
          <w:lang w:val="fr-FR"/>
        </w:rPr>
        <w:t xml:space="preserve"> </w:t>
      </w:r>
      <w:r w:rsidR="00AA29D0">
        <w:rPr>
          <w:kern w:val="22"/>
          <w:sz w:val="22"/>
          <w:lang w:val="fr-FR"/>
        </w:rPr>
        <w:t>Bien que l’écosystème de la</w:t>
      </w:r>
      <w:r w:rsidR="00592915" w:rsidRPr="00AA29D0">
        <w:rPr>
          <w:kern w:val="22"/>
          <w:sz w:val="22"/>
          <w:lang w:val="fr-FR"/>
        </w:rPr>
        <w:t xml:space="preserve"> </w:t>
      </w:r>
      <w:r w:rsidR="00AA29D0">
        <w:rPr>
          <w:kern w:val="22"/>
          <w:sz w:val="22"/>
          <w:lang w:val="fr-FR"/>
        </w:rPr>
        <w:t>mer des Sargasses</w:t>
      </w:r>
      <w:r w:rsidR="00592915" w:rsidRPr="00AA29D0">
        <w:rPr>
          <w:kern w:val="22"/>
          <w:sz w:val="22"/>
          <w:lang w:val="fr-FR"/>
        </w:rPr>
        <w:t xml:space="preserve"> </w:t>
      </w:r>
      <w:r w:rsidR="00AA29D0">
        <w:rPr>
          <w:kern w:val="22"/>
          <w:sz w:val="22"/>
          <w:lang w:val="fr-FR"/>
        </w:rPr>
        <w:t xml:space="preserve">se trouve principalement en dehors des limites de la </w:t>
      </w:r>
      <w:r w:rsidR="00176298" w:rsidRPr="00AA29D0">
        <w:rPr>
          <w:kern w:val="22"/>
          <w:sz w:val="22"/>
          <w:lang w:val="fr-FR"/>
        </w:rPr>
        <w:t>juridiction nationale</w:t>
      </w:r>
      <w:r w:rsidR="00592915" w:rsidRPr="00AA29D0">
        <w:rPr>
          <w:kern w:val="22"/>
          <w:sz w:val="22"/>
          <w:lang w:val="fr-FR"/>
        </w:rPr>
        <w:t>,</w:t>
      </w:r>
      <w:r w:rsidR="006E62C2">
        <w:rPr>
          <w:kern w:val="22"/>
          <w:sz w:val="22"/>
          <w:lang w:val="fr-FR"/>
        </w:rPr>
        <w:t xml:space="preserve"> il inclut en partie la </w:t>
      </w:r>
      <w:r w:rsidR="00923804" w:rsidRPr="00AA29D0">
        <w:rPr>
          <w:kern w:val="22"/>
          <w:sz w:val="22"/>
          <w:lang w:val="fr-FR"/>
        </w:rPr>
        <w:t>zone économique exclusive</w:t>
      </w:r>
      <w:r w:rsidR="00592915" w:rsidRPr="00AA29D0">
        <w:rPr>
          <w:kern w:val="22"/>
          <w:sz w:val="22"/>
          <w:lang w:val="fr-FR"/>
        </w:rPr>
        <w:t xml:space="preserve"> (</w:t>
      </w:r>
      <w:r w:rsidR="00AA29D0">
        <w:rPr>
          <w:kern w:val="22"/>
          <w:sz w:val="22"/>
          <w:lang w:val="fr-FR"/>
        </w:rPr>
        <w:t>ZEE</w:t>
      </w:r>
      <w:r w:rsidR="00592915" w:rsidRPr="00AA29D0">
        <w:rPr>
          <w:kern w:val="22"/>
          <w:sz w:val="22"/>
          <w:lang w:val="fr-FR"/>
        </w:rPr>
        <w:t>)</w:t>
      </w:r>
      <w:r w:rsidR="00AA29D0">
        <w:rPr>
          <w:kern w:val="22"/>
          <w:sz w:val="22"/>
          <w:lang w:val="fr-FR"/>
        </w:rPr>
        <w:t xml:space="preserve"> des Bermudes</w:t>
      </w:r>
      <w:r w:rsidR="00E3674F" w:rsidRPr="00AA29D0">
        <w:rPr>
          <w:kern w:val="22"/>
          <w:sz w:val="22"/>
          <w:lang w:val="fr-FR"/>
        </w:rPr>
        <w:t xml:space="preserve"> et </w:t>
      </w:r>
      <w:r w:rsidR="00AA29D0">
        <w:rPr>
          <w:kern w:val="22"/>
          <w:sz w:val="22"/>
          <w:lang w:val="fr-FR"/>
        </w:rPr>
        <w:t xml:space="preserve">une partie </w:t>
      </w:r>
      <w:r w:rsidR="002518EB" w:rsidRPr="00AA29D0">
        <w:rPr>
          <w:kern w:val="22"/>
          <w:sz w:val="22"/>
          <w:lang w:val="fr-FR"/>
        </w:rPr>
        <w:t xml:space="preserve">d’autres </w:t>
      </w:r>
      <w:r w:rsidR="00AA29D0">
        <w:rPr>
          <w:kern w:val="22"/>
          <w:sz w:val="22"/>
          <w:lang w:val="fr-FR"/>
        </w:rPr>
        <w:t>ZEE</w:t>
      </w:r>
      <w:r w:rsidR="00592915" w:rsidRPr="00AA29D0">
        <w:rPr>
          <w:kern w:val="22"/>
          <w:sz w:val="22"/>
          <w:lang w:val="fr-FR"/>
        </w:rPr>
        <w:t xml:space="preserve"> (Bahamas, </w:t>
      </w:r>
      <w:r w:rsidR="006E62C2">
        <w:rPr>
          <w:kern w:val="22"/>
          <w:sz w:val="22"/>
          <w:lang w:val="fr-FR"/>
        </w:rPr>
        <w:t xml:space="preserve">République dominicaine et </w:t>
      </w:r>
      <w:r w:rsidRPr="00AA29D0">
        <w:rPr>
          <w:kern w:val="22"/>
          <w:sz w:val="22"/>
          <w:lang w:val="fr-FR"/>
        </w:rPr>
        <w:t>Etats-Unis</w:t>
      </w:r>
      <w:r w:rsidR="006E62C2">
        <w:rPr>
          <w:kern w:val="22"/>
          <w:sz w:val="22"/>
          <w:lang w:val="fr-FR"/>
        </w:rPr>
        <w:t>, par exemple</w:t>
      </w:r>
      <w:r w:rsidR="00592915" w:rsidRPr="00AA29D0">
        <w:rPr>
          <w:kern w:val="22"/>
          <w:sz w:val="22"/>
          <w:lang w:val="fr-FR"/>
        </w:rPr>
        <w:t>).</w:t>
      </w:r>
      <w:r w:rsidR="009A2E9B" w:rsidRPr="00AA29D0">
        <w:rPr>
          <w:kern w:val="22"/>
          <w:sz w:val="22"/>
          <w:lang w:val="fr-FR"/>
        </w:rPr>
        <w:t xml:space="preserve"> </w:t>
      </w:r>
      <w:r w:rsidR="00AA29D0" w:rsidRPr="00AA29D0">
        <w:rPr>
          <w:kern w:val="22"/>
          <w:sz w:val="22"/>
          <w:lang w:val="fr-FR"/>
        </w:rPr>
        <w:t>D</w:t>
      </w:r>
      <w:r w:rsidR="00AA29D0">
        <w:rPr>
          <w:kern w:val="22"/>
          <w:sz w:val="22"/>
          <w:lang w:val="fr-FR"/>
        </w:rPr>
        <w:t>es b</w:t>
      </w:r>
      <w:r w:rsidR="00B43E38" w:rsidRPr="00AA29D0">
        <w:rPr>
          <w:kern w:val="22"/>
          <w:sz w:val="22"/>
          <w:lang w:val="fr-FR"/>
        </w:rPr>
        <w:t>revet</w:t>
      </w:r>
      <w:r w:rsidR="00592915" w:rsidRPr="00AA29D0">
        <w:rPr>
          <w:kern w:val="22"/>
          <w:sz w:val="22"/>
          <w:lang w:val="fr-FR"/>
        </w:rPr>
        <w:t>s</w:t>
      </w:r>
      <w:r w:rsidR="00AA29D0">
        <w:rPr>
          <w:kern w:val="22"/>
          <w:sz w:val="22"/>
          <w:lang w:val="fr-FR"/>
        </w:rPr>
        <w:t xml:space="preserve"> </w:t>
      </w:r>
      <w:r w:rsidR="006E62C2">
        <w:rPr>
          <w:kern w:val="22"/>
          <w:sz w:val="22"/>
          <w:lang w:val="fr-FR"/>
        </w:rPr>
        <w:t xml:space="preserve">concernant cette espèce </w:t>
      </w:r>
      <w:r w:rsidR="00AA29D0">
        <w:rPr>
          <w:kern w:val="22"/>
          <w:sz w:val="22"/>
          <w:lang w:val="fr-FR"/>
        </w:rPr>
        <w:t xml:space="preserve">ont été accordés principalement aux </w:t>
      </w:r>
      <w:r w:rsidRPr="00AA29D0">
        <w:rPr>
          <w:kern w:val="22"/>
          <w:sz w:val="22"/>
          <w:lang w:val="fr-FR"/>
        </w:rPr>
        <w:t>Etats-Unis</w:t>
      </w:r>
      <w:r w:rsidR="00E3674F" w:rsidRPr="00AA29D0">
        <w:rPr>
          <w:kern w:val="22"/>
          <w:sz w:val="22"/>
          <w:lang w:val="fr-FR"/>
        </w:rPr>
        <w:t xml:space="preserve"> et </w:t>
      </w:r>
      <w:r w:rsidR="00AA29D0">
        <w:rPr>
          <w:kern w:val="22"/>
          <w:sz w:val="22"/>
          <w:lang w:val="fr-FR"/>
        </w:rPr>
        <w:lastRenderedPageBreak/>
        <w:t xml:space="preserve">en </w:t>
      </w:r>
      <w:r w:rsidR="00592915" w:rsidRPr="00AA29D0">
        <w:rPr>
          <w:kern w:val="22"/>
          <w:sz w:val="22"/>
          <w:lang w:val="fr-FR"/>
        </w:rPr>
        <w:t>Europe</w:t>
      </w:r>
      <w:r w:rsidR="006E62C2">
        <w:rPr>
          <w:kern w:val="22"/>
          <w:sz w:val="22"/>
          <w:lang w:val="fr-FR"/>
        </w:rPr>
        <w:t>, mentionnant</w:t>
      </w:r>
      <w:r w:rsidR="00AA29D0">
        <w:rPr>
          <w:kern w:val="22"/>
          <w:sz w:val="22"/>
          <w:lang w:val="fr-FR"/>
        </w:rPr>
        <w:t xml:space="preserve"> l’</w:t>
      </w:r>
      <w:r w:rsidR="0076689D">
        <w:rPr>
          <w:kern w:val="22"/>
          <w:sz w:val="22"/>
          <w:lang w:val="fr-FR"/>
        </w:rPr>
        <w:t>a</w:t>
      </w:r>
      <w:r w:rsidR="00FB2FE9" w:rsidRPr="00AA29D0">
        <w:rPr>
          <w:kern w:val="22"/>
          <w:sz w:val="22"/>
          <w:lang w:val="fr-FR"/>
        </w:rPr>
        <w:t>nguille d’Europe</w:t>
      </w:r>
      <w:r w:rsidR="00E3674F" w:rsidRPr="00AA29D0">
        <w:rPr>
          <w:kern w:val="22"/>
          <w:sz w:val="22"/>
          <w:lang w:val="fr-FR"/>
        </w:rPr>
        <w:t xml:space="preserve"> et </w:t>
      </w:r>
      <w:r w:rsidR="006E62C2">
        <w:rPr>
          <w:kern w:val="22"/>
          <w:sz w:val="22"/>
          <w:lang w:val="fr-FR"/>
        </w:rPr>
        <w:t>les composé</w:t>
      </w:r>
      <w:r w:rsidR="00AA29D0">
        <w:rPr>
          <w:kern w:val="22"/>
          <w:sz w:val="22"/>
          <w:lang w:val="fr-FR"/>
        </w:rPr>
        <w:t>s bioch</w:t>
      </w:r>
      <w:r w:rsidR="006E62C2">
        <w:rPr>
          <w:kern w:val="22"/>
          <w:sz w:val="22"/>
          <w:lang w:val="fr-FR"/>
        </w:rPr>
        <w:t xml:space="preserve">imiques trouvés dans cette </w:t>
      </w:r>
      <w:r w:rsidR="00AA29D0">
        <w:rPr>
          <w:kern w:val="22"/>
          <w:sz w:val="22"/>
          <w:lang w:val="fr-FR"/>
        </w:rPr>
        <w:t>espèce,</w:t>
      </w:r>
      <w:r w:rsidR="00592915" w:rsidRPr="00AA29D0">
        <w:rPr>
          <w:kern w:val="22"/>
          <w:sz w:val="22"/>
          <w:lang w:val="fr-FR"/>
        </w:rPr>
        <w:t xml:space="preserve"> </w:t>
      </w:r>
      <w:r w:rsidR="00733DB1" w:rsidRPr="00AA29D0">
        <w:rPr>
          <w:kern w:val="22"/>
          <w:sz w:val="22"/>
          <w:lang w:val="fr-FR"/>
        </w:rPr>
        <w:t>tels que</w:t>
      </w:r>
      <w:r w:rsidR="00592915" w:rsidRPr="00AA29D0">
        <w:rPr>
          <w:kern w:val="22"/>
          <w:sz w:val="22"/>
          <w:lang w:val="fr-FR"/>
        </w:rPr>
        <w:t xml:space="preserve"> </w:t>
      </w:r>
      <w:r w:rsidR="00AA29D0">
        <w:rPr>
          <w:kern w:val="22"/>
          <w:sz w:val="22"/>
          <w:lang w:val="fr-FR"/>
        </w:rPr>
        <w:t xml:space="preserve">les </w:t>
      </w:r>
      <w:r w:rsidR="00592915" w:rsidRPr="00AA29D0">
        <w:rPr>
          <w:kern w:val="22"/>
          <w:sz w:val="22"/>
          <w:lang w:val="fr-FR"/>
        </w:rPr>
        <w:t>lectin</w:t>
      </w:r>
      <w:r w:rsidR="00AA29D0">
        <w:rPr>
          <w:kern w:val="22"/>
          <w:sz w:val="22"/>
          <w:lang w:val="fr-FR"/>
        </w:rPr>
        <w:t>e</w:t>
      </w:r>
      <w:r w:rsidR="00592915" w:rsidRPr="00AA29D0">
        <w:rPr>
          <w:kern w:val="22"/>
          <w:sz w:val="22"/>
          <w:lang w:val="fr-FR"/>
        </w:rPr>
        <w:t>s</w:t>
      </w:r>
      <w:r w:rsidR="00592915" w:rsidRPr="002364AB">
        <w:rPr>
          <w:rStyle w:val="FootnoteReference"/>
          <w:kern w:val="22"/>
          <w:sz w:val="22"/>
          <w:lang w:val="en-GB"/>
        </w:rPr>
        <w:footnoteReference w:id="54"/>
      </w:r>
      <w:r w:rsidR="00E3674F" w:rsidRPr="00AA29D0">
        <w:rPr>
          <w:kern w:val="22"/>
          <w:sz w:val="22"/>
          <w:lang w:val="fr-FR"/>
        </w:rPr>
        <w:t xml:space="preserve"> et </w:t>
      </w:r>
      <w:r w:rsidR="00AA29D0">
        <w:rPr>
          <w:kern w:val="22"/>
          <w:sz w:val="22"/>
          <w:lang w:val="fr-FR"/>
        </w:rPr>
        <w:t>une</w:t>
      </w:r>
      <w:r w:rsidR="00E30A86" w:rsidRPr="00AA29D0">
        <w:rPr>
          <w:kern w:val="22"/>
          <w:sz w:val="22"/>
          <w:lang w:val="fr-FR"/>
        </w:rPr>
        <w:t xml:space="preserve"> </w:t>
      </w:r>
      <w:r w:rsidR="00592915" w:rsidRPr="00AA29D0">
        <w:rPr>
          <w:kern w:val="22"/>
          <w:sz w:val="22"/>
          <w:lang w:val="fr-FR"/>
        </w:rPr>
        <w:t>cytokine.</w:t>
      </w:r>
      <w:r w:rsidR="00592915" w:rsidRPr="002364AB">
        <w:rPr>
          <w:rStyle w:val="FootnoteReference"/>
          <w:kern w:val="22"/>
          <w:sz w:val="22"/>
          <w:lang w:val="en-GB"/>
        </w:rPr>
        <w:footnoteReference w:id="55"/>
      </w:r>
    </w:p>
    <w:p w14:paraId="198C137F" w14:textId="6939A4C7" w:rsidR="00E83104" w:rsidRPr="00F86971" w:rsidRDefault="0076689D" w:rsidP="008811EE">
      <w:pPr>
        <w:rPr>
          <w:kern w:val="22"/>
          <w:sz w:val="22"/>
          <w:lang w:val="fr-FR"/>
        </w:rPr>
      </w:pPr>
      <w:r>
        <w:rPr>
          <w:i/>
          <w:iCs/>
          <w:kern w:val="22"/>
          <w:sz w:val="22"/>
          <w:lang w:val="fr-FR"/>
        </w:rPr>
        <w:t>Papillon M</w:t>
      </w:r>
      <w:r w:rsidR="00EC15BE" w:rsidRPr="00F86971">
        <w:rPr>
          <w:i/>
          <w:iCs/>
          <w:kern w:val="22"/>
          <w:sz w:val="22"/>
          <w:lang w:val="fr-FR"/>
        </w:rPr>
        <w:t>onarque</w:t>
      </w:r>
      <w:r w:rsidR="00E83104" w:rsidRPr="00F86971">
        <w:rPr>
          <w:kern w:val="22"/>
          <w:sz w:val="22"/>
          <w:lang w:val="fr-FR"/>
        </w:rPr>
        <w:t xml:space="preserve"> (</w:t>
      </w:r>
      <w:r w:rsidR="00E83104" w:rsidRPr="00F86971">
        <w:rPr>
          <w:i/>
          <w:iCs/>
          <w:kern w:val="22"/>
          <w:sz w:val="22"/>
          <w:lang w:val="fr-FR"/>
        </w:rPr>
        <w:t>Danaus plexippus</w:t>
      </w:r>
      <w:r w:rsidR="00E83104" w:rsidRPr="00F86971">
        <w:rPr>
          <w:kern w:val="22"/>
          <w:sz w:val="22"/>
          <w:lang w:val="fr-FR"/>
        </w:rPr>
        <w:t>)</w:t>
      </w:r>
    </w:p>
    <w:p w14:paraId="6F9C816D" w14:textId="090E86B8" w:rsidR="003E3CFA" w:rsidRPr="00281295" w:rsidRDefault="008A5BE1" w:rsidP="008811EE">
      <w:pPr>
        <w:rPr>
          <w:kern w:val="22"/>
          <w:sz w:val="22"/>
          <w:lang w:val="fr-FR"/>
        </w:rPr>
      </w:pPr>
      <w:r w:rsidRPr="00E90B84">
        <w:rPr>
          <w:kern w:val="22"/>
          <w:sz w:val="22"/>
          <w:lang w:val="fr-FR"/>
        </w:rPr>
        <w:t>Un</w:t>
      </w:r>
      <w:r w:rsidR="00E90B84" w:rsidRPr="00E90B84">
        <w:rPr>
          <w:kern w:val="22"/>
          <w:sz w:val="22"/>
          <w:lang w:val="fr-FR"/>
        </w:rPr>
        <w:t>e</w:t>
      </w:r>
      <w:r w:rsidRPr="00E90B84">
        <w:rPr>
          <w:kern w:val="22"/>
          <w:sz w:val="22"/>
          <w:lang w:val="fr-FR"/>
        </w:rPr>
        <w:t xml:space="preserve"> autre</w:t>
      </w:r>
      <w:r w:rsidR="00E90B84" w:rsidRPr="00E90B84">
        <w:rPr>
          <w:kern w:val="22"/>
          <w:sz w:val="22"/>
          <w:lang w:val="fr-FR"/>
        </w:rPr>
        <w:t xml:space="preserve"> espèc</w:t>
      </w:r>
      <w:r w:rsidR="00F508C4">
        <w:rPr>
          <w:kern w:val="22"/>
          <w:sz w:val="22"/>
          <w:lang w:val="fr-FR"/>
        </w:rPr>
        <w:t xml:space="preserve">e migratrice très connue, le </w:t>
      </w:r>
      <w:r w:rsidR="0076689D">
        <w:rPr>
          <w:kern w:val="22"/>
          <w:sz w:val="22"/>
          <w:lang w:val="fr-FR"/>
        </w:rPr>
        <w:t>papillon M</w:t>
      </w:r>
      <w:r w:rsidR="00EC15BE" w:rsidRPr="00E90B84">
        <w:rPr>
          <w:kern w:val="22"/>
          <w:sz w:val="22"/>
          <w:lang w:val="fr-FR"/>
        </w:rPr>
        <w:t>onarque</w:t>
      </w:r>
      <w:r w:rsidR="0086352B" w:rsidRPr="00E90B84">
        <w:rPr>
          <w:kern w:val="22"/>
          <w:sz w:val="22"/>
          <w:lang w:val="fr-FR"/>
        </w:rPr>
        <w:t xml:space="preserve"> (</w:t>
      </w:r>
      <w:r w:rsidR="0086352B" w:rsidRPr="00E90B84">
        <w:rPr>
          <w:i/>
          <w:iCs/>
          <w:kern w:val="22"/>
          <w:sz w:val="22"/>
          <w:lang w:val="fr-FR"/>
        </w:rPr>
        <w:t>Danaus plexippus</w:t>
      </w:r>
      <w:r w:rsidR="0086352B" w:rsidRPr="00E90B84">
        <w:rPr>
          <w:kern w:val="22"/>
          <w:sz w:val="22"/>
          <w:lang w:val="fr-FR"/>
        </w:rPr>
        <w:t>)</w:t>
      </w:r>
      <w:r w:rsidR="00855833" w:rsidRPr="00E90B84">
        <w:rPr>
          <w:kern w:val="22"/>
          <w:sz w:val="22"/>
          <w:lang w:val="fr-FR"/>
        </w:rPr>
        <w:t>,</w:t>
      </w:r>
      <w:r w:rsidR="00470104" w:rsidRPr="00E90B84">
        <w:rPr>
          <w:kern w:val="22"/>
          <w:sz w:val="22"/>
          <w:lang w:val="fr-FR"/>
        </w:rPr>
        <w:t xml:space="preserve"> </w:t>
      </w:r>
      <w:r w:rsidR="00AA29D0">
        <w:rPr>
          <w:kern w:val="22"/>
          <w:sz w:val="22"/>
          <w:lang w:val="fr-FR"/>
        </w:rPr>
        <w:t>effectue des migrations en Amérique, en traversant</w:t>
      </w:r>
      <w:r w:rsidR="006F0F70" w:rsidRPr="00E90B84">
        <w:rPr>
          <w:kern w:val="22"/>
          <w:sz w:val="22"/>
          <w:lang w:val="fr-FR"/>
        </w:rPr>
        <w:t xml:space="preserve"> </w:t>
      </w:r>
      <w:r w:rsidR="00AA29D0">
        <w:rPr>
          <w:kern w:val="22"/>
          <w:sz w:val="22"/>
          <w:lang w:val="fr-FR"/>
        </w:rPr>
        <w:t xml:space="preserve">le </w:t>
      </w:r>
      <w:r w:rsidR="00E90B84" w:rsidRPr="00E90B84">
        <w:rPr>
          <w:kern w:val="22"/>
          <w:sz w:val="22"/>
          <w:lang w:val="fr-FR"/>
        </w:rPr>
        <w:t>Mexique</w:t>
      </w:r>
      <w:r w:rsidR="00AA29D0">
        <w:rPr>
          <w:kern w:val="22"/>
          <w:sz w:val="22"/>
          <w:lang w:val="fr-FR"/>
        </w:rPr>
        <w:t>, les</w:t>
      </w:r>
      <w:r w:rsidR="006F0F70" w:rsidRPr="00E90B84">
        <w:rPr>
          <w:kern w:val="22"/>
          <w:sz w:val="22"/>
          <w:lang w:val="fr-FR"/>
        </w:rPr>
        <w:t xml:space="preserve"> </w:t>
      </w:r>
      <w:r w:rsidR="009A6A8C" w:rsidRPr="00E90B84">
        <w:rPr>
          <w:kern w:val="22"/>
          <w:sz w:val="22"/>
          <w:lang w:val="fr-FR"/>
        </w:rPr>
        <w:t>Etats-Unis</w:t>
      </w:r>
      <w:r w:rsidR="00E3674F" w:rsidRPr="00E90B84">
        <w:rPr>
          <w:kern w:val="22"/>
          <w:sz w:val="22"/>
          <w:lang w:val="fr-FR"/>
        </w:rPr>
        <w:t xml:space="preserve"> et </w:t>
      </w:r>
      <w:r w:rsidR="00AA29D0">
        <w:rPr>
          <w:kern w:val="22"/>
          <w:sz w:val="22"/>
          <w:lang w:val="fr-FR"/>
        </w:rPr>
        <w:t xml:space="preserve">le </w:t>
      </w:r>
      <w:r w:rsidR="006F0F70" w:rsidRPr="00E90B84">
        <w:rPr>
          <w:kern w:val="22"/>
          <w:sz w:val="22"/>
          <w:lang w:val="fr-FR"/>
        </w:rPr>
        <w:t xml:space="preserve">Canada </w:t>
      </w:r>
      <w:r w:rsidR="006E62C2">
        <w:rPr>
          <w:kern w:val="22"/>
          <w:sz w:val="22"/>
          <w:lang w:val="fr-FR"/>
        </w:rPr>
        <w:t xml:space="preserve">durant </w:t>
      </w:r>
      <w:r w:rsidR="00AA29D0">
        <w:rPr>
          <w:kern w:val="22"/>
          <w:sz w:val="22"/>
          <w:lang w:val="fr-FR"/>
        </w:rPr>
        <w:t>son</w:t>
      </w:r>
      <w:r w:rsidR="006F0F70" w:rsidRPr="00E90B84">
        <w:rPr>
          <w:kern w:val="22"/>
          <w:sz w:val="22"/>
          <w:lang w:val="fr-FR"/>
        </w:rPr>
        <w:t xml:space="preserve"> </w:t>
      </w:r>
      <w:r w:rsidR="009A6A8C" w:rsidRPr="00E90B84">
        <w:rPr>
          <w:kern w:val="22"/>
          <w:sz w:val="22"/>
          <w:lang w:val="fr-FR"/>
        </w:rPr>
        <w:t>cycle de vie</w:t>
      </w:r>
      <w:r w:rsidR="006E62C2">
        <w:rPr>
          <w:kern w:val="22"/>
          <w:sz w:val="22"/>
          <w:lang w:val="fr-FR"/>
        </w:rPr>
        <w:t>. Cette espèce est inscrite à</w:t>
      </w:r>
      <w:r w:rsidR="00281295" w:rsidRPr="00281295">
        <w:rPr>
          <w:kern w:val="22"/>
          <w:sz w:val="22"/>
          <w:lang w:val="fr-FR"/>
        </w:rPr>
        <w:t xml:space="preserve"> l’</w:t>
      </w:r>
      <w:r w:rsidR="00126716" w:rsidRPr="00281295">
        <w:rPr>
          <w:kern w:val="22"/>
          <w:sz w:val="22"/>
          <w:lang w:val="fr-FR"/>
        </w:rPr>
        <w:t>Annexe</w:t>
      </w:r>
      <w:r w:rsidR="00464810" w:rsidRPr="00281295">
        <w:rPr>
          <w:kern w:val="22"/>
          <w:sz w:val="22"/>
          <w:lang w:val="fr-FR"/>
        </w:rPr>
        <w:t xml:space="preserve"> II </w:t>
      </w:r>
      <w:r w:rsidR="00281295" w:rsidRPr="00281295">
        <w:rPr>
          <w:kern w:val="22"/>
          <w:sz w:val="22"/>
          <w:lang w:val="fr-FR"/>
        </w:rPr>
        <w:t>de la CMS depuis 1979. L</w:t>
      </w:r>
      <w:r w:rsidR="00F508C4">
        <w:rPr>
          <w:kern w:val="22"/>
          <w:sz w:val="22"/>
          <w:lang w:val="fr-FR"/>
        </w:rPr>
        <w:t>’aire de répartition du</w:t>
      </w:r>
      <w:r w:rsidR="00464810" w:rsidRPr="00281295">
        <w:rPr>
          <w:kern w:val="22"/>
          <w:sz w:val="22"/>
          <w:lang w:val="fr-FR"/>
        </w:rPr>
        <w:t xml:space="preserve"> </w:t>
      </w:r>
      <w:r w:rsidR="00F508C4">
        <w:rPr>
          <w:kern w:val="22"/>
          <w:sz w:val="22"/>
          <w:lang w:val="fr-FR"/>
        </w:rPr>
        <w:t>M</w:t>
      </w:r>
      <w:r w:rsidR="00EC15BE" w:rsidRPr="00281295">
        <w:rPr>
          <w:kern w:val="22"/>
          <w:sz w:val="22"/>
          <w:lang w:val="fr-FR"/>
        </w:rPr>
        <w:t>onarque</w:t>
      </w:r>
      <w:r w:rsidR="00464810" w:rsidRPr="00281295">
        <w:rPr>
          <w:kern w:val="22"/>
          <w:sz w:val="22"/>
          <w:lang w:val="fr-FR"/>
        </w:rPr>
        <w:t xml:space="preserve"> </w:t>
      </w:r>
      <w:r w:rsidR="00F508C4">
        <w:rPr>
          <w:kern w:val="22"/>
          <w:sz w:val="22"/>
          <w:lang w:val="fr-FR"/>
        </w:rPr>
        <w:t>inclut aujourd’hui certain</w:t>
      </w:r>
      <w:r w:rsidR="00281295">
        <w:rPr>
          <w:kern w:val="22"/>
          <w:sz w:val="22"/>
          <w:lang w:val="fr-FR"/>
        </w:rPr>
        <w:t>es îles du Pacifique</w:t>
      </w:r>
      <w:r w:rsidR="00E3674F" w:rsidRPr="00281295">
        <w:rPr>
          <w:kern w:val="22"/>
          <w:sz w:val="22"/>
          <w:lang w:val="fr-FR"/>
        </w:rPr>
        <w:t xml:space="preserve"> et </w:t>
      </w:r>
      <w:r w:rsidR="00281295">
        <w:rPr>
          <w:kern w:val="22"/>
          <w:sz w:val="22"/>
          <w:lang w:val="fr-FR"/>
        </w:rPr>
        <w:t>p</w:t>
      </w:r>
      <w:r w:rsidR="00F508C4">
        <w:rPr>
          <w:kern w:val="22"/>
          <w:sz w:val="22"/>
          <w:lang w:val="fr-FR"/>
        </w:rPr>
        <w:t xml:space="preserve">lus loin encore, dans des régions </w:t>
      </w:r>
      <w:r w:rsidR="00281295">
        <w:rPr>
          <w:kern w:val="22"/>
          <w:sz w:val="22"/>
          <w:lang w:val="fr-FR"/>
        </w:rPr>
        <w:t>où il n’eff</w:t>
      </w:r>
      <w:r w:rsidR="006E62C2">
        <w:rPr>
          <w:kern w:val="22"/>
          <w:sz w:val="22"/>
          <w:lang w:val="fr-FR"/>
        </w:rPr>
        <w:t>ectue plus de</w:t>
      </w:r>
      <w:r w:rsidR="00281295">
        <w:rPr>
          <w:kern w:val="22"/>
          <w:sz w:val="22"/>
          <w:lang w:val="fr-FR"/>
        </w:rPr>
        <w:t xml:space="preserve"> longues </w:t>
      </w:r>
      <w:r w:rsidR="00496A17" w:rsidRPr="00281295">
        <w:rPr>
          <w:kern w:val="22"/>
          <w:sz w:val="22"/>
          <w:lang w:val="fr-FR"/>
        </w:rPr>
        <w:t>migrations</w:t>
      </w:r>
      <w:r w:rsidR="003F5A4A" w:rsidRPr="00281295">
        <w:rPr>
          <w:kern w:val="22"/>
          <w:sz w:val="22"/>
          <w:lang w:val="fr-FR"/>
        </w:rPr>
        <w:t>.</w:t>
      </w:r>
      <w:r w:rsidR="00496A17" w:rsidRPr="002364AB">
        <w:rPr>
          <w:rStyle w:val="FootnoteReference"/>
          <w:kern w:val="22"/>
          <w:sz w:val="22"/>
          <w:lang w:val="en-GB"/>
        </w:rPr>
        <w:footnoteReference w:id="56"/>
      </w:r>
      <w:r w:rsidR="008B2E1C" w:rsidRPr="00281295">
        <w:rPr>
          <w:kern w:val="22"/>
          <w:sz w:val="22"/>
          <w:lang w:val="fr-FR"/>
        </w:rPr>
        <w:t xml:space="preserve"> </w:t>
      </w:r>
      <w:r w:rsidR="00281295" w:rsidRPr="00281295">
        <w:rPr>
          <w:kern w:val="22"/>
          <w:sz w:val="22"/>
          <w:lang w:val="fr-FR"/>
        </w:rPr>
        <w:t>La séquence du génome du</w:t>
      </w:r>
      <w:r w:rsidR="008B2E1C" w:rsidRPr="00281295">
        <w:rPr>
          <w:kern w:val="22"/>
          <w:sz w:val="22"/>
          <w:lang w:val="fr-FR"/>
        </w:rPr>
        <w:t xml:space="preserve"> </w:t>
      </w:r>
      <w:r w:rsidR="00F508C4">
        <w:rPr>
          <w:kern w:val="22"/>
          <w:sz w:val="22"/>
          <w:lang w:val="fr-FR"/>
        </w:rPr>
        <w:t>M</w:t>
      </w:r>
      <w:r w:rsidR="00EC15BE" w:rsidRPr="00281295">
        <w:rPr>
          <w:kern w:val="22"/>
          <w:sz w:val="22"/>
          <w:lang w:val="fr-FR"/>
        </w:rPr>
        <w:t>onarque</w:t>
      </w:r>
      <w:r w:rsidR="00281295" w:rsidRPr="00281295">
        <w:rPr>
          <w:kern w:val="22"/>
          <w:sz w:val="22"/>
          <w:lang w:val="fr-FR"/>
        </w:rPr>
        <w:t xml:space="preserve"> a été </w:t>
      </w:r>
      <w:r w:rsidR="00281295">
        <w:rPr>
          <w:kern w:val="22"/>
          <w:sz w:val="22"/>
          <w:lang w:val="fr-FR"/>
        </w:rPr>
        <w:t>réalisée</w:t>
      </w:r>
      <w:r w:rsidR="006E62C2">
        <w:rPr>
          <w:kern w:val="22"/>
          <w:sz w:val="22"/>
          <w:lang w:val="fr-FR"/>
        </w:rPr>
        <w:t>,</w:t>
      </w:r>
      <w:r w:rsidR="00281295">
        <w:rPr>
          <w:kern w:val="22"/>
          <w:sz w:val="22"/>
          <w:lang w:val="fr-FR"/>
        </w:rPr>
        <w:t xml:space="preserve"> et est accessible au public depuis </w:t>
      </w:r>
      <w:r w:rsidR="008B2E1C" w:rsidRPr="00281295">
        <w:rPr>
          <w:kern w:val="22"/>
          <w:sz w:val="22"/>
          <w:lang w:val="fr-FR"/>
        </w:rPr>
        <w:t>201</w:t>
      </w:r>
      <w:r w:rsidR="00B53E9B" w:rsidRPr="00281295">
        <w:rPr>
          <w:kern w:val="22"/>
          <w:sz w:val="22"/>
          <w:lang w:val="fr-FR"/>
        </w:rPr>
        <w:t>1</w:t>
      </w:r>
      <w:r w:rsidR="008B2E1C" w:rsidRPr="00281295">
        <w:rPr>
          <w:kern w:val="22"/>
          <w:sz w:val="22"/>
          <w:lang w:val="fr-FR"/>
        </w:rPr>
        <w:t>.</w:t>
      </w:r>
      <w:r w:rsidR="00B53E9B" w:rsidRPr="002364AB">
        <w:rPr>
          <w:rStyle w:val="FootnoteReference"/>
          <w:kern w:val="22"/>
          <w:sz w:val="22"/>
          <w:lang w:val="en-GB"/>
        </w:rPr>
        <w:footnoteReference w:id="57"/>
      </w:r>
      <w:r w:rsidR="008B2E1C" w:rsidRPr="00281295">
        <w:rPr>
          <w:kern w:val="22"/>
          <w:sz w:val="22"/>
          <w:lang w:val="fr-FR"/>
        </w:rPr>
        <w:t xml:space="preserve"> </w:t>
      </w:r>
    </w:p>
    <w:p w14:paraId="4B5F5324" w14:textId="4123D2B5" w:rsidR="0017771C" w:rsidRPr="00CA1435" w:rsidRDefault="00281295" w:rsidP="008811EE">
      <w:pPr>
        <w:rPr>
          <w:kern w:val="22"/>
          <w:sz w:val="22"/>
          <w:lang w:val="fr-FR"/>
        </w:rPr>
      </w:pPr>
      <w:r>
        <w:rPr>
          <w:kern w:val="22"/>
          <w:sz w:val="22"/>
          <w:lang w:val="fr-FR"/>
        </w:rPr>
        <w:t>On trouve des e</w:t>
      </w:r>
      <w:r w:rsidR="009D43F1" w:rsidRPr="00281295">
        <w:rPr>
          <w:kern w:val="22"/>
          <w:sz w:val="22"/>
          <w:lang w:val="fr-FR"/>
        </w:rPr>
        <w:t>xemple</w:t>
      </w:r>
      <w:r>
        <w:rPr>
          <w:kern w:val="22"/>
          <w:sz w:val="22"/>
          <w:lang w:val="fr-FR"/>
        </w:rPr>
        <w:t>s de</w:t>
      </w:r>
      <w:r w:rsidR="00504C80" w:rsidRPr="00281295">
        <w:rPr>
          <w:kern w:val="22"/>
          <w:sz w:val="22"/>
          <w:lang w:val="fr-FR"/>
        </w:rPr>
        <w:t xml:space="preserve"> </w:t>
      </w:r>
      <w:r w:rsidR="00B43E38" w:rsidRPr="00281295">
        <w:rPr>
          <w:kern w:val="22"/>
          <w:sz w:val="22"/>
          <w:lang w:val="fr-FR"/>
        </w:rPr>
        <w:t>brevet</w:t>
      </w:r>
      <w:r w:rsidR="00550ECF" w:rsidRPr="00281295">
        <w:rPr>
          <w:kern w:val="22"/>
          <w:sz w:val="22"/>
          <w:lang w:val="fr-FR"/>
        </w:rPr>
        <w:t>s</w:t>
      </w:r>
      <w:r w:rsidR="0028742E" w:rsidRPr="00281295">
        <w:rPr>
          <w:kern w:val="22"/>
          <w:sz w:val="22"/>
          <w:lang w:val="fr-FR"/>
        </w:rPr>
        <w:t xml:space="preserve"> ou</w:t>
      </w:r>
      <w:r>
        <w:rPr>
          <w:kern w:val="22"/>
          <w:sz w:val="22"/>
          <w:lang w:val="fr-FR"/>
        </w:rPr>
        <w:t xml:space="preserve"> de demandes de</w:t>
      </w:r>
      <w:r w:rsidR="0028742E" w:rsidRPr="00281295">
        <w:rPr>
          <w:kern w:val="22"/>
          <w:sz w:val="22"/>
          <w:lang w:val="fr-FR"/>
        </w:rPr>
        <w:t xml:space="preserve"> </w:t>
      </w:r>
      <w:r w:rsidR="00B43E38" w:rsidRPr="00281295">
        <w:rPr>
          <w:kern w:val="22"/>
          <w:sz w:val="22"/>
          <w:lang w:val="fr-FR"/>
        </w:rPr>
        <w:t>brevet</w:t>
      </w:r>
      <w:r w:rsidR="002B5505" w:rsidRPr="00281295">
        <w:rPr>
          <w:kern w:val="22"/>
          <w:sz w:val="22"/>
          <w:lang w:val="fr-FR"/>
        </w:rPr>
        <w:t xml:space="preserve"> </w:t>
      </w:r>
      <w:r w:rsidR="00F508C4">
        <w:rPr>
          <w:kern w:val="22"/>
          <w:sz w:val="22"/>
          <w:lang w:val="fr-FR"/>
        </w:rPr>
        <w:t xml:space="preserve">utilisant les </w:t>
      </w:r>
      <w:r w:rsidR="002412D6">
        <w:rPr>
          <w:kern w:val="22"/>
          <w:sz w:val="22"/>
          <w:lang w:val="fr-FR"/>
        </w:rPr>
        <w:t>lignées cellulaires</w:t>
      </w:r>
      <w:r w:rsidR="00B026E3" w:rsidRPr="00281295">
        <w:rPr>
          <w:kern w:val="22"/>
          <w:sz w:val="22"/>
          <w:lang w:val="fr-FR"/>
        </w:rPr>
        <w:t>,</w:t>
      </w:r>
      <w:r w:rsidR="00C945EC" w:rsidRPr="002364AB">
        <w:rPr>
          <w:rStyle w:val="FootnoteReference"/>
          <w:kern w:val="22"/>
          <w:sz w:val="22"/>
          <w:lang w:val="en-GB"/>
        </w:rPr>
        <w:footnoteReference w:id="58"/>
      </w:r>
      <w:r w:rsidR="00E3674F" w:rsidRPr="00281295">
        <w:rPr>
          <w:kern w:val="22"/>
          <w:sz w:val="22"/>
          <w:lang w:val="fr-FR"/>
        </w:rPr>
        <w:t xml:space="preserve"> et </w:t>
      </w:r>
      <w:r>
        <w:rPr>
          <w:kern w:val="22"/>
          <w:sz w:val="22"/>
          <w:lang w:val="fr-FR"/>
        </w:rPr>
        <w:t>couvrant des</w:t>
      </w:r>
      <w:r w:rsidR="00B026E3" w:rsidRPr="00281295">
        <w:rPr>
          <w:kern w:val="22"/>
          <w:sz w:val="22"/>
          <w:lang w:val="fr-FR"/>
        </w:rPr>
        <w:t xml:space="preserve"> </w:t>
      </w:r>
      <w:r>
        <w:rPr>
          <w:kern w:val="22"/>
          <w:sz w:val="22"/>
          <w:lang w:val="fr-FR"/>
        </w:rPr>
        <w:t>sé</w:t>
      </w:r>
      <w:r w:rsidR="00D6147B" w:rsidRPr="00281295">
        <w:rPr>
          <w:kern w:val="22"/>
          <w:sz w:val="22"/>
          <w:lang w:val="fr-FR"/>
        </w:rPr>
        <w:t>quences,</w:t>
      </w:r>
      <w:r w:rsidR="00D6147B" w:rsidRPr="002364AB">
        <w:rPr>
          <w:rStyle w:val="FootnoteReference"/>
          <w:kern w:val="22"/>
          <w:sz w:val="22"/>
          <w:lang w:val="en-GB"/>
        </w:rPr>
        <w:footnoteReference w:id="59"/>
      </w:r>
      <w:r w:rsidR="00D6147B" w:rsidRPr="00281295">
        <w:rPr>
          <w:kern w:val="22"/>
          <w:sz w:val="22"/>
          <w:lang w:val="fr-FR"/>
        </w:rPr>
        <w:t xml:space="preserve"> </w:t>
      </w:r>
      <w:r>
        <w:rPr>
          <w:kern w:val="22"/>
          <w:sz w:val="22"/>
          <w:lang w:val="fr-FR"/>
        </w:rPr>
        <w:t>proté</w:t>
      </w:r>
      <w:r w:rsidR="00FE3BD9" w:rsidRPr="00281295">
        <w:rPr>
          <w:kern w:val="22"/>
          <w:sz w:val="22"/>
          <w:lang w:val="fr-FR"/>
        </w:rPr>
        <w:t>ases</w:t>
      </w:r>
      <w:r w:rsidR="00FD31C1" w:rsidRPr="00281295">
        <w:rPr>
          <w:kern w:val="22"/>
          <w:sz w:val="22"/>
          <w:lang w:val="fr-FR"/>
        </w:rPr>
        <w:t>,</w:t>
      </w:r>
      <w:r w:rsidR="00FD31C1" w:rsidRPr="002364AB">
        <w:rPr>
          <w:rStyle w:val="FootnoteReference"/>
          <w:kern w:val="22"/>
          <w:sz w:val="22"/>
          <w:lang w:val="en-GB"/>
        </w:rPr>
        <w:footnoteReference w:id="60"/>
      </w:r>
      <w:r w:rsidR="00E3674F" w:rsidRPr="00281295">
        <w:rPr>
          <w:kern w:val="22"/>
          <w:sz w:val="22"/>
          <w:lang w:val="fr-FR"/>
        </w:rPr>
        <w:t xml:space="preserve"> et </w:t>
      </w:r>
      <w:r w:rsidR="00CF3227" w:rsidRPr="00281295">
        <w:rPr>
          <w:kern w:val="22"/>
          <w:sz w:val="22"/>
          <w:lang w:val="fr-FR"/>
        </w:rPr>
        <w:t>enzymes</w:t>
      </w:r>
      <w:r w:rsidR="00CF3227" w:rsidRPr="002364AB">
        <w:rPr>
          <w:rStyle w:val="FootnoteReference"/>
          <w:kern w:val="22"/>
          <w:sz w:val="22"/>
          <w:lang w:val="en-GB"/>
        </w:rPr>
        <w:footnoteReference w:id="61"/>
      </w:r>
      <w:r>
        <w:rPr>
          <w:kern w:val="22"/>
          <w:sz w:val="22"/>
          <w:lang w:val="fr-FR"/>
        </w:rPr>
        <w:t xml:space="preserve"> provenant des papillons monarque</w:t>
      </w:r>
      <w:r w:rsidR="00CF3227" w:rsidRPr="00281295">
        <w:rPr>
          <w:kern w:val="22"/>
          <w:sz w:val="22"/>
          <w:lang w:val="fr-FR"/>
        </w:rPr>
        <w:t>s.</w:t>
      </w:r>
      <w:r w:rsidR="00464810" w:rsidRPr="00281295">
        <w:rPr>
          <w:kern w:val="22"/>
          <w:sz w:val="22"/>
          <w:lang w:val="fr-FR"/>
        </w:rPr>
        <w:t xml:space="preserve"> </w:t>
      </w:r>
      <w:r w:rsidR="00F508C4">
        <w:rPr>
          <w:kern w:val="22"/>
          <w:sz w:val="22"/>
          <w:lang w:val="fr-FR"/>
        </w:rPr>
        <w:t>Le pays le</w:t>
      </w:r>
      <w:r w:rsidR="003A6037" w:rsidRPr="00327C6F">
        <w:rPr>
          <w:kern w:val="22"/>
          <w:sz w:val="22"/>
          <w:lang w:val="fr-FR"/>
        </w:rPr>
        <w:t xml:space="preserve"> plus important en termes de conservation de cette espèce sur le plan </w:t>
      </w:r>
      <w:r w:rsidR="00327C6F" w:rsidRPr="00327C6F">
        <w:rPr>
          <w:kern w:val="22"/>
          <w:sz w:val="22"/>
          <w:lang w:val="fr-FR"/>
        </w:rPr>
        <w:t>géographique concerne le M</w:t>
      </w:r>
      <w:r w:rsidR="00E90B84" w:rsidRPr="00327C6F">
        <w:rPr>
          <w:kern w:val="22"/>
          <w:sz w:val="22"/>
          <w:lang w:val="fr-FR"/>
        </w:rPr>
        <w:t>exique</w:t>
      </w:r>
      <w:r w:rsidR="00A14F5F" w:rsidRPr="00327C6F">
        <w:rPr>
          <w:kern w:val="22"/>
          <w:sz w:val="22"/>
          <w:lang w:val="fr-FR"/>
        </w:rPr>
        <w:t xml:space="preserve"> – </w:t>
      </w:r>
      <w:r w:rsidR="00F508C4">
        <w:rPr>
          <w:kern w:val="22"/>
          <w:sz w:val="22"/>
          <w:lang w:val="fr-FR"/>
        </w:rPr>
        <w:t xml:space="preserve">c’est aussi </w:t>
      </w:r>
      <w:r w:rsidR="00327C6F" w:rsidRPr="00327C6F">
        <w:rPr>
          <w:kern w:val="22"/>
          <w:sz w:val="22"/>
          <w:lang w:val="fr-FR"/>
        </w:rPr>
        <w:t xml:space="preserve">le seul Etat de </w:t>
      </w:r>
      <w:r w:rsidR="00F508C4">
        <w:rPr>
          <w:kern w:val="22"/>
          <w:sz w:val="22"/>
          <w:lang w:val="fr-FR"/>
        </w:rPr>
        <w:t xml:space="preserve">l’aire de répartition qui est </w:t>
      </w:r>
      <w:r w:rsidR="001A200E" w:rsidRPr="00327C6F">
        <w:rPr>
          <w:kern w:val="22"/>
          <w:sz w:val="22"/>
          <w:lang w:val="fr-FR"/>
        </w:rPr>
        <w:t>Partie</w:t>
      </w:r>
      <w:r w:rsidR="0026236C" w:rsidRPr="00327C6F">
        <w:rPr>
          <w:kern w:val="22"/>
          <w:sz w:val="22"/>
          <w:lang w:val="fr-FR"/>
        </w:rPr>
        <w:t xml:space="preserve"> </w:t>
      </w:r>
      <w:r w:rsidR="00E3674F" w:rsidRPr="00327C6F">
        <w:rPr>
          <w:kern w:val="22"/>
          <w:sz w:val="22"/>
          <w:lang w:val="fr-FR"/>
        </w:rPr>
        <w:t>au Protocole de Nagoya</w:t>
      </w:r>
      <w:r w:rsidR="008207B9">
        <w:rPr>
          <w:kern w:val="22"/>
          <w:sz w:val="22"/>
          <w:lang w:val="fr-FR"/>
        </w:rPr>
        <w:t xml:space="preserve"> – ; le Mexique </w:t>
      </w:r>
      <w:r w:rsidR="00F508C4">
        <w:rPr>
          <w:kern w:val="22"/>
          <w:sz w:val="22"/>
          <w:lang w:val="fr-FR"/>
        </w:rPr>
        <w:t xml:space="preserve">est responsable de </w:t>
      </w:r>
      <w:r w:rsidR="00327C6F" w:rsidRPr="00327C6F">
        <w:rPr>
          <w:kern w:val="22"/>
          <w:sz w:val="22"/>
          <w:lang w:val="fr-FR"/>
        </w:rPr>
        <w:t>la protection des sites d’hivernage de l’espèce</w:t>
      </w:r>
      <w:r w:rsidR="00F508C4">
        <w:rPr>
          <w:kern w:val="22"/>
          <w:sz w:val="22"/>
          <w:lang w:val="fr-FR"/>
        </w:rPr>
        <w:t>,</w:t>
      </w:r>
      <w:r w:rsidR="00327C6F" w:rsidRPr="00327C6F">
        <w:rPr>
          <w:kern w:val="22"/>
          <w:sz w:val="22"/>
          <w:lang w:val="fr-FR"/>
        </w:rPr>
        <w:t xml:space="preserve"> dans les for</w:t>
      </w:r>
      <w:r w:rsidR="00327C6F">
        <w:rPr>
          <w:kern w:val="22"/>
          <w:sz w:val="22"/>
          <w:lang w:val="fr-FR"/>
        </w:rPr>
        <w:t xml:space="preserve">êts </w:t>
      </w:r>
      <w:r w:rsidR="00E53548">
        <w:rPr>
          <w:kern w:val="22"/>
          <w:sz w:val="22"/>
          <w:lang w:val="fr-FR"/>
        </w:rPr>
        <w:t xml:space="preserve">de sapins </w:t>
      </w:r>
      <w:r w:rsidR="00327C6F">
        <w:rPr>
          <w:kern w:val="22"/>
          <w:sz w:val="22"/>
          <w:lang w:val="fr-FR"/>
        </w:rPr>
        <w:t xml:space="preserve">de haute altitude </w:t>
      </w:r>
      <w:r w:rsidR="00CA1435">
        <w:rPr>
          <w:kern w:val="22"/>
          <w:sz w:val="22"/>
          <w:lang w:val="fr-FR"/>
        </w:rPr>
        <w:t>d’</w:t>
      </w:r>
      <w:r w:rsidR="008B5CC7" w:rsidRPr="00327C6F">
        <w:rPr>
          <w:kern w:val="22"/>
          <w:sz w:val="22"/>
          <w:lang w:val="fr-FR"/>
        </w:rPr>
        <w:t xml:space="preserve">Oyamel </w:t>
      </w:r>
      <w:r w:rsidR="00CA1435">
        <w:rPr>
          <w:kern w:val="22"/>
          <w:sz w:val="22"/>
          <w:lang w:val="fr-FR"/>
        </w:rPr>
        <w:t>au centre du</w:t>
      </w:r>
      <w:r w:rsidR="008207B9">
        <w:rPr>
          <w:kern w:val="22"/>
          <w:sz w:val="22"/>
          <w:lang w:val="fr-FR"/>
        </w:rPr>
        <w:t xml:space="preserve"> pays</w:t>
      </w:r>
      <w:r w:rsidR="0026236C" w:rsidRPr="00327C6F">
        <w:rPr>
          <w:kern w:val="22"/>
          <w:sz w:val="22"/>
          <w:lang w:val="fr-FR"/>
        </w:rPr>
        <w:t xml:space="preserve">. </w:t>
      </w:r>
      <w:r w:rsidR="00CA1435" w:rsidRPr="00CA1435">
        <w:rPr>
          <w:kern w:val="22"/>
          <w:sz w:val="22"/>
          <w:lang w:val="fr-FR"/>
        </w:rPr>
        <w:t>Or ces</w:t>
      </w:r>
      <w:r w:rsidR="00292014" w:rsidRPr="00CA1435">
        <w:rPr>
          <w:kern w:val="22"/>
          <w:sz w:val="22"/>
          <w:lang w:val="fr-FR"/>
        </w:rPr>
        <w:t xml:space="preserve"> sites</w:t>
      </w:r>
      <w:r w:rsidR="00CA1435" w:rsidRPr="00CA1435">
        <w:rPr>
          <w:kern w:val="22"/>
          <w:sz w:val="22"/>
          <w:lang w:val="fr-FR"/>
        </w:rPr>
        <w:t xml:space="preserve"> d’hivernage sont </w:t>
      </w:r>
      <w:r w:rsidR="008207B9">
        <w:rPr>
          <w:kern w:val="22"/>
          <w:sz w:val="22"/>
          <w:lang w:val="fr-FR"/>
        </w:rPr>
        <w:t>actuellement menacé</w:t>
      </w:r>
      <w:r w:rsidR="00CA1435" w:rsidRPr="00CA1435">
        <w:rPr>
          <w:kern w:val="22"/>
          <w:sz w:val="22"/>
          <w:lang w:val="fr-FR"/>
        </w:rPr>
        <w:t>s par le changement climatique et l</w:t>
      </w:r>
      <w:r w:rsidR="00CA1435">
        <w:rPr>
          <w:kern w:val="22"/>
          <w:sz w:val="22"/>
          <w:lang w:val="fr-FR"/>
        </w:rPr>
        <w:t>e déboisement illégal</w:t>
      </w:r>
      <w:r w:rsidR="00292014" w:rsidRPr="00CA1435">
        <w:rPr>
          <w:kern w:val="22"/>
          <w:sz w:val="22"/>
          <w:lang w:val="fr-FR"/>
        </w:rPr>
        <w:t xml:space="preserve"> – </w:t>
      </w:r>
      <w:r w:rsidR="00CA1435">
        <w:rPr>
          <w:kern w:val="22"/>
          <w:sz w:val="22"/>
          <w:lang w:val="fr-FR"/>
        </w:rPr>
        <w:t>malgré l</w:t>
      </w:r>
      <w:r w:rsidR="008207B9">
        <w:rPr>
          <w:kern w:val="22"/>
          <w:sz w:val="22"/>
          <w:lang w:val="fr-FR"/>
        </w:rPr>
        <w:t>e fait que de nombreux</w:t>
      </w:r>
      <w:r w:rsidR="00CA1435">
        <w:rPr>
          <w:kern w:val="22"/>
          <w:sz w:val="22"/>
          <w:lang w:val="fr-FR"/>
        </w:rPr>
        <w:t xml:space="preserve"> sites </w:t>
      </w:r>
      <w:r w:rsidR="008207B9">
        <w:rPr>
          <w:kern w:val="22"/>
          <w:sz w:val="22"/>
          <w:lang w:val="fr-FR"/>
        </w:rPr>
        <w:t xml:space="preserve">d’hivernage soient inclus dans </w:t>
      </w:r>
      <w:r w:rsidR="00CA1435">
        <w:rPr>
          <w:kern w:val="22"/>
          <w:sz w:val="22"/>
          <w:lang w:val="fr-FR"/>
        </w:rPr>
        <w:t>une réserve de la Biosphère de l’UNESCO</w:t>
      </w:r>
      <w:r w:rsidR="00EE62B3" w:rsidRPr="00CA1435">
        <w:rPr>
          <w:kern w:val="22"/>
          <w:sz w:val="22"/>
          <w:lang w:val="fr-FR"/>
        </w:rPr>
        <w:t>.</w:t>
      </w:r>
      <w:r w:rsidR="00EE62B3" w:rsidRPr="002364AB">
        <w:rPr>
          <w:rStyle w:val="FootnoteReference"/>
          <w:kern w:val="22"/>
          <w:sz w:val="22"/>
          <w:lang w:val="en-GB"/>
        </w:rPr>
        <w:footnoteReference w:id="62"/>
      </w:r>
      <w:r w:rsidR="00321737" w:rsidRPr="00CA1435">
        <w:rPr>
          <w:kern w:val="22"/>
          <w:sz w:val="22"/>
          <w:lang w:val="fr-FR"/>
        </w:rPr>
        <w:t xml:space="preserve"> </w:t>
      </w:r>
      <w:r w:rsidR="008207B9">
        <w:rPr>
          <w:kern w:val="22"/>
          <w:sz w:val="22"/>
          <w:lang w:val="fr-FR"/>
        </w:rPr>
        <w:t xml:space="preserve">La description faite dans la Liste </w:t>
      </w:r>
      <w:r w:rsidR="00CA1435" w:rsidRPr="00CA1435">
        <w:rPr>
          <w:kern w:val="22"/>
          <w:sz w:val="22"/>
          <w:lang w:val="fr-FR"/>
        </w:rPr>
        <w:t>du patrimoine mondiale reconna</w:t>
      </w:r>
      <w:r w:rsidR="00CA1435">
        <w:rPr>
          <w:kern w:val="22"/>
          <w:sz w:val="22"/>
          <w:lang w:val="fr-FR"/>
        </w:rPr>
        <w:t>ît la nécessité de travailler en collaboration avec les communautés locales</w:t>
      </w:r>
      <w:r w:rsidR="008207B9">
        <w:rPr>
          <w:kern w:val="22"/>
          <w:sz w:val="22"/>
          <w:lang w:val="fr-FR"/>
        </w:rPr>
        <w:t xml:space="preserve"> pour assurer la </w:t>
      </w:r>
      <w:r w:rsidR="008A2CF2" w:rsidRPr="00CA1435">
        <w:rPr>
          <w:kern w:val="22"/>
          <w:sz w:val="22"/>
          <w:lang w:val="fr-FR"/>
        </w:rPr>
        <w:t>protection</w:t>
      </w:r>
      <w:r w:rsidR="00A02F56">
        <w:rPr>
          <w:kern w:val="22"/>
          <w:sz w:val="22"/>
          <w:lang w:val="fr-FR"/>
        </w:rPr>
        <w:t xml:space="preserve"> de l’environnement</w:t>
      </w:r>
      <w:r w:rsidR="00E3674F" w:rsidRPr="00CA1435">
        <w:rPr>
          <w:kern w:val="22"/>
          <w:sz w:val="22"/>
          <w:lang w:val="fr-FR"/>
        </w:rPr>
        <w:t xml:space="preserve"> et </w:t>
      </w:r>
      <w:r w:rsidR="008207B9">
        <w:rPr>
          <w:kern w:val="22"/>
          <w:sz w:val="22"/>
          <w:lang w:val="fr-FR"/>
        </w:rPr>
        <w:t>pour fournir d’autres</w:t>
      </w:r>
      <w:r w:rsidR="00A02F56">
        <w:rPr>
          <w:kern w:val="22"/>
          <w:sz w:val="22"/>
          <w:lang w:val="fr-FR"/>
        </w:rPr>
        <w:t xml:space="preserve"> moyens d</w:t>
      </w:r>
      <w:r w:rsidR="008207B9">
        <w:rPr>
          <w:kern w:val="22"/>
          <w:sz w:val="22"/>
          <w:lang w:val="fr-FR"/>
        </w:rPr>
        <w:t xml:space="preserve">e subsistance remplaçant le </w:t>
      </w:r>
      <w:r w:rsidR="00A02F56">
        <w:rPr>
          <w:kern w:val="22"/>
          <w:sz w:val="22"/>
          <w:lang w:val="fr-FR"/>
        </w:rPr>
        <w:t>déboisement illégal</w:t>
      </w:r>
      <w:r w:rsidR="007C35AF" w:rsidRPr="00CA1435">
        <w:rPr>
          <w:kern w:val="22"/>
          <w:sz w:val="22"/>
          <w:lang w:val="fr-FR"/>
        </w:rPr>
        <w:t xml:space="preserve">, </w:t>
      </w:r>
      <w:r w:rsidR="00B43E38" w:rsidRPr="00CA1435">
        <w:rPr>
          <w:kern w:val="22"/>
          <w:sz w:val="22"/>
          <w:lang w:val="fr-FR"/>
        </w:rPr>
        <w:t>y compris</w:t>
      </w:r>
      <w:r w:rsidR="007C35AF" w:rsidRPr="00CA1435">
        <w:rPr>
          <w:kern w:val="22"/>
          <w:sz w:val="22"/>
          <w:lang w:val="fr-FR"/>
        </w:rPr>
        <w:t xml:space="preserve"> </w:t>
      </w:r>
      <w:r w:rsidR="008207B9">
        <w:rPr>
          <w:kern w:val="22"/>
          <w:sz w:val="22"/>
          <w:lang w:val="fr-FR"/>
        </w:rPr>
        <w:t xml:space="preserve">en encourageant un système </w:t>
      </w:r>
      <w:r w:rsidR="00E3674F" w:rsidRPr="00CA1435">
        <w:rPr>
          <w:kern w:val="22"/>
          <w:sz w:val="22"/>
          <w:lang w:val="fr-FR"/>
        </w:rPr>
        <w:t>de partage des avantages</w:t>
      </w:r>
      <w:r w:rsidR="00A02F56">
        <w:rPr>
          <w:kern w:val="22"/>
          <w:sz w:val="22"/>
          <w:lang w:val="fr-FR"/>
        </w:rPr>
        <w:t xml:space="preserve"> au profit des </w:t>
      </w:r>
      <w:r w:rsidR="00CA1435">
        <w:rPr>
          <w:kern w:val="22"/>
          <w:sz w:val="22"/>
          <w:lang w:val="fr-FR"/>
        </w:rPr>
        <w:t>communautés locales</w:t>
      </w:r>
      <w:r w:rsidR="008207B9">
        <w:rPr>
          <w:kern w:val="22"/>
          <w:sz w:val="22"/>
          <w:lang w:val="fr-FR"/>
        </w:rPr>
        <w:t>, comme mesure d’incitation pour favoriser leur soutien en matière de</w:t>
      </w:r>
      <w:r w:rsidR="008A2CF2" w:rsidRPr="00CA1435">
        <w:rPr>
          <w:kern w:val="22"/>
          <w:sz w:val="22"/>
          <w:lang w:val="fr-FR"/>
        </w:rPr>
        <w:t xml:space="preserve"> conservation.</w:t>
      </w:r>
      <w:r w:rsidR="00756875" w:rsidRPr="002364AB">
        <w:rPr>
          <w:rStyle w:val="FootnoteReference"/>
          <w:kern w:val="22"/>
          <w:sz w:val="22"/>
          <w:lang w:val="en-GB"/>
        </w:rPr>
        <w:footnoteReference w:id="63"/>
      </w:r>
    </w:p>
    <w:p w14:paraId="312427EB" w14:textId="52347CEF" w:rsidR="00E83104" w:rsidRPr="00130D0F" w:rsidRDefault="0076689D" w:rsidP="008811EE">
      <w:pPr>
        <w:rPr>
          <w:i/>
          <w:kern w:val="22"/>
          <w:sz w:val="22"/>
          <w:lang w:val="fr-FR"/>
        </w:rPr>
      </w:pPr>
      <w:r>
        <w:rPr>
          <w:i/>
          <w:kern w:val="22"/>
          <w:sz w:val="22"/>
          <w:lang w:val="fr-FR"/>
        </w:rPr>
        <w:t>Canard C</w:t>
      </w:r>
      <w:r w:rsidR="00C151EC">
        <w:rPr>
          <w:i/>
          <w:kern w:val="22"/>
          <w:sz w:val="22"/>
          <w:lang w:val="fr-FR"/>
        </w:rPr>
        <w:t>olvert</w:t>
      </w:r>
      <w:r w:rsidR="00E83104" w:rsidRPr="00130D0F">
        <w:rPr>
          <w:i/>
          <w:kern w:val="22"/>
          <w:sz w:val="22"/>
          <w:lang w:val="fr-FR"/>
        </w:rPr>
        <w:t xml:space="preserve"> (</w:t>
      </w:r>
      <w:r w:rsidR="00E83104" w:rsidRPr="00130D0F">
        <w:rPr>
          <w:i/>
          <w:iCs/>
          <w:kern w:val="22"/>
          <w:sz w:val="22"/>
          <w:lang w:val="fr-FR"/>
        </w:rPr>
        <w:t>Anas platyrhynchos</w:t>
      </w:r>
      <w:r w:rsidR="00E83104" w:rsidRPr="00130D0F">
        <w:rPr>
          <w:i/>
          <w:kern w:val="22"/>
          <w:sz w:val="22"/>
          <w:lang w:val="fr-FR"/>
        </w:rPr>
        <w:t>)</w:t>
      </w:r>
    </w:p>
    <w:p w14:paraId="3950CE16" w14:textId="7C43FFC1" w:rsidR="003E3CFA" w:rsidRPr="002D69A5" w:rsidRDefault="008207B9" w:rsidP="008811EE">
      <w:pPr>
        <w:rPr>
          <w:kern w:val="22"/>
          <w:sz w:val="22"/>
          <w:lang w:val="fr-FR"/>
        </w:rPr>
      </w:pPr>
      <w:r>
        <w:rPr>
          <w:kern w:val="22"/>
          <w:sz w:val="22"/>
          <w:lang w:val="fr-FR"/>
        </w:rPr>
        <w:lastRenderedPageBreak/>
        <w:t xml:space="preserve">Un </w:t>
      </w:r>
      <w:r w:rsidR="00E15AC0" w:rsidRPr="002D69A5">
        <w:rPr>
          <w:kern w:val="22"/>
          <w:sz w:val="22"/>
          <w:lang w:val="fr-FR"/>
        </w:rPr>
        <w:t xml:space="preserve">dernier </w:t>
      </w:r>
      <w:r w:rsidR="009D43F1" w:rsidRPr="002D69A5">
        <w:rPr>
          <w:kern w:val="22"/>
          <w:sz w:val="22"/>
          <w:lang w:val="fr-FR"/>
        </w:rPr>
        <w:t>exemple</w:t>
      </w:r>
      <w:r w:rsidR="00E15AC0" w:rsidRPr="002D69A5">
        <w:rPr>
          <w:kern w:val="22"/>
          <w:sz w:val="22"/>
          <w:lang w:val="fr-FR"/>
        </w:rPr>
        <w:t xml:space="preserve"> concerne le</w:t>
      </w:r>
      <w:r w:rsidR="00FC0404" w:rsidRPr="002D69A5">
        <w:rPr>
          <w:kern w:val="22"/>
          <w:sz w:val="22"/>
          <w:lang w:val="fr-FR"/>
        </w:rPr>
        <w:t xml:space="preserve"> </w:t>
      </w:r>
      <w:r w:rsidR="0076689D">
        <w:rPr>
          <w:kern w:val="22"/>
          <w:sz w:val="22"/>
          <w:lang w:val="fr-FR"/>
        </w:rPr>
        <w:t>canard Colvert ou canard M</w:t>
      </w:r>
      <w:r w:rsidR="00C151EC">
        <w:rPr>
          <w:kern w:val="22"/>
          <w:sz w:val="22"/>
          <w:lang w:val="fr-FR"/>
        </w:rPr>
        <w:t>allard</w:t>
      </w:r>
      <w:r w:rsidR="00FC0404" w:rsidRPr="002D69A5">
        <w:rPr>
          <w:kern w:val="22"/>
          <w:sz w:val="22"/>
          <w:lang w:val="fr-FR"/>
        </w:rPr>
        <w:t xml:space="preserve"> (</w:t>
      </w:r>
      <w:r w:rsidR="00FC0404" w:rsidRPr="002D69A5">
        <w:rPr>
          <w:i/>
          <w:iCs/>
          <w:kern w:val="22"/>
          <w:sz w:val="22"/>
          <w:lang w:val="fr-FR"/>
        </w:rPr>
        <w:t xml:space="preserve">Anas </w:t>
      </w:r>
      <w:r w:rsidR="00F9212F" w:rsidRPr="002D69A5">
        <w:rPr>
          <w:i/>
          <w:iCs/>
          <w:kern w:val="22"/>
          <w:sz w:val="22"/>
          <w:lang w:val="fr-FR"/>
        </w:rPr>
        <w:t>p</w:t>
      </w:r>
      <w:r w:rsidR="00FC0404" w:rsidRPr="002D69A5">
        <w:rPr>
          <w:i/>
          <w:iCs/>
          <w:kern w:val="22"/>
          <w:sz w:val="22"/>
          <w:lang w:val="fr-FR"/>
        </w:rPr>
        <w:t>latyrhynchos</w:t>
      </w:r>
      <w:r w:rsidR="00FC0404" w:rsidRPr="002D69A5">
        <w:rPr>
          <w:kern w:val="22"/>
          <w:sz w:val="22"/>
          <w:lang w:val="fr-FR"/>
        </w:rPr>
        <w:t>)</w:t>
      </w:r>
      <w:r w:rsidR="00E15AC0" w:rsidRPr="002D69A5">
        <w:rPr>
          <w:kern w:val="22"/>
          <w:sz w:val="22"/>
          <w:lang w:val="fr-FR"/>
        </w:rPr>
        <w:t>, une</w:t>
      </w:r>
      <w:r w:rsidR="00F9212F" w:rsidRPr="002D69A5">
        <w:rPr>
          <w:kern w:val="22"/>
          <w:sz w:val="22"/>
          <w:lang w:val="fr-FR"/>
        </w:rPr>
        <w:t xml:space="preserve"> </w:t>
      </w:r>
      <w:r w:rsidR="00E15AC0" w:rsidRPr="002D69A5">
        <w:rPr>
          <w:kern w:val="22"/>
          <w:sz w:val="22"/>
          <w:lang w:val="fr-FR"/>
        </w:rPr>
        <w:t>espèce visée par l’</w:t>
      </w:r>
      <w:r w:rsidR="00E15AC0" w:rsidRPr="002D69A5">
        <w:rPr>
          <w:i/>
          <w:iCs/>
          <w:kern w:val="22"/>
          <w:sz w:val="22"/>
          <w:lang w:val="fr-FR"/>
        </w:rPr>
        <w:t>Accord</w:t>
      </w:r>
      <w:r w:rsidR="00A02F56" w:rsidRPr="002D69A5">
        <w:rPr>
          <w:i/>
          <w:iCs/>
          <w:kern w:val="22"/>
          <w:sz w:val="22"/>
          <w:lang w:val="fr-FR"/>
        </w:rPr>
        <w:t xml:space="preserve"> sur la c</w:t>
      </w:r>
      <w:r w:rsidR="002D69A5" w:rsidRPr="002D69A5">
        <w:rPr>
          <w:i/>
          <w:iCs/>
          <w:kern w:val="22"/>
          <w:sz w:val="22"/>
          <w:lang w:val="fr-FR"/>
        </w:rPr>
        <w:t>onservation des oiseaux d’eau migrateurs d’</w:t>
      </w:r>
      <w:r w:rsidR="002D69A5">
        <w:rPr>
          <w:i/>
          <w:iCs/>
          <w:kern w:val="22"/>
          <w:sz w:val="22"/>
          <w:lang w:val="fr-FR"/>
        </w:rPr>
        <w:t>Afrique-</w:t>
      </w:r>
      <w:r w:rsidR="002D69A5" w:rsidRPr="002D69A5">
        <w:rPr>
          <w:i/>
          <w:iCs/>
          <w:kern w:val="22"/>
          <w:sz w:val="22"/>
          <w:lang w:val="fr-FR"/>
        </w:rPr>
        <w:t>Eurasie</w:t>
      </w:r>
      <w:r w:rsidR="002017B4" w:rsidRPr="002364AB">
        <w:rPr>
          <w:rStyle w:val="FootnoteReference"/>
          <w:kern w:val="22"/>
          <w:sz w:val="22"/>
          <w:lang w:val="en-GB"/>
        </w:rPr>
        <w:footnoteReference w:id="64"/>
      </w:r>
      <w:r w:rsidR="002D69A5">
        <w:rPr>
          <w:kern w:val="22"/>
          <w:sz w:val="22"/>
          <w:lang w:val="fr-FR"/>
        </w:rPr>
        <w:t xml:space="preserve"> (AEWA), un</w:t>
      </w:r>
      <w:r w:rsidR="00B422EF" w:rsidRPr="002D69A5">
        <w:rPr>
          <w:kern w:val="22"/>
          <w:sz w:val="22"/>
          <w:lang w:val="fr-FR"/>
        </w:rPr>
        <w:t xml:space="preserve"> </w:t>
      </w:r>
      <w:r w:rsidR="00B83E01" w:rsidRPr="002D69A5">
        <w:rPr>
          <w:kern w:val="22"/>
          <w:sz w:val="22"/>
          <w:lang w:val="fr-FR"/>
        </w:rPr>
        <w:t>traité</w:t>
      </w:r>
      <w:r w:rsidR="00B422EF" w:rsidRPr="002D69A5">
        <w:rPr>
          <w:kern w:val="22"/>
          <w:sz w:val="22"/>
          <w:lang w:val="fr-FR"/>
        </w:rPr>
        <w:t xml:space="preserve"> </w:t>
      </w:r>
      <w:r w:rsidR="00143B8B">
        <w:rPr>
          <w:kern w:val="22"/>
          <w:sz w:val="22"/>
          <w:lang w:val="fr-FR"/>
        </w:rPr>
        <w:t xml:space="preserve">visant </w:t>
      </w:r>
      <w:r w:rsidR="002D69A5">
        <w:rPr>
          <w:kern w:val="22"/>
          <w:sz w:val="22"/>
          <w:lang w:val="fr-FR"/>
        </w:rPr>
        <w:t>la conservation des oiseaux d’eau migrateurs</w:t>
      </w:r>
      <w:r w:rsidR="00E3674F" w:rsidRPr="002D69A5">
        <w:rPr>
          <w:kern w:val="22"/>
          <w:sz w:val="22"/>
          <w:lang w:val="fr-FR"/>
        </w:rPr>
        <w:t xml:space="preserve"> et</w:t>
      </w:r>
      <w:r w:rsidR="0050280F" w:rsidRPr="002D69A5">
        <w:rPr>
          <w:kern w:val="22"/>
          <w:sz w:val="22"/>
          <w:lang w:val="fr-FR"/>
        </w:rPr>
        <w:t xml:space="preserve"> </w:t>
      </w:r>
      <w:r w:rsidR="002D69A5">
        <w:rPr>
          <w:kern w:val="22"/>
          <w:sz w:val="22"/>
          <w:lang w:val="fr-FR"/>
        </w:rPr>
        <w:t xml:space="preserve">de </w:t>
      </w:r>
      <w:r w:rsidR="0050280F" w:rsidRPr="002D69A5">
        <w:rPr>
          <w:kern w:val="22"/>
          <w:sz w:val="22"/>
          <w:lang w:val="fr-FR"/>
        </w:rPr>
        <w:t xml:space="preserve">leurs </w:t>
      </w:r>
      <w:r w:rsidR="002D69A5">
        <w:rPr>
          <w:kern w:val="22"/>
          <w:sz w:val="22"/>
          <w:lang w:val="fr-FR"/>
        </w:rPr>
        <w:t>habitats en Afrique</w:t>
      </w:r>
      <w:r w:rsidR="00B422EF" w:rsidRPr="002D69A5">
        <w:rPr>
          <w:kern w:val="22"/>
          <w:sz w:val="22"/>
          <w:lang w:val="fr-FR"/>
        </w:rPr>
        <w:t xml:space="preserve">, Europe, </w:t>
      </w:r>
      <w:r w:rsidR="002D69A5">
        <w:rPr>
          <w:kern w:val="22"/>
          <w:sz w:val="22"/>
          <w:lang w:val="fr-FR"/>
        </w:rPr>
        <w:t xml:space="preserve">Moyen-Orient, Asie centrale, </w:t>
      </w:r>
      <w:r w:rsidR="00146E5E">
        <w:rPr>
          <w:kern w:val="22"/>
          <w:sz w:val="22"/>
          <w:lang w:val="fr-FR"/>
        </w:rPr>
        <w:t>Groenland</w:t>
      </w:r>
      <w:r w:rsidR="002D69A5">
        <w:rPr>
          <w:kern w:val="22"/>
          <w:sz w:val="22"/>
          <w:lang w:val="fr-FR"/>
        </w:rPr>
        <w:t xml:space="preserve"> et archipel canadien</w:t>
      </w:r>
      <w:r w:rsidR="00B422EF" w:rsidRPr="002D69A5">
        <w:rPr>
          <w:kern w:val="22"/>
          <w:sz w:val="22"/>
          <w:lang w:val="fr-FR"/>
        </w:rPr>
        <w:t>.</w:t>
      </w:r>
      <w:r w:rsidR="00B422EF" w:rsidRPr="002364AB">
        <w:rPr>
          <w:rStyle w:val="FootnoteReference"/>
          <w:kern w:val="22"/>
          <w:sz w:val="22"/>
          <w:lang w:val="en-GB"/>
        </w:rPr>
        <w:footnoteReference w:id="65"/>
      </w:r>
      <w:r w:rsidR="001473D2" w:rsidRPr="002D69A5">
        <w:rPr>
          <w:kern w:val="22"/>
          <w:sz w:val="22"/>
          <w:lang w:val="fr-FR"/>
        </w:rPr>
        <w:t xml:space="preserve"> </w:t>
      </w:r>
      <w:r w:rsidR="002D69A5" w:rsidRPr="002D69A5">
        <w:rPr>
          <w:kern w:val="22"/>
          <w:sz w:val="22"/>
          <w:lang w:val="fr-FR"/>
        </w:rPr>
        <w:t xml:space="preserve">L’aire de </w:t>
      </w:r>
      <w:r w:rsidR="002D69A5">
        <w:rPr>
          <w:kern w:val="22"/>
          <w:sz w:val="22"/>
          <w:lang w:val="fr-FR"/>
        </w:rPr>
        <w:t>ré</w:t>
      </w:r>
      <w:r w:rsidR="002D69A5" w:rsidRPr="002D69A5">
        <w:rPr>
          <w:kern w:val="22"/>
          <w:sz w:val="22"/>
          <w:lang w:val="fr-FR"/>
        </w:rPr>
        <w:t>partition du</w:t>
      </w:r>
      <w:r w:rsidR="00654EE8" w:rsidRPr="002D69A5">
        <w:rPr>
          <w:kern w:val="22"/>
          <w:sz w:val="22"/>
          <w:lang w:val="fr-FR"/>
        </w:rPr>
        <w:t xml:space="preserve"> </w:t>
      </w:r>
      <w:r w:rsidR="00F3205A">
        <w:rPr>
          <w:kern w:val="22"/>
          <w:sz w:val="22"/>
          <w:lang w:val="fr-FR"/>
        </w:rPr>
        <w:t>C</w:t>
      </w:r>
      <w:r w:rsidR="00C151EC">
        <w:rPr>
          <w:kern w:val="22"/>
          <w:sz w:val="22"/>
          <w:lang w:val="fr-FR"/>
        </w:rPr>
        <w:t>olvert</w:t>
      </w:r>
      <w:r w:rsidR="002D69A5">
        <w:rPr>
          <w:kern w:val="22"/>
          <w:sz w:val="22"/>
          <w:lang w:val="fr-FR"/>
        </w:rPr>
        <w:t xml:space="preserve"> inclut</w:t>
      </w:r>
      <w:r w:rsidR="00941C05" w:rsidRPr="002D69A5">
        <w:rPr>
          <w:kern w:val="22"/>
          <w:sz w:val="22"/>
          <w:lang w:val="fr-FR"/>
        </w:rPr>
        <w:t xml:space="preserve"> </w:t>
      </w:r>
      <w:r w:rsidR="002D69A5">
        <w:rPr>
          <w:kern w:val="22"/>
          <w:sz w:val="22"/>
          <w:lang w:val="fr-FR"/>
        </w:rPr>
        <w:t>l’Afrique du Nord et l’Afrique de l’Est, l’</w:t>
      </w:r>
      <w:r w:rsidR="00941C05" w:rsidRPr="002D69A5">
        <w:rPr>
          <w:kern w:val="22"/>
          <w:sz w:val="22"/>
          <w:lang w:val="fr-FR"/>
        </w:rPr>
        <w:t>Europe</w:t>
      </w:r>
      <w:r w:rsidR="00E3674F" w:rsidRPr="002D69A5">
        <w:rPr>
          <w:kern w:val="22"/>
          <w:sz w:val="22"/>
          <w:lang w:val="fr-FR"/>
        </w:rPr>
        <w:t xml:space="preserve"> et </w:t>
      </w:r>
      <w:r w:rsidR="002D69A5">
        <w:rPr>
          <w:kern w:val="22"/>
          <w:sz w:val="22"/>
          <w:lang w:val="fr-FR"/>
        </w:rPr>
        <w:t>l’Asie centrale</w:t>
      </w:r>
      <w:r w:rsidR="00941C05" w:rsidRPr="002D69A5">
        <w:rPr>
          <w:kern w:val="22"/>
          <w:sz w:val="22"/>
          <w:lang w:val="fr-FR"/>
        </w:rPr>
        <w:t>,</w:t>
      </w:r>
      <w:r w:rsidR="00E3674F" w:rsidRPr="002D69A5">
        <w:rPr>
          <w:kern w:val="22"/>
          <w:sz w:val="22"/>
          <w:lang w:val="fr-FR"/>
        </w:rPr>
        <w:t xml:space="preserve"> et </w:t>
      </w:r>
      <w:r w:rsidR="002D69A5">
        <w:rPr>
          <w:kern w:val="22"/>
          <w:sz w:val="22"/>
          <w:lang w:val="fr-FR"/>
        </w:rPr>
        <w:t>l’Is</w:t>
      </w:r>
      <w:r w:rsidR="00941C05" w:rsidRPr="002D69A5">
        <w:rPr>
          <w:kern w:val="22"/>
          <w:sz w:val="22"/>
          <w:lang w:val="fr-FR"/>
        </w:rPr>
        <w:t>land</w:t>
      </w:r>
      <w:r w:rsidR="002D69A5">
        <w:rPr>
          <w:kern w:val="22"/>
          <w:sz w:val="22"/>
          <w:lang w:val="fr-FR"/>
        </w:rPr>
        <w:t>e</w:t>
      </w:r>
      <w:r w:rsidR="00E3674F" w:rsidRPr="002D69A5">
        <w:rPr>
          <w:kern w:val="22"/>
          <w:sz w:val="22"/>
          <w:lang w:val="fr-FR"/>
        </w:rPr>
        <w:t xml:space="preserve"> et </w:t>
      </w:r>
      <w:r w:rsidR="002D69A5">
        <w:rPr>
          <w:kern w:val="22"/>
          <w:sz w:val="22"/>
          <w:lang w:val="fr-FR"/>
        </w:rPr>
        <w:t xml:space="preserve">le </w:t>
      </w:r>
      <w:r w:rsidR="00941C05" w:rsidRPr="002D69A5">
        <w:rPr>
          <w:kern w:val="22"/>
          <w:sz w:val="22"/>
          <w:lang w:val="fr-FR"/>
        </w:rPr>
        <w:t>Canada.</w:t>
      </w:r>
      <w:r w:rsidR="00654EE8" w:rsidRPr="002D69A5">
        <w:rPr>
          <w:kern w:val="22"/>
          <w:sz w:val="22"/>
          <w:lang w:val="fr-FR"/>
        </w:rPr>
        <w:t xml:space="preserve"> </w:t>
      </w:r>
      <w:r w:rsidR="00143B8B">
        <w:rPr>
          <w:kern w:val="22"/>
          <w:sz w:val="22"/>
          <w:lang w:val="fr-FR"/>
        </w:rPr>
        <w:t xml:space="preserve">Cette espèce </w:t>
      </w:r>
      <w:r w:rsidR="002D69A5" w:rsidRPr="002D69A5">
        <w:rPr>
          <w:kern w:val="22"/>
          <w:sz w:val="22"/>
          <w:lang w:val="fr-FR"/>
        </w:rPr>
        <w:t>est l’ancêtre de la plupart des canards domestiques</w:t>
      </w:r>
      <w:r w:rsidR="002566B0" w:rsidRPr="002D69A5">
        <w:rPr>
          <w:kern w:val="22"/>
          <w:sz w:val="22"/>
          <w:lang w:val="fr-FR"/>
        </w:rPr>
        <w:t>.</w:t>
      </w:r>
      <w:r w:rsidR="00137F86" w:rsidRPr="002D69A5">
        <w:rPr>
          <w:kern w:val="22"/>
          <w:sz w:val="22"/>
          <w:lang w:val="fr-FR"/>
        </w:rPr>
        <w:t xml:space="preserve"> </w:t>
      </w:r>
    </w:p>
    <w:p w14:paraId="19C7E849" w14:textId="05548ED4" w:rsidR="004E6C67" w:rsidRPr="002D69A5" w:rsidRDefault="00AB6A02" w:rsidP="00592915">
      <w:pPr>
        <w:rPr>
          <w:kern w:val="22"/>
          <w:sz w:val="22"/>
          <w:lang w:val="fr-FR"/>
        </w:rPr>
      </w:pPr>
      <w:r w:rsidRPr="002D69A5">
        <w:rPr>
          <w:kern w:val="22"/>
          <w:sz w:val="22"/>
          <w:lang w:val="fr-FR"/>
        </w:rPr>
        <w:t>Plusieurs</w:t>
      </w:r>
      <w:r w:rsidR="001473D2" w:rsidRPr="002D69A5">
        <w:rPr>
          <w:kern w:val="22"/>
          <w:sz w:val="22"/>
          <w:lang w:val="fr-FR"/>
        </w:rPr>
        <w:t xml:space="preserve"> </w:t>
      </w:r>
      <w:r w:rsidR="00B43E38" w:rsidRPr="002D69A5">
        <w:rPr>
          <w:kern w:val="22"/>
          <w:sz w:val="22"/>
          <w:lang w:val="fr-FR"/>
        </w:rPr>
        <w:t>brevet</w:t>
      </w:r>
      <w:r w:rsidR="001473D2" w:rsidRPr="002D69A5">
        <w:rPr>
          <w:kern w:val="22"/>
          <w:sz w:val="22"/>
          <w:lang w:val="fr-FR"/>
        </w:rPr>
        <w:t xml:space="preserve">s </w:t>
      </w:r>
      <w:r w:rsidR="002D69A5" w:rsidRPr="002D69A5">
        <w:rPr>
          <w:kern w:val="22"/>
          <w:sz w:val="22"/>
          <w:lang w:val="fr-FR"/>
        </w:rPr>
        <w:t>ont été</w:t>
      </w:r>
      <w:r w:rsidR="002D69A5">
        <w:rPr>
          <w:kern w:val="22"/>
          <w:sz w:val="22"/>
          <w:lang w:val="fr-FR"/>
        </w:rPr>
        <w:t xml:space="preserve"> accordés, et plusieurs demandes de brevet ont été déposées, utilisant les</w:t>
      </w:r>
      <w:r w:rsidR="005D2B7A" w:rsidRPr="002D69A5">
        <w:rPr>
          <w:kern w:val="22"/>
          <w:sz w:val="22"/>
          <w:lang w:val="fr-FR"/>
        </w:rPr>
        <w:t xml:space="preserve"> </w:t>
      </w:r>
      <w:r w:rsidR="00E3674F" w:rsidRPr="002D69A5">
        <w:rPr>
          <w:kern w:val="22"/>
          <w:sz w:val="22"/>
          <w:lang w:val="fr-FR"/>
        </w:rPr>
        <w:t>ressources génétiques</w:t>
      </w:r>
      <w:r w:rsidR="00143B8B">
        <w:rPr>
          <w:kern w:val="22"/>
          <w:sz w:val="22"/>
          <w:lang w:val="fr-FR"/>
        </w:rPr>
        <w:t xml:space="preserve"> provenant de</w:t>
      </w:r>
      <w:r w:rsidR="005D2B7A" w:rsidRPr="002D69A5">
        <w:rPr>
          <w:kern w:val="22"/>
          <w:sz w:val="22"/>
          <w:lang w:val="fr-FR"/>
        </w:rPr>
        <w:t xml:space="preserve"> </w:t>
      </w:r>
      <w:r w:rsidR="0076689D">
        <w:rPr>
          <w:kern w:val="22"/>
          <w:sz w:val="22"/>
          <w:lang w:val="fr-FR"/>
        </w:rPr>
        <w:t>C</w:t>
      </w:r>
      <w:r w:rsidR="00F3205A">
        <w:rPr>
          <w:kern w:val="22"/>
          <w:sz w:val="22"/>
          <w:lang w:val="fr-FR"/>
        </w:rPr>
        <w:t>olverts</w:t>
      </w:r>
      <w:r w:rsidR="00AB505C" w:rsidRPr="002D69A5">
        <w:rPr>
          <w:kern w:val="22"/>
          <w:sz w:val="22"/>
          <w:lang w:val="fr-FR"/>
        </w:rPr>
        <w:t xml:space="preserve">, </w:t>
      </w:r>
      <w:r w:rsidR="00B43E38" w:rsidRPr="002D69A5">
        <w:rPr>
          <w:kern w:val="22"/>
          <w:sz w:val="22"/>
          <w:lang w:val="fr-FR"/>
        </w:rPr>
        <w:t>y compris</w:t>
      </w:r>
      <w:r w:rsidR="0021792B">
        <w:rPr>
          <w:kern w:val="22"/>
          <w:sz w:val="22"/>
          <w:lang w:val="fr-FR"/>
        </w:rPr>
        <w:t xml:space="preserve"> le dé</w:t>
      </w:r>
      <w:r w:rsidR="002412D6">
        <w:rPr>
          <w:kern w:val="22"/>
          <w:sz w:val="22"/>
          <w:lang w:val="fr-FR"/>
        </w:rPr>
        <w:t>veloppement de</w:t>
      </w:r>
      <w:r w:rsidR="00AB505C" w:rsidRPr="002D69A5">
        <w:rPr>
          <w:kern w:val="22"/>
          <w:sz w:val="22"/>
          <w:lang w:val="fr-FR"/>
        </w:rPr>
        <w:t xml:space="preserve"> </w:t>
      </w:r>
      <w:r w:rsidR="002412D6">
        <w:rPr>
          <w:kern w:val="22"/>
          <w:sz w:val="22"/>
          <w:lang w:val="fr-FR"/>
        </w:rPr>
        <w:t>lignées cellulaires</w:t>
      </w:r>
      <w:r w:rsidR="00A56FDB" w:rsidRPr="002D69A5">
        <w:rPr>
          <w:kern w:val="22"/>
          <w:sz w:val="22"/>
          <w:lang w:val="fr-FR"/>
        </w:rPr>
        <w:t>,</w:t>
      </w:r>
      <w:r w:rsidR="00A56FDB" w:rsidRPr="002364AB">
        <w:rPr>
          <w:rStyle w:val="FootnoteReference"/>
          <w:kern w:val="22"/>
          <w:sz w:val="22"/>
          <w:lang w:val="en-GB"/>
        </w:rPr>
        <w:footnoteReference w:id="66"/>
      </w:r>
      <w:r w:rsidR="00A56FDB" w:rsidRPr="002D69A5">
        <w:rPr>
          <w:kern w:val="22"/>
          <w:sz w:val="22"/>
          <w:lang w:val="fr-FR"/>
        </w:rPr>
        <w:t xml:space="preserve"> </w:t>
      </w:r>
      <w:r w:rsidR="00143B8B">
        <w:rPr>
          <w:kern w:val="22"/>
          <w:sz w:val="22"/>
          <w:lang w:val="fr-FR"/>
        </w:rPr>
        <w:t>l’utilisation d’</w:t>
      </w:r>
      <w:r w:rsidR="00A2305F">
        <w:rPr>
          <w:kern w:val="22"/>
          <w:sz w:val="22"/>
          <w:lang w:val="fr-FR"/>
        </w:rPr>
        <w:t>acides nucléiques</w:t>
      </w:r>
      <w:r w:rsidR="00E3674F" w:rsidRPr="002D69A5">
        <w:rPr>
          <w:kern w:val="22"/>
          <w:sz w:val="22"/>
          <w:lang w:val="fr-FR"/>
        </w:rPr>
        <w:t xml:space="preserve"> et </w:t>
      </w:r>
      <w:r w:rsidR="00A2305F">
        <w:rPr>
          <w:kern w:val="22"/>
          <w:sz w:val="22"/>
          <w:lang w:val="fr-FR"/>
        </w:rPr>
        <w:t xml:space="preserve">de </w:t>
      </w:r>
      <w:r w:rsidR="000C3E30" w:rsidRPr="002D69A5">
        <w:rPr>
          <w:kern w:val="22"/>
          <w:sz w:val="22"/>
          <w:lang w:val="fr-FR"/>
        </w:rPr>
        <w:t>cell</w:t>
      </w:r>
      <w:r w:rsidR="00A2305F">
        <w:rPr>
          <w:kern w:val="22"/>
          <w:sz w:val="22"/>
          <w:lang w:val="fr-FR"/>
        </w:rPr>
        <w:t>ule</w:t>
      </w:r>
      <w:r w:rsidR="000C3E30" w:rsidRPr="002D69A5">
        <w:rPr>
          <w:kern w:val="22"/>
          <w:sz w:val="22"/>
          <w:lang w:val="fr-FR"/>
        </w:rPr>
        <w:t xml:space="preserve">s </w:t>
      </w:r>
      <w:r w:rsidR="00A2305F">
        <w:rPr>
          <w:kern w:val="22"/>
          <w:sz w:val="22"/>
          <w:lang w:val="fr-FR"/>
        </w:rPr>
        <w:t>pour produire des vaccin</w:t>
      </w:r>
      <w:r w:rsidR="00263230" w:rsidRPr="002D69A5">
        <w:rPr>
          <w:kern w:val="22"/>
          <w:sz w:val="22"/>
          <w:lang w:val="fr-FR"/>
        </w:rPr>
        <w:t>s,</w:t>
      </w:r>
      <w:r w:rsidR="00263230" w:rsidRPr="002364AB">
        <w:rPr>
          <w:rStyle w:val="FootnoteReference"/>
          <w:kern w:val="22"/>
          <w:sz w:val="22"/>
          <w:lang w:val="en-GB"/>
        </w:rPr>
        <w:footnoteReference w:id="67"/>
      </w:r>
      <w:r w:rsidR="00263230" w:rsidRPr="002D69A5">
        <w:rPr>
          <w:kern w:val="22"/>
          <w:sz w:val="22"/>
          <w:lang w:val="fr-FR"/>
        </w:rPr>
        <w:t xml:space="preserve"> </w:t>
      </w:r>
      <w:r w:rsidR="00A2305F">
        <w:rPr>
          <w:kern w:val="22"/>
          <w:sz w:val="22"/>
          <w:lang w:val="fr-FR"/>
        </w:rPr>
        <w:t>l’utilisation d’</w:t>
      </w:r>
      <w:r w:rsidR="00143B8B">
        <w:rPr>
          <w:kern w:val="22"/>
          <w:sz w:val="22"/>
          <w:lang w:val="fr-FR"/>
        </w:rPr>
        <w:t>immun</w:t>
      </w:r>
      <w:r w:rsidR="00FC117A" w:rsidRPr="002D69A5">
        <w:rPr>
          <w:kern w:val="22"/>
          <w:sz w:val="22"/>
          <w:lang w:val="fr-FR"/>
        </w:rPr>
        <w:t>oglobin</w:t>
      </w:r>
      <w:r w:rsidR="00A2305F">
        <w:rPr>
          <w:kern w:val="22"/>
          <w:sz w:val="22"/>
          <w:lang w:val="fr-FR"/>
        </w:rPr>
        <w:t>e</w:t>
      </w:r>
      <w:r w:rsidR="00FC117A" w:rsidRPr="002D69A5">
        <w:rPr>
          <w:kern w:val="22"/>
          <w:sz w:val="22"/>
          <w:lang w:val="fr-FR"/>
        </w:rPr>
        <w:t>s</w:t>
      </w:r>
      <w:r w:rsidR="00B97FF4" w:rsidRPr="002D69A5">
        <w:rPr>
          <w:kern w:val="22"/>
          <w:sz w:val="22"/>
          <w:lang w:val="fr-FR"/>
        </w:rPr>
        <w:t xml:space="preserve"> </w:t>
      </w:r>
      <w:r w:rsidR="00143B8B">
        <w:rPr>
          <w:kern w:val="22"/>
          <w:sz w:val="22"/>
          <w:lang w:val="fr-FR"/>
        </w:rPr>
        <w:t>pour évalue</w:t>
      </w:r>
      <w:r w:rsidR="00A2305F">
        <w:rPr>
          <w:kern w:val="22"/>
          <w:sz w:val="22"/>
          <w:lang w:val="fr-FR"/>
        </w:rPr>
        <w:t>r l</w:t>
      </w:r>
      <w:r w:rsidR="00143B8B">
        <w:rPr>
          <w:kern w:val="22"/>
          <w:sz w:val="22"/>
          <w:lang w:val="fr-FR"/>
        </w:rPr>
        <w:t>a résistance aux maladies d</w:t>
      </w:r>
      <w:r w:rsidR="00A2305F">
        <w:rPr>
          <w:kern w:val="22"/>
          <w:sz w:val="22"/>
          <w:lang w:val="fr-FR"/>
        </w:rPr>
        <w:t>es invertébré</w:t>
      </w:r>
      <w:r w:rsidR="00B97FF4" w:rsidRPr="002D69A5">
        <w:rPr>
          <w:kern w:val="22"/>
          <w:sz w:val="22"/>
          <w:lang w:val="fr-FR"/>
        </w:rPr>
        <w:t>s</w:t>
      </w:r>
      <w:r w:rsidR="00FC117A" w:rsidRPr="002D69A5">
        <w:rPr>
          <w:kern w:val="22"/>
          <w:sz w:val="22"/>
          <w:lang w:val="fr-FR"/>
        </w:rPr>
        <w:t>,</w:t>
      </w:r>
      <w:r w:rsidR="00AB505C" w:rsidRPr="002364AB">
        <w:rPr>
          <w:rStyle w:val="FootnoteReference"/>
          <w:kern w:val="22"/>
          <w:sz w:val="22"/>
          <w:lang w:val="en-GB"/>
        </w:rPr>
        <w:footnoteReference w:id="68"/>
      </w:r>
      <w:r w:rsidR="00FC117A" w:rsidRPr="002D69A5">
        <w:rPr>
          <w:kern w:val="22"/>
          <w:sz w:val="22"/>
          <w:lang w:val="fr-FR"/>
        </w:rPr>
        <w:t xml:space="preserve"> </w:t>
      </w:r>
      <w:r w:rsidR="00A2305F">
        <w:rPr>
          <w:kern w:val="22"/>
          <w:sz w:val="22"/>
          <w:lang w:val="fr-FR"/>
        </w:rPr>
        <w:t>le traitement de</w:t>
      </w:r>
      <w:r w:rsidR="00FB23D4" w:rsidRPr="002D69A5">
        <w:rPr>
          <w:kern w:val="22"/>
          <w:sz w:val="22"/>
          <w:lang w:val="fr-FR"/>
        </w:rPr>
        <w:t xml:space="preserve"> </w:t>
      </w:r>
      <w:r w:rsidR="00A2305F">
        <w:rPr>
          <w:kern w:val="22"/>
          <w:sz w:val="22"/>
          <w:lang w:val="fr-FR"/>
        </w:rPr>
        <w:t>l’hépatite</w:t>
      </w:r>
      <w:r w:rsidR="00FB23D4" w:rsidRPr="002D69A5">
        <w:rPr>
          <w:kern w:val="22"/>
          <w:sz w:val="22"/>
          <w:lang w:val="fr-FR"/>
        </w:rPr>
        <w:t>,</w:t>
      </w:r>
      <w:r w:rsidR="00FB23D4" w:rsidRPr="002364AB">
        <w:rPr>
          <w:rStyle w:val="FootnoteReference"/>
          <w:kern w:val="22"/>
          <w:sz w:val="22"/>
          <w:lang w:val="en-GB"/>
        </w:rPr>
        <w:footnoteReference w:id="69"/>
      </w:r>
      <w:r w:rsidR="00143B8B">
        <w:rPr>
          <w:kern w:val="22"/>
          <w:sz w:val="22"/>
          <w:lang w:val="fr-FR"/>
        </w:rPr>
        <w:t xml:space="preserve"> ou</w:t>
      </w:r>
      <w:r w:rsidR="00E3674F" w:rsidRPr="002D69A5">
        <w:rPr>
          <w:kern w:val="22"/>
          <w:sz w:val="22"/>
          <w:lang w:val="fr-FR"/>
        </w:rPr>
        <w:t xml:space="preserve"> </w:t>
      </w:r>
      <w:r w:rsidR="00A2305F">
        <w:rPr>
          <w:kern w:val="22"/>
          <w:sz w:val="22"/>
          <w:lang w:val="fr-FR"/>
        </w:rPr>
        <w:t xml:space="preserve">la </w:t>
      </w:r>
      <w:r w:rsidR="00AA68B5">
        <w:rPr>
          <w:kern w:val="22"/>
          <w:sz w:val="22"/>
          <w:lang w:val="fr-FR"/>
        </w:rPr>
        <w:t>production</w:t>
      </w:r>
      <w:r w:rsidR="00A2305F">
        <w:rPr>
          <w:kern w:val="22"/>
          <w:sz w:val="22"/>
          <w:lang w:val="fr-FR"/>
        </w:rPr>
        <w:t xml:space="preserve"> de</w:t>
      </w:r>
      <w:r w:rsidR="005C4828" w:rsidRPr="002D69A5">
        <w:rPr>
          <w:kern w:val="22"/>
          <w:sz w:val="22"/>
          <w:lang w:val="fr-FR"/>
        </w:rPr>
        <w:t xml:space="preserve"> bi</w:t>
      </w:r>
      <w:r w:rsidR="00A2305F">
        <w:rPr>
          <w:kern w:val="22"/>
          <w:sz w:val="22"/>
          <w:lang w:val="fr-FR"/>
        </w:rPr>
        <w:t>ocombustibles</w:t>
      </w:r>
      <w:r w:rsidR="00E3674F" w:rsidRPr="002D69A5">
        <w:rPr>
          <w:kern w:val="22"/>
          <w:sz w:val="22"/>
          <w:lang w:val="fr-FR"/>
        </w:rPr>
        <w:t xml:space="preserve"> et </w:t>
      </w:r>
      <w:r w:rsidR="00A2305F">
        <w:rPr>
          <w:kern w:val="22"/>
          <w:sz w:val="22"/>
          <w:lang w:val="fr-FR"/>
        </w:rPr>
        <w:t>de</w:t>
      </w:r>
      <w:r w:rsidR="0031595A">
        <w:rPr>
          <w:kern w:val="22"/>
          <w:sz w:val="22"/>
          <w:lang w:val="fr-FR"/>
        </w:rPr>
        <w:t xml:space="preserve"> produits chimiques de base</w:t>
      </w:r>
      <w:r w:rsidR="009B15A6" w:rsidRPr="002D69A5">
        <w:rPr>
          <w:kern w:val="22"/>
          <w:sz w:val="22"/>
          <w:lang w:val="fr-FR"/>
        </w:rPr>
        <w:t>.</w:t>
      </w:r>
      <w:r w:rsidR="009B15A6" w:rsidRPr="002364AB">
        <w:rPr>
          <w:rStyle w:val="FootnoteReference"/>
          <w:kern w:val="22"/>
          <w:sz w:val="22"/>
          <w:lang w:val="en-GB"/>
        </w:rPr>
        <w:footnoteReference w:id="70"/>
      </w:r>
      <w:r w:rsidR="006E1E0B" w:rsidRPr="002D69A5">
        <w:rPr>
          <w:kern w:val="22"/>
          <w:sz w:val="22"/>
          <w:lang w:val="fr-FR"/>
        </w:rPr>
        <w:t xml:space="preserve"> </w:t>
      </w:r>
      <w:r w:rsidR="00B20EEA" w:rsidRPr="002D69A5">
        <w:rPr>
          <w:kern w:val="22"/>
          <w:sz w:val="22"/>
          <w:lang w:val="fr-FR"/>
        </w:rPr>
        <w:t xml:space="preserve"> </w:t>
      </w:r>
      <w:r w:rsidR="00AC7011" w:rsidRPr="002D69A5">
        <w:rPr>
          <w:kern w:val="22"/>
          <w:sz w:val="22"/>
          <w:lang w:val="fr-FR"/>
        </w:rPr>
        <w:t xml:space="preserve"> </w:t>
      </w:r>
    </w:p>
    <w:p w14:paraId="055DF13F" w14:textId="3B6BB4C3" w:rsidR="00BC07D8" w:rsidRPr="002412D6" w:rsidRDefault="002412D6" w:rsidP="00592915">
      <w:pPr>
        <w:rPr>
          <w:kern w:val="22"/>
          <w:sz w:val="22"/>
          <w:lang w:val="fr-FR"/>
        </w:rPr>
      </w:pPr>
      <w:r>
        <w:rPr>
          <w:kern w:val="22"/>
          <w:sz w:val="22"/>
          <w:lang w:val="fr-FR"/>
        </w:rPr>
        <w:t>Comme indiqué plus haut</w:t>
      </w:r>
      <w:r w:rsidR="00BC07D8" w:rsidRPr="002412D6">
        <w:rPr>
          <w:kern w:val="22"/>
          <w:sz w:val="22"/>
          <w:lang w:val="fr-FR"/>
        </w:rPr>
        <w:t xml:space="preserve">, </w:t>
      </w:r>
      <w:r w:rsidR="00677E78">
        <w:rPr>
          <w:kern w:val="22"/>
          <w:sz w:val="22"/>
          <w:lang w:val="fr-FR"/>
        </w:rPr>
        <w:t>les Parties pourront décider</w:t>
      </w:r>
      <w:r w:rsidR="00DB47DB" w:rsidRPr="002412D6">
        <w:rPr>
          <w:kern w:val="22"/>
          <w:sz w:val="22"/>
          <w:lang w:val="fr-FR"/>
        </w:rPr>
        <w:t xml:space="preserve"> </w:t>
      </w:r>
      <w:r w:rsidR="00677E78">
        <w:rPr>
          <w:kern w:val="22"/>
          <w:sz w:val="22"/>
          <w:lang w:val="fr-FR"/>
        </w:rPr>
        <w:t>qu’un ou plusieurs</w:t>
      </w:r>
      <w:r>
        <w:rPr>
          <w:kern w:val="22"/>
          <w:sz w:val="22"/>
          <w:lang w:val="fr-FR"/>
        </w:rPr>
        <w:t xml:space="preserve"> </w:t>
      </w:r>
      <w:r w:rsidR="009D43F1" w:rsidRPr="002412D6">
        <w:rPr>
          <w:kern w:val="22"/>
          <w:sz w:val="22"/>
          <w:lang w:val="fr-FR"/>
        </w:rPr>
        <w:t>exemple</w:t>
      </w:r>
      <w:r w:rsidR="00DF271C" w:rsidRPr="002412D6">
        <w:rPr>
          <w:kern w:val="22"/>
          <w:sz w:val="22"/>
          <w:lang w:val="fr-FR"/>
        </w:rPr>
        <w:t>s</w:t>
      </w:r>
      <w:r w:rsidR="00677E78">
        <w:rPr>
          <w:kern w:val="22"/>
          <w:sz w:val="22"/>
          <w:lang w:val="fr-FR"/>
        </w:rPr>
        <w:t xml:space="preserve"> décrits ci-dessus entrent</w:t>
      </w:r>
      <w:r>
        <w:rPr>
          <w:kern w:val="22"/>
          <w:sz w:val="22"/>
          <w:lang w:val="fr-FR"/>
        </w:rPr>
        <w:t xml:space="preserve"> dans le champ d’application </w:t>
      </w:r>
      <w:r w:rsidR="00B90EF3" w:rsidRPr="002412D6">
        <w:rPr>
          <w:kern w:val="22"/>
          <w:sz w:val="22"/>
          <w:lang w:val="fr-FR"/>
        </w:rPr>
        <w:t>de l’article</w:t>
      </w:r>
      <w:r w:rsidR="00677E78">
        <w:rPr>
          <w:kern w:val="22"/>
          <w:sz w:val="22"/>
          <w:lang w:val="fr-FR"/>
        </w:rPr>
        <w:t xml:space="preserve"> 10</w:t>
      </w:r>
      <w:r>
        <w:rPr>
          <w:kern w:val="22"/>
          <w:sz w:val="22"/>
          <w:lang w:val="fr-FR"/>
        </w:rPr>
        <w:t xml:space="preserve"> ou </w:t>
      </w:r>
      <w:r w:rsidR="00B90EF3" w:rsidRPr="002412D6">
        <w:rPr>
          <w:kern w:val="22"/>
          <w:sz w:val="22"/>
          <w:lang w:val="fr-FR"/>
        </w:rPr>
        <w:t>l’article</w:t>
      </w:r>
      <w:r w:rsidR="00DF271C" w:rsidRPr="002412D6">
        <w:rPr>
          <w:kern w:val="22"/>
          <w:sz w:val="22"/>
          <w:lang w:val="fr-FR"/>
        </w:rPr>
        <w:t xml:space="preserve"> 11</w:t>
      </w:r>
      <w:r w:rsidR="00677E78">
        <w:rPr>
          <w:kern w:val="22"/>
          <w:sz w:val="22"/>
          <w:lang w:val="fr-FR"/>
        </w:rPr>
        <w:t xml:space="preserve"> du Protocole</w:t>
      </w:r>
      <w:r w:rsidR="00DF271C" w:rsidRPr="002412D6">
        <w:rPr>
          <w:kern w:val="22"/>
          <w:sz w:val="22"/>
          <w:lang w:val="fr-FR"/>
        </w:rPr>
        <w:t>,</w:t>
      </w:r>
      <w:r w:rsidR="0028742E" w:rsidRPr="002412D6">
        <w:rPr>
          <w:kern w:val="22"/>
          <w:sz w:val="22"/>
          <w:lang w:val="fr-FR"/>
        </w:rPr>
        <w:t xml:space="preserve"> ou </w:t>
      </w:r>
      <w:r w:rsidR="00677E78">
        <w:rPr>
          <w:kern w:val="22"/>
          <w:sz w:val="22"/>
          <w:lang w:val="fr-FR"/>
        </w:rPr>
        <w:t>n’entrent pas dans le</w:t>
      </w:r>
      <w:r>
        <w:rPr>
          <w:kern w:val="22"/>
          <w:sz w:val="22"/>
          <w:lang w:val="fr-FR"/>
        </w:rPr>
        <w:t xml:space="preserve"> </w:t>
      </w:r>
      <w:r w:rsidR="008F38B0" w:rsidRPr="002412D6">
        <w:rPr>
          <w:kern w:val="22"/>
          <w:sz w:val="22"/>
          <w:lang w:val="fr-FR"/>
        </w:rPr>
        <w:t>champ d’application</w:t>
      </w:r>
      <w:r w:rsidR="004A6937" w:rsidRPr="002412D6">
        <w:rPr>
          <w:kern w:val="22"/>
          <w:sz w:val="22"/>
          <w:lang w:val="fr-FR"/>
        </w:rPr>
        <w:t xml:space="preserve"> </w:t>
      </w:r>
      <w:r w:rsidR="008F38B0" w:rsidRPr="002412D6">
        <w:rPr>
          <w:kern w:val="22"/>
          <w:sz w:val="22"/>
          <w:lang w:val="fr-FR"/>
        </w:rPr>
        <w:t>de la Convention</w:t>
      </w:r>
      <w:r w:rsidR="00677E78">
        <w:rPr>
          <w:kern w:val="22"/>
          <w:sz w:val="22"/>
          <w:lang w:val="fr-FR"/>
        </w:rPr>
        <w:t xml:space="preserve"> ou</w:t>
      </w:r>
      <w:r>
        <w:rPr>
          <w:kern w:val="22"/>
          <w:sz w:val="22"/>
          <w:lang w:val="fr-FR"/>
        </w:rPr>
        <w:t xml:space="preserve"> du</w:t>
      </w:r>
      <w:r w:rsidR="00E3674F" w:rsidRPr="002412D6">
        <w:rPr>
          <w:kern w:val="22"/>
          <w:sz w:val="22"/>
          <w:lang w:val="fr-FR"/>
        </w:rPr>
        <w:t xml:space="preserve"> </w:t>
      </w:r>
      <w:r w:rsidR="004A6937" w:rsidRPr="002412D6">
        <w:rPr>
          <w:kern w:val="22"/>
          <w:sz w:val="22"/>
          <w:lang w:val="fr-FR"/>
        </w:rPr>
        <w:t>Protocol</w:t>
      </w:r>
      <w:r>
        <w:rPr>
          <w:kern w:val="22"/>
          <w:sz w:val="22"/>
          <w:lang w:val="fr-FR"/>
        </w:rPr>
        <w:t>e</w:t>
      </w:r>
      <w:r w:rsidR="004A6937" w:rsidRPr="002412D6">
        <w:rPr>
          <w:kern w:val="22"/>
          <w:sz w:val="22"/>
          <w:lang w:val="fr-FR"/>
        </w:rPr>
        <w:t>.</w:t>
      </w:r>
    </w:p>
    <w:p w14:paraId="600361E7" w14:textId="4A8F6194" w:rsidR="004B59B5" w:rsidRPr="00651FB0" w:rsidRDefault="00651FB0" w:rsidP="004B59B5">
      <w:pPr>
        <w:pStyle w:val="Heading2"/>
        <w:rPr>
          <w:kern w:val="22"/>
          <w:sz w:val="22"/>
          <w:szCs w:val="22"/>
          <w:lang w:val="fr-FR"/>
        </w:rPr>
      </w:pPr>
      <w:bookmarkStart w:id="109" w:name="_Toc33744285"/>
      <w:bookmarkStart w:id="110" w:name="_Toc48914796"/>
      <w:bookmarkEnd w:id="109"/>
      <w:r w:rsidRPr="00651FB0">
        <w:rPr>
          <w:kern w:val="22"/>
          <w:sz w:val="22"/>
          <w:szCs w:val="22"/>
          <w:lang w:val="fr-FR"/>
        </w:rPr>
        <w:t>Zones situées au-delà des limites de la juridiction nationale</w:t>
      </w:r>
      <w:bookmarkEnd w:id="110"/>
    </w:p>
    <w:p w14:paraId="3C32491C" w14:textId="47FAFF33" w:rsidR="00925041" w:rsidRPr="0096482E" w:rsidRDefault="00126716" w:rsidP="009E708F">
      <w:pPr>
        <w:rPr>
          <w:rFonts w:eastAsia="Times New Roman"/>
          <w:kern w:val="22"/>
          <w:sz w:val="22"/>
          <w:lang w:val="fr-FR"/>
        </w:rPr>
      </w:pPr>
      <w:r>
        <w:rPr>
          <w:kern w:val="22"/>
          <w:sz w:val="22"/>
          <w:lang w:val="fr-FR"/>
        </w:rPr>
        <w:t>Le droit international</w:t>
      </w:r>
      <w:r w:rsidR="004B59B5" w:rsidRPr="00651FB0">
        <w:rPr>
          <w:kern w:val="22"/>
          <w:sz w:val="22"/>
          <w:lang w:val="fr-FR"/>
        </w:rPr>
        <w:t xml:space="preserve"> </w:t>
      </w:r>
      <w:r w:rsidR="002412D6">
        <w:rPr>
          <w:kern w:val="22"/>
          <w:sz w:val="22"/>
          <w:lang w:val="fr-FR"/>
        </w:rPr>
        <w:t xml:space="preserve">reconnaît </w:t>
      </w:r>
      <w:r w:rsidR="0031595A">
        <w:rPr>
          <w:kern w:val="22"/>
          <w:sz w:val="22"/>
          <w:lang w:val="fr-FR"/>
        </w:rPr>
        <w:t xml:space="preserve">que certains endroits sont </w:t>
      </w:r>
      <w:r w:rsidR="002412D6">
        <w:rPr>
          <w:kern w:val="22"/>
          <w:sz w:val="22"/>
          <w:lang w:val="fr-FR"/>
        </w:rPr>
        <w:t xml:space="preserve">des </w:t>
      </w:r>
      <w:r w:rsidR="00651FB0" w:rsidRPr="00651FB0">
        <w:rPr>
          <w:kern w:val="22"/>
          <w:sz w:val="22"/>
          <w:lang w:val="fr-FR"/>
        </w:rPr>
        <w:t>zones situées au-delà des limites de la juridiction nationale</w:t>
      </w:r>
      <w:r w:rsidR="0031595A">
        <w:rPr>
          <w:kern w:val="22"/>
          <w:sz w:val="22"/>
          <w:lang w:val="fr-FR"/>
        </w:rPr>
        <w:t>, dans lesquelles</w:t>
      </w:r>
      <w:r w:rsidR="002412D6">
        <w:rPr>
          <w:kern w:val="22"/>
          <w:sz w:val="22"/>
          <w:lang w:val="fr-FR"/>
        </w:rPr>
        <w:t xml:space="preserve"> les</w:t>
      </w:r>
      <w:r w:rsidR="00977C30" w:rsidRPr="00651FB0">
        <w:rPr>
          <w:kern w:val="22"/>
          <w:sz w:val="22"/>
          <w:lang w:val="fr-FR"/>
        </w:rPr>
        <w:t xml:space="preserve"> </w:t>
      </w:r>
      <w:r w:rsidR="00934A20" w:rsidRPr="00651FB0">
        <w:rPr>
          <w:kern w:val="22"/>
          <w:sz w:val="22"/>
          <w:lang w:val="fr-FR"/>
        </w:rPr>
        <w:t>Etats</w:t>
      </w:r>
      <w:r w:rsidR="002412D6">
        <w:rPr>
          <w:kern w:val="22"/>
          <w:sz w:val="22"/>
          <w:lang w:val="fr-FR"/>
        </w:rPr>
        <w:t xml:space="preserve"> ne peuvent pas exercer leur</w:t>
      </w:r>
      <w:r w:rsidR="0031595A">
        <w:rPr>
          <w:kern w:val="22"/>
          <w:sz w:val="22"/>
          <w:lang w:val="fr-FR"/>
        </w:rPr>
        <w:t>s</w:t>
      </w:r>
      <w:r w:rsidR="002412D6">
        <w:rPr>
          <w:kern w:val="22"/>
          <w:sz w:val="22"/>
          <w:lang w:val="fr-FR"/>
        </w:rPr>
        <w:t xml:space="preserve"> droit</w:t>
      </w:r>
      <w:r w:rsidR="0031595A">
        <w:rPr>
          <w:kern w:val="22"/>
          <w:sz w:val="22"/>
          <w:lang w:val="fr-FR"/>
        </w:rPr>
        <w:t>s de souveraineté, y compris dans</w:t>
      </w:r>
      <w:r w:rsidR="004B59B5" w:rsidRPr="00651FB0">
        <w:rPr>
          <w:kern w:val="22"/>
          <w:sz w:val="22"/>
          <w:lang w:val="fr-FR"/>
        </w:rPr>
        <w:t xml:space="preserve"> </w:t>
      </w:r>
      <w:r w:rsidR="00657E88">
        <w:rPr>
          <w:kern w:val="22"/>
          <w:sz w:val="22"/>
          <w:lang w:val="fr-FR"/>
        </w:rPr>
        <w:t>la haute mer</w:t>
      </w:r>
      <w:r w:rsidR="00E3674F" w:rsidRPr="00651FB0">
        <w:rPr>
          <w:kern w:val="22"/>
          <w:sz w:val="22"/>
          <w:lang w:val="fr-FR"/>
        </w:rPr>
        <w:t xml:space="preserve"> et </w:t>
      </w:r>
      <w:r w:rsidR="002412D6">
        <w:rPr>
          <w:kern w:val="22"/>
          <w:sz w:val="22"/>
          <w:lang w:val="fr-FR"/>
        </w:rPr>
        <w:t>les grands fonds marins</w:t>
      </w:r>
      <w:r w:rsidR="00D70B39" w:rsidRPr="00651FB0">
        <w:rPr>
          <w:kern w:val="22"/>
          <w:sz w:val="22"/>
          <w:lang w:val="fr-FR"/>
        </w:rPr>
        <w:t xml:space="preserve"> (</w:t>
      </w:r>
      <w:r w:rsidR="002412D6">
        <w:rPr>
          <w:kern w:val="22"/>
          <w:sz w:val="22"/>
          <w:lang w:val="fr-FR"/>
        </w:rPr>
        <w:t xml:space="preserve">ci-après </w:t>
      </w:r>
      <w:r w:rsidR="00D70B39" w:rsidRPr="00651FB0">
        <w:rPr>
          <w:kern w:val="22"/>
          <w:sz w:val="22"/>
          <w:lang w:val="fr-FR"/>
        </w:rPr>
        <w:t>‘</w:t>
      </w:r>
      <w:r w:rsidR="002412D6">
        <w:rPr>
          <w:kern w:val="22"/>
          <w:sz w:val="22"/>
          <w:lang w:val="fr-FR"/>
        </w:rPr>
        <w:t>la Zone</w:t>
      </w:r>
      <w:r w:rsidR="00D70B39" w:rsidRPr="00651FB0">
        <w:rPr>
          <w:kern w:val="22"/>
          <w:sz w:val="22"/>
          <w:lang w:val="fr-FR"/>
        </w:rPr>
        <w:t>’)</w:t>
      </w:r>
      <w:r w:rsidR="004B59B5" w:rsidRPr="00651FB0">
        <w:rPr>
          <w:kern w:val="22"/>
          <w:sz w:val="22"/>
          <w:lang w:val="fr-FR"/>
        </w:rPr>
        <w:t xml:space="preserve">. </w:t>
      </w:r>
      <w:r w:rsidR="002412D6" w:rsidRPr="002412D6">
        <w:rPr>
          <w:kern w:val="22"/>
          <w:sz w:val="22"/>
          <w:lang w:val="fr-FR"/>
        </w:rPr>
        <w:t xml:space="preserve">A la fin de l’année </w:t>
      </w:r>
      <w:r w:rsidR="00A4175A" w:rsidRPr="002412D6">
        <w:rPr>
          <w:kern w:val="22"/>
          <w:sz w:val="22"/>
          <w:lang w:val="fr-FR"/>
        </w:rPr>
        <w:t xml:space="preserve">2017, </w:t>
      </w:r>
      <w:r w:rsidR="00F3205A">
        <w:rPr>
          <w:rFonts w:eastAsia="Times New Roman"/>
          <w:kern w:val="22"/>
          <w:sz w:val="22"/>
          <w:lang w:val="fr-FR"/>
        </w:rPr>
        <w:t>l’Assemblée générale des Nati</w:t>
      </w:r>
      <w:r w:rsidR="002412D6">
        <w:rPr>
          <w:rFonts w:eastAsia="Times New Roman"/>
          <w:kern w:val="22"/>
          <w:sz w:val="22"/>
          <w:lang w:val="fr-FR"/>
        </w:rPr>
        <w:t xml:space="preserve">ons Unies a </w:t>
      </w:r>
      <w:r w:rsidR="00E3674F" w:rsidRPr="002412D6">
        <w:rPr>
          <w:rFonts w:eastAsia="Times New Roman"/>
          <w:kern w:val="22"/>
          <w:sz w:val="22"/>
          <w:lang w:val="fr-FR"/>
        </w:rPr>
        <w:t>adopté</w:t>
      </w:r>
      <w:r w:rsidR="00901B8E" w:rsidRPr="002412D6">
        <w:rPr>
          <w:rFonts w:eastAsia="Times New Roman"/>
          <w:kern w:val="22"/>
          <w:sz w:val="22"/>
          <w:lang w:val="fr-FR"/>
        </w:rPr>
        <w:t xml:space="preserve"> </w:t>
      </w:r>
      <w:r w:rsidR="002412D6">
        <w:rPr>
          <w:rFonts w:eastAsia="Times New Roman"/>
          <w:kern w:val="22"/>
          <w:sz w:val="22"/>
          <w:lang w:val="fr-FR"/>
        </w:rPr>
        <w:t>la ré</w:t>
      </w:r>
      <w:r w:rsidR="00901B8E" w:rsidRPr="002412D6">
        <w:rPr>
          <w:rFonts w:eastAsia="Times New Roman"/>
          <w:kern w:val="22"/>
          <w:sz w:val="22"/>
          <w:lang w:val="fr-FR"/>
        </w:rPr>
        <w:t xml:space="preserve">solution </w:t>
      </w:r>
      <w:r w:rsidR="00216EC3" w:rsidRPr="002412D6">
        <w:rPr>
          <w:rFonts w:eastAsia="Times New Roman"/>
          <w:kern w:val="22"/>
          <w:sz w:val="22"/>
          <w:lang w:val="fr-FR"/>
        </w:rPr>
        <w:t>72/249</w:t>
      </w:r>
      <w:r w:rsidR="0031595A">
        <w:rPr>
          <w:rFonts w:eastAsia="Times New Roman"/>
          <w:kern w:val="22"/>
          <w:sz w:val="22"/>
          <w:lang w:val="fr-FR"/>
        </w:rPr>
        <w:t>, afin d’entamer l</w:t>
      </w:r>
      <w:r w:rsidR="002412D6">
        <w:rPr>
          <w:rFonts w:eastAsia="Times New Roman"/>
          <w:kern w:val="22"/>
          <w:sz w:val="22"/>
          <w:lang w:val="fr-FR"/>
        </w:rPr>
        <w:t xml:space="preserve">es </w:t>
      </w:r>
      <w:r w:rsidR="00F4156B" w:rsidRPr="002412D6">
        <w:rPr>
          <w:rFonts w:eastAsia="Times New Roman"/>
          <w:kern w:val="22"/>
          <w:sz w:val="22"/>
          <w:lang w:val="fr-FR"/>
        </w:rPr>
        <w:t>négociation</w:t>
      </w:r>
      <w:r w:rsidR="004B59B5" w:rsidRPr="002412D6">
        <w:rPr>
          <w:rFonts w:eastAsia="Times New Roman"/>
          <w:kern w:val="22"/>
          <w:sz w:val="22"/>
          <w:lang w:val="fr-FR"/>
        </w:rPr>
        <w:t xml:space="preserve">s </w:t>
      </w:r>
      <w:r w:rsidR="002412D6">
        <w:rPr>
          <w:rFonts w:eastAsia="Times New Roman"/>
          <w:kern w:val="22"/>
          <w:sz w:val="22"/>
          <w:lang w:val="fr-FR"/>
        </w:rPr>
        <w:t xml:space="preserve">sur </w:t>
      </w:r>
      <w:r w:rsidR="0031595A">
        <w:rPr>
          <w:rFonts w:eastAsia="Times New Roman"/>
          <w:kern w:val="22"/>
          <w:sz w:val="22"/>
          <w:lang w:val="fr-FR"/>
        </w:rPr>
        <w:t>l’élaboration d’</w:t>
      </w:r>
      <w:r w:rsidR="002412D6">
        <w:rPr>
          <w:rFonts w:eastAsia="Times New Roman"/>
          <w:kern w:val="22"/>
          <w:sz w:val="22"/>
          <w:lang w:val="fr-FR"/>
        </w:rPr>
        <w:t xml:space="preserve">un accord </w:t>
      </w:r>
      <w:r w:rsidR="004B59B5" w:rsidRPr="002412D6">
        <w:rPr>
          <w:rFonts w:eastAsia="Times New Roman"/>
          <w:kern w:val="22"/>
          <w:sz w:val="22"/>
          <w:lang w:val="fr-FR"/>
        </w:rPr>
        <w:t>international</w:t>
      </w:r>
      <w:r w:rsidR="002412D6">
        <w:rPr>
          <w:rFonts w:eastAsia="Times New Roman"/>
          <w:kern w:val="22"/>
          <w:sz w:val="22"/>
          <w:lang w:val="fr-FR"/>
        </w:rPr>
        <w:t xml:space="preserve"> jur</w:t>
      </w:r>
      <w:r w:rsidR="0031595A">
        <w:rPr>
          <w:rFonts w:eastAsia="Times New Roman"/>
          <w:kern w:val="22"/>
          <w:sz w:val="22"/>
          <w:lang w:val="fr-FR"/>
        </w:rPr>
        <w:t>idiquement contraignant relatif à</w:t>
      </w:r>
      <w:r w:rsidR="002412D6">
        <w:rPr>
          <w:rFonts w:eastAsia="Times New Roman"/>
          <w:kern w:val="22"/>
          <w:sz w:val="22"/>
          <w:lang w:val="fr-FR"/>
        </w:rPr>
        <w:t xml:space="preserve"> la </w:t>
      </w:r>
      <w:r w:rsidR="00B46D70" w:rsidRPr="002412D6">
        <w:rPr>
          <w:rFonts w:eastAsia="Times New Roman"/>
          <w:kern w:val="22"/>
          <w:sz w:val="22"/>
          <w:lang w:val="fr-FR"/>
        </w:rPr>
        <w:t>biodiversité</w:t>
      </w:r>
      <w:r w:rsidR="002412D6">
        <w:rPr>
          <w:rFonts w:eastAsia="Times New Roman"/>
          <w:kern w:val="22"/>
          <w:sz w:val="22"/>
          <w:lang w:val="fr-FR"/>
        </w:rPr>
        <w:t xml:space="preserve"> marine des</w:t>
      </w:r>
      <w:r w:rsidR="004B59B5" w:rsidRPr="002412D6">
        <w:rPr>
          <w:rFonts w:eastAsia="Times New Roman"/>
          <w:kern w:val="22"/>
          <w:sz w:val="22"/>
          <w:lang w:val="fr-FR"/>
        </w:rPr>
        <w:t xml:space="preserve"> </w:t>
      </w:r>
      <w:r w:rsidR="00651FB0" w:rsidRPr="002412D6">
        <w:rPr>
          <w:rFonts w:eastAsia="Times New Roman"/>
          <w:kern w:val="22"/>
          <w:sz w:val="22"/>
          <w:lang w:val="fr-FR"/>
        </w:rPr>
        <w:t>zones situées au-delà des limites de la juridiction nationale</w:t>
      </w:r>
      <w:r w:rsidR="002412D6">
        <w:rPr>
          <w:rFonts w:eastAsia="Times New Roman"/>
          <w:kern w:val="22"/>
          <w:sz w:val="22"/>
          <w:lang w:val="fr-FR"/>
        </w:rPr>
        <w:t xml:space="preserve">, sous les auspices de la </w:t>
      </w:r>
      <w:r w:rsidR="00AE0803" w:rsidRPr="002412D6">
        <w:rPr>
          <w:rFonts w:eastAsia="Times New Roman"/>
          <w:kern w:val="22"/>
          <w:sz w:val="22"/>
          <w:lang w:val="fr-FR"/>
        </w:rPr>
        <w:t xml:space="preserve">Convention </w:t>
      </w:r>
      <w:r w:rsidR="002412D6">
        <w:rPr>
          <w:rFonts w:eastAsia="Times New Roman"/>
          <w:kern w:val="22"/>
          <w:sz w:val="22"/>
          <w:lang w:val="fr-FR"/>
        </w:rPr>
        <w:t>des Nations Unies sur le droit de la mer</w:t>
      </w:r>
      <w:r w:rsidR="00AE0803" w:rsidRPr="002412D6">
        <w:rPr>
          <w:rFonts w:eastAsia="Times New Roman"/>
          <w:kern w:val="22"/>
          <w:sz w:val="22"/>
          <w:lang w:val="fr-FR"/>
        </w:rPr>
        <w:t xml:space="preserve"> (UNCLOS</w:t>
      </w:r>
      <w:r w:rsidR="00A56803" w:rsidRPr="002412D6">
        <w:rPr>
          <w:rFonts w:eastAsia="Times New Roman"/>
          <w:kern w:val="22"/>
          <w:sz w:val="22"/>
          <w:lang w:val="fr-FR"/>
        </w:rPr>
        <w:t>)</w:t>
      </w:r>
      <w:r w:rsidR="004B59B5" w:rsidRPr="002412D6">
        <w:rPr>
          <w:rFonts w:eastAsia="Times New Roman"/>
          <w:kern w:val="22"/>
          <w:sz w:val="22"/>
          <w:lang w:val="fr-FR"/>
        </w:rPr>
        <w:t>.</w:t>
      </w:r>
      <w:r w:rsidR="004B59B5" w:rsidRPr="002364AB">
        <w:rPr>
          <w:rStyle w:val="FootnoteReference"/>
          <w:rFonts w:eastAsia="Times New Roman"/>
          <w:kern w:val="22"/>
          <w:sz w:val="22"/>
          <w:lang w:val="en-GB"/>
        </w:rPr>
        <w:footnoteReference w:id="71"/>
      </w:r>
    </w:p>
    <w:p w14:paraId="6166E684" w14:textId="19119BDB" w:rsidR="00A448B0" w:rsidRPr="00130D0F" w:rsidRDefault="002412D6" w:rsidP="00A448B0">
      <w:pPr>
        <w:rPr>
          <w:kern w:val="22"/>
          <w:sz w:val="22"/>
          <w:lang w:val="fr-FR"/>
        </w:rPr>
      </w:pPr>
      <w:r>
        <w:rPr>
          <w:rFonts w:eastAsia="Times New Roman"/>
          <w:kern w:val="22"/>
          <w:sz w:val="22"/>
          <w:lang w:val="fr-FR"/>
        </w:rPr>
        <w:t>Les d</w:t>
      </w:r>
      <w:r w:rsidR="00126716" w:rsidRPr="002412D6">
        <w:rPr>
          <w:rFonts w:eastAsia="Times New Roman"/>
          <w:kern w:val="22"/>
          <w:sz w:val="22"/>
          <w:lang w:val="fr-FR"/>
        </w:rPr>
        <w:t>élégués</w:t>
      </w:r>
      <w:r>
        <w:rPr>
          <w:rFonts w:eastAsia="Times New Roman"/>
          <w:kern w:val="22"/>
          <w:sz w:val="22"/>
          <w:lang w:val="fr-FR"/>
        </w:rPr>
        <w:t xml:space="preserve"> </w:t>
      </w:r>
      <w:r w:rsidR="0031595A">
        <w:rPr>
          <w:rFonts w:eastAsia="Times New Roman"/>
          <w:kern w:val="22"/>
          <w:sz w:val="22"/>
          <w:lang w:val="fr-FR"/>
        </w:rPr>
        <w:t>ayant participé</w:t>
      </w:r>
      <w:r>
        <w:rPr>
          <w:rFonts w:eastAsia="Times New Roman"/>
          <w:kern w:val="22"/>
          <w:sz w:val="22"/>
          <w:lang w:val="fr-FR"/>
        </w:rPr>
        <w:t xml:space="preserve"> à la</w:t>
      </w:r>
      <w:r w:rsidR="004B59B5" w:rsidRPr="002412D6">
        <w:rPr>
          <w:rFonts w:eastAsia="Times New Roman"/>
          <w:kern w:val="22"/>
          <w:sz w:val="22"/>
          <w:lang w:val="fr-FR"/>
        </w:rPr>
        <w:t xml:space="preserve"> </w:t>
      </w:r>
      <w:r w:rsidR="00E3674F" w:rsidRPr="002412D6">
        <w:rPr>
          <w:rFonts w:eastAsia="Times New Roman"/>
          <w:kern w:val="22"/>
          <w:sz w:val="22"/>
          <w:lang w:val="fr-FR"/>
        </w:rPr>
        <w:t>troisième</w:t>
      </w:r>
      <w:r w:rsidR="00130D0F">
        <w:rPr>
          <w:rFonts w:eastAsia="Times New Roman"/>
          <w:kern w:val="22"/>
          <w:sz w:val="22"/>
          <w:lang w:val="fr-FR"/>
        </w:rPr>
        <w:t xml:space="preserve"> session de la Conférence i</w:t>
      </w:r>
      <w:r w:rsidR="004B59B5" w:rsidRPr="002412D6">
        <w:rPr>
          <w:rFonts w:eastAsia="Times New Roman"/>
          <w:kern w:val="22"/>
          <w:sz w:val="22"/>
          <w:lang w:val="fr-FR"/>
        </w:rPr>
        <w:t>nter</w:t>
      </w:r>
      <w:r w:rsidR="00FB0054" w:rsidRPr="002412D6">
        <w:rPr>
          <w:rFonts w:eastAsia="Times New Roman"/>
          <w:kern w:val="22"/>
          <w:sz w:val="22"/>
          <w:lang w:val="fr-FR"/>
        </w:rPr>
        <w:t>gouvernement</w:t>
      </w:r>
      <w:r w:rsidR="004B59B5" w:rsidRPr="002412D6">
        <w:rPr>
          <w:rFonts w:eastAsia="Times New Roman"/>
          <w:kern w:val="22"/>
          <w:sz w:val="22"/>
          <w:lang w:val="fr-FR"/>
        </w:rPr>
        <w:t>al</w:t>
      </w:r>
      <w:r w:rsidR="00130D0F">
        <w:rPr>
          <w:rFonts w:eastAsia="Times New Roman"/>
          <w:kern w:val="22"/>
          <w:sz w:val="22"/>
          <w:lang w:val="fr-FR"/>
        </w:rPr>
        <w:t>e sur la c</w:t>
      </w:r>
      <w:r w:rsidR="004B59B5" w:rsidRPr="002412D6">
        <w:rPr>
          <w:rFonts w:eastAsia="Times New Roman"/>
          <w:kern w:val="22"/>
          <w:sz w:val="22"/>
          <w:lang w:val="fr-FR"/>
        </w:rPr>
        <w:t>onservation</w:t>
      </w:r>
      <w:r w:rsidR="00E3674F" w:rsidRPr="002412D6">
        <w:rPr>
          <w:rFonts w:eastAsia="Times New Roman"/>
          <w:kern w:val="22"/>
          <w:sz w:val="22"/>
          <w:lang w:val="fr-FR"/>
        </w:rPr>
        <w:t xml:space="preserve"> et </w:t>
      </w:r>
      <w:r w:rsidR="00130D0F">
        <w:rPr>
          <w:rFonts w:eastAsia="Times New Roman"/>
          <w:kern w:val="22"/>
          <w:sz w:val="22"/>
          <w:lang w:val="fr-FR"/>
        </w:rPr>
        <w:t>l</w:t>
      </w:r>
      <w:r w:rsidR="007E1C9E">
        <w:rPr>
          <w:rFonts w:eastAsia="Times New Roman"/>
          <w:kern w:val="22"/>
          <w:sz w:val="22"/>
          <w:lang w:val="fr-FR"/>
        </w:rPr>
        <w:t>’utilisation durable</w:t>
      </w:r>
      <w:r w:rsidR="00130D0F">
        <w:rPr>
          <w:rFonts w:eastAsia="Times New Roman"/>
          <w:kern w:val="22"/>
          <w:sz w:val="22"/>
          <w:lang w:val="fr-FR"/>
        </w:rPr>
        <w:t xml:space="preserve"> de la biodiversité marine des z</w:t>
      </w:r>
      <w:r w:rsidR="00651FB0" w:rsidRPr="002412D6">
        <w:rPr>
          <w:rFonts w:eastAsia="Times New Roman"/>
          <w:kern w:val="22"/>
          <w:sz w:val="22"/>
          <w:lang w:val="fr-FR"/>
        </w:rPr>
        <w:t>ones situées au-delà des limites de la juridiction nationale</w:t>
      </w:r>
      <w:r w:rsidR="004B59B5" w:rsidRPr="002412D6">
        <w:rPr>
          <w:rFonts w:eastAsia="Times New Roman"/>
          <w:kern w:val="22"/>
          <w:sz w:val="22"/>
          <w:lang w:val="fr-FR"/>
        </w:rPr>
        <w:t xml:space="preserve"> </w:t>
      </w:r>
      <w:r w:rsidR="0031595A">
        <w:rPr>
          <w:rFonts w:eastAsia="Times New Roman"/>
          <w:kern w:val="22"/>
          <w:sz w:val="22"/>
          <w:lang w:val="fr-FR"/>
        </w:rPr>
        <w:t>ont entamé</w:t>
      </w:r>
      <w:r w:rsidR="00130D0F">
        <w:rPr>
          <w:rFonts w:eastAsia="Times New Roman"/>
          <w:kern w:val="22"/>
          <w:sz w:val="22"/>
          <w:lang w:val="fr-FR"/>
        </w:rPr>
        <w:t xml:space="preserve"> pour la premi</w:t>
      </w:r>
      <w:r w:rsidR="0031595A">
        <w:rPr>
          <w:rFonts w:eastAsia="Times New Roman"/>
          <w:kern w:val="22"/>
          <w:sz w:val="22"/>
          <w:lang w:val="fr-FR"/>
        </w:rPr>
        <w:t xml:space="preserve">ère fois des négociations concernant </w:t>
      </w:r>
      <w:r w:rsidR="00130D0F">
        <w:rPr>
          <w:rFonts w:eastAsia="Times New Roman"/>
          <w:kern w:val="22"/>
          <w:sz w:val="22"/>
          <w:lang w:val="fr-FR"/>
        </w:rPr>
        <w:t xml:space="preserve">un </w:t>
      </w:r>
      <w:r w:rsidR="0031595A">
        <w:rPr>
          <w:rFonts w:eastAsia="Times New Roman"/>
          <w:kern w:val="22"/>
          <w:sz w:val="22"/>
          <w:lang w:val="fr-FR"/>
        </w:rPr>
        <w:t>avant-projet de texte, constituant un</w:t>
      </w:r>
      <w:r w:rsidR="00130D0F">
        <w:rPr>
          <w:rFonts w:eastAsia="Times New Roman"/>
          <w:kern w:val="22"/>
          <w:sz w:val="22"/>
          <w:lang w:val="fr-FR"/>
        </w:rPr>
        <w:t xml:space="preserve"> “</w:t>
      </w:r>
      <w:r w:rsidR="00FB033A" w:rsidRPr="002412D6">
        <w:rPr>
          <w:rFonts w:eastAsia="Times New Roman"/>
          <w:kern w:val="22"/>
          <w:sz w:val="22"/>
          <w:lang w:val="fr-FR"/>
        </w:rPr>
        <w:t>avant-projet</w:t>
      </w:r>
      <w:r w:rsidR="00130D0F">
        <w:rPr>
          <w:rFonts w:eastAsia="Times New Roman"/>
          <w:kern w:val="22"/>
          <w:sz w:val="22"/>
          <w:lang w:val="fr-FR"/>
        </w:rPr>
        <w:t xml:space="preserve"> zéro</w:t>
      </w:r>
      <w:r w:rsidR="004B59B5" w:rsidRPr="002412D6">
        <w:rPr>
          <w:rFonts w:eastAsia="Times New Roman"/>
          <w:kern w:val="22"/>
          <w:sz w:val="22"/>
          <w:lang w:val="fr-FR"/>
        </w:rPr>
        <w:t xml:space="preserve">”. </w:t>
      </w:r>
      <w:r w:rsidR="0031595A">
        <w:rPr>
          <w:rFonts w:eastAsia="Times New Roman"/>
          <w:kern w:val="22"/>
          <w:sz w:val="22"/>
          <w:lang w:val="fr-FR"/>
        </w:rPr>
        <w:t>La structure de ce document aborde</w:t>
      </w:r>
      <w:r w:rsidR="00130D0F" w:rsidRPr="00130D0F">
        <w:rPr>
          <w:rFonts w:eastAsia="Times New Roman"/>
          <w:kern w:val="22"/>
          <w:sz w:val="22"/>
          <w:lang w:val="fr-FR"/>
        </w:rPr>
        <w:t xml:space="preserve"> de</w:t>
      </w:r>
      <w:r w:rsidR="0031595A">
        <w:rPr>
          <w:rFonts w:eastAsia="Times New Roman"/>
          <w:kern w:val="22"/>
          <w:sz w:val="22"/>
          <w:lang w:val="fr-FR"/>
        </w:rPr>
        <w:t xml:space="preserve">s questions générales et </w:t>
      </w:r>
      <w:r w:rsidR="00130D0F">
        <w:rPr>
          <w:rFonts w:eastAsia="Times New Roman"/>
          <w:kern w:val="22"/>
          <w:sz w:val="22"/>
          <w:lang w:val="fr-FR"/>
        </w:rPr>
        <w:t>des</w:t>
      </w:r>
      <w:r w:rsidR="004B59B5" w:rsidRPr="00130D0F">
        <w:rPr>
          <w:rFonts w:eastAsia="Times New Roman"/>
          <w:kern w:val="22"/>
          <w:sz w:val="22"/>
          <w:lang w:val="fr-FR"/>
        </w:rPr>
        <w:t xml:space="preserve"> </w:t>
      </w:r>
      <w:r w:rsidR="00367430" w:rsidRPr="00130D0F">
        <w:rPr>
          <w:rFonts w:eastAsia="Times New Roman"/>
          <w:kern w:val="22"/>
          <w:sz w:val="22"/>
          <w:lang w:val="fr-FR"/>
        </w:rPr>
        <w:t>question</w:t>
      </w:r>
      <w:r w:rsidR="004B59B5" w:rsidRPr="00130D0F">
        <w:rPr>
          <w:rFonts w:eastAsia="Times New Roman"/>
          <w:kern w:val="22"/>
          <w:sz w:val="22"/>
          <w:lang w:val="fr-FR"/>
        </w:rPr>
        <w:t>s</w:t>
      </w:r>
      <w:r w:rsidR="00130D0F">
        <w:rPr>
          <w:rFonts w:eastAsia="Times New Roman"/>
          <w:kern w:val="22"/>
          <w:sz w:val="22"/>
          <w:lang w:val="fr-FR"/>
        </w:rPr>
        <w:t xml:space="preserve"> intersectorielles</w:t>
      </w:r>
      <w:r w:rsidR="004B59B5" w:rsidRPr="00130D0F">
        <w:rPr>
          <w:rFonts w:eastAsia="Times New Roman"/>
          <w:kern w:val="22"/>
          <w:sz w:val="22"/>
          <w:lang w:val="fr-FR"/>
        </w:rPr>
        <w:t xml:space="preserve">, </w:t>
      </w:r>
      <w:r w:rsidR="00C06081" w:rsidRPr="00130D0F">
        <w:rPr>
          <w:rFonts w:eastAsia="Times New Roman"/>
          <w:kern w:val="22"/>
          <w:sz w:val="22"/>
          <w:lang w:val="fr-FR"/>
        </w:rPr>
        <w:t>ainsi que</w:t>
      </w:r>
      <w:r w:rsidR="0031595A">
        <w:rPr>
          <w:rFonts w:eastAsia="Times New Roman"/>
          <w:kern w:val="22"/>
          <w:sz w:val="22"/>
          <w:lang w:val="fr-FR"/>
        </w:rPr>
        <w:t xml:space="preserve"> </w:t>
      </w:r>
      <w:r w:rsidR="00130D0F">
        <w:rPr>
          <w:rFonts w:eastAsia="Times New Roman"/>
          <w:kern w:val="22"/>
          <w:sz w:val="22"/>
          <w:lang w:val="fr-FR"/>
        </w:rPr>
        <w:t>quatre éléments identif</w:t>
      </w:r>
      <w:r w:rsidR="0031595A">
        <w:rPr>
          <w:rFonts w:eastAsia="Times New Roman"/>
          <w:kern w:val="22"/>
          <w:sz w:val="22"/>
          <w:lang w:val="fr-FR"/>
        </w:rPr>
        <w:t>iés dans le document convenu</w:t>
      </w:r>
      <w:r w:rsidR="004B59B5" w:rsidRPr="00130D0F">
        <w:rPr>
          <w:rFonts w:eastAsia="Times New Roman"/>
          <w:kern w:val="22"/>
          <w:sz w:val="22"/>
          <w:lang w:val="fr-FR"/>
        </w:rPr>
        <w:t xml:space="preserve"> </w:t>
      </w:r>
      <w:r w:rsidR="00130D0F">
        <w:rPr>
          <w:rFonts w:eastAsia="Times New Roman"/>
          <w:kern w:val="22"/>
          <w:sz w:val="22"/>
          <w:lang w:val="fr-FR"/>
        </w:rPr>
        <w:t>e</w:t>
      </w:r>
      <w:r w:rsidR="004B59B5" w:rsidRPr="00130D0F">
        <w:rPr>
          <w:rFonts w:eastAsia="Times New Roman"/>
          <w:kern w:val="22"/>
          <w:sz w:val="22"/>
          <w:lang w:val="fr-FR"/>
        </w:rPr>
        <w:t>n 2011</w:t>
      </w:r>
      <w:r w:rsidR="00F506A9" w:rsidRPr="00130D0F">
        <w:rPr>
          <w:rFonts w:eastAsia="Times New Roman"/>
          <w:kern w:val="22"/>
          <w:sz w:val="22"/>
          <w:lang w:val="fr-FR"/>
        </w:rPr>
        <w:t xml:space="preserve">. </w:t>
      </w:r>
      <w:r w:rsidR="00130D0F" w:rsidRPr="00130D0F">
        <w:rPr>
          <w:rFonts w:eastAsia="Times New Roman"/>
          <w:kern w:val="22"/>
          <w:sz w:val="22"/>
          <w:lang w:val="fr-FR"/>
        </w:rPr>
        <w:t>L</w:t>
      </w:r>
      <w:r w:rsidR="00130D0F">
        <w:rPr>
          <w:rFonts w:eastAsia="Times New Roman"/>
          <w:kern w:val="22"/>
          <w:sz w:val="22"/>
          <w:lang w:val="fr-FR"/>
        </w:rPr>
        <w:t>’un de ces</w:t>
      </w:r>
      <w:r w:rsidR="00FB7B70" w:rsidRPr="00130D0F">
        <w:rPr>
          <w:rFonts w:eastAsia="Times New Roman"/>
          <w:kern w:val="22"/>
          <w:sz w:val="22"/>
          <w:lang w:val="fr-FR"/>
        </w:rPr>
        <w:t xml:space="preserve"> </w:t>
      </w:r>
      <w:r w:rsidR="00130D0F">
        <w:rPr>
          <w:rFonts w:eastAsia="Times New Roman"/>
          <w:kern w:val="22"/>
          <w:sz w:val="22"/>
          <w:lang w:val="fr-FR"/>
        </w:rPr>
        <w:t>élément</w:t>
      </w:r>
      <w:r w:rsidR="00FB7B70" w:rsidRPr="00130D0F">
        <w:rPr>
          <w:rFonts w:eastAsia="Times New Roman"/>
          <w:kern w:val="22"/>
          <w:sz w:val="22"/>
          <w:lang w:val="fr-FR"/>
        </w:rPr>
        <w:t>s</w:t>
      </w:r>
      <w:r w:rsidR="00F506A9" w:rsidRPr="00130D0F">
        <w:rPr>
          <w:rFonts w:eastAsia="Times New Roman"/>
          <w:kern w:val="22"/>
          <w:sz w:val="22"/>
          <w:lang w:val="fr-FR"/>
        </w:rPr>
        <w:t xml:space="preserve"> </w:t>
      </w:r>
      <w:r w:rsidR="00130D0F">
        <w:rPr>
          <w:rFonts w:eastAsia="Times New Roman"/>
          <w:kern w:val="22"/>
          <w:sz w:val="22"/>
          <w:lang w:val="fr-FR"/>
        </w:rPr>
        <w:t xml:space="preserve">concerne les </w:t>
      </w:r>
      <w:r w:rsidR="00E3674F" w:rsidRPr="00130D0F">
        <w:rPr>
          <w:rFonts w:eastAsia="Times New Roman"/>
          <w:kern w:val="22"/>
          <w:sz w:val="22"/>
          <w:lang w:val="fr-FR"/>
        </w:rPr>
        <w:t>ressources génétiques</w:t>
      </w:r>
      <w:r w:rsidR="00130D0F">
        <w:rPr>
          <w:rFonts w:eastAsia="Times New Roman"/>
          <w:kern w:val="22"/>
          <w:sz w:val="22"/>
          <w:lang w:val="fr-FR"/>
        </w:rPr>
        <w:t xml:space="preserve"> marines</w:t>
      </w:r>
      <w:r w:rsidR="004B59B5" w:rsidRPr="00130D0F">
        <w:rPr>
          <w:rFonts w:eastAsia="Times New Roman"/>
          <w:kern w:val="22"/>
          <w:sz w:val="22"/>
          <w:lang w:val="fr-FR"/>
        </w:rPr>
        <w:t xml:space="preserve">, </w:t>
      </w:r>
      <w:r w:rsidR="00B43E38" w:rsidRPr="00130D0F">
        <w:rPr>
          <w:rFonts w:eastAsia="Times New Roman"/>
          <w:kern w:val="22"/>
          <w:sz w:val="22"/>
          <w:lang w:val="fr-FR"/>
        </w:rPr>
        <w:t>y compris</w:t>
      </w:r>
      <w:r w:rsidR="004B59B5" w:rsidRPr="00130D0F">
        <w:rPr>
          <w:rFonts w:eastAsia="Times New Roman"/>
          <w:kern w:val="22"/>
          <w:sz w:val="22"/>
          <w:lang w:val="fr-FR"/>
        </w:rPr>
        <w:t xml:space="preserve"> </w:t>
      </w:r>
      <w:r w:rsidR="00130D0F">
        <w:rPr>
          <w:rFonts w:eastAsia="Times New Roman"/>
          <w:kern w:val="22"/>
          <w:sz w:val="22"/>
          <w:lang w:val="fr-FR"/>
        </w:rPr>
        <w:t>la question du</w:t>
      </w:r>
      <w:r w:rsidR="004B59B5" w:rsidRPr="00130D0F">
        <w:rPr>
          <w:rFonts w:eastAsia="Times New Roman"/>
          <w:kern w:val="22"/>
          <w:sz w:val="22"/>
          <w:lang w:val="fr-FR"/>
        </w:rPr>
        <w:t xml:space="preserve"> </w:t>
      </w:r>
      <w:r w:rsidR="00FB2FE9" w:rsidRPr="00130D0F">
        <w:rPr>
          <w:rFonts w:eastAsia="Times New Roman"/>
          <w:kern w:val="22"/>
          <w:sz w:val="22"/>
          <w:lang w:val="fr-FR"/>
        </w:rPr>
        <w:t>partage des avantages</w:t>
      </w:r>
      <w:r w:rsidR="00F506A9" w:rsidRPr="00130D0F">
        <w:rPr>
          <w:rFonts w:eastAsia="Times New Roman"/>
          <w:kern w:val="22"/>
          <w:sz w:val="22"/>
          <w:lang w:val="fr-FR"/>
        </w:rPr>
        <w:t>.</w:t>
      </w:r>
      <w:r w:rsidR="004B59B5" w:rsidRPr="00130D0F">
        <w:rPr>
          <w:rFonts w:eastAsia="Times New Roman"/>
          <w:kern w:val="22"/>
          <w:sz w:val="22"/>
          <w:lang w:val="fr-FR"/>
        </w:rPr>
        <w:t xml:space="preserve"> </w:t>
      </w:r>
      <w:r w:rsidR="00130D0F">
        <w:rPr>
          <w:rFonts w:eastAsia="Times New Roman"/>
          <w:kern w:val="22"/>
          <w:sz w:val="22"/>
          <w:lang w:val="fr-FR"/>
        </w:rPr>
        <w:t>La quatrième session de la Conférence i</w:t>
      </w:r>
      <w:r w:rsidR="004B59B5" w:rsidRPr="00130D0F">
        <w:rPr>
          <w:rFonts w:eastAsia="Times New Roman"/>
          <w:kern w:val="22"/>
          <w:sz w:val="22"/>
          <w:lang w:val="fr-FR"/>
        </w:rPr>
        <w:t>nter</w:t>
      </w:r>
      <w:r w:rsidR="00FB0054" w:rsidRPr="00130D0F">
        <w:rPr>
          <w:rFonts w:eastAsia="Times New Roman"/>
          <w:kern w:val="22"/>
          <w:sz w:val="22"/>
          <w:lang w:val="fr-FR"/>
        </w:rPr>
        <w:t>gouvernement</w:t>
      </w:r>
      <w:r w:rsidR="004B59B5" w:rsidRPr="00130D0F">
        <w:rPr>
          <w:rFonts w:eastAsia="Times New Roman"/>
          <w:kern w:val="22"/>
          <w:sz w:val="22"/>
          <w:lang w:val="fr-FR"/>
        </w:rPr>
        <w:t>al</w:t>
      </w:r>
      <w:r w:rsidR="00130D0F">
        <w:rPr>
          <w:rFonts w:eastAsia="Times New Roman"/>
          <w:kern w:val="22"/>
          <w:sz w:val="22"/>
          <w:lang w:val="fr-FR"/>
        </w:rPr>
        <w:t xml:space="preserve">e </w:t>
      </w:r>
      <w:r w:rsidR="00480821" w:rsidRPr="00130D0F">
        <w:rPr>
          <w:rFonts w:eastAsia="Times New Roman"/>
          <w:kern w:val="22"/>
          <w:sz w:val="22"/>
          <w:lang w:val="fr-FR"/>
        </w:rPr>
        <w:t>examiner</w:t>
      </w:r>
      <w:r w:rsidR="00130D0F">
        <w:rPr>
          <w:rFonts w:eastAsia="Times New Roman"/>
          <w:kern w:val="22"/>
          <w:sz w:val="22"/>
          <w:lang w:val="fr-FR"/>
        </w:rPr>
        <w:t>a</w:t>
      </w:r>
      <w:r w:rsidR="00480821" w:rsidRPr="00130D0F">
        <w:rPr>
          <w:rFonts w:eastAsia="Times New Roman"/>
          <w:kern w:val="22"/>
          <w:sz w:val="22"/>
          <w:lang w:val="fr-FR"/>
        </w:rPr>
        <w:t xml:space="preserve"> </w:t>
      </w:r>
      <w:r w:rsidR="00130D0F">
        <w:rPr>
          <w:rFonts w:eastAsia="Times New Roman"/>
          <w:kern w:val="22"/>
          <w:sz w:val="22"/>
          <w:lang w:val="fr-FR"/>
        </w:rPr>
        <w:t xml:space="preserve">un </w:t>
      </w:r>
      <w:r w:rsidR="00FB033A" w:rsidRPr="00130D0F">
        <w:rPr>
          <w:rFonts w:eastAsia="Times New Roman"/>
          <w:kern w:val="22"/>
          <w:sz w:val="22"/>
          <w:lang w:val="fr-FR"/>
        </w:rPr>
        <w:t>avant-projet</w:t>
      </w:r>
      <w:r w:rsidR="004B59B5" w:rsidRPr="00130D0F">
        <w:rPr>
          <w:rFonts w:eastAsia="Times New Roman"/>
          <w:kern w:val="22"/>
          <w:sz w:val="22"/>
          <w:lang w:val="fr-FR"/>
        </w:rPr>
        <w:t xml:space="preserve"> </w:t>
      </w:r>
      <w:r w:rsidR="00130D0F">
        <w:rPr>
          <w:rFonts w:eastAsia="Times New Roman"/>
          <w:kern w:val="22"/>
          <w:sz w:val="22"/>
          <w:lang w:val="fr-FR"/>
        </w:rPr>
        <w:t xml:space="preserve">de </w:t>
      </w:r>
      <w:r w:rsidR="004B59B5" w:rsidRPr="00130D0F">
        <w:rPr>
          <w:rFonts w:eastAsia="Times New Roman"/>
          <w:kern w:val="22"/>
          <w:sz w:val="22"/>
          <w:lang w:val="fr-FR"/>
        </w:rPr>
        <w:t>text</w:t>
      </w:r>
      <w:r w:rsidR="0031595A">
        <w:rPr>
          <w:rFonts w:eastAsia="Times New Roman"/>
          <w:kern w:val="22"/>
          <w:sz w:val="22"/>
          <w:lang w:val="fr-FR"/>
        </w:rPr>
        <w:t>e révisé du futur accord international</w:t>
      </w:r>
      <w:r w:rsidR="00130D0F">
        <w:rPr>
          <w:rFonts w:eastAsia="Times New Roman"/>
          <w:kern w:val="22"/>
          <w:sz w:val="22"/>
          <w:lang w:val="fr-FR"/>
        </w:rPr>
        <w:t xml:space="preserve">, comprenant une partie sur les </w:t>
      </w:r>
      <w:r w:rsidR="00E3674F" w:rsidRPr="00130D0F">
        <w:rPr>
          <w:rFonts w:eastAsia="Times New Roman"/>
          <w:kern w:val="22"/>
          <w:sz w:val="22"/>
          <w:lang w:val="fr-FR"/>
        </w:rPr>
        <w:t xml:space="preserve">ressources génétiques </w:t>
      </w:r>
      <w:r w:rsidR="00130D0F">
        <w:rPr>
          <w:rFonts w:eastAsia="Times New Roman"/>
          <w:kern w:val="22"/>
          <w:sz w:val="22"/>
          <w:lang w:val="fr-FR"/>
        </w:rPr>
        <w:t xml:space="preserve">marines </w:t>
      </w:r>
      <w:r w:rsidR="00E3674F" w:rsidRPr="00130D0F">
        <w:rPr>
          <w:rFonts w:eastAsia="Times New Roman"/>
          <w:kern w:val="22"/>
          <w:sz w:val="22"/>
          <w:lang w:val="fr-FR"/>
        </w:rPr>
        <w:t xml:space="preserve">et </w:t>
      </w:r>
      <w:r w:rsidR="00130D0F">
        <w:rPr>
          <w:rFonts w:eastAsia="Times New Roman"/>
          <w:kern w:val="22"/>
          <w:sz w:val="22"/>
          <w:lang w:val="fr-FR"/>
        </w:rPr>
        <w:t xml:space="preserve">le </w:t>
      </w:r>
      <w:r w:rsidR="00E3674F" w:rsidRPr="00130D0F">
        <w:rPr>
          <w:rFonts w:eastAsia="Times New Roman"/>
          <w:kern w:val="22"/>
          <w:sz w:val="22"/>
          <w:lang w:val="fr-FR"/>
        </w:rPr>
        <w:t>partage des avantages</w:t>
      </w:r>
      <w:r w:rsidR="004B59B5" w:rsidRPr="00130D0F">
        <w:rPr>
          <w:rFonts w:eastAsia="Times New Roman"/>
          <w:kern w:val="22"/>
          <w:sz w:val="22"/>
          <w:lang w:val="fr-FR"/>
        </w:rPr>
        <w:t>.</w:t>
      </w:r>
      <w:r w:rsidR="004B59B5" w:rsidRPr="002364AB">
        <w:rPr>
          <w:rStyle w:val="FootnoteReference"/>
          <w:kern w:val="22"/>
          <w:sz w:val="22"/>
          <w:lang w:val="en-GB"/>
        </w:rPr>
        <w:footnoteReference w:id="72"/>
      </w:r>
      <w:r w:rsidR="00486E87" w:rsidRPr="00130D0F">
        <w:rPr>
          <w:rFonts w:eastAsia="Times New Roman"/>
          <w:kern w:val="22"/>
          <w:sz w:val="22"/>
          <w:lang w:val="fr-FR"/>
        </w:rPr>
        <w:t xml:space="preserve"> </w:t>
      </w:r>
    </w:p>
    <w:p w14:paraId="3B5C9816" w14:textId="5FC80F57" w:rsidR="00947660" w:rsidRPr="0047349C" w:rsidRDefault="00130D0F" w:rsidP="001D0E49">
      <w:pPr>
        <w:rPr>
          <w:kern w:val="22"/>
          <w:sz w:val="22"/>
          <w:lang w:val="fr-FR"/>
        </w:rPr>
      </w:pPr>
      <w:r>
        <w:rPr>
          <w:kern w:val="22"/>
          <w:sz w:val="22"/>
          <w:lang w:val="fr-FR"/>
        </w:rPr>
        <w:lastRenderedPageBreak/>
        <w:t>Il existe au moins deux questions tr</w:t>
      </w:r>
      <w:r w:rsidR="0031595A">
        <w:rPr>
          <w:kern w:val="22"/>
          <w:sz w:val="22"/>
          <w:lang w:val="fr-FR"/>
        </w:rPr>
        <w:t xml:space="preserve">ansfrontières qui intéressent à la fois </w:t>
      </w:r>
      <w:r>
        <w:rPr>
          <w:kern w:val="22"/>
          <w:sz w:val="22"/>
          <w:lang w:val="fr-FR"/>
        </w:rPr>
        <w:t xml:space="preserve">le </w:t>
      </w:r>
      <w:r w:rsidR="00E3674F" w:rsidRPr="00130D0F">
        <w:rPr>
          <w:kern w:val="22"/>
          <w:sz w:val="22"/>
          <w:lang w:val="fr-FR"/>
        </w:rPr>
        <w:t xml:space="preserve">Protocole de Nagoya et </w:t>
      </w:r>
      <w:r>
        <w:rPr>
          <w:kern w:val="22"/>
          <w:sz w:val="22"/>
          <w:lang w:val="fr-FR"/>
        </w:rPr>
        <w:t>le</w:t>
      </w:r>
      <w:r w:rsidR="000E53C0">
        <w:rPr>
          <w:kern w:val="22"/>
          <w:sz w:val="22"/>
          <w:lang w:val="fr-FR"/>
        </w:rPr>
        <w:t xml:space="preserve"> futur instrument sur la biodiversité marine située au-delà des limites de la juridiction nationale</w:t>
      </w:r>
      <w:r>
        <w:rPr>
          <w:kern w:val="22"/>
          <w:sz w:val="22"/>
          <w:lang w:val="fr-FR"/>
        </w:rPr>
        <w:t xml:space="preserve">. La première </w:t>
      </w:r>
      <w:r w:rsidR="00815AFE">
        <w:rPr>
          <w:kern w:val="22"/>
          <w:sz w:val="22"/>
          <w:lang w:val="fr-FR"/>
        </w:rPr>
        <w:t xml:space="preserve">question concerne </w:t>
      </w:r>
      <w:r>
        <w:rPr>
          <w:kern w:val="22"/>
          <w:sz w:val="22"/>
          <w:lang w:val="fr-FR"/>
        </w:rPr>
        <w:t>les ressources génétiques</w:t>
      </w:r>
      <w:r w:rsidR="00A448B0" w:rsidRPr="00130D0F">
        <w:rPr>
          <w:kern w:val="22"/>
          <w:sz w:val="22"/>
          <w:lang w:val="fr-FR"/>
        </w:rPr>
        <w:t xml:space="preserve"> </w:t>
      </w:r>
      <w:r w:rsidR="00815AFE">
        <w:rPr>
          <w:kern w:val="22"/>
          <w:sz w:val="22"/>
          <w:lang w:val="fr-FR"/>
        </w:rPr>
        <w:t xml:space="preserve">dites </w:t>
      </w:r>
      <w:r w:rsidR="00A448B0" w:rsidRPr="00130D0F">
        <w:rPr>
          <w:kern w:val="22"/>
          <w:sz w:val="22"/>
          <w:lang w:val="fr-FR"/>
        </w:rPr>
        <w:t>‘</w:t>
      </w:r>
      <w:r w:rsidR="00022CC1" w:rsidRPr="00130D0F">
        <w:rPr>
          <w:kern w:val="22"/>
          <w:sz w:val="22"/>
          <w:lang w:val="fr-FR"/>
        </w:rPr>
        <w:t>chevauchantes</w:t>
      </w:r>
      <w:r>
        <w:rPr>
          <w:kern w:val="22"/>
          <w:sz w:val="22"/>
          <w:lang w:val="fr-FR"/>
        </w:rPr>
        <w:t>’</w:t>
      </w:r>
      <w:r w:rsidR="00A448B0" w:rsidRPr="00130D0F">
        <w:rPr>
          <w:kern w:val="22"/>
          <w:sz w:val="22"/>
          <w:lang w:val="fr-FR"/>
        </w:rPr>
        <w:t xml:space="preserve">, </w:t>
      </w:r>
      <w:r w:rsidR="00815AFE">
        <w:rPr>
          <w:kern w:val="22"/>
          <w:sz w:val="22"/>
          <w:lang w:val="fr-FR"/>
        </w:rPr>
        <w:t xml:space="preserve">qui peuvent transiter ou se trouver à la fois dans la zone économique exclusive </w:t>
      </w:r>
      <w:r>
        <w:rPr>
          <w:kern w:val="22"/>
          <w:sz w:val="22"/>
          <w:lang w:val="fr-FR"/>
        </w:rPr>
        <w:t xml:space="preserve">d’un Etat et </w:t>
      </w:r>
      <w:r w:rsidR="00815AFE">
        <w:rPr>
          <w:kern w:val="22"/>
          <w:sz w:val="22"/>
          <w:lang w:val="fr-FR"/>
        </w:rPr>
        <w:t>dans la haute mer ou</w:t>
      </w:r>
      <w:r>
        <w:rPr>
          <w:kern w:val="22"/>
          <w:sz w:val="22"/>
          <w:lang w:val="fr-FR"/>
        </w:rPr>
        <w:t xml:space="preserve"> l</w:t>
      </w:r>
      <w:r w:rsidR="002412D6" w:rsidRPr="00130D0F">
        <w:rPr>
          <w:kern w:val="22"/>
          <w:sz w:val="22"/>
          <w:lang w:val="fr-FR"/>
        </w:rPr>
        <w:t>es grands fonds marins</w:t>
      </w:r>
      <w:r w:rsidR="00EC454B" w:rsidRPr="00130D0F">
        <w:rPr>
          <w:kern w:val="22"/>
          <w:sz w:val="22"/>
          <w:lang w:val="fr-FR"/>
        </w:rPr>
        <w:t xml:space="preserve"> (“</w:t>
      </w:r>
      <w:r w:rsidR="002412D6" w:rsidRPr="00130D0F">
        <w:rPr>
          <w:kern w:val="22"/>
          <w:sz w:val="22"/>
          <w:lang w:val="fr-FR"/>
        </w:rPr>
        <w:t>la Zone</w:t>
      </w:r>
      <w:r w:rsidR="00EC454B" w:rsidRPr="00130D0F">
        <w:rPr>
          <w:kern w:val="22"/>
          <w:sz w:val="22"/>
          <w:lang w:val="fr-FR"/>
        </w:rPr>
        <w:t>”)</w:t>
      </w:r>
      <w:r w:rsidR="00A448B0" w:rsidRPr="00130D0F">
        <w:rPr>
          <w:kern w:val="22"/>
          <w:sz w:val="22"/>
          <w:lang w:val="fr-FR"/>
        </w:rPr>
        <w:t xml:space="preserve">. </w:t>
      </w:r>
      <w:r w:rsidRPr="000E3251">
        <w:rPr>
          <w:kern w:val="22"/>
          <w:sz w:val="22"/>
          <w:lang w:val="fr-FR"/>
        </w:rPr>
        <w:t xml:space="preserve">La </w:t>
      </w:r>
      <w:r w:rsidR="000E3251" w:rsidRPr="000E3251">
        <w:rPr>
          <w:kern w:val="22"/>
          <w:sz w:val="22"/>
          <w:lang w:val="fr-FR"/>
        </w:rPr>
        <w:t>deuxième question concerne les</w:t>
      </w:r>
      <w:r w:rsidR="00A448B0" w:rsidRPr="000E3251">
        <w:rPr>
          <w:kern w:val="22"/>
          <w:sz w:val="22"/>
          <w:lang w:val="fr-FR"/>
        </w:rPr>
        <w:t xml:space="preserve"> </w:t>
      </w:r>
      <w:r w:rsidR="000E3251" w:rsidRPr="000E3251">
        <w:rPr>
          <w:kern w:val="22"/>
          <w:sz w:val="22"/>
          <w:lang w:val="fr-FR"/>
        </w:rPr>
        <w:t>air</w:t>
      </w:r>
      <w:r w:rsidR="00895EB1">
        <w:rPr>
          <w:kern w:val="22"/>
          <w:sz w:val="22"/>
          <w:lang w:val="fr-FR"/>
        </w:rPr>
        <w:t>es marines situées</w:t>
      </w:r>
      <w:r w:rsidR="00815AFE">
        <w:rPr>
          <w:kern w:val="22"/>
          <w:sz w:val="22"/>
          <w:lang w:val="fr-FR"/>
        </w:rPr>
        <w:t xml:space="preserve"> </w:t>
      </w:r>
      <w:r w:rsidR="00895EB1">
        <w:rPr>
          <w:kern w:val="22"/>
          <w:sz w:val="22"/>
          <w:lang w:val="fr-FR"/>
        </w:rPr>
        <w:t>au-delà du plateau</w:t>
      </w:r>
      <w:r w:rsidR="000E3251">
        <w:rPr>
          <w:kern w:val="22"/>
          <w:sz w:val="22"/>
          <w:lang w:val="fr-FR"/>
        </w:rPr>
        <w:t xml:space="preserve"> </w:t>
      </w:r>
      <w:r w:rsidR="00A448B0" w:rsidRPr="000E3251">
        <w:rPr>
          <w:kern w:val="22"/>
          <w:sz w:val="22"/>
          <w:lang w:val="fr-FR"/>
        </w:rPr>
        <w:t xml:space="preserve">continental </w:t>
      </w:r>
      <w:r w:rsidR="000E3251">
        <w:rPr>
          <w:kern w:val="22"/>
          <w:sz w:val="22"/>
          <w:lang w:val="fr-FR"/>
        </w:rPr>
        <w:t>élargi d’un</w:t>
      </w:r>
      <w:r w:rsidR="00A448B0" w:rsidRPr="000E3251">
        <w:rPr>
          <w:kern w:val="22"/>
          <w:sz w:val="22"/>
          <w:lang w:val="fr-FR"/>
        </w:rPr>
        <w:t xml:space="preserve"> </w:t>
      </w:r>
      <w:r w:rsidR="000E3251">
        <w:rPr>
          <w:kern w:val="22"/>
          <w:sz w:val="22"/>
          <w:lang w:val="fr-FR"/>
        </w:rPr>
        <w:t>Etat côtier</w:t>
      </w:r>
      <w:r w:rsidR="00A448B0" w:rsidRPr="000E3251">
        <w:rPr>
          <w:kern w:val="22"/>
          <w:sz w:val="22"/>
          <w:lang w:val="fr-FR"/>
        </w:rPr>
        <w:t xml:space="preserve">. </w:t>
      </w:r>
      <w:r w:rsidR="000E3251">
        <w:rPr>
          <w:kern w:val="22"/>
          <w:sz w:val="22"/>
          <w:lang w:val="fr-FR"/>
        </w:rPr>
        <w:t xml:space="preserve">Dans ces deux </w:t>
      </w:r>
      <w:r w:rsidR="00D04EC6" w:rsidRPr="00176298">
        <w:rPr>
          <w:kern w:val="22"/>
          <w:sz w:val="22"/>
          <w:lang w:val="fr-FR"/>
        </w:rPr>
        <w:t>cas</w:t>
      </w:r>
      <w:r w:rsidR="000E3251">
        <w:rPr>
          <w:kern w:val="22"/>
          <w:sz w:val="22"/>
          <w:lang w:val="fr-FR"/>
        </w:rPr>
        <w:t>, il est possible qu’une même</w:t>
      </w:r>
      <w:r w:rsidR="00A448B0" w:rsidRPr="00176298">
        <w:rPr>
          <w:kern w:val="22"/>
          <w:sz w:val="22"/>
          <w:lang w:val="fr-FR"/>
        </w:rPr>
        <w:t xml:space="preserve"> </w:t>
      </w:r>
      <w:r w:rsidR="00BE4772" w:rsidRPr="00176298">
        <w:rPr>
          <w:kern w:val="22"/>
          <w:sz w:val="22"/>
          <w:lang w:val="fr-FR"/>
        </w:rPr>
        <w:t xml:space="preserve">ressource génétique </w:t>
      </w:r>
      <w:r w:rsidR="000E3251">
        <w:rPr>
          <w:kern w:val="22"/>
          <w:sz w:val="22"/>
          <w:lang w:val="fr-FR"/>
        </w:rPr>
        <w:t>se trouve à la fois dans une zone qui relève</w:t>
      </w:r>
      <w:r w:rsidR="00176298" w:rsidRPr="00176298">
        <w:rPr>
          <w:kern w:val="22"/>
          <w:sz w:val="22"/>
          <w:lang w:val="fr-FR"/>
        </w:rPr>
        <w:t xml:space="preserve"> de la juridiction nationale</w:t>
      </w:r>
      <w:r w:rsidR="00E3674F" w:rsidRPr="00176298">
        <w:rPr>
          <w:kern w:val="22"/>
          <w:sz w:val="22"/>
          <w:lang w:val="fr-FR"/>
        </w:rPr>
        <w:t xml:space="preserve"> et </w:t>
      </w:r>
      <w:r w:rsidR="000E3251">
        <w:rPr>
          <w:kern w:val="22"/>
          <w:sz w:val="22"/>
          <w:lang w:val="fr-FR"/>
        </w:rPr>
        <w:t>une</w:t>
      </w:r>
      <w:r w:rsidR="00A448B0" w:rsidRPr="00176298">
        <w:rPr>
          <w:kern w:val="22"/>
          <w:sz w:val="22"/>
          <w:lang w:val="fr-FR"/>
        </w:rPr>
        <w:t xml:space="preserve"> </w:t>
      </w:r>
      <w:r w:rsidR="000E3251">
        <w:rPr>
          <w:kern w:val="22"/>
          <w:sz w:val="22"/>
          <w:lang w:val="fr-FR"/>
        </w:rPr>
        <w:t>zone située</w:t>
      </w:r>
      <w:r w:rsidR="00651FB0" w:rsidRPr="00176298">
        <w:rPr>
          <w:kern w:val="22"/>
          <w:sz w:val="22"/>
          <w:lang w:val="fr-FR"/>
        </w:rPr>
        <w:t xml:space="preserve"> au-delà des limites de la juridiction nationale</w:t>
      </w:r>
      <w:r w:rsidR="00A448B0" w:rsidRPr="00176298">
        <w:rPr>
          <w:kern w:val="22"/>
          <w:sz w:val="22"/>
          <w:lang w:val="fr-FR"/>
        </w:rPr>
        <w:t xml:space="preserve">. </w:t>
      </w:r>
      <w:r w:rsidR="000E3251" w:rsidRPr="000E3251">
        <w:rPr>
          <w:kern w:val="22"/>
          <w:sz w:val="22"/>
          <w:lang w:val="fr-FR"/>
        </w:rPr>
        <w:t>Si le futur</w:t>
      </w:r>
      <w:r w:rsidR="00A448B0" w:rsidRPr="000E3251">
        <w:rPr>
          <w:kern w:val="22"/>
          <w:sz w:val="22"/>
          <w:lang w:val="fr-FR"/>
        </w:rPr>
        <w:t xml:space="preserve"> </w:t>
      </w:r>
      <w:r w:rsidR="000E3251" w:rsidRPr="000E3251">
        <w:rPr>
          <w:kern w:val="22"/>
          <w:sz w:val="22"/>
          <w:lang w:val="fr-FR"/>
        </w:rPr>
        <w:t xml:space="preserve">instrument sur </w:t>
      </w:r>
      <w:r w:rsidR="00815AFE">
        <w:rPr>
          <w:kern w:val="22"/>
          <w:sz w:val="22"/>
          <w:lang w:val="fr-FR"/>
        </w:rPr>
        <w:t xml:space="preserve">la </w:t>
      </w:r>
      <w:r w:rsidR="000E53C0">
        <w:rPr>
          <w:kern w:val="22"/>
          <w:sz w:val="22"/>
          <w:lang w:val="fr-FR"/>
        </w:rPr>
        <w:t>biodiversité marine située au-delà des limites de la juridiction nationale</w:t>
      </w:r>
      <w:r w:rsidR="00A448B0" w:rsidRPr="000E3251">
        <w:rPr>
          <w:kern w:val="22"/>
          <w:sz w:val="22"/>
          <w:lang w:val="fr-FR"/>
        </w:rPr>
        <w:t xml:space="preserve"> </w:t>
      </w:r>
      <w:r w:rsidR="00815AFE">
        <w:rPr>
          <w:kern w:val="22"/>
          <w:sz w:val="22"/>
          <w:lang w:val="fr-FR"/>
        </w:rPr>
        <w:t xml:space="preserve">abordait finalement </w:t>
      </w:r>
      <w:r w:rsidR="000E3251">
        <w:rPr>
          <w:kern w:val="22"/>
          <w:sz w:val="22"/>
          <w:lang w:val="fr-FR"/>
        </w:rPr>
        <w:t>les</w:t>
      </w:r>
      <w:r w:rsidR="00A448B0" w:rsidRPr="000E3251">
        <w:rPr>
          <w:kern w:val="22"/>
          <w:sz w:val="22"/>
          <w:lang w:val="fr-FR"/>
        </w:rPr>
        <w:t xml:space="preserve"> </w:t>
      </w:r>
      <w:r w:rsidR="00E3674F" w:rsidRPr="000E3251">
        <w:rPr>
          <w:kern w:val="22"/>
          <w:sz w:val="22"/>
          <w:lang w:val="fr-FR"/>
        </w:rPr>
        <w:t>ressources génétiques</w:t>
      </w:r>
      <w:r w:rsidR="00A448B0" w:rsidRPr="000E3251">
        <w:rPr>
          <w:kern w:val="22"/>
          <w:sz w:val="22"/>
          <w:lang w:val="fr-FR"/>
        </w:rPr>
        <w:t xml:space="preserve"> </w:t>
      </w:r>
      <w:r w:rsidR="00815AFE">
        <w:rPr>
          <w:kern w:val="22"/>
          <w:sz w:val="22"/>
          <w:lang w:val="fr-FR"/>
        </w:rPr>
        <w:t>trouvées</w:t>
      </w:r>
      <w:r w:rsidR="000E3251">
        <w:rPr>
          <w:kern w:val="22"/>
          <w:sz w:val="22"/>
          <w:lang w:val="fr-FR"/>
        </w:rPr>
        <w:t xml:space="preserve"> dans la haute mer, </w:t>
      </w:r>
      <w:r w:rsidR="00815AFE">
        <w:rPr>
          <w:kern w:val="22"/>
          <w:sz w:val="22"/>
          <w:lang w:val="fr-FR"/>
        </w:rPr>
        <w:t>de telle</w:t>
      </w:r>
      <w:r w:rsidR="00CA644E" w:rsidRPr="000E3251">
        <w:rPr>
          <w:kern w:val="22"/>
          <w:sz w:val="22"/>
          <w:lang w:val="fr-FR"/>
        </w:rPr>
        <w:t>s</w:t>
      </w:r>
      <w:r w:rsidR="00A448B0" w:rsidRPr="000E3251">
        <w:rPr>
          <w:kern w:val="22"/>
          <w:sz w:val="22"/>
          <w:lang w:val="fr-FR"/>
        </w:rPr>
        <w:t xml:space="preserve"> </w:t>
      </w:r>
      <w:r w:rsidR="000E3251">
        <w:rPr>
          <w:kern w:val="22"/>
          <w:sz w:val="22"/>
          <w:lang w:val="fr-FR"/>
        </w:rPr>
        <w:t xml:space="preserve">ressources pourraient potentiellement </w:t>
      </w:r>
      <w:r w:rsidR="00815AFE">
        <w:rPr>
          <w:kern w:val="22"/>
          <w:sz w:val="22"/>
          <w:lang w:val="fr-FR"/>
        </w:rPr>
        <w:t>être</w:t>
      </w:r>
      <w:r w:rsidR="00895EB1">
        <w:rPr>
          <w:kern w:val="22"/>
          <w:sz w:val="22"/>
          <w:lang w:val="fr-FR"/>
        </w:rPr>
        <w:t xml:space="preserve">  régies par </w:t>
      </w:r>
      <w:r w:rsidR="003166D9">
        <w:rPr>
          <w:kern w:val="22"/>
          <w:sz w:val="22"/>
          <w:lang w:val="fr-FR"/>
        </w:rPr>
        <w:t>deux régimes juridiques distincts</w:t>
      </w:r>
      <w:r w:rsidR="00A448B0" w:rsidRPr="000E3251">
        <w:rPr>
          <w:kern w:val="22"/>
          <w:sz w:val="22"/>
          <w:lang w:val="fr-FR"/>
        </w:rPr>
        <w:t>.</w:t>
      </w:r>
      <w:r w:rsidR="00A448B0" w:rsidRPr="002364AB">
        <w:rPr>
          <w:rStyle w:val="FootnoteReference"/>
          <w:rFonts w:eastAsia="Times New Roman"/>
          <w:kern w:val="22"/>
          <w:sz w:val="22"/>
          <w:lang w:val="en-GB"/>
        </w:rPr>
        <w:footnoteReference w:id="73"/>
      </w:r>
      <w:bookmarkStart w:id="111" w:name="_Toc41571885"/>
      <w:bookmarkStart w:id="112" w:name="_Toc41571962"/>
      <w:bookmarkEnd w:id="111"/>
      <w:bookmarkEnd w:id="112"/>
      <w:r w:rsidR="009D7229" w:rsidRPr="000E3251">
        <w:rPr>
          <w:kern w:val="22"/>
          <w:sz w:val="22"/>
          <w:lang w:val="fr-FR"/>
        </w:rPr>
        <w:t xml:space="preserve"> </w:t>
      </w:r>
      <w:r w:rsidR="00815AFE">
        <w:rPr>
          <w:kern w:val="22"/>
          <w:sz w:val="22"/>
          <w:lang w:val="fr-FR"/>
        </w:rPr>
        <w:t>Dans un tel cas, l</w:t>
      </w:r>
      <w:r w:rsidR="003166D9" w:rsidRPr="0047349C">
        <w:rPr>
          <w:kern w:val="22"/>
          <w:sz w:val="22"/>
          <w:lang w:val="fr-FR"/>
        </w:rPr>
        <w:t>’</w:t>
      </w:r>
      <w:r w:rsidR="00FD73A5" w:rsidRPr="0047349C">
        <w:rPr>
          <w:kern w:val="22"/>
          <w:sz w:val="22"/>
          <w:lang w:val="fr-FR"/>
        </w:rPr>
        <w:t>article</w:t>
      </w:r>
      <w:r w:rsidR="001D77C9" w:rsidRPr="0047349C">
        <w:rPr>
          <w:kern w:val="22"/>
          <w:sz w:val="22"/>
          <w:lang w:val="fr-FR"/>
        </w:rPr>
        <w:t xml:space="preserve"> 11 </w:t>
      </w:r>
      <w:r w:rsidR="00815AFE">
        <w:rPr>
          <w:kern w:val="22"/>
          <w:sz w:val="22"/>
          <w:lang w:val="fr-FR"/>
        </w:rPr>
        <w:t xml:space="preserve">du Protocole </w:t>
      </w:r>
      <w:r w:rsidR="003166D9" w:rsidRPr="0047349C">
        <w:rPr>
          <w:kern w:val="22"/>
          <w:sz w:val="22"/>
          <w:lang w:val="fr-FR"/>
        </w:rPr>
        <w:t>ne serait pas</w:t>
      </w:r>
      <w:r w:rsidR="009D7229" w:rsidRPr="0047349C">
        <w:rPr>
          <w:kern w:val="22"/>
          <w:sz w:val="22"/>
          <w:lang w:val="fr-FR"/>
        </w:rPr>
        <w:t xml:space="preserve"> </w:t>
      </w:r>
      <w:r w:rsidR="001D77C9" w:rsidRPr="0047349C">
        <w:rPr>
          <w:kern w:val="22"/>
          <w:sz w:val="22"/>
          <w:lang w:val="fr-FR"/>
        </w:rPr>
        <w:t>applicable</w:t>
      </w:r>
      <w:r w:rsidR="009D7229" w:rsidRPr="0047349C">
        <w:rPr>
          <w:kern w:val="22"/>
          <w:sz w:val="22"/>
          <w:lang w:val="fr-FR"/>
        </w:rPr>
        <w:t xml:space="preserve">, </w:t>
      </w:r>
      <w:r w:rsidR="0047349C" w:rsidRPr="0047349C">
        <w:rPr>
          <w:kern w:val="22"/>
          <w:sz w:val="22"/>
          <w:lang w:val="fr-FR"/>
        </w:rPr>
        <w:t>car il prévoit une</w:t>
      </w:r>
      <w:r w:rsidR="001D77C9" w:rsidRPr="0047349C">
        <w:rPr>
          <w:kern w:val="22"/>
          <w:sz w:val="22"/>
          <w:lang w:val="fr-FR"/>
        </w:rPr>
        <w:t xml:space="preserve"> </w:t>
      </w:r>
      <w:r w:rsidR="0047349C" w:rsidRPr="0047349C">
        <w:rPr>
          <w:kern w:val="22"/>
          <w:sz w:val="22"/>
          <w:lang w:val="fr-FR"/>
        </w:rPr>
        <w:t>coopération transfrontière</w:t>
      </w:r>
      <w:r w:rsidR="001D77C9" w:rsidRPr="0047349C">
        <w:rPr>
          <w:kern w:val="22"/>
          <w:sz w:val="22"/>
          <w:lang w:val="fr-FR"/>
        </w:rPr>
        <w:t xml:space="preserve"> </w:t>
      </w:r>
      <w:r w:rsidR="00815AFE">
        <w:rPr>
          <w:kern w:val="22"/>
          <w:sz w:val="22"/>
          <w:lang w:val="fr-FR"/>
        </w:rPr>
        <w:t>uniquem</w:t>
      </w:r>
      <w:r w:rsidR="0047349C" w:rsidRPr="0047349C">
        <w:rPr>
          <w:kern w:val="22"/>
          <w:sz w:val="22"/>
          <w:lang w:val="fr-FR"/>
        </w:rPr>
        <w:t xml:space="preserve">ent dans les </w:t>
      </w:r>
      <w:r w:rsidR="00D04EC6" w:rsidRPr="0047349C">
        <w:rPr>
          <w:kern w:val="22"/>
          <w:sz w:val="22"/>
          <w:lang w:val="fr-FR"/>
        </w:rPr>
        <w:t>cas</w:t>
      </w:r>
      <w:r w:rsidR="00815AFE">
        <w:rPr>
          <w:kern w:val="22"/>
          <w:sz w:val="22"/>
          <w:lang w:val="fr-FR"/>
        </w:rPr>
        <w:t xml:space="preserve"> où une</w:t>
      </w:r>
      <w:r w:rsidR="0047349C">
        <w:rPr>
          <w:kern w:val="22"/>
          <w:sz w:val="22"/>
          <w:lang w:val="fr-FR"/>
        </w:rPr>
        <w:t xml:space="preserve"> ressource</w:t>
      </w:r>
      <w:r w:rsidR="00E3674F" w:rsidRPr="0047349C">
        <w:rPr>
          <w:kern w:val="22"/>
          <w:sz w:val="22"/>
          <w:lang w:val="fr-FR"/>
        </w:rPr>
        <w:t xml:space="preserve"> généti</w:t>
      </w:r>
      <w:r w:rsidR="00815AFE">
        <w:rPr>
          <w:kern w:val="22"/>
          <w:sz w:val="22"/>
          <w:lang w:val="fr-FR"/>
        </w:rPr>
        <w:t>que est présente</w:t>
      </w:r>
      <w:r w:rsidR="008877FF" w:rsidRPr="0047349C">
        <w:rPr>
          <w:kern w:val="22"/>
          <w:sz w:val="22"/>
          <w:lang w:val="fr-FR"/>
        </w:rPr>
        <w:t xml:space="preserve"> </w:t>
      </w:r>
      <w:r w:rsidR="008877FF" w:rsidRPr="00815AFE">
        <w:rPr>
          <w:i/>
          <w:kern w:val="22"/>
          <w:sz w:val="22"/>
          <w:lang w:val="fr-FR"/>
        </w:rPr>
        <w:t>in situ</w:t>
      </w:r>
      <w:r w:rsidR="008877FF" w:rsidRPr="0047349C">
        <w:rPr>
          <w:kern w:val="22"/>
          <w:sz w:val="22"/>
          <w:lang w:val="fr-FR"/>
        </w:rPr>
        <w:t xml:space="preserve"> </w:t>
      </w:r>
      <w:r w:rsidR="0047349C">
        <w:rPr>
          <w:kern w:val="22"/>
          <w:sz w:val="22"/>
          <w:lang w:val="fr-FR"/>
        </w:rPr>
        <w:t>sur le territoire de plusieurs</w:t>
      </w:r>
      <w:r w:rsidR="008877FF" w:rsidRPr="0047349C">
        <w:rPr>
          <w:kern w:val="22"/>
          <w:sz w:val="22"/>
          <w:lang w:val="fr-FR"/>
        </w:rPr>
        <w:t xml:space="preserve"> </w:t>
      </w:r>
      <w:r w:rsidR="001A200E" w:rsidRPr="0047349C">
        <w:rPr>
          <w:kern w:val="22"/>
          <w:sz w:val="22"/>
          <w:lang w:val="fr-FR"/>
        </w:rPr>
        <w:t>Partie</w:t>
      </w:r>
      <w:r w:rsidR="0047349C">
        <w:rPr>
          <w:kern w:val="22"/>
          <w:sz w:val="22"/>
          <w:lang w:val="fr-FR"/>
        </w:rPr>
        <w:t>s</w:t>
      </w:r>
      <w:r w:rsidR="008877FF" w:rsidRPr="0047349C">
        <w:rPr>
          <w:kern w:val="22"/>
          <w:sz w:val="22"/>
          <w:lang w:val="fr-FR"/>
        </w:rPr>
        <w:t>.</w:t>
      </w:r>
      <w:r w:rsidR="0047349C">
        <w:rPr>
          <w:kern w:val="22"/>
          <w:sz w:val="22"/>
          <w:lang w:val="fr-FR"/>
        </w:rPr>
        <w:t xml:space="preserve"> </w:t>
      </w:r>
      <w:r w:rsidR="0047349C" w:rsidRPr="0047349C">
        <w:rPr>
          <w:kern w:val="22"/>
          <w:sz w:val="22"/>
          <w:lang w:val="fr-FR"/>
        </w:rPr>
        <w:t>Ce</w:t>
      </w:r>
      <w:r w:rsidR="00AA5919" w:rsidRPr="0047349C">
        <w:rPr>
          <w:kern w:val="22"/>
          <w:sz w:val="22"/>
          <w:lang w:val="fr-FR"/>
        </w:rPr>
        <w:t xml:space="preserve">rtains </w:t>
      </w:r>
      <w:r w:rsidR="00934A20" w:rsidRPr="0047349C">
        <w:rPr>
          <w:rFonts w:eastAsia="Times New Roman"/>
          <w:kern w:val="22"/>
          <w:sz w:val="22"/>
          <w:lang w:val="fr-FR"/>
        </w:rPr>
        <w:t>Etats</w:t>
      </w:r>
      <w:r w:rsidR="00815AFE">
        <w:rPr>
          <w:rFonts w:eastAsia="Times New Roman"/>
          <w:kern w:val="22"/>
          <w:sz w:val="22"/>
          <w:lang w:val="fr-FR"/>
        </w:rPr>
        <w:t xml:space="preserve"> ont proposé une formulation</w:t>
      </w:r>
      <w:r w:rsidR="0047349C" w:rsidRPr="0047349C">
        <w:rPr>
          <w:rFonts w:eastAsia="Times New Roman"/>
          <w:kern w:val="22"/>
          <w:sz w:val="22"/>
          <w:lang w:val="fr-FR"/>
        </w:rPr>
        <w:t xml:space="preserve"> qui aborde les</w:t>
      </w:r>
      <w:r w:rsidR="00D0265F" w:rsidRPr="0047349C">
        <w:rPr>
          <w:rFonts w:eastAsia="Times New Roman"/>
          <w:kern w:val="22"/>
          <w:sz w:val="22"/>
          <w:lang w:val="fr-FR"/>
        </w:rPr>
        <w:t xml:space="preserve"> questions </w:t>
      </w:r>
      <w:r w:rsidR="0047349C">
        <w:rPr>
          <w:rFonts w:eastAsia="Times New Roman"/>
          <w:kern w:val="22"/>
          <w:sz w:val="22"/>
          <w:lang w:val="fr-FR"/>
        </w:rPr>
        <w:t xml:space="preserve">soulevées dans ce </w:t>
      </w:r>
      <w:r w:rsidR="00D0265F" w:rsidRPr="0047349C">
        <w:rPr>
          <w:rFonts w:eastAsia="Times New Roman"/>
          <w:kern w:val="22"/>
          <w:sz w:val="22"/>
          <w:lang w:val="fr-FR"/>
        </w:rPr>
        <w:t>paragraph</w:t>
      </w:r>
      <w:r w:rsidR="0047349C">
        <w:rPr>
          <w:rFonts w:eastAsia="Times New Roman"/>
          <w:kern w:val="22"/>
          <w:sz w:val="22"/>
          <w:lang w:val="fr-FR"/>
        </w:rPr>
        <w:t>e, mais aucun consensus ne s</w:t>
      </w:r>
      <w:r w:rsidR="00895EB1">
        <w:rPr>
          <w:rFonts w:eastAsia="Times New Roman"/>
          <w:kern w:val="22"/>
          <w:sz w:val="22"/>
          <w:lang w:val="fr-FR"/>
        </w:rPr>
        <w:t xml:space="preserve">’est encore dégagé </w:t>
      </w:r>
      <w:r w:rsidR="00815AFE">
        <w:rPr>
          <w:rFonts w:eastAsia="Times New Roman"/>
          <w:kern w:val="22"/>
          <w:sz w:val="22"/>
          <w:lang w:val="fr-FR"/>
        </w:rPr>
        <w:t>à ce sujet</w:t>
      </w:r>
      <w:r w:rsidR="00D0265F" w:rsidRPr="0047349C">
        <w:rPr>
          <w:rFonts w:eastAsia="Times New Roman"/>
          <w:kern w:val="22"/>
          <w:sz w:val="22"/>
          <w:lang w:val="fr-FR"/>
        </w:rPr>
        <w:t>.</w:t>
      </w:r>
      <w:r w:rsidR="00D0265F" w:rsidRPr="002364AB">
        <w:rPr>
          <w:rStyle w:val="FootnoteReference"/>
          <w:rFonts w:eastAsia="Times New Roman"/>
          <w:kern w:val="22"/>
          <w:sz w:val="22"/>
          <w:lang w:val="en-GB"/>
        </w:rPr>
        <w:footnoteReference w:id="74"/>
      </w:r>
    </w:p>
    <w:p w14:paraId="2A4F5D58" w14:textId="6CBF89E5" w:rsidR="00F92EB6" w:rsidRPr="008A77A6" w:rsidRDefault="00E3674F" w:rsidP="00F43F79">
      <w:pPr>
        <w:pStyle w:val="Heading1"/>
        <w:numPr>
          <w:ilvl w:val="0"/>
          <w:numId w:val="28"/>
        </w:numPr>
        <w:spacing w:before="240"/>
        <w:ind w:left="357" w:right="431" w:hanging="357"/>
        <w:rPr>
          <w:kern w:val="22"/>
          <w:sz w:val="22"/>
          <w:szCs w:val="22"/>
          <w:lang w:val="fr-FR"/>
        </w:rPr>
      </w:pPr>
      <w:bookmarkStart w:id="113" w:name="_Toc41551375"/>
      <w:bookmarkStart w:id="114" w:name="_Toc41551448"/>
      <w:bookmarkStart w:id="115" w:name="_Toc41571303"/>
      <w:bookmarkStart w:id="116" w:name="_Toc41571332"/>
      <w:bookmarkStart w:id="117" w:name="_Toc41571361"/>
      <w:bookmarkStart w:id="118" w:name="_Toc41571390"/>
      <w:bookmarkStart w:id="119" w:name="_Toc41571425"/>
      <w:bookmarkStart w:id="120" w:name="_Toc41571454"/>
      <w:bookmarkStart w:id="121" w:name="_Toc41571483"/>
      <w:bookmarkStart w:id="122" w:name="_Toc41571512"/>
      <w:bookmarkStart w:id="123" w:name="_Toc41571541"/>
      <w:bookmarkStart w:id="124" w:name="_Toc41571570"/>
      <w:bookmarkStart w:id="125" w:name="_Toc41571599"/>
      <w:bookmarkStart w:id="126" w:name="_Toc41571670"/>
      <w:bookmarkStart w:id="127" w:name="_Toc41571887"/>
      <w:bookmarkStart w:id="128" w:name="_Toc41571964"/>
      <w:bookmarkStart w:id="129" w:name="_Toc42261091"/>
      <w:bookmarkStart w:id="130" w:name="_Toc34249587"/>
      <w:bookmarkStart w:id="131" w:name="_Toc39580430"/>
      <w:bookmarkStart w:id="132" w:name="_Toc48914797"/>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8A77A6">
        <w:rPr>
          <w:kern w:val="22"/>
          <w:sz w:val="22"/>
          <w:szCs w:val="22"/>
          <w:lang w:val="fr-FR"/>
        </w:rPr>
        <w:t>cas spécifiques</w:t>
      </w:r>
      <w:r w:rsidR="00F92EB6" w:rsidRPr="008A77A6">
        <w:rPr>
          <w:kern w:val="22"/>
          <w:sz w:val="22"/>
          <w:szCs w:val="22"/>
          <w:lang w:val="fr-FR"/>
        </w:rPr>
        <w:t xml:space="preserve"> </w:t>
      </w:r>
      <w:r w:rsidR="00D6232E" w:rsidRPr="008A77A6">
        <w:rPr>
          <w:kern w:val="22"/>
          <w:sz w:val="22"/>
          <w:szCs w:val="22"/>
          <w:lang w:val="fr-FR"/>
        </w:rPr>
        <w:t>de ressources</w:t>
      </w:r>
      <w:r w:rsidRPr="008A77A6">
        <w:rPr>
          <w:kern w:val="22"/>
          <w:sz w:val="22"/>
          <w:szCs w:val="22"/>
          <w:lang w:val="fr-FR"/>
        </w:rPr>
        <w:t xml:space="preserve"> génétiques</w:t>
      </w:r>
      <w:r w:rsidR="00F92EB6" w:rsidRPr="008A77A6">
        <w:rPr>
          <w:kern w:val="22"/>
          <w:sz w:val="22"/>
          <w:szCs w:val="22"/>
          <w:lang w:val="fr-FR"/>
        </w:rPr>
        <w:t xml:space="preserve"> </w:t>
      </w:r>
      <w:r w:rsidR="00E140D7" w:rsidRPr="008A77A6">
        <w:rPr>
          <w:kern w:val="22"/>
          <w:sz w:val="22"/>
          <w:szCs w:val="22"/>
          <w:lang w:val="fr-FR"/>
        </w:rPr>
        <w:t>po</w:t>
      </w:r>
      <w:r w:rsidR="0020703A" w:rsidRPr="008A77A6">
        <w:rPr>
          <w:kern w:val="22"/>
          <w:sz w:val="22"/>
          <w:szCs w:val="22"/>
          <w:lang w:val="fr-FR"/>
        </w:rPr>
        <w:t>ur lesquel</w:t>
      </w:r>
      <w:r w:rsidR="00895EB1" w:rsidRPr="008A77A6">
        <w:rPr>
          <w:kern w:val="22"/>
          <w:sz w:val="22"/>
          <w:szCs w:val="22"/>
          <w:lang w:val="fr-FR"/>
        </w:rPr>
        <w:t>le</w:t>
      </w:r>
      <w:r w:rsidR="0020703A" w:rsidRPr="008A77A6">
        <w:rPr>
          <w:kern w:val="22"/>
          <w:sz w:val="22"/>
          <w:szCs w:val="22"/>
          <w:lang w:val="fr-FR"/>
        </w:rPr>
        <w:t xml:space="preserve">s </w:t>
      </w:r>
      <w:r w:rsidR="007D7761" w:rsidRPr="008A77A6">
        <w:rPr>
          <w:kern w:val="22"/>
          <w:sz w:val="22"/>
          <w:szCs w:val="22"/>
          <w:lang w:val="fr-FR"/>
        </w:rPr>
        <w:t>il n’est pas possible</w:t>
      </w:r>
      <w:r w:rsidR="00F92EB6" w:rsidRPr="008A77A6">
        <w:rPr>
          <w:kern w:val="22"/>
          <w:sz w:val="22"/>
          <w:szCs w:val="22"/>
          <w:lang w:val="fr-FR"/>
        </w:rPr>
        <w:t xml:space="preserve"> </w:t>
      </w:r>
      <w:r w:rsidR="00E140D7" w:rsidRPr="008A77A6">
        <w:rPr>
          <w:kern w:val="22"/>
          <w:sz w:val="22"/>
          <w:szCs w:val="22"/>
          <w:lang w:val="fr-FR"/>
        </w:rPr>
        <w:t>d’</w:t>
      </w:r>
      <w:r w:rsidR="00FB033A" w:rsidRPr="008A77A6">
        <w:rPr>
          <w:kern w:val="22"/>
          <w:sz w:val="22"/>
          <w:szCs w:val="22"/>
          <w:lang w:val="fr-FR"/>
        </w:rPr>
        <w:t>accorder ou d’obtenir un</w:t>
      </w:r>
      <w:r w:rsidR="00F92EB6" w:rsidRPr="008A77A6">
        <w:rPr>
          <w:kern w:val="22"/>
          <w:sz w:val="22"/>
          <w:szCs w:val="22"/>
          <w:lang w:val="fr-FR"/>
        </w:rPr>
        <w:t xml:space="preserve"> </w:t>
      </w:r>
      <w:r w:rsidR="007D7761" w:rsidRPr="008A77A6">
        <w:rPr>
          <w:kern w:val="22"/>
          <w:sz w:val="22"/>
          <w:szCs w:val="22"/>
          <w:lang w:val="fr-FR"/>
        </w:rPr>
        <w:t>consentement préalable donné en connaissance de cause</w:t>
      </w:r>
      <w:bookmarkEnd w:id="130"/>
      <w:bookmarkEnd w:id="131"/>
      <w:bookmarkEnd w:id="132"/>
      <w:r w:rsidR="00F92EB6" w:rsidRPr="008A77A6">
        <w:rPr>
          <w:kern w:val="22"/>
          <w:sz w:val="22"/>
          <w:szCs w:val="22"/>
          <w:lang w:val="fr-FR"/>
        </w:rPr>
        <w:t xml:space="preserve"> </w:t>
      </w:r>
    </w:p>
    <w:p w14:paraId="5D56B572" w14:textId="1AC54D2D" w:rsidR="005A25F0" w:rsidRPr="00CA644E" w:rsidRDefault="00126716" w:rsidP="006568BD">
      <w:pPr>
        <w:rPr>
          <w:kern w:val="22"/>
          <w:sz w:val="22"/>
          <w:lang w:val="fr-FR"/>
        </w:rPr>
      </w:pPr>
      <w:r>
        <w:rPr>
          <w:kern w:val="22"/>
          <w:sz w:val="22"/>
          <w:lang w:val="fr-FR"/>
        </w:rPr>
        <w:t>Les r</w:t>
      </w:r>
      <w:r w:rsidR="00E3674F" w:rsidRPr="00651FB0">
        <w:rPr>
          <w:kern w:val="22"/>
          <w:sz w:val="22"/>
          <w:lang w:val="fr-FR"/>
        </w:rPr>
        <w:t>essources génétiques</w:t>
      </w:r>
      <w:r w:rsidR="14AC87FF" w:rsidRPr="00651FB0">
        <w:rPr>
          <w:kern w:val="22"/>
          <w:sz w:val="22"/>
          <w:lang w:val="fr-FR"/>
        </w:rPr>
        <w:t xml:space="preserve"> </w:t>
      </w:r>
      <w:r w:rsidR="008D43E2">
        <w:rPr>
          <w:kern w:val="22"/>
          <w:sz w:val="22"/>
          <w:lang w:val="fr-FR"/>
        </w:rPr>
        <w:t xml:space="preserve">dont on ne peut </w:t>
      </w:r>
      <w:r w:rsidR="00DB08F9">
        <w:rPr>
          <w:kern w:val="22"/>
          <w:sz w:val="22"/>
          <w:lang w:val="fr-FR"/>
        </w:rPr>
        <w:t>déterminer la provenance</w:t>
      </w:r>
      <w:r w:rsidR="14AC87FF" w:rsidRPr="00651FB0">
        <w:rPr>
          <w:kern w:val="22"/>
          <w:sz w:val="22"/>
          <w:lang w:val="fr-FR"/>
        </w:rPr>
        <w:t xml:space="preserve"> </w:t>
      </w:r>
      <w:r w:rsidR="007A438A">
        <w:rPr>
          <w:kern w:val="22"/>
          <w:sz w:val="22"/>
          <w:lang w:val="fr-FR"/>
        </w:rPr>
        <w:t>dans des collections</w:t>
      </w:r>
      <w:r w:rsidR="00FC7EA5">
        <w:rPr>
          <w:i/>
          <w:iCs/>
          <w:kern w:val="22"/>
          <w:sz w:val="22"/>
          <w:lang w:val="fr-FR"/>
        </w:rPr>
        <w:t xml:space="preserve"> ex situ</w:t>
      </w:r>
      <w:r w:rsidR="005D0704" w:rsidRPr="00651FB0">
        <w:rPr>
          <w:kern w:val="22"/>
          <w:sz w:val="22"/>
          <w:lang w:val="fr-FR"/>
        </w:rPr>
        <w:t>,</w:t>
      </w:r>
      <w:r>
        <w:rPr>
          <w:kern w:val="22"/>
          <w:sz w:val="22"/>
          <w:lang w:val="fr-FR"/>
        </w:rPr>
        <w:t xml:space="preserve"> l’</w:t>
      </w:r>
      <w:r w:rsidR="008627A9">
        <w:rPr>
          <w:kern w:val="22"/>
          <w:sz w:val="22"/>
          <w:lang w:val="fr-FR"/>
        </w:rPr>
        <w:t>utilisation</w:t>
      </w:r>
      <w:r>
        <w:rPr>
          <w:kern w:val="22"/>
          <w:sz w:val="22"/>
          <w:lang w:val="fr-FR"/>
        </w:rPr>
        <w:t xml:space="preserve"> et la sélection d’échantillons </w:t>
      </w:r>
      <w:r w:rsidR="000F20E1">
        <w:rPr>
          <w:kern w:val="22"/>
          <w:sz w:val="22"/>
          <w:lang w:val="fr-FR"/>
        </w:rPr>
        <w:t>différents géographiquement</w:t>
      </w:r>
      <w:r w:rsidR="00895EB1">
        <w:rPr>
          <w:kern w:val="22"/>
          <w:sz w:val="22"/>
          <w:lang w:val="fr-FR"/>
        </w:rPr>
        <w:t xml:space="preserve"> </w:t>
      </w:r>
      <w:r w:rsidR="000F20E1">
        <w:rPr>
          <w:kern w:val="22"/>
          <w:sz w:val="22"/>
          <w:lang w:val="fr-FR"/>
        </w:rPr>
        <w:t>provenant de différentes régions et pays</w:t>
      </w:r>
      <w:r w:rsidR="14AC87FF" w:rsidRPr="00651FB0">
        <w:rPr>
          <w:kern w:val="22"/>
          <w:sz w:val="22"/>
          <w:lang w:val="fr-FR"/>
        </w:rPr>
        <w:t>,</w:t>
      </w:r>
      <w:r w:rsidR="00E3674F" w:rsidRPr="00651FB0">
        <w:rPr>
          <w:kern w:val="22"/>
          <w:sz w:val="22"/>
          <w:lang w:val="fr-FR"/>
        </w:rPr>
        <w:t xml:space="preserve"> et </w:t>
      </w:r>
      <w:r w:rsidR="00BC5F0A">
        <w:rPr>
          <w:kern w:val="22"/>
          <w:sz w:val="22"/>
          <w:lang w:val="fr-FR"/>
        </w:rPr>
        <w:t>l’information de séquençage</w:t>
      </w:r>
      <w:r w:rsidR="00142D5A">
        <w:rPr>
          <w:kern w:val="22"/>
          <w:sz w:val="22"/>
          <w:lang w:val="fr-FR"/>
        </w:rPr>
        <w:t xml:space="preserve"> numérique</w:t>
      </w:r>
      <w:r w:rsidR="00895EB1">
        <w:rPr>
          <w:kern w:val="22"/>
          <w:sz w:val="22"/>
          <w:lang w:val="fr-FR"/>
        </w:rPr>
        <w:t>, représente</w:t>
      </w:r>
      <w:r w:rsidR="00CA644E">
        <w:rPr>
          <w:kern w:val="22"/>
          <w:sz w:val="22"/>
          <w:lang w:val="fr-FR"/>
        </w:rPr>
        <w:t>nt des</w:t>
      </w:r>
      <w:r w:rsidR="14AC87FF" w:rsidRPr="00651FB0">
        <w:rPr>
          <w:kern w:val="22"/>
          <w:sz w:val="22"/>
          <w:lang w:val="fr-FR"/>
        </w:rPr>
        <w:t xml:space="preserve"> </w:t>
      </w:r>
      <w:r w:rsidR="00722DF2">
        <w:rPr>
          <w:kern w:val="22"/>
          <w:sz w:val="22"/>
          <w:lang w:val="fr-FR"/>
        </w:rPr>
        <w:t>situations qui peuvent</w:t>
      </w:r>
      <w:r w:rsidR="00895EB1">
        <w:rPr>
          <w:kern w:val="22"/>
          <w:sz w:val="22"/>
          <w:lang w:val="fr-FR"/>
        </w:rPr>
        <w:t xml:space="preserve"> impliquer</w:t>
      </w:r>
      <w:r w:rsidR="00CA644E">
        <w:rPr>
          <w:kern w:val="22"/>
          <w:sz w:val="22"/>
          <w:lang w:val="fr-FR"/>
        </w:rPr>
        <w:t xml:space="preserve"> des </w:t>
      </w:r>
      <w:r w:rsidR="00E3674F" w:rsidRPr="00651FB0">
        <w:rPr>
          <w:kern w:val="22"/>
          <w:sz w:val="22"/>
          <w:lang w:val="fr-FR"/>
        </w:rPr>
        <w:t>ressources génétiques</w:t>
      </w:r>
      <w:r w:rsidR="14AC87FF" w:rsidRPr="00651FB0">
        <w:rPr>
          <w:kern w:val="22"/>
          <w:sz w:val="22"/>
          <w:lang w:val="fr-FR"/>
        </w:rPr>
        <w:t xml:space="preserve"> </w:t>
      </w:r>
      <w:r w:rsidR="00CA644E">
        <w:rPr>
          <w:kern w:val="22"/>
          <w:sz w:val="22"/>
          <w:lang w:val="fr-FR"/>
        </w:rPr>
        <w:t>pour lesquelles il n’est pas toujours possible</w:t>
      </w:r>
      <w:r w:rsidR="14AC87FF" w:rsidRPr="00651FB0">
        <w:rPr>
          <w:kern w:val="22"/>
          <w:sz w:val="22"/>
          <w:lang w:val="fr-FR"/>
        </w:rPr>
        <w:t xml:space="preserve"> </w:t>
      </w:r>
      <w:r w:rsidR="00FB033A" w:rsidRPr="00651FB0">
        <w:rPr>
          <w:kern w:val="22"/>
          <w:sz w:val="22"/>
          <w:lang w:val="fr-FR"/>
        </w:rPr>
        <w:t>d’accorder ou d’obtenir un</w:t>
      </w:r>
      <w:r w:rsidR="14AC87FF" w:rsidRPr="00651FB0">
        <w:rPr>
          <w:kern w:val="22"/>
          <w:sz w:val="22"/>
          <w:lang w:val="fr-FR"/>
        </w:rPr>
        <w:t xml:space="preserve"> </w:t>
      </w:r>
      <w:r w:rsidR="007D7761">
        <w:rPr>
          <w:kern w:val="22"/>
          <w:sz w:val="22"/>
          <w:lang w:val="fr-FR"/>
        </w:rPr>
        <w:t>consentement préalable donné en connaissance de cause</w:t>
      </w:r>
      <w:r w:rsidR="14AC87FF" w:rsidRPr="00651FB0">
        <w:rPr>
          <w:kern w:val="22"/>
          <w:sz w:val="22"/>
          <w:lang w:val="fr-FR"/>
        </w:rPr>
        <w:t xml:space="preserve">. </w:t>
      </w:r>
      <w:r w:rsidR="00CA644E" w:rsidRPr="00CA644E">
        <w:rPr>
          <w:kern w:val="22"/>
          <w:sz w:val="22"/>
          <w:lang w:val="fr-FR"/>
        </w:rPr>
        <w:t>Ces</w:t>
      </w:r>
      <w:r w:rsidR="14AC87FF" w:rsidRPr="00CA644E">
        <w:rPr>
          <w:kern w:val="22"/>
          <w:sz w:val="22"/>
          <w:lang w:val="fr-FR"/>
        </w:rPr>
        <w:t xml:space="preserve"> </w:t>
      </w:r>
      <w:r w:rsidR="00D04EC6" w:rsidRPr="00CA644E">
        <w:rPr>
          <w:kern w:val="22"/>
          <w:sz w:val="22"/>
          <w:lang w:val="fr-FR"/>
        </w:rPr>
        <w:t>cas</w:t>
      </w:r>
      <w:r w:rsidR="14AC87FF" w:rsidRPr="00CA644E">
        <w:rPr>
          <w:kern w:val="22"/>
          <w:sz w:val="22"/>
          <w:lang w:val="fr-FR"/>
        </w:rPr>
        <w:t xml:space="preserve"> </w:t>
      </w:r>
      <w:r w:rsidR="00CA644E">
        <w:rPr>
          <w:kern w:val="22"/>
          <w:sz w:val="22"/>
          <w:lang w:val="fr-FR"/>
        </w:rPr>
        <w:t xml:space="preserve">sont pertinents également pour </w:t>
      </w:r>
      <w:r w:rsidR="002518EB" w:rsidRPr="00CA644E">
        <w:rPr>
          <w:kern w:val="22"/>
          <w:sz w:val="22"/>
          <w:lang w:val="fr-FR"/>
        </w:rPr>
        <w:t xml:space="preserve">d’autres </w:t>
      </w:r>
      <w:r w:rsidR="005F3358" w:rsidRPr="00CA644E">
        <w:rPr>
          <w:kern w:val="22"/>
          <w:sz w:val="22"/>
          <w:lang w:val="fr-FR"/>
        </w:rPr>
        <w:t xml:space="preserve">aspects </w:t>
      </w:r>
      <w:r w:rsidR="00F27467" w:rsidRPr="00CA644E">
        <w:rPr>
          <w:kern w:val="22"/>
          <w:sz w:val="22"/>
          <w:lang w:val="fr-FR"/>
        </w:rPr>
        <w:t>du Protocole</w:t>
      </w:r>
      <w:r w:rsidR="14AC87FF" w:rsidRPr="00CA644E">
        <w:rPr>
          <w:kern w:val="22"/>
          <w:sz w:val="22"/>
          <w:lang w:val="fr-FR"/>
        </w:rPr>
        <w:t xml:space="preserve"> </w:t>
      </w:r>
      <w:r w:rsidR="00CA644E">
        <w:rPr>
          <w:kern w:val="22"/>
          <w:sz w:val="22"/>
          <w:lang w:val="fr-FR"/>
        </w:rPr>
        <w:t>qui ne sont p</w:t>
      </w:r>
      <w:r w:rsidR="00722DF2">
        <w:rPr>
          <w:kern w:val="22"/>
          <w:sz w:val="22"/>
          <w:lang w:val="fr-FR"/>
        </w:rPr>
        <w:t>as clairement traités</w:t>
      </w:r>
      <w:r w:rsidR="14AC87FF" w:rsidRPr="00CA644E">
        <w:rPr>
          <w:kern w:val="22"/>
          <w:sz w:val="22"/>
          <w:lang w:val="fr-FR"/>
        </w:rPr>
        <w:t xml:space="preserve"> </w:t>
      </w:r>
      <w:r w:rsidR="0010709D" w:rsidRPr="00CA644E">
        <w:rPr>
          <w:kern w:val="22"/>
          <w:sz w:val="22"/>
          <w:lang w:val="fr-FR"/>
        </w:rPr>
        <w:t xml:space="preserve">– </w:t>
      </w:r>
      <w:r w:rsidR="00CA644E">
        <w:rPr>
          <w:kern w:val="22"/>
          <w:sz w:val="22"/>
          <w:lang w:val="fr-FR"/>
        </w:rPr>
        <w:t>en particulie</w:t>
      </w:r>
      <w:r w:rsidR="14AC87FF" w:rsidRPr="00CA644E">
        <w:rPr>
          <w:kern w:val="22"/>
          <w:sz w:val="22"/>
          <w:lang w:val="fr-FR"/>
        </w:rPr>
        <w:t>r,</w:t>
      </w:r>
      <w:r w:rsidR="00CA644E">
        <w:rPr>
          <w:kern w:val="22"/>
          <w:sz w:val="22"/>
          <w:lang w:val="fr-FR"/>
        </w:rPr>
        <w:t xml:space="preserve"> l</w:t>
      </w:r>
      <w:r w:rsidR="00722DF2">
        <w:rPr>
          <w:kern w:val="22"/>
          <w:sz w:val="22"/>
          <w:lang w:val="fr-FR"/>
        </w:rPr>
        <w:t>es facteurs qui conditionnent le</w:t>
      </w:r>
      <w:r w:rsidR="00CA644E">
        <w:rPr>
          <w:kern w:val="22"/>
          <w:sz w:val="22"/>
          <w:lang w:val="fr-FR"/>
        </w:rPr>
        <w:t xml:space="preserve"> </w:t>
      </w:r>
      <w:r w:rsidR="008F38B0" w:rsidRPr="00CA644E">
        <w:rPr>
          <w:kern w:val="22"/>
          <w:sz w:val="22"/>
          <w:lang w:val="fr-FR"/>
        </w:rPr>
        <w:t>champ d’application</w:t>
      </w:r>
      <w:r w:rsidR="00722DF2">
        <w:rPr>
          <w:kern w:val="22"/>
          <w:sz w:val="22"/>
          <w:lang w:val="fr-FR"/>
        </w:rPr>
        <w:t xml:space="preserve"> dans le temps et le</w:t>
      </w:r>
      <w:r w:rsidR="00CA644E">
        <w:rPr>
          <w:kern w:val="22"/>
          <w:sz w:val="22"/>
          <w:lang w:val="fr-FR"/>
        </w:rPr>
        <w:t xml:space="preserve"> cham</w:t>
      </w:r>
      <w:r w:rsidR="00722DF2">
        <w:rPr>
          <w:kern w:val="22"/>
          <w:sz w:val="22"/>
          <w:lang w:val="fr-FR"/>
        </w:rPr>
        <w:t>p d’application des dispositions du traité</w:t>
      </w:r>
      <w:r w:rsidR="00DD020C" w:rsidRPr="00CA644E">
        <w:rPr>
          <w:kern w:val="22"/>
          <w:sz w:val="22"/>
          <w:lang w:val="fr-FR"/>
        </w:rPr>
        <w:t>,</w:t>
      </w:r>
      <w:r w:rsidR="00E3674F" w:rsidRPr="00CA644E">
        <w:rPr>
          <w:kern w:val="22"/>
          <w:sz w:val="22"/>
          <w:lang w:val="fr-FR"/>
        </w:rPr>
        <w:t xml:space="preserve"> et </w:t>
      </w:r>
      <w:r w:rsidR="00722DF2">
        <w:rPr>
          <w:kern w:val="22"/>
          <w:sz w:val="22"/>
          <w:lang w:val="fr-FR"/>
        </w:rPr>
        <w:t>leurs conséquences pour l’</w:t>
      </w:r>
      <w:r w:rsidR="009620A7" w:rsidRPr="00CA644E">
        <w:rPr>
          <w:kern w:val="22"/>
          <w:sz w:val="22"/>
          <w:lang w:val="fr-FR"/>
        </w:rPr>
        <w:t xml:space="preserve">accès </w:t>
      </w:r>
      <w:r w:rsidR="00CA644E">
        <w:rPr>
          <w:kern w:val="22"/>
          <w:sz w:val="22"/>
          <w:lang w:val="fr-FR"/>
        </w:rPr>
        <w:t xml:space="preserve">à une </w:t>
      </w:r>
      <w:r w:rsidR="00F27467" w:rsidRPr="00CA644E">
        <w:rPr>
          <w:kern w:val="22"/>
          <w:sz w:val="22"/>
          <w:lang w:val="fr-FR"/>
        </w:rPr>
        <w:t>ressource génétique</w:t>
      </w:r>
      <w:r w:rsidR="14AC87FF" w:rsidRPr="00CA644E">
        <w:rPr>
          <w:kern w:val="22"/>
          <w:sz w:val="22"/>
          <w:lang w:val="fr-FR"/>
        </w:rPr>
        <w:t xml:space="preserve">. </w:t>
      </w:r>
    </w:p>
    <w:p w14:paraId="00365A9D" w14:textId="5DEA4FE2" w:rsidR="00100087" w:rsidRPr="00E3674F" w:rsidRDefault="00E3674F" w:rsidP="00100087">
      <w:pPr>
        <w:pStyle w:val="Heading2"/>
        <w:numPr>
          <w:ilvl w:val="1"/>
          <w:numId w:val="31"/>
        </w:numPr>
        <w:rPr>
          <w:kern w:val="22"/>
          <w:sz w:val="22"/>
          <w:szCs w:val="22"/>
          <w:lang w:val="fr-FR"/>
        </w:rPr>
      </w:pPr>
      <w:bookmarkStart w:id="133" w:name="_Toc48914798"/>
      <w:r w:rsidRPr="00E3674F">
        <w:rPr>
          <w:kern w:val="22"/>
          <w:sz w:val="22"/>
          <w:szCs w:val="22"/>
          <w:lang w:val="fr-FR"/>
        </w:rPr>
        <w:t>Ressources génétiques</w:t>
      </w:r>
      <w:r w:rsidR="00100087" w:rsidRPr="00E3674F">
        <w:rPr>
          <w:kern w:val="22"/>
          <w:sz w:val="22"/>
          <w:szCs w:val="22"/>
          <w:lang w:val="fr-FR"/>
        </w:rPr>
        <w:t xml:space="preserve"> </w:t>
      </w:r>
      <w:r w:rsidR="008D43E2">
        <w:rPr>
          <w:kern w:val="22"/>
          <w:sz w:val="22"/>
          <w:szCs w:val="22"/>
          <w:lang w:val="fr-FR"/>
        </w:rPr>
        <w:t xml:space="preserve">dont on ne peut </w:t>
      </w:r>
      <w:r w:rsidR="00DB08F9">
        <w:rPr>
          <w:kern w:val="22"/>
          <w:sz w:val="22"/>
          <w:szCs w:val="22"/>
          <w:lang w:val="fr-FR"/>
        </w:rPr>
        <w:t>déterminer la provenance</w:t>
      </w:r>
      <w:r w:rsidR="00100087" w:rsidRPr="00E3674F">
        <w:rPr>
          <w:kern w:val="22"/>
          <w:sz w:val="22"/>
          <w:szCs w:val="22"/>
          <w:lang w:val="fr-FR"/>
        </w:rPr>
        <w:t xml:space="preserve"> </w:t>
      </w:r>
      <w:r w:rsidR="007A438A">
        <w:rPr>
          <w:kern w:val="22"/>
          <w:sz w:val="22"/>
          <w:szCs w:val="22"/>
          <w:lang w:val="fr-FR"/>
        </w:rPr>
        <w:t>dans des collections</w:t>
      </w:r>
      <w:r w:rsidR="00FC7EA5">
        <w:rPr>
          <w:i/>
          <w:iCs/>
          <w:kern w:val="22"/>
          <w:sz w:val="22"/>
          <w:szCs w:val="22"/>
          <w:lang w:val="fr-FR"/>
        </w:rPr>
        <w:t xml:space="preserve"> ex situ</w:t>
      </w:r>
      <w:bookmarkEnd w:id="133"/>
      <w:r w:rsidR="00100087" w:rsidRPr="00E3674F">
        <w:rPr>
          <w:kern w:val="22"/>
          <w:sz w:val="22"/>
          <w:szCs w:val="22"/>
          <w:lang w:val="fr-FR"/>
        </w:rPr>
        <w:t xml:space="preserve"> </w:t>
      </w:r>
    </w:p>
    <w:p w14:paraId="403EFBA6" w14:textId="048B7F9F" w:rsidR="00100087" w:rsidRPr="00053E0E" w:rsidRDefault="00CA644E" w:rsidP="00100087">
      <w:pPr>
        <w:rPr>
          <w:rFonts w:cs="Times New Roman"/>
          <w:kern w:val="22"/>
          <w:sz w:val="22"/>
          <w:lang w:val="fr-FR"/>
        </w:rPr>
      </w:pPr>
      <w:r>
        <w:rPr>
          <w:rFonts w:cs="Times New Roman"/>
          <w:kern w:val="22"/>
          <w:sz w:val="22"/>
          <w:lang w:val="fr-FR"/>
        </w:rPr>
        <w:t>Des é</w:t>
      </w:r>
      <w:r w:rsidR="00E40444" w:rsidRPr="00D6232E">
        <w:rPr>
          <w:rFonts w:cs="Times New Roman"/>
          <w:kern w:val="22"/>
          <w:sz w:val="22"/>
          <w:lang w:val="fr-FR"/>
        </w:rPr>
        <w:t>chantillons</w:t>
      </w:r>
      <w:r w:rsidR="00100087" w:rsidRPr="00D6232E">
        <w:rPr>
          <w:rFonts w:cs="Times New Roman"/>
          <w:kern w:val="22"/>
          <w:sz w:val="22"/>
          <w:lang w:val="fr-FR"/>
        </w:rPr>
        <w:t xml:space="preserve"> </w:t>
      </w:r>
      <w:r w:rsidR="00D6232E" w:rsidRPr="00D6232E">
        <w:rPr>
          <w:rFonts w:cs="Times New Roman"/>
          <w:kern w:val="22"/>
          <w:sz w:val="22"/>
          <w:lang w:val="fr-FR"/>
        </w:rPr>
        <w:t>de ressources</w:t>
      </w:r>
      <w:r w:rsidR="00E3674F" w:rsidRPr="00D6232E">
        <w:rPr>
          <w:rFonts w:cs="Times New Roman"/>
          <w:kern w:val="22"/>
          <w:sz w:val="22"/>
          <w:lang w:val="fr-FR"/>
        </w:rPr>
        <w:t xml:space="preserve"> génétiques</w:t>
      </w:r>
      <w:r w:rsidR="00100087" w:rsidRPr="00D6232E">
        <w:rPr>
          <w:rFonts w:cs="Times New Roman"/>
          <w:kern w:val="22"/>
          <w:sz w:val="22"/>
          <w:lang w:val="fr-FR"/>
        </w:rPr>
        <w:t xml:space="preserve"> </w:t>
      </w:r>
      <w:r w:rsidR="00722DF2">
        <w:rPr>
          <w:rFonts w:cs="Times New Roman"/>
          <w:kern w:val="22"/>
          <w:sz w:val="22"/>
          <w:lang w:val="fr-FR"/>
        </w:rPr>
        <w:t>sont conten</w:t>
      </w:r>
      <w:r>
        <w:rPr>
          <w:rFonts w:cs="Times New Roman"/>
          <w:kern w:val="22"/>
          <w:sz w:val="22"/>
          <w:lang w:val="fr-FR"/>
        </w:rPr>
        <w:t xml:space="preserve">us dans différentes collections </w:t>
      </w:r>
      <w:r w:rsidR="00100087" w:rsidRPr="00D6232E">
        <w:rPr>
          <w:rFonts w:cs="Times New Roman"/>
          <w:i/>
          <w:kern w:val="22"/>
          <w:sz w:val="22"/>
          <w:lang w:val="fr-FR"/>
        </w:rPr>
        <w:t>ex situ</w:t>
      </w:r>
      <w:r w:rsidR="00100087" w:rsidRPr="00D6232E">
        <w:rPr>
          <w:rFonts w:cs="Times New Roman"/>
          <w:kern w:val="22"/>
          <w:sz w:val="22"/>
          <w:lang w:val="fr-FR"/>
        </w:rPr>
        <w:t xml:space="preserve"> </w:t>
      </w:r>
      <w:r w:rsidR="00722DF2">
        <w:rPr>
          <w:rFonts w:cs="Times New Roman"/>
          <w:kern w:val="22"/>
          <w:sz w:val="22"/>
          <w:lang w:val="fr-FR"/>
        </w:rPr>
        <w:t>partout dans le monde</w:t>
      </w:r>
      <w:r w:rsidR="00100087" w:rsidRPr="00D6232E">
        <w:rPr>
          <w:rFonts w:cs="Times New Roman"/>
          <w:kern w:val="22"/>
          <w:sz w:val="22"/>
          <w:lang w:val="fr-FR"/>
        </w:rPr>
        <w:t xml:space="preserve">. </w:t>
      </w:r>
      <w:r>
        <w:rPr>
          <w:rFonts w:cs="Times New Roman"/>
          <w:kern w:val="22"/>
          <w:sz w:val="22"/>
          <w:lang w:val="fr-FR"/>
        </w:rPr>
        <w:t>Ces collections incluent les</w:t>
      </w:r>
      <w:r w:rsidR="00100087" w:rsidRPr="00D6232E">
        <w:rPr>
          <w:rFonts w:cs="Times New Roman"/>
          <w:kern w:val="22"/>
          <w:sz w:val="22"/>
          <w:lang w:val="fr-FR"/>
        </w:rPr>
        <w:t xml:space="preserve"> </w:t>
      </w:r>
      <w:r w:rsidR="00D6232E">
        <w:rPr>
          <w:rFonts w:cs="Times New Roman"/>
          <w:kern w:val="22"/>
          <w:sz w:val="22"/>
          <w:lang w:val="fr-FR"/>
        </w:rPr>
        <w:t>jardins botaniques</w:t>
      </w:r>
      <w:r w:rsidR="00100087" w:rsidRPr="00D6232E">
        <w:rPr>
          <w:rFonts w:cs="Times New Roman"/>
          <w:kern w:val="22"/>
          <w:sz w:val="22"/>
          <w:lang w:val="fr-FR"/>
        </w:rPr>
        <w:t xml:space="preserve">, </w:t>
      </w:r>
      <w:r>
        <w:rPr>
          <w:rFonts w:cs="Times New Roman"/>
          <w:kern w:val="22"/>
          <w:sz w:val="22"/>
          <w:lang w:val="fr-FR"/>
        </w:rPr>
        <w:t xml:space="preserve">les </w:t>
      </w:r>
      <w:r w:rsidR="00BE6788">
        <w:rPr>
          <w:rFonts w:cs="Times New Roman"/>
          <w:kern w:val="22"/>
          <w:sz w:val="22"/>
          <w:lang w:val="fr-FR"/>
        </w:rPr>
        <w:t>herbiers</w:t>
      </w:r>
      <w:r w:rsidR="00100087" w:rsidRPr="00D6232E">
        <w:rPr>
          <w:rFonts w:cs="Times New Roman"/>
          <w:kern w:val="22"/>
          <w:sz w:val="22"/>
          <w:lang w:val="fr-FR"/>
        </w:rPr>
        <w:t xml:space="preserve">, </w:t>
      </w:r>
      <w:r>
        <w:rPr>
          <w:rFonts w:cs="Times New Roman"/>
          <w:kern w:val="22"/>
          <w:sz w:val="22"/>
          <w:lang w:val="fr-FR"/>
        </w:rPr>
        <w:t xml:space="preserve">les </w:t>
      </w:r>
      <w:r w:rsidR="00E15AC0">
        <w:rPr>
          <w:rFonts w:cs="Times New Roman"/>
          <w:kern w:val="22"/>
          <w:sz w:val="22"/>
          <w:lang w:val="fr-FR"/>
        </w:rPr>
        <w:t>collections de cultures</w:t>
      </w:r>
      <w:r w:rsidR="00100087" w:rsidRPr="00D6232E">
        <w:rPr>
          <w:rFonts w:cs="Times New Roman"/>
          <w:kern w:val="22"/>
          <w:sz w:val="22"/>
          <w:lang w:val="fr-FR"/>
        </w:rPr>
        <w:t xml:space="preserve">, </w:t>
      </w:r>
      <w:r>
        <w:rPr>
          <w:rFonts w:cs="Times New Roman"/>
          <w:kern w:val="22"/>
          <w:sz w:val="22"/>
          <w:lang w:val="fr-FR"/>
        </w:rPr>
        <w:t xml:space="preserve">les </w:t>
      </w:r>
      <w:r w:rsidR="00D6232E" w:rsidRPr="00D6232E">
        <w:rPr>
          <w:rFonts w:cs="Times New Roman"/>
          <w:kern w:val="22"/>
          <w:sz w:val="22"/>
          <w:lang w:val="fr-FR"/>
        </w:rPr>
        <w:t>banques de gènes</w:t>
      </w:r>
      <w:r w:rsidR="00100087" w:rsidRPr="00D6232E">
        <w:rPr>
          <w:rFonts w:cs="Times New Roman"/>
          <w:kern w:val="22"/>
          <w:sz w:val="22"/>
          <w:lang w:val="fr-FR"/>
        </w:rPr>
        <w:t xml:space="preserve">, </w:t>
      </w:r>
      <w:r>
        <w:rPr>
          <w:rFonts w:cs="Times New Roman"/>
          <w:kern w:val="22"/>
          <w:sz w:val="22"/>
          <w:lang w:val="fr-FR"/>
        </w:rPr>
        <w:t xml:space="preserve">les </w:t>
      </w:r>
      <w:r w:rsidR="00202126">
        <w:rPr>
          <w:rFonts w:cs="Times New Roman"/>
          <w:kern w:val="22"/>
          <w:sz w:val="22"/>
          <w:lang w:val="fr-FR"/>
        </w:rPr>
        <w:t>banques de semences</w:t>
      </w:r>
      <w:r w:rsidR="00100087" w:rsidRPr="00D6232E">
        <w:rPr>
          <w:rFonts w:cs="Times New Roman"/>
          <w:kern w:val="22"/>
          <w:sz w:val="22"/>
          <w:lang w:val="fr-FR"/>
        </w:rPr>
        <w:t xml:space="preserve">, </w:t>
      </w:r>
      <w:r>
        <w:rPr>
          <w:rFonts w:cs="Times New Roman"/>
          <w:kern w:val="22"/>
          <w:sz w:val="22"/>
          <w:lang w:val="fr-FR"/>
        </w:rPr>
        <w:t xml:space="preserve">les </w:t>
      </w:r>
      <w:r w:rsidR="00100087" w:rsidRPr="00D6232E">
        <w:rPr>
          <w:rFonts w:cs="Times New Roman"/>
          <w:kern w:val="22"/>
          <w:sz w:val="22"/>
          <w:lang w:val="fr-FR"/>
        </w:rPr>
        <w:t xml:space="preserve">zoos, </w:t>
      </w:r>
      <w:r>
        <w:rPr>
          <w:rFonts w:cs="Times New Roman"/>
          <w:kern w:val="22"/>
          <w:sz w:val="22"/>
          <w:lang w:val="fr-FR"/>
        </w:rPr>
        <w:t xml:space="preserve">les </w:t>
      </w:r>
      <w:r w:rsidR="006F0580">
        <w:rPr>
          <w:rFonts w:cs="Times New Roman"/>
          <w:kern w:val="22"/>
          <w:sz w:val="22"/>
          <w:lang w:val="fr-FR"/>
        </w:rPr>
        <w:t>aquariums</w:t>
      </w:r>
      <w:r w:rsidR="00E3674F" w:rsidRPr="00D6232E">
        <w:rPr>
          <w:rFonts w:cs="Times New Roman"/>
          <w:kern w:val="22"/>
          <w:sz w:val="22"/>
          <w:lang w:val="fr-FR"/>
        </w:rPr>
        <w:t xml:space="preserve"> et </w:t>
      </w:r>
      <w:r>
        <w:rPr>
          <w:rFonts w:cs="Times New Roman"/>
          <w:kern w:val="22"/>
          <w:sz w:val="22"/>
          <w:lang w:val="fr-FR"/>
        </w:rPr>
        <w:t xml:space="preserve">les </w:t>
      </w:r>
      <w:r w:rsidR="006F0580">
        <w:rPr>
          <w:rFonts w:cs="Times New Roman"/>
          <w:kern w:val="22"/>
          <w:sz w:val="22"/>
          <w:lang w:val="fr-FR"/>
        </w:rPr>
        <w:t>collections privées</w:t>
      </w:r>
      <w:r w:rsidR="00100087" w:rsidRPr="00D6232E">
        <w:rPr>
          <w:rFonts w:cs="Times New Roman"/>
          <w:kern w:val="22"/>
          <w:sz w:val="22"/>
          <w:lang w:val="fr-FR"/>
        </w:rPr>
        <w:t xml:space="preserve">. </w:t>
      </w:r>
      <w:r>
        <w:rPr>
          <w:rFonts w:cs="Times New Roman"/>
          <w:kern w:val="22"/>
          <w:sz w:val="22"/>
          <w:lang w:val="fr-FR"/>
        </w:rPr>
        <w:t>De nombreuses</w:t>
      </w:r>
      <w:r w:rsidR="00CF6C37" w:rsidRPr="00AA5919">
        <w:rPr>
          <w:rFonts w:cs="Times New Roman"/>
          <w:kern w:val="22"/>
          <w:sz w:val="22"/>
          <w:lang w:val="fr-FR"/>
        </w:rPr>
        <w:t xml:space="preserve"> </w:t>
      </w:r>
      <w:r w:rsidR="00FC7EA5" w:rsidRPr="00CA644E">
        <w:rPr>
          <w:rFonts w:cs="Times New Roman"/>
          <w:iCs/>
          <w:kern w:val="22"/>
          <w:sz w:val="22"/>
          <w:lang w:val="fr-FR"/>
        </w:rPr>
        <w:t xml:space="preserve">collections </w:t>
      </w:r>
      <w:r w:rsidR="00FC7EA5" w:rsidRPr="00AA5919">
        <w:rPr>
          <w:rFonts w:cs="Times New Roman"/>
          <w:i/>
          <w:iCs/>
          <w:kern w:val="22"/>
          <w:sz w:val="22"/>
          <w:lang w:val="fr-FR"/>
        </w:rPr>
        <w:t>ex situ</w:t>
      </w:r>
      <w:r w:rsidR="00CF6C37" w:rsidRPr="00AA5919">
        <w:rPr>
          <w:rFonts w:cs="Times New Roman"/>
          <w:kern w:val="22"/>
          <w:sz w:val="22"/>
          <w:lang w:val="fr-FR"/>
        </w:rPr>
        <w:t xml:space="preserve"> </w:t>
      </w:r>
      <w:r w:rsidR="00722DF2">
        <w:rPr>
          <w:rFonts w:cs="Times New Roman"/>
          <w:kern w:val="22"/>
          <w:sz w:val="22"/>
          <w:lang w:val="fr-FR"/>
        </w:rPr>
        <w:t>détiennent</w:t>
      </w:r>
      <w:r>
        <w:rPr>
          <w:rFonts w:cs="Times New Roman"/>
          <w:kern w:val="22"/>
          <w:sz w:val="22"/>
          <w:lang w:val="fr-FR"/>
        </w:rPr>
        <w:t xml:space="preserve"> des </w:t>
      </w:r>
      <w:r w:rsidR="00D6232E" w:rsidRPr="00AA5919">
        <w:rPr>
          <w:rFonts w:cs="Times New Roman"/>
          <w:kern w:val="22"/>
          <w:sz w:val="22"/>
          <w:lang w:val="fr-FR"/>
        </w:rPr>
        <w:t>spécimen</w:t>
      </w:r>
      <w:r>
        <w:rPr>
          <w:rFonts w:cs="Times New Roman"/>
          <w:kern w:val="22"/>
          <w:sz w:val="22"/>
          <w:lang w:val="fr-FR"/>
        </w:rPr>
        <w:t>s acquis</w:t>
      </w:r>
      <w:r w:rsidR="00F40F7B" w:rsidRPr="00AA5919">
        <w:rPr>
          <w:rFonts w:cs="Times New Roman"/>
          <w:kern w:val="22"/>
          <w:sz w:val="22"/>
          <w:lang w:val="fr-FR"/>
        </w:rPr>
        <w:t xml:space="preserve"> </w:t>
      </w:r>
      <w:r>
        <w:rPr>
          <w:rFonts w:cs="Times New Roman"/>
          <w:kern w:val="22"/>
          <w:sz w:val="22"/>
          <w:lang w:val="fr-FR"/>
        </w:rPr>
        <w:t>avant</w:t>
      </w:r>
      <w:r w:rsidR="00100087" w:rsidRPr="00AA5919">
        <w:rPr>
          <w:rFonts w:cs="Times New Roman"/>
          <w:kern w:val="22"/>
          <w:sz w:val="22"/>
          <w:lang w:val="fr-FR"/>
        </w:rPr>
        <w:t xml:space="preserve"> </w:t>
      </w:r>
      <w:r w:rsidR="00202126" w:rsidRPr="00AA5919">
        <w:rPr>
          <w:rFonts w:cs="Times New Roman"/>
          <w:kern w:val="22"/>
          <w:sz w:val="22"/>
          <w:lang w:val="fr-FR"/>
        </w:rPr>
        <w:t>l’entrée en vigueur</w:t>
      </w:r>
      <w:r w:rsidR="00100087" w:rsidRPr="00AA5919">
        <w:rPr>
          <w:rFonts w:cs="Times New Roman"/>
          <w:kern w:val="22"/>
          <w:sz w:val="22"/>
          <w:lang w:val="fr-FR"/>
        </w:rPr>
        <w:t xml:space="preserve"> </w:t>
      </w:r>
      <w:r w:rsidR="004F1D8A">
        <w:rPr>
          <w:rFonts w:cs="Times New Roman"/>
          <w:kern w:val="22"/>
          <w:sz w:val="22"/>
          <w:lang w:val="fr-FR"/>
        </w:rPr>
        <w:t xml:space="preserve">de la </w:t>
      </w:r>
      <w:r w:rsidR="007347F7">
        <w:rPr>
          <w:rFonts w:cs="Times New Roman"/>
          <w:kern w:val="22"/>
          <w:sz w:val="22"/>
          <w:lang w:val="fr-FR"/>
        </w:rPr>
        <w:t>Convention</w:t>
      </w:r>
      <w:r w:rsidR="009C1A35" w:rsidRPr="00AA5919">
        <w:rPr>
          <w:rFonts w:cs="Times New Roman"/>
          <w:kern w:val="22"/>
          <w:sz w:val="22"/>
          <w:lang w:val="fr-FR"/>
        </w:rPr>
        <w:t>,</w:t>
      </w:r>
      <w:r w:rsidR="00AA5919" w:rsidRPr="00AA5919">
        <w:rPr>
          <w:rFonts w:cs="Times New Roman"/>
          <w:kern w:val="22"/>
          <w:sz w:val="22"/>
          <w:lang w:val="fr-FR"/>
        </w:rPr>
        <w:t xml:space="preserve"> </w:t>
      </w:r>
      <w:r w:rsidR="00053E0E">
        <w:rPr>
          <w:rFonts w:cs="Times New Roman"/>
          <w:kern w:val="22"/>
          <w:sz w:val="22"/>
          <w:lang w:val="fr-FR"/>
        </w:rPr>
        <w:t xml:space="preserve">dont </w:t>
      </w:r>
      <w:r w:rsidR="00AA5919" w:rsidRPr="00AA5919">
        <w:rPr>
          <w:rFonts w:cs="Times New Roman"/>
          <w:kern w:val="22"/>
          <w:sz w:val="22"/>
          <w:lang w:val="fr-FR"/>
        </w:rPr>
        <w:t>certains</w:t>
      </w:r>
      <w:r w:rsidR="00053E0E">
        <w:rPr>
          <w:rFonts w:cs="Times New Roman"/>
          <w:kern w:val="22"/>
          <w:sz w:val="22"/>
          <w:lang w:val="fr-FR"/>
        </w:rPr>
        <w:t xml:space="preserve"> ont été obtenus </w:t>
      </w:r>
      <w:r w:rsidR="00DD1A9B">
        <w:rPr>
          <w:rFonts w:cs="Times New Roman"/>
          <w:kern w:val="22"/>
          <w:sz w:val="22"/>
          <w:lang w:val="fr-FR"/>
        </w:rPr>
        <w:t>à des fins commerciales</w:t>
      </w:r>
      <w:r w:rsidR="00266C29" w:rsidRPr="002364AB">
        <w:rPr>
          <w:rStyle w:val="FootnoteReference"/>
          <w:rFonts w:cs="Times New Roman"/>
          <w:kern w:val="22"/>
          <w:sz w:val="22"/>
          <w:lang w:val="en-GB"/>
        </w:rPr>
        <w:footnoteReference w:id="75"/>
      </w:r>
      <w:r w:rsidR="00690469">
        <w:rPr>
          <w:rFonts w:cs="Times New Roman"/>
          <w:kern w:val="22"/>
          <w:sz w:val="22"/>
          <w:lang w:val="fr-FR"/>
        </w:rPr>
        <w:t> ;</w:t>
      </w:r>
      <w:r w:rsidR="00AA5919" w:rsidRPr="00AA5919">
        <w:rPr>
          <w:rFonts w:cs="Times New Roman"/>
          <w:kern w:val="22"/>
          <w:sz w:val="22"/>
          <w:lang w:val="fr-FR"/>
        </w:rPr>
        <w:t xml:space="preserve"> certain</w:t>
      </w:r>
      <w:r w:rsidR="00722DF2">
        <w:rPr>
          <w:rFonts w:cs="Times New Roman"/>
          <w:kern w:val="22"/>
          <w:sz w:val="22"/>
          <w:lang w:val="fr-FR"/>
        </w:rPr>
        <w:t>e</w:t>
      </w:r>
      <w:r w:rsidR="00AA5919" w:rsidRPr="00AA5919">
        <w:rPr>
          <w:rFonts w:cs="Times New Roman"/>
          <w:kern w:val="22"/>
          <w:sz w:val="22"/>
          <w:lang w:val="fr-FR"/>
        </w:rPr>
        <w:t>s</w:t>
      </w:r>
      <w:r w:rsidR="00722DF2">
        <w:rPr>
          <w:rFonts w:cs="Times New Roman"/>
          <w:kern w:val="22"/>
          <w:sz w:val="22"/>
          <w:lang w:val="fr-FR"/>
        </w:rPr>
        <w:t xml:space="preserve"> collections</w:t>
      </w:r>
      <w:r w:rsidR="00AA5919" w:rsidRPr="00AA5919">
        <w:rPr>
          <w:rFonts w:cs="Times New Roman"/>
          <w:kern w:val="22"/>
          <w:sz w:val="22"/>
          <w:lang w:val="fr-FR"/>
        </w:rPr>
        <w:t xml:space="preserve"> </w:t>
      </w:r>
      <w:r w:rsidR="00722DF2">
        <w:rPr>
          <w:rFonts w:cs="Times New Roman"/>
          <w:kern w:val="22"/>
          <w:sz w:val="22"/>
          <w:lang w:val="fr-FR"/>
        </w:rPr>
        <w:t>contienne</w:t>
      </w:r>
      <w:r w:rsidR="00053E0E">
        <w:rPr>
          <w:rFonts w:cs="Times New Roman"/>
          <w:kern w:val="22"/>
          <w:sz w:val="22"/>
          <w:lang w:val="fr-FR"/>
        </w:rPr>
        <w:t>nt des</w:t>
      </w:r>
      <w:r w:rsidR="00100087" w:rsidRPr="00AA5919">
        <w:rPr>
          <w:rFonts w:cs="Times New Roman"/>
          <w:kern w:val="22"/>
          <w:sz w:val="22"/>
          <w:lang w:val="fr-FR"/>
        </w:rPr>
        <w:t xml:space="preserve"> </w:t>
      </w:r>
      <w:r w:rsidR="00D6232E" w:rsidRPr="00AA5919">
        <w:rPr>
          <w:rFonts w:cs="Times New Roman"/>
          <w:kern w:val="22"/>
          <w:sz w:val="22"/>
          <w:lang w:val="fr-FR"/>
        </w:rPr>
        <w:t>spécimen</w:t>
      </w:r>
      <w:r w:rsidR="00690469">
        <w:rPr>
          <w:rFonts w:cs="Times New Roman"/>
          <w:kern w:val="22"/>
          <w:sz w:val="22"/>
          <w:lang w:val="fr-FR"/>
        </w:rPr>
        <w:t xml:space="preserve">s qui ont été </w:t>
      </w:r>
      <w:r w:rsidR="00690469">
        <w:rPr>
          <w:rFonts w:cs="Times New Roman"/>
          <w:kern w:val="22"/>
          <w:sz w:val="22"/>
          <w:lang w:val="fr-FR"/>
        </w:rPr>
        <w:lastRenderedPageBreak/>
        <w:t>déposés sans fournir d’</w:t>
      </w:r>
      <w:r w:rsidR="00053E0E">
        <w:rPr>
          <w:rFonts w:cs="Times New Roman"/>
          <w:kern w:val="22"/>
          <w:sz w:val="22"/>
          <w:lang w:val="fr-FR"/>
        </w:rPr>
        <w:t xml:space="preserve">information sur le </w:t>
      </w:r>
      <w:r w:rsidR="00690469">
        <w:rPr>
          <w:rFonts w:cs="Times New Roman"/>
          <w:kern w:val="22"/>
          <w:sz w:val="22"/>
          <w:lang w:val="fr-FR"/>
        </w:rPr>
        <w:t>pays fournisseur</w:t>
      </w:r>
      <w:r w:rsidR="00100087" w:rsidRPr="00AA5919">
        <w:rPr>
          <w:rFonts w:cs="Times New Roman"/>
          <w:kern w:val="22"/>
          <w:sz w:val="22"/>
          <w:lang w:val="fr-FR"/>
        </w:rPr>
        <w:t xml:space="preserve">. </w:t>
      </w:r>
      <w:r w:rsidR="00053E0E" w:rsidRPr="00053E0E">
        <w:rPr>
          <w:rFonts w:cs="Times New Roman"/>
          <w:kern w:val="22"/>
          <w:sz w:val="22"/>
          <w:lang w:val="fr-FR"/>
        </w:rPr>
        <w:t xml:space="preserve">Ajoutant à la </w:t>
      </w:r>
      <w:r w:rsidR="00053E0E">
        <w:rPr>
          <w:rFonts w:cs="Times New Roman"/>
          <w:kern w:val="22"/>
          <w:sz w:val="22"/>
          <w:lang w:val="fr-FR"/>
        </w:rPr>
        <w:t>complexité du problème</w:t>
      </w:r>
      <w:r w:rsidR="00100087" w:rsidRPr="00053E0E">
        <w:rPr>
          <w:rFonts w:cs="Times New Roman"/>
          <w:kern w:val="22"/>
          <w:sz w:val="22"/>
          <w:lang w:val="fr-FR"/>
        </w:rPr>
        <w:t xml:space="preserve">, </w:t>
      </w:r>
      <w:r w:rsidR="00053E0E">
        <w:rPr>
          <w:rFonts w:cs="Times New Roman"/>
          <w:kern w:val="22"/>
          <w:sz w:val="22"/>
          <w:lang w:val="fr-FR"/>
        </w:rPr>
        <w:t>les</w:t>
      </w:r>
      <w:r w:rsidR="00053E0E" w:rsidRPr="00722DF2">
        <w:rPr>
          <w:rFonts w:cs="Times New Roman"/>
          <w:kern w:val="22"/>
          <w:sz w:val="22"/>
          <w:lang w:val="fr-FR"/>
        </w:rPr>
        <w:t xml:space="preserve"> </w:t>
      </w:r>
      <w:r w:rsidR="00FC7EA5" w:rsidRPr="00722DF2">
        <w:rPr>
          <w:rFonts w:cs="Times New Roman"/>
          <w:iCs/>
          <w:kern w:val="22"/>
          <w:sz w:val="22"/>
          <w:lang w:val="fr-FR"/>
        </w:rPr>
        <w:t>collections</w:t>
      </w:r>
      <w:r w:rsidR="00FC7EA5" w:rsidRPr="00053E0E">
        <w:rPr>
          <w:rFonts w:cs="Times New Roman"/>
          <w:i/>
          <w:iCs/>
          <w:kern w:val="22"/>
          <w:sz w:val="22"/>
          <w:lang w:val="fr-FR"/>
        </w:rPr>
        <w:t xml:space="preserve"> ex situ</w:t>
      </w:r>
      <w:r w:rsidR="00100087" w:rsidRPr="00053E0E">
        <w:rPr>
          <w:rFonts w:cs="Times New Roman"/>
          <w:kern w:val="22"/>
          <w:sz w:val="22"/>
          <w:lang w:val="fr-FR"/>
        </w:rPr>
        <w:t xml:space="preserve"> </w:t>
      </w:r>
      <w:r w:rsidR="00722DF2">
        <w:rPr>
          <w:rFonts w:cs="Times New Roman"/>
          <w:kern w:val="22"/>
          <w:sz w:val="22"/>
          <w:lang w:val="fr-FR"/>
        </w:rPr>
        <w:t>du</w:t>
      </w:r>
      <w:r w:rsidR="00053E0E">
        <w:rPr>
          <w:rFonts w:cs="Times New Roman"/>
          <w:kern w:val="22"/>
          <w:sz w:val="22"/>
          <w:lang w:val="fr-FR"/>
        </w:rPr>
        <w:t xml:space="preserve"> monde</w:t>
      </w:r>
      <w:r w:rsidR="00100087" w:rsidRPr="00053E0E">
        <w:rPr>
          <w:rFonts w:cs="Times New Roman"/>
          <w:kern w:val="22"/>
          <w:sz w:val="22"/>
          <w:lang w:val="fr-FR"/>
        </w:rPr>
        <w:t xml:space="preserve"> </w:t>
      </w:r>
      <w:r w:rsidR="00722DF2">
        <w:rPr>
          <w:rFonts w:cs="Times New Roman"/>
          <w:kern w:val="22"/>
          <w:sz w:val="22"/>
          <w:lang w:val="fr-FR"/>
        </w:rPr>
        <w:t xml:space="preserve">entier </w:t>
      </w:r>
      <w:r w:rsidR="00053E0E">
        <w:rPr>
          <w:rFonts w:cs="Times New Roman"/>
          <w:kern w:val="22"/>
          <w:sz w:val="22"/>
          <w:lang w:val="fr-FR"/>
        </w:rPr>
        <w:t xml:space="preserve">connaissent </w:t>
      </w:r>
      <w:r w:rsidR="00722DF2">
        <w:rPr>
          <w:rFonts w:cs="Times New Roman"/>
          <w:kern w:val="22"/>
          <w:sz w:val="22"/>
          <w:lang w:val="fr-FR"/>
        </w:rPr>
        <w:t xml:space="preserve">actuellement </w:t>
      </w:r>
      <w:r w:rsidR="00053E0E">
        <w:rPr>
          <w:rFonts w:cs="Times New Roman"/>
          <w:kern w:val="22"/>
          <w:sz w:val="22"/>
          <w:lang w:val="fr-FR"/>
        </w:rPr>
        <w:t xml:space="preserve">des difficultés en matière de financement </w:t>
      </w:r>
      <w:r w:rsidR="00111C2E">
        <w:rPr>
          <w:rFonts w:cs="Times New Roman"/>
          <w:kern w:val="22"/>
          <w:sz w:val="22"/>
          <w:lang w:val="fr-FR"/>
        </w:rPr>
        <w:t xml:space="preserve"> et </w:t>
      </w:r>
      <w:r w:rsidR="00053E0E">
        <w:rPr>
          <w:rFonts w:cs="Times New Roman"/>
          <w:kern w:val="22"/>
          <w:sz w:val="22"/>
          <w:lang w:val="fr-FR"/>
        </w:rPr>
        <w:t>de</w:t>
      </w:r>
      <w:r w:rsidR="00111C2E">
        <w:rPr>
          <w:rFonts w:cs="Times New Roman"/>
          <w:kern w:val="22"/>
          <w:sz w:val="22"/>
          <w:lang w:val="fr-FR"/>
        </w:rPr>
        <w:t>s</w:t>
      </w:r>
      <w:r w:rsidR="00053E0E">
        <w:rPr>
          <w:rFonts w:cs="Times New Roman"/>
          <w:kern w:val="22"/>
          <w:sz w:val="22"/>
          <w:lang w:val="fr-FR"/>
        </w:rPr>
        <w:t xml:space="preserve"> changements dans les priorités de recherche</w:t>
      </w:r>
      <w:r w:rsidR="00100087" w:rsidRPr="00053E0E">
        <w:rPr>
          <w:rFonts w:cs="Times New Roman"/>
          <w:kern w:val="22"/>
          <w:sz w:val="22"/>
          <w:lang w:val="fr-FR"/>
        </w:rPr>
        <w:t xml:space="preserve">. </w:t>
      </w:r>
      <w:r w:rsidR="00053E0E">
        <w:rPr>
          <w:rFonts w:cs="Times New Roman"/>
          <w:kern w:val="22"/>
          <w:sz w:val="22"/>
          <w:lang w:val="fr-FR"/>
        </w:rPr>
        <w:t>Les collections dites ‘orphelines’ ou menacées peuvent être supprimées</w:t>
      </w:r>
      <w:r w:rsidR="001A1D06" w:rsidRPr="00053E0E">
        <w:rPr>
          <w:rFonts w:cs="Times New Roman"/>
          <w:kern w:val="22"/>
          <w:sz w:val="22"/>
          <w:lang w:val="fr-FR"/>
        </w:rPr>
        <w:t xml:space="preserve">, </w:t>
      </w:r>
      <w:r w:rsidR="00B43E38" w:rsidRPr="00053E0E">
        <w:rPr>
          <w:rFonts w:cs="Times New Roman"/>
          <w:kern w:val="22"/>
          <w:sz w:val="22"/>
          <w:lang w:val="fr-FR"/>
        </w:rPr>
        <w:t>y compris</w:t>
      </w:r>
      <w:r w:rsidR="001A1D06" w:rsidRPr="00053E0E">
        <w:rPr>
          <w:rFonts w:cs="Times New Roman"/>
          <w:kern w:val="22"/>
          <w:sz w:val="22"/>
          <w:lang w:val="fr-FR"/>
        </w:rPr>
        <w:t xml:space="preserve"> </w:t>
      </w:r>
      <w:r w:rsidR="00111C2E">
        <w:rPr>
          <w:rFonts w:cs="Times New Roman"/>
          <w:kern w:val="22"/>
          <w:sz w:val="22"/>
          <w:lang w:val="fr-FR"/>
        </w:rPr>
        <w:t>pour d</w:t>
      </w:r>
      <w:r w:rsidR="00053E0E">
        <w:rPr>
          <w:rFonts w:cs="Times New Roman"/>
          <w:kern w:val="22"/>
          <w:sz w:val="22"/>
          <w:lang w:val="fr-FR"/>
        </w:rPr>
        <w:t xml:space="preserve">es </w:t>
      </w:r>
      <w:r w:rsidR="00111C2E">
        <w:rPr>
          <w:rFonts w:cs="Times New Roman"/>
          <w:kern w:val="22"/>
          <w:sz w:val="22"/>
          <w:lang w:val="fr-FR"/>
        </w:rPr>
        <w:t>tierces parties, rapidement, aboutissant à des difficultés potentielle</w:t>
      </w:r>
      <w:r w:rsidR="000A2069">
        <w:rPr>
          <w:rFonts w:cs="Times New Roman"/>
          <w:kern w:val="22"/>
          <w:sz w:val="22"/>
          <w:lang w:val="fr-FR"/>
        </w:rPr>
        <w:t xml:space="preserve">s </w:t>
      </w:r>
      <w:r w:rsidR="00111C2E">
        <w:rPr>
          <w:rFonts w:cs="Times New Roman"/>
          <w:kern w:val="22"/>
          <w:sz w:val="22"/>
          <w:lang w:val="fr-FR"/>
        </w:rPr>
        <w:t>pour les bénéficiaires en ce qui concerne la documentation</w:t>
      </w:r>
      <w:r w:rsidR="00100087" w:rsidRPr="00053E0E">
        <w:rPr>
          <w:rFonts w:cs="Times New Roman"/>
          <w:kern w:val="22"/>
          <w:sz w:val="22"/>
          <w:lang w:val="fr-FR"/>
        </w:rPr>
        <w:t>.</w:t>
      </w:r>
      <w:r w:rsidR="00100087" w:rsidRPr="002364AB">
        <w:rPr>
          <w:rStyle w:val="FootnoteReference"/>
          <w:rFonts w:cs="Times New Roman"/>
          <w:kern w:val="22"/>
          <w:sz w:val="22"/>
          <w:lang w:val="en-GB"/>
        </w:rPr>
        <w:footnoteReference w:id="76"/>
      </w:r>
      <w:r w:rsidR="00100087" w:rsidRPr="00053E0E">
        <w:rPr>
          <w:rFonts w:cs="Times New Roman"/>
          <w:kern w:val="22"/>
          <w:sz w:val="22"/>
          <w:lang w:val="fr-FR"/>
        </w:rPr>
        <w:t xml:space="preserve"> </w:t>
      </w:r>
    </w:p>
    <w:p w14:paraId="4B48D524" w14:textId="334BA95B" w:rsidR="00100087" w:rsidRPr="009D43F1" w:rsidRDefault="000A2069" w:rsidP="00100087">
      <w:pPr>
        <w:rPr>
          <w:rFonts w:cs="Times New Roman"/>
          <w:kern w:val="22"/>
          <w:sz w:val="22"/>
          <w:lang w:val="fr-FR"/>
        </w:rPr>
      </w:pPr>
      <w:r>
        <w:rPr>
          <w:rFonts w:cs="Times New Roman"/>
          <w:kern w:val="22"/>
          <w:sz w:val="22"/>
          <w:lang w:val="fr-FR"/>
        </w:rPr>
        <w:t>Les Parties</w:t>
      </w:r>
      <w:r w:rsidR="00100087" w:rsidRPr="00053E0E">
        <w:rPr>
          <w:rFonts w:cs="Times New Roman"/>
          <w:kern w:val="22"/>
          <w:sz w:val="22"/>
          <w:lang w:val="fr-FR"/>
        </w:rPr>
        <w:t xml:space="preserve"> </w:t>
      </w:r>
      <w:r w:rsidR="00053E0E">
        <w:rPr>
          <w:rFonts w:cs="Times New Roman"/>
          <w:kern w:val="22"/>
          <w:sz w:val="22"/>
          <w:lang w:val="fr-FR"/>
        </w:rPr>
        <w:t>ont des positions divergentes sur la question de savo</w:t>
      </w:r>
      <w:r>
        <w:rPr>
          <w:rFonts w:cs="Times New Roman"/>
          <w:kern w:val="22"/>
          <w:sz w:val="22"/>
          <w:lang w:val="fr-FR"/>
        </w:rPr>
        <w:t>ir si les obligations prévues</w:t>
      </w:r>
      <w:r w:rsidR="00053E0E">
        <w:rPr>
          <w:rFonts w:cs="Times New Roman"/>
          <w:kern w:val="22"/>
          <w:sz w:val="22"/>
          <w:lang w:val="fr-FR"/>
        </w:rPr>
        <w:t xml:space="preserve"> au titre du </w:t>
      </w:r>
      <w:r w:rsidR="00100087" w:rsidRPr="00053E0E">
        <w:rPr>
          <w:rFonts w:cs="Times New Roman"/>
          <w:kern w:val="22"/>
          <w:sz w:val="22"/>
          <w:lang w:val="fr-FR"/>
        </w:rPr>
        <w:t>Protocol</w:t>
      </w:r>
      <w:r w:rsidR="00053E0E">
        <w:rPr>
          <w:rFonts w:cs="Times New Roman"/>
          <w:kern w:val="22"/>
          <w:sz w:val="22"/>
          <w:lang w:val="fr-FR"/>
        </w:rPr>
        <w:t>e s’appliquent aux</w:t>
      </w:r>
      <w:r w:rsidR="00100087" w:rsidRPr="00053E0E">
        <w:rPr>
          <w:rFonts w:cs="Times New Roman"/>
          <w:kern w:val="22"/>
          <w:sz w:val="22"/>
          <w:lang w:val="fr-FR"/>
        </w:rPr>
        <w:t xml:space="preserve"> </w:t>
      </w:r>
      <w:r w:rsidR="00053E0E">
        <w:rPr>
          <w:rFonts w:cs="Times New Roman"/>
          <w:kern w:val="22"/>
          <w:sz w:val="22"/>
          <w:lang w:val="fr-FR"/>
        </w:rPr>
        <w:t>entités</w:t>
      </w:r>
      <w:r w:rsidR="00100087" w:rsidRPr="00053E0E">
        <w:rPr>
          <w:rFonts w:cs="Times New Roman"/>
          <w:kern w:val="22"/>
          <w:sz w:val="22"/>
          <w:lang w:val="fr-FR"/>
        </w:rPr>
        <w:t xml:space="preserve"> </w:t>
      </w:r>
      <w:r w:rsidR="00053E0E">
        <w:rPr>
          <w:rFonts w:cs="Times New Roman"/>
          <w:kern w:val="22"/>
          <w:sz w:val="22"/>
          <w:lang w:val="fr-FR"/>
        </w:rPr>
        <w:t xml:space="preserve">qui font des nouvelles utilisations </w:t>
      </w:r>
      <w:r w:rsidR="00D6232E" w:rsidRPr="00053E0E">
        <w:rPr>
          <w:rFonts w:cs="Times New Roman"/>
          <w:kern w:val="22"/>
          <w:sz w:val="22"/>
          <w:lang w:val="fr-FR"/>
        </w:rPr>
        <w:t>de ressources</w:t>
      </w:r>
      <w:r w:rsidR="00E3674F" w:rsidRPr="00053E0E">
        <w:rPr>
          <w:rFonts w:cs="Times New Roman"/>
          <w:kern w:val="22"/>
          <w:sz w:val="22"/>
          <w:lang w:val="fr-FR"/>
        </w:rPr>
        <w:t xml:space="preserve"> génétiques</w:t>
      </w:r>
      <w:r w:rsidR="00100087" w:rsidRPr="00053E0E">
        <w:rPr>
          <w:rFonts w:cs="Times New Roman"/>
          <w:kern w:val="22"/>
          <w:sz w:val="22"/>
          <w:lang w:val="fr-FR"/>
        </w:rPr>
        <w:t xml:space="preserve"> </w:t>
      </w:r>
      <w:r w:rsidR="007A438A" w:rsidRPr="00053E0E">
        <w:rPr>
          <w:rFonts w:cs="Times New Roman"/>
          <w:kern w:val="22"/>
          <w:sz w:val="22"/>
          <w:lang w:val="fr-FR"/>
        </w:rPr>
        <w:t>dans des collections</w:t>
      </w:r>
      <w:r w:rsidR="00FC7EA5" w:rsidRPr="00053E0E">
        <w:rPr>
          <w:rFonts w:cs="Times New Roman"/>
          <w:i/>
          <w:kern w:val="22"/>
          <w:sz w:val="22"/>
          <w:lang w:val="fr-FR"/>
        </w:rPr>
        <w:t xml:space="preserve"> ex situ</w:t>
      </w:r>
      <w:r w:rsidR="00100087" w:rsidRPr="00053E0E">
        <w:rPr>
          <w:rFonts w:cs="Times New Roman"/>
          <w:kern w:val="22"/>
          <w:sz w:val="22"/>
          <w:lang w:val="fr-FR"/>
        </w:rPr>
        <w:t xml:space="preserve">.  </w:t>
      </w:r>
      <w:r w:rsidR="008A5BE1" w:rsidRPr="00CA644E">
        <w:rPr>
          <w:rFonts w:cs="Times New Roman"/>
          <w:kern w:val="22"/>
          <w:sz w:val="22"/>
          <w:lang w:val="fr-FR"/>
        </w:rPr>
        <w:t>À titre d’exemple</w:t>
      </w:r>
      <w:r w:rsidR="00053E0E">
        <w:rPr>
          <w:rFonts w:cs="Times New Roman"/>
          <w:kern w:val="22"/>
          <w:sz w:val="22"/>
          <w:lang w:val="fr-FR"/>
        </w:rPr>
        <w:t xml:space="preserve">, le Règlement de l’Union européenne </w:t>
      </w:r>
      <w:r w:rsidR="00111C2E">
        <w:rPr>
          <w:rFonts w:cs="Times New Roman"/>
          <w:kern w:val="22"/>
          <w:sz w:val="22"/>
          <w:lang w:val="fr-FR"/>
        </w:rPr>
        <w:t>qui transpose</w:t>
      </w:r>
      <w:r w:rsidR="00053E0E">
        <w:rPr>
          <w:rFonts w:cs="Times New Roman"/>
          <w:kern w:val="22"/>
          <w:sz w:val="22"/>
          <w:lang w:val="fr-FR"/>
        </w:rPr>
        <w:t xml:space="preserve"> le </w:t>
      </w:r>
      <w:r w:rsidR="00E3674F" w:rsidRPr="00CA644E">
        <w:rPr>
          <w:rFonts w:cs="Times New Roman"/>
          <w:kern w:val="22"/>
          <w:sz w:val="22"/>
          <w:lang w:val="fr-FR"/>
        </w:rPr>
        <w:t>Protocole de Nagoya</w:t>
      </w:r>
      <w:r w:rsidR="00FA1F17" w:rsidRPr="00CA644E">
        <w:rPr>
          <w:rFonts w:cs="Times New Roman"/>
          <w:kern w:val="22"/>
          <w:sz w:val="22"/>
          <w:lang w:val="fr-FR"/>
        </w:rPr>
        <w:t xml:space="preserve"> </w:t>
      </w:r>
      <w:r w:rsidR="00053E0E">
        <w:rPr>
          <w:rFonts w:cs="Times New Roman"/>
          <w:kern w:val="22"/>
          <w:sz w:val="22"/>
          <w:lang w:val="fr-FR"/>
        </w:rPr>
        <w:t xml:space="preserve">énonce clairement qu’il ne s’applique pas aux </w:t>
      </w:r>
      <w:r w:rsidR="00E3674F" w:rsidRPr="00CA644E">
        <w:rPr>
          <w:rFonts w:cs="Times New Roman"/>
          <w:kern w:val="22"/>
          <w:sz w:val="22"/>
          <w:lang w:val="fr-FR"/>
        </w:rPr>
        <w:t>ressources génétiques</w:t>
      </w:r>
      <w:r w:rsidR="00100087" w:rsidRPr="00CA644E">
        <w:rPr>
          <w:rFonts w:cs="Times New Roman"/>
          <w:kern w:val="22"/>
          <w:sz w:val="22"/>
          <w:lang w:val="fr-FR"/>
        </w:rPr>
        <w:t xml:space="preserve"> </w:t>
      </w:r>
      <w:r w:rsidR="00053E0E">
        <w:rPr>
          <w:rFonts w:cs="Times New Roman"/>
          <w:kern w:val="22"/>
          <w:sz w:val="22"/>
          <w:lang w:val="fr-FR"/>
        </w:rPr>
        <w:t xml:space="preserve">obtenues </w:t>
      </w:r>
      <w:r w:rsidR="00CA644E" w:rsidRPr="00CA644E">
        <w:rPr>
          <w:rFonts w:cs="Times New Roman"/>
          <w:kern w:val="22"/>
          <w:sz w:val="22"/>
          <w:lang w:val="fr-FR"/>
        </w:rPr>
        <w:t>avant</w:t>
      </w:r>
      <w:r w:rsidR="00100087" w:rsidRPr="00CA644E">
        <w:rPr>
          <w:rFonts w:cs="Times New Roman"/>
          <w:kern w:val="22"/>
          <w:sz w:val="22"/>
          <w:lang w:val="fr-FR"/>
        </w:rPr>
        <w:t xml:space="preserve"> </w:t>
      </w:r>
      <w:r w:rsidR="00202126" w:rsidRPr="00CA644E">
        <w:rPr>
          <w:rFonts w:cs="Times New Roman"/>
          <w:kern w:val="22"/>
          <w:sz w:val="22"/>
          <w:lang w:val="fr-FR"/>
        </w:rPr>
        <w:t>l’entrée en vigueur</w:t>
      </w:r>
      <w:r w:rsidR="00100087" w:rsidRPr="00CA644E">
        <w:rPr>
          <w:rFonts w:cs="Times New Roman"/>
          <w:kern w:val="22"/>
          <w:sz w:val="22"/>
          <w:lang w:val="fr-FR"/>
        </w:rPr>
        <w:t xml:space="preserve"> </w:t>
      </w:r>
      <w:r w:rsidR="00F27467" w:rsidRPr="00CA644E">
        <w:rPr>
          <w:rFonts w:cs="Times New Roman"/>
          <w:kern w:val="22"/>
          <w:sz w:val="22"/>
          <w:lang w:val="fr-FR"/>
        </w:rPr>
        <w:t>du Protocole</w:t>
      </w:r>
      <w:r w:rsidR="00100087" w:rsidRPr="00CA644E">
        <w:rPr>
          <w:rFonts w:cs="Times New Roman"/>
          <w:kern w:val="22"/>
          <w:sz w:val="22"/>
          <w:lang w:val="fr-FR"/>
        </w:rPr>
        <w:t>.</w:t>
      </w:r>
      <w:r w:rsidR="00100087" w:rsidRPr="002364AB">
        <w:rPr>
          <w:rFonts w:cs="Times New Roman"/>
          <w:kern w:val="22"/>
          <w:sz w:val="22"/>
          <w:vertAlign w:val="superscript"/>
          <w:lang w:val="en-GB"/>
        </w:rPr>
        <w:footnoteReference w:id="77"/>
      </w:r>
      <w:r w:rsidR="00100087" w:rsidRPr="00CA644E">
        <w:rPr>
          <w:rFonts w:cs="Times New Roman"/>
          <w:kern w:val="22"/>
          <w:sz w:val="22"/>
          <w:lang w:val="fr-FR"/>
        </w:rPr>
        <w:t xml:space="preserve"> </w:t>
      </w:r>
      <w:r w:rsidR="00053E0E">
        <w:rPr>
          <w:rFonts w:cs="Times New Roman"/>
          <w:kern w:val="22"/>
          <w:sz w:val="22"/>
          <w:lang w:val="fr-FR"/>
        </w:rPr>
        <w:t>Cependant, la</w:t>
      </w:r>
      <w:r w:rsidR="00100087" w:rsidRPr="00AB6A02">
        <w:rPr>
          <w:rFonts w:cs="Times New Roman"/>
          <w:kern w:val="22"/>
          <w:sz w:val="22"/>
          <w:lang w:val="fr-FR"/>
        </w:rPr>
        <w:t xml:space="preserve"> </w:t>
      </w:r>
      <w:r w:rsidR="00053E0E">
        <w:rPr>
          <w:rFonts w:cs="Times New Roman"/>
          <w:kern w:val="22"/>
          <w:sz w:val="22"/>
          <w:lang w:val="fr-FR"/>
        </w:rPr>
        <w:t>législation de</w:t>
      </w:r>
      <w:r w:rsidR="00100087" w:rsidRPr="00AB6A02">
        <w:rPr>
          <w:rFonts w:cs="Times New Roman"/>
          <w:kern w:val="22"/>
          <w:sz w:val="22"/>
          <w:lang w:val="fr-FR"/>
        </w:rPr>
        <w:t xml:space="preserve"> </w:t>
      </w:r>
      <w:r w:rsidR="00AB6A02" w:rsidRPr="00AB6A02">
        <w:rPr>
          <w:rFonts w:cs="Times New Roman"/>
          <w:kern w:val="22"/>
          <w:sz w:val="22"/>
          <w:lang w:val="fr-FR"/>
        </w:rPr>
        <w:t>plusieurs</w:t>
      </w:r>
      <w:r w:rsidR="00100087" w:rsidRPr="00AB6A02">
        <w:rPr>
          <w:rFonts w:cs="Times New Roman"/>
          <w:kern w:val="22"/>
          <w:sz w:val="22"/>
          <w:lang w:val="fr-FR"/>
        </w:rPr>
        <w:t xml:space="preserve"> </w:t>
      </w:r>
      <w:r w:rsidR="00E40444" w:rsidRPr="00AB6A02">
        <w:rPr>
          <w:rFonts w:cs="Times New Roman"/>
          <w:kern w:val="22"/>
          <w:sz w:val="22"/>
          <w:lang w:val="fr-FR"/>
        </w:rPr>
        <w:t>pays</w:t>
      </w:r>
      <w:r w:rsidR="00100087" w:rsidRPr="00AB6A02">
        <w:rPr>
          <w:rFonts w:cs="Times New Roman"/>
          <w:kern w:val="22"/>
          <w:sz w:val="22"/>
          <w:lang w:val="fr-FR"/>
        </w:rPr>
        <w:t xml:space="preserve"> </w:t>
      </w:r>
      <w:r w:rsidR="00111C2E">
        <w:rPr>
          <w:rFonts w:cs="Times New Roman"/>
          <w:kern w:val="22"/>
          <w:sz w:val="22"/>
          <w:lang w:val="fr-FR"/>
        </w:rPr>
        <w:t>dans le</w:t>
      </w:r>
      <w:r w:rsidR="00053E0E">
        <w:rPr>
          <w:rFonts w:cs="Times New Roman"/>
          <w:kern w:val="22"/>
          <w:sz w:val="22"/>
          <w:lang w:val="fr-FR"/>
        </w:rPr>
        <w:t xml:space="preserve"> monde, comme l’Afrique du Sud, le</w:t>
      </w:r>
      <w:r w:rsidR="00100087" w:rsidRPr="00AB6A02">
        <w:rPr>
          <w:rFonts w:cs="Times New Roman"/>
          <w:kern w:val="22"/>
          <w:sz w:val="22"/>
          <w:lang w:val="fr-FR"/>
        </w:rPr>
        <w:t xml:space="preserve"> </w:t>
      </w:r>
      <w:r w:rsidR="000C3696">
        <w:rPr>
          <w:rFonts w:cs="Times New Roman"/>
          <w:kern w:val="22"/>
          <w:sz w:val="22"/>
          <w:lang w:val="fr-FR"/>
        </w:rPr>
        <w:t>Brésil</w:t>
      </w:r>
      <w:r w:rsidR="00053E0E">
        <w:rPr>
          <w:rFonts w:cs="Times New Roman"/>
          <w:kern w:val="22"/>
          <w:sz w:val="22"/>
          <w:lang w:val="fr-FR"/>
        </w:rPr>
        <w:t xml:space="preserve"> ou la</w:t>
      </w:r>
      <w:r w:rsidR="00100087" w:rsidRPr="00AB6A02">
        <w:rPr>
          <w:rFonts w:cs="Times New Roman"/>
          <w:kern w:val="22"/>
          <w:sz w:val="22"/>
          <w:lang w:val="fr-FR"/>
        </w:rPr>
        <w:t xml:space="preserve"> </w:t>
      </w:r>
      <w:r w:rsidR="000C3696">
        <w:rPr>
          <w:rFonts w:cs="Times New Roman"/>
          <w:kern w:val="22"/>
          <w:sz w:val="22"/>
          <w:lang w:val="fr-FR"/>
        </w:rPr>
        <w:t>Colombie</w:t>
      </w:r>
      <w:r w:rsidR="00100087" w:rsidRPr="00AB6A02">
        <w:rPr>
          <w:rFonts w:cs="Times New Roman"/>
          <w:kern w:val="22"/>
          <w:sz w:val="22"/>
          <w:lang w:val="fr-FR"/>
        </w:rPr>
        <w:t xml:space="preserve">, </w:t>
      </w:r>
      <w:r w:rsidR="00053E0E">
        <w:rPr>
          <w:rFonts w:cs="Times New Roman"/>
          <w:kern w:val="22"/>
          <w:sz w:val="22"/>
          <w:lang w:val="fr-FR"/>
        </w:rPr>
        <w:t xml:space="preserve">exige un </w:t>
      </w:r>
      <w:r w:rsidR="00E3674F" w:rsidRPr="00AB6A02">
        <w:rPr>
          <w:rFonts w:cs="Times New Roman"/>
          <w:kern w:val="22"/>
          <w:sz w:val="22"/>
          <w:lang w:val="fr-FR"/>
        </w:rPr>
        <w:t xml:space="preserve">partage des </w:t>
      </w:r>
      <w:r w:rsidR="007D7761">
        <w:rPr>
          <w:rFonts w:cs="Times New Roman"/>
          <w:kern w:val="22"/>
          <w:sz w:val="22"/>
          <w:lang w:val="fr-FR"/>
        </w:rPr>
        <w:t>avantages résultant</w:t>
      </w:r>
      <w:r w:rsidR="00053E0E">
        <w:rPr>
          <w:rFonts w:cs="Times New Roman"/>
          <w:kern w:val="22"/>
          <w:sz w:val="22"/>
          <w:lang w:val="fr-FR"/>
        </w:rPr>
        <w:t xml:space="preserve"> de l’</w:t>
      </w:r>
      <w:r w:rsidR="008627A9" w:rsidRPr="00AB6A02">
        <w:rPr>
          <w:rFonts w:cs="Times New Roman"/>
          <w:kern w:val="22"/>
          <w:sz w:val="22"/>
          <w:lang w:val="fr-FR"/>
        </w:rPr>
        <w:t>utilisation</w:t>
      </w:r>
      <w:r w:rsidR="00100087" w:rsidRPr="00AB6A02">
        <w:rPr>
          <w:rFonts w:cs="Times New Roman"/>
          <w:kern w:val="22"/>
          <w:sz w:val="22"/>
          <w:lang w:val="fr-FR"/>
        </w:rPr>
        <w:t xml:space="preserve"> </w:t>
      </w:r>
      <w:r w:rsidR="00D6232E" w:rsidRPr="00AB6A02">
        <w:rPr>
          <w:rFonts w:cs="Times New Roman"/>
          <w:kern w:val="22"/>
          <w:sz w:val="22"/>
          <w:lang w:val="fr-FR"/>
        </w:rPr>
        <w:t>de</w:t>
      </w:r>
      <w:r w:rsidR="00053E0E">
        <w:rPr>
          <w:rFonts w:cs="Times New Roman"/>
          <w:kern w:val="22"/>
          <w:sz w:val="22"/>
          <w:lang w:val="fr-FR"/>
        </w:rPr>
        <w:t>s</w:t>
      </w:r>
      <w:r w:rsidR="00D6232E" w:rsidRPr="00AB6A02">
        <w:rPr>
          <w:rFonts w:cs="Times New Roman"/>
          <w:kern w:val="22"/>
          <w:sz w:val="22"/>
          <w:lang w:val="fr-FR"/>
        </w:rPr>
        <w:t xml:space="preserve"> ressources</w:t>
      </w:r>
      <w:r w:rsidR="00E3674F" w:rsidRPr="00AB6A02">
        <w:rPr>
          <w:rFonts w:cs="Times New Roman"/>
          <w:kern w:val="22"/>
          <w:sz w:val="22"/>
          <w:lang w:val="fr-FR"/>
        </w:rPr>
        <w:t xml:space="preserve"> génétiques</w:t>
      </w:r>
      <w:r w:rsidR="00147087" w:rsidRPr="00AB6A02">
        <w:rPr>
          <w:rFonts w:cs="Times New Roman"/>
          <w:kern w:val="22"/>
          <w:sz w:val="22"/>
          <w:lang w:val="fr-FR"/>
        </w:rPr>
        <w:t xml:space="preserve"> </w:t>
      </w:r>
      <w:r w:rsidR="00053E0E">
        <w:rPr>
          <w:rFonts w:cs="Times New Roman"/>
          <w:kern w:val="22"/>
          <w:sz w:val="22"/>
          <w:lang w:val="fr-FR"/>
        </w:rPr>
        <w:t>obtenues avant l’</w:t>
      </w:r>
      <w:r w:rsidR="00202126" w:rsidRPr="00AB6A02">
        <w:rPr>
          <w:rFonts w:cs="Times New Roman"/>
          <w:kern w:val="22"/>
          <w:sz w:val="22"/>
          <w:lang w:val="fr-FR"/>
        </w:rPr>
        <w:t>entrée en vigueur</w:t>
      </w:r>
      <w:r w:rsidR="00147087" w:rsidRPr="00AB6A02">
        <w:rPr>
          <w:rFonts w:cs="Times New Roman"/>
          <w:kern w:val="22"/>
          <w:sz w:val="22"/>
          <w:lang w:val="fr-FR"/>
        </w:rPr>
        <w:t xml:space="preserve"> </w:t>
      </w:r>
      <w:r w:rsidR="00F27467">
        <w:rPr>
          <w:rFonts w:cs="Times New Roman"/>
          <w:kern w:val="22"/>
          <w:sz w:val="22"/>
          <w:lang w:val="fr-FR"/>
        </w:rPr>
        <w:t>du Protocole</w:t>
      </w:r>
      <w:r w:rsidR="00111C2E">
        <w:rPr>
          <w:rFonts w:cs="Times New Roman"/>
          <w:kern w:val="22"/>
          <w:sz w:val="22"/>
          <w:lang w:val="fr-FR"/>
        </w:rPr>
        <w:t xml:space="preserve"> de Nagoya</w:t>
      </w:r>
      <w:r w:rsidR="00100087" w:rsidRPr="00AB6A02">
        <w:rPr>
          <w:rFonts w:cs="Times New Roman"/>
          <w:kern w:val="22"/>
          <w:sz w:val="22"/>
          <w:lang w:val="fr-FR"/>
        </w:rPr>
        <w:t>.</w:t>
      </w:r>
      <w:r w:rsidR="00100087" w:rsidRPr="002364AB">
        <w:rPr>
          <w:rFonts w:cs="Times New Roman"/>
          <w:kern w:val="22"/>
          <w:sz w:val="22"/>
          <w:vertAlign w:val="superscript"/>
          <w:lang w:val="en-GB"/>
        </w:rPr>
        <w:footnoteReference w:id="78"/>
      </w:r>
      <w:r w:rsidR="00100087" w:rsidRPr="00AB6A02">
        <w:rPr>
          <w:rFonts w:cs="Times New Roman"/>
          <w:kern w:val="22"/>
          <w:sz w:val="22"/>
          <w:lang w:val="fr-FR"/>
        </w:rPr>
        <w:t xml:space="preserve"> </w:t>
      </w:r>
      <w:r w:rsidR="00053E0E">
        <w:rPr>
          <w:rFonts w:cs="Times New Roman"/>
          <w:kern w:val="22"/>
          <w:sz w:val="22"/>
          <w:lang w:val="fr-FR"/>
        </w:rPr>
        <w:t>Pour les</w:t>
      </w:r>
      <w:r w:rsidR="00100087" w:rsidRPr="007A438A">
        <w:rPr>
          <w:rFonts w:cs="Times New Roman"/>
          <w:kern w:val="22"/>
          <w:sz w:val="22"/>
          <w:lang w:val="fr-FR"/>
        </w:rPr>
        <w:t xml:space="preserve"> </w:t>
      </w:r>
      <w:r w:rsidR="00E40444" w:rsidRPr="007A438A">
        <w:rPr>
          <w:rFonts w:cs="Times New Roman"/>
          <w:kern w:val="22"/>
          <w:sz w:val="22"/>
          <w:lang w:val="fr-FR"/>
        </w:rPr>
        <w:t>pays</w:t>
      </w:r>
      <w:r w:rsidR="00100087" w:rsidRPr="007A438A">
        <w:rPr>
          <w:rFonts w:cs="Times New Roman"/>
          <w:kern w:val="22"/>
          <w:sz w:val="22"/>
          <w:lang w:val="fr-FR"/>
        </w:rPr>
        <w:t xml:space="preserve"> </w:t>
      </w:r>
      <w:r w:rsidR="00053E0E">
        <w:rPr>
          <w:rFonts w:cs="Times New Roman"/>
          <w:kern w:val="22"/>
          <w:sz w:val="22"/>
          <w:lang w:val="fr-FR"/>
        </w:rPr>
        <w:t xml:space="preserve">qui exigent un </w:t>
      </w:r>
      <w:r w:rsidR="00E3674F" w:rsidRPr="007A438A">
        <w:rPr>
          <w:rFonts w:cs="Times New Roman"/>
          <w:kern w:val="22"/>
          <w:sz w:val="22"/>
          <w:lang w:val="fr-FR"/>
        </w:rPr>
        <w:t xml:space="preserve">partage des </w:t>
      </w:r>
      <w:r w:rsidR="007D7761">
        <w:rPr>
          <w:rFonts w:cs="Times New Roman"/>
          <w:kern w:val="22"/>
          <w:sz w:val="22"/>
          <w:lang w:val="fr-FR"/>
        </w:rPr>
        <w:t>avantages résultant</w:t>
      </w:r>
      <w:r w:rsidR="00053E0E">
        <w:rPr>
          <w:rFonts w:cs="Times New Roman"/>
          <w:kern w:val="22"/>
          <w:sz w:val="22"/>
          <w:lang w:val="fr-FR"/>
        </w:rPr>
        <w:t xml:space="preserve"> de l’</w:t>
      </w:r>
      <w:r w:rsidR="008627A9" w:rsidRPr="007A438A">
        <w:rPr>
          <w:rFonts w:cs="Times New Roman"/>
          <w:kern w:val="22"/>
          <w:sz w:val="22"/>
          <w:lang w:val="fr-FR"/>
        </w:rPr>
        <w:t>utilisation</w:t>
      </w:r>
      <w:r w:rsidR="00100087" w:rsidRPr="007A438A">
        <w:rPr>
          <w:rFonts w:cs="Times New Roman"/>
          <w:kern w:val="22"/>
          <w:sz w:val="22"/>
          <w:lang w:val="fr-FR"/>
        </w:rPr>
        <w:t xml:space="preserve"> </w:t>
      </w:r>
      <w:r w:rsidR="00D6232E" w:rsidRPr="007A438A">
        <w:rPr>
          <w:rFonts w:cs="Times New Roman"/>
          <w:kern w:val="22"/>
          <w:sz w:val="22"/>
          <w:lang w:val="fr-FR"/>
        </w:rPr>
        <w:t>de ressources</w:t>
      </w:r>
      <w:r w:rsidR="00E3674F" w:rsidRPr="007A438A">
        <w:rPr>
          <w:rFonts w:cs="Times New Roman"/>
          <w:kern w:val="22"/>
          <w:sz w:val="22"/>
          <w:lang w:val="fr-FR"/>
        </w:rPr>
        <w:t xml:space="preserve"> génétiques</w:t>
      </w:r>
      <w:r w:rsidR="00100087" w:rsidRPr="007A438A">
        <w:rPr>
          <w:rFonts w:cs="Times New Roman"/>
          <w:kern w:val="22"/>
          <w:sz w:val="22"/>
          <w:lang w:val="fr-FR"/>
        </w:rPr>
        <w:t xml:space="preserve"> </w:t>
      </w:r>
      <w:r w:rsidR="00111C2E">
        <w:rPr>
          <w:rFonts w:cs="Times New Roman"/>
          <w:kern w:val="22"/>
          <w:sz w:val="22"/>
          <w:lang w:val="fr-FR"/>
        </w:rPr>
        <w:t>provenant de</w:t>
      </w:r>
      <w:r w:rsidR="007A438A" w:rsidRPr="007A438A">
        <w:rPr>
          <w:rFonts w:cs="Times New Roman"/>
          <w:kern w:val="22"/>
          <w:sz w:val="22"/>
          <w:lang w:val="fr-FR"/>
        </w:rPr>
        <w:t xml:space="preserve"> collections</w:t>
      </w:r>
      <w:r w:rsidR="00FC7EA5" w:rsidRPr="007A438A">
        <w:rPr>
          <w:rFonts w:cs="Times New Roman"/>
          <w:i/>
          <w:kern w:val="22"/>
          <w:sz w:val="22"/>
          <w:lang w:val="fr-FR"/>
        </w:rPr>
        <w:t xml:space="preserve"> ex situ</w:t>
      </w:r>
      <w:r w:rsidR="00053E0E">
        <w:rPr>
          <w:rFonts w:cs="Times New Roman"/>
          <w:kern w:val="22"/>
          <w:sz w:val="22"/>
          <w:lang w:val="fr-FR"/>
        </w:rPr>
        <w:t>, un problè</w:t>
      </w:r>
      <w:r w:rsidR="00100087" w:rsidRPr="007A438A">
        <w:rPr>
          <w:rFonts w:cs="Times New Roman"/>
          <w:kern w:val="22"/>
          <w:sz w:val="22"/>
          <w:lang w:val="fr-FR"/>
        </w:rPr>
        <w:t>m</w:t>
      </w:r>
      <w:r w:rsidR="00111C2E">
        <w:rPr>
          <w:rFonts w:cs="Times New Roman"/>
          <w:kern w:val="22"/>
          <w:sz w:val="22"/>
          <w:lang w:val="fr-FR"/>
        </w:rPr>
        <w:t>e se pose</w:t>
      </w:r>
      <w:r w:rsidR="00053E0E">
        <w:rPr>
          <w:rFonts w:cs="Times New Roman"/>
          <w:kern w:val="22"/>
          <w:sz w:val="22"/>
          <w:lang w:val="fr-FR"/>
        </w:rPr>
        <w:t xml:space="preserve"> pour les </w:t>
      </w:r>
      <w:r w:rsidR="00D6232E" w:rsidRPr="007A438A">
        <w:rPr>
          <w:rFonts w:cs="Times New Roman"/>
          <w:kern w:val="22"/>
          <w:sz w:val="22"/>
          <w:lang w:val="fr-FR"/>
        </w:rPr>
        <w:t>spécimen</w:t>
      </w:r>
      <w:r w:rsidR="00100087" w:rsidRPr="007A438A">
        <w:rPr>
          <w:rFonts w:cs="Times New Roman"/>
          <w:kern w:val="22"/>
          <w:sz w:val="22"/>
          <w:lang w:val="fr-FR"/>
        </w:rPr>
        <w:t xml:space="preserve">s </w:t>
      </w:r>
      <w:r w:rsidR="00111C2E">
        <w:rPr>
          <w:rFonts w:cs="Times New Roman"/>
          <w:kern w:val="22"/>
          <w:sz w:val="22"/>
          <w:lang w:val="fr-FR"/>
        </w:rPr>
        <w:t>qui ont été déposés sans</w:t>
      </w:r>
      <w:r w:rsidR="00053E0E">
        <w:rPr>
          <w:rFonts w:cs="Times New Roman"/>
          <w:kern w:val="22"/>
          <w:sz w:val="22"/>
          <w:lang w:val="fr-FR"/>
        </w:rPr>
        <w:t xml:space="preserve"> </w:t>
      </w:r>
      <w:r w:rsidR="005241E2">
        <w:rPr>
          <w:rFonts w:cs="Times New Roman"/>
          <w:kern w:val="22"/>
          <w:sz w:val="22"/>
          <w:lang w:val="fr-FR"/>
        </w:rPr>
        <w:t>fournir d’</w:t>
      </w:r>
      <w:r w:rsidR="00053E0E">
        <w:rPr>
          <w:rFonts w:cs="Times New Roman"/>
          <w:kern w:val="22"/>
          <w:sz w:val="22"/>
          <w:lang w:val="fr-FR"/>
        </w:rPr>
        <w:t xml:space="preserve">information </w:t>
      </w:r>
      <w:r w:rsidR="00111C2E">
        <w:rPr>
          <w:rFonts w:cs="Times New Roman"/>
          <w:kern w:val="22"/>
          <w:sz w:val="22"/>
          <w:lang w:val="fr-FR"/>
        </w:rPr>
        <w:t>sur le</w:t>
      </w:r>
      <w:r w:rsidR="00100087" w:rsidRPr="007A438A">
        <w:rPr>
          <w:rFonts w:cs="Times New Roman"/>
          <w:kern w:val="22"/>
          <w:sz w:val="22"/>
          <w:lang w:val="fr-FR"/>
        </w:rPr>
        <w:t xml:space="preserve"> </w:t>
      </w:r>
      <w:r w:rsidR="005241E2">
        <w:rPr>
          <w:rFonts w:cs="Times New Roman"/>
          <w:kern w:val="22"/>
          <w:sz w:val="22"/>
          <w:lang w:val="fr-FR"/>
        </w:rPr>
        <w:t>pays fournisseur</w:t>
      </w:r>
      <w:r w:rsidR="00100087" w:rsidRPr="007A438A">
        <w:rPr>
          <w:rFonts w:cs="Times New Roman"/>
          <w:kern w:val="22"/>
          <w:sz w:val="22"/>
          <w:lang w:val="fr-FR"/>
        </w:rPr>
        <w:t>,</w:t>
      </w:r>
      <w:r w:rsidR="00111C2E">
        <w:rPr>
          <w:rFonts w:cs="Times New Roman"/>
          <w:kern w:val="22"/>
          <w:sz w:val="22"/>
          <w:lang w:val="fr-FR"/>
        </w:rPr>
        <w:t xml:space="preserve"> ainsi que</w:t>
      </w:r>
      <w:r w:rsidR="0028742E">
        <w:rPr>
          <w:rFonts w:cs="Times New Roman"/>
          <w:kern w:val="22"/>
          <w:sz w:val="22"/>
          <w:lang w:val="fr-FR"/>
        </w:rPr>
        <w:t xml:space="preserve"> </w:t>
      </w:r>
      <w:r w:rsidR="00111C2E">
        <w:rPr>
          <w:rFonts w:cs="Times New Roman"/>
          <w:kern w:val="22"/>
          <w:sz w:val="22"/>
          <w:lang w:val="fr-FR"/>
        </w:rPr>
        <w:t xml:space="preserve">pour les spécimens </w:t>
      </w:r>
      <w:r w:rsidR="00053E0E">
        <w:rPr>
          <w:rFonts w:cs="Times New Roman"/>
          <w:kern w:val="22"/>
          <w:sz w:val="22"/>
          <w:lang w:val="fr-FR"/>
        </w:rPr>
        <w:t>déposés avant l’entrée en vigueur de</w:t>
      </w:r>
      <w:r w:rsidR="00F27467">
        <w:rPr>
          <w:rFonts w:cs="Times New Roman"/>
          <w:kern w:val="22"/>
          <w:sz w:val="22"/>
          <w:lang w:val="fr-FR"/>
        </w:rPr>
        <w:t xml:space="preserve"> la </w:t>
      </w:r>
      <w:r w:rsidR="007347F7">
        <w:rPr>
          <w:rFonts w:cs="Times New Roman"/>
          <w:kern w:val="22"/>
          <w:sz w:val="22"/>
          <w:lang w:val="fr-FR"/>
        </w:rPr>
        <w:t>Convention</w:t>
      </w:r>
      <w:r w:rsidR="0028742E">
        <w:rPr>
          <w:rFonts w:cs="Times New Roman"/>
          <w:kern w:val="22"/>
          <w:sz w:val="22"/>
          <w:lang w:val="fr-FR"/>
        </w:rPr>
        <w:t xml:space="preserve"> ou </w:t>
      </w:r>
      <w:r w:rsidR="00053E0E">
        <w:rPr>
          <w:rFonts w:cs="Times New Roman"/>
          <w:kern w:val="22"/>
          <w:sz w:val="22"/>
          <w:lang w:val="fr-FR"/>
        </w:rPr>
        <w:t xml:space="preserve">du </w:t>
      </w:r>
      <w:r w:rsidR="00100087" w:rsidRPr="007A438A">
        <w:rPr>
          <w:rFonts w:cs="Times New Roman"/>
          <w:kern w:val="22"/>
          <w:sz w:val="22"/>
          <w:lang w:val="fr-FR"/>
        </w:rPr>
        <w:t>Protocol</w:t>
      </w:r>
      <w:r w:rsidR="00BD383D">
        <w:rPr>
          <w:rFonts w:cs="Times New Roman"/>
          <w:kern w:val="22"/>
          <w:sz w:val="22"/>
          <w:lang w:val="fr-FR"/>
        </w:rPr>
        <w:t xml:space="preserve">e, caractérisés par une absence de </w:t>
      </w:r>
      <w:r w:rsidR="00651FB0" w:rsidRPr="007A438A">
        <w:rPr>
          <w:rFonts w:cs="Times New Roman"/>
          <w:kern w:val="22"/>
          <w:sz w:val="22"/>
          <w:lang w:val="fr-FR"/>
        </w:rPr>
        <w:t>consentement préalable</w:t>
      </w:r>
      <w:r w:rsidR="0029649B">
        <w:rPr>
          <w:rFonts w:cs="Times New Roman"/>
          <w:kern w:val="22"/>
          <w:sz w:val="22"/>
          <w:lang w:val="fr-FR"/>
        </w:rPr>
        <w:t xml:space="preserve"> donné</w:t>
      </w:r>
      <w:r w:rsidR="00651FB0" w:rsidRPr="007A438A">
        <w:rPr>
          <w:rFonts w:cs="Times New Roman"/>
          <w:kern w:val="22"/>
          <w:sz w:val="22"/>
          <w:lang w:val="fr-FR"/>
        </w:rPr>
        <w:t xml:space="preserve"> en connaissance de cause</w:t>
      </w:r>
      <w:r w:rsidR="00BD383D">
        <w:rPr>
          <w:rFonts w:cs="Times New Roman"/>
          <w:kern w:val="22"/>
          <w:sz w:val="22"/>
          <w:lang w:val="fr-FR"/>
        </w:rPr>
        <w:t xml:space="preserve">, même si </w:t>
      </w:r>
      <w:r w:rsidR="00111C2E">
        <w:rPr>
          <w:rFonts w:cs="Times New Roman"/>
          <w:kern w:val="22"/>
          <w:sz w:val="22"/>
          <w:lang w:val="fr-FR"/>
        </w:rPr>
        <w:t xml:space="preserve">celui-ci est </w:t>
      </w:r>
      <w:r w:rsidR="00BD383D">
        <w:rPr>
          <w:rFonts w:cs="Times New Roman"/>
          <w:kern w:val="22"/>
          <w:sz w:val="22"/>
          <w:lang w:val="fr-FR"/>
        </w:rPr>
        <w:t xml:space="preserve">désormais </w:t>
      </w:r>
      <w:r w:rsidR="00111C2E">
        <w:rPr>
          <w:rFonts w:cs="Times New Roman"/>
          <w:kern w:val="22"/>
          <w:sz w:val="22"/>
          <w:lang w:val="fr-FR"/>
        </w:rPr>
        <w:t>prescrit</w:t>
      </w:r>
      <w:r w:rsidR="00100087" w:rsidRPr="007A438A">
        <w:rPr>
          <w:rFonts w:cs="Times New Roman"/>
          <w:kern w:val="22"/>
          <w:sz w:val="22"/>
          <w:lang w:val="fr-FR"/>
        </w:rPr>
        <w:t xml:space="preserve">. </w:t>
      </w:r>
      <w:r w:rsidR="0029649B">
        <w:rPr>
          <w:rFonts w:cs="Times New Roman"/>
          <w:kern w:val="22"/>
          <w:sz w:val="22"/>
          <w:lang w:val="fr-FR"/>
        </w:rPr>
        <w:t>Les</w:t>
      </w:r>
      <w:r w:rsidR="00100087" w:rsidRPr="009D43F1">
        <w:rPr>
          <w:rFonts w:cs="Times New Roman"/>
          <w:kern w:val="22"/>
          <w:sz w:val="22"/>
          <w:lang w:val="fr-FR"/>
        </w:rPr>
        <w:t xml:space="preserve"> </w:t>
      </w:r>
      <w:r w:rsidR="009D43F1" w:rsidRPr="009D43F1">
        <w:rPr>
          <w:rFonts w:cs="Times New Roman"/>
          <w:kern w:val="22"/>
          <w:sz w:val="22"/>
          <w:lang w:val="fr-FR"/>
        </w:rPr>
        <w:t>exemple</w:t>
      </w:r>
      <w:r w:rsidR="00100087" w:rsidRPr="009D43F1">
        <w:rPr>
          <w:rFonts w:cs="Times New Roman"/>
          <w:kern w:val="22"/>
          <w:sz w:val="22"/>
          <w:lang w:val="fr-FR"/>
        </w:rPr>
        <w:t>s</w:t>
      </w:r>
      <w:r w:rsidR="0029649B">
        <w:rPr>
          <w:rFonts w:cs="Times New Roman"/>
          <w:kern w:val="22"/>
          <w:sz w:val="22"/>
          <w:lang w:val="fr-FR"/>
        </w:rPr>
        <w:t xml:space="preserve"> ci-après illustre</w:t>
      </w:r>
      <w:r w:rsidR="00111C2E">
        <w:rPr>
          <w:rFonts w:cs="Times New Roman"/>
          <w:kern w:val="22"/>
          <w:sz w:val="22"/>
          <w:lang w:val="fr-FR"/>
        </w:rPr>
        <w:t>nt les difficultés rencontrées pou</w:t>
      </w:r>
      <w:r w:rsidR="0029649B">
        <w:rPr>
          <w:rFonts w:cs="Times New Roman"/>
          <w:kern w:val="22"/>
          <w:sz w:val="22"/>
          <w:lang w:val="fr-FR"/>
        </w:rPr>
        <w:t xml:space="preserve">r les </w:t>
      </w:r>
      <w:r w:rsidR="00D6232E" w:rsidRPr="009D43F1">
        <w:rPr>
          <w:rFonts w:cs="Times New Roman"/>
          <w:kern w:val="22"/>
          <w:sz w:val="22"/>
          <w:lang w:val="fr-FR"/>
        </w:rPr>
        <w:t>ressources</w:t>
      </w:r>
      <w:r w:rsidR="00E3674F" w:rsidRPr="009D43F1">
        <w:rPr>
          <w:rFonts w:cs="Times New Roman"/>
          <w:kern w:val="22"/>
          <w:sz w:val="22"/>
          <w:lang w:val="fr-FR"/>
        </w:rPr>
        <w:t xml:space="preserve"> génétiques</w:t>
      </w:r>
      <w:r w:rsidR="00100087" w:rsidRPr="009D43F1">
        <w:rPr>
          <w:rFonts w:cs="Times New Roman"/>
          <w:kern w:val="22"/>
          <w:sz w:val="22"/>
          <w:lang w:val="fr-FR"/>
        </w:rPr>
        <w:t xml:space="preserve"> </w:t>
      </w:r>
      <w:r w:rsidR="008D43E2">
        <w:rPr>
          <w:rFonts w:cs="Times New Roman"/>
          <w:kern w:val="22"/>
          <w:sz w:val="22"/>
          <w:lang w:val="fr-FR"/>
        </w:rPr>
        <w:t xml:space="preserve">dont on ne peut </w:t>
      </w:r>
      <w:r w:rsidR="00DB08F9">
        <w:rPr>
          <w:rFonts w:cs="Times New Roman"/>
          <w:kern w:val="22"/>
          <w:sz w:val="22"/>
          <w:lang w:val="fr-FR"/>
        </w:rPr>
        <w:t>déterminer la provenance</w:t>
      </w:r>
      <w:r w:rsidR="00100087" w:rsidRPr="009D43F1">
        <w:rPr>
          <w:rFonts w:cs="Times New Roman"/>
          <w:kern w:val="22"/>
          <w:sz w:val="22"/>
          <w:lang w:val="fr-FR"/>
        </w:rPr>
        <w:t xml:space="preserve"> </w:t>
      </w:r>
      <w:r w:rsidR="007A438A">
        <w:rPr>
          <w:rFonts w:cs="Times New Roman"/>
          <w:kern w:val="22"/>
          <w:sz w:val="22"/>
          <w:lang w:val="fr-FR"/>
        </w:rPr>
        <w:t>dans des collections</w:t>
      </w:r>
      <w:r w:rsidR="00FC7EA5" w:rsidRPr="009D43F1">
        <w:rPr>
          <w:rFonts w:cs="Times New Roman"/>
          <w:i/>
          <w:iCs/>
          <w:kern w:val="22"/>
          <w:sz w:val="22"/>
          <w:lang w:val="fr-FR"/>
        </w:rPr>
        <w:t xml:space="preserve"> ex situ</w:t>
      </w:r>
      <w:r w:rsidR="0029649B">
        <w:rPr>
          <w:rFonts w:cs="Times New Roman"/>
          <w:i/>
          <w:iCs/>
          <w:kern w:val="22"/>
          <w:sz w:val="22"/>
          <w:lang w:val="fr-FR"/>
        </w:rPr>
        <w:t>,</w:t>
      </w:r>
      <w:r w:rsidR="00111C2E">
        <w:rPr>
          <w:rFonts w:cs="Times New Roman"/>
          <w:kern w:val="22"/>
          <w:sz w:val="22"/>
          <w:lang w:val="fr-FR"/>
        </w:rPr>
        <w:t xml:space="preserve"> et fournissent</w:t>
      </w:r>
      <w:r w:rsidR="0029649B">
        <w:rPr>
          <w:rFonts w:cs="Times New Roman"/>
          <w:kern w:val="22"/>
          <w:sz w:val="22"/>
          <w:lang w:val="fr-FR"/>
        </w:rPr>
        <w:t xml:space="preserve"> des </w:t>
      </w:r>
      <w:r w:rsidR="00100087" w:rsidRPr="009D43F1">
        <w:rPr>
          <w:rFonts w:cs="Times New Roman"/>
          <w:kern w:val="22"/>
          <w:sz w:val="22"/>
          <w:lang w:val="fr-FR"/>
        </w:rPr>
        <w:t>information</w:t>
      </w:r>
      <w:r w:rsidR="00111C2E">
        <w:rPr>
          <w:rFonts w:cs="Times New Roman"/>
          <w:kern w:val="22"/>
          <w:sz w:val="22"/>
          <w:lang w:val="fr-FR"/>
        </w:rPr>
        <w:t>s sur la manière</w:t>
      </w:r>
      <w:r w:rsidR="0029649B">
        <w:rPr>
          <w:rFonts w:cs="Times New Roman"/>
          <w:kern w:val="22"/>
          <w:sz w:val="22"/>
          <w:lang w:val="fr-FR"/>
        </w:rPr>
        <w:t xml:space="preserve"> dont</w:t>
      </w:r>
      <w:r w:rsidR="00100087" w:rsidRPr="009D43F1">
        <w:rPr>
          <w:rFonts w:cs="Times New Roman"/>
          <w:kern w:val="22"/>
          <w:sz w:val="22"/>
          <w:lang w:val="fr-FR"/>
        </w:rPr>
        <w:t xml:space="preserve"> </w:t>
      </w:r>
      <w:r w:rsidR="00AA5919">
        <w:rPr>
          <w:rFonts w:cs="Times New Roman"/>
          <w:kern w:val="22"/>
          <w:sz w:val="22"/>
          <w:lang w:val="fr-FR"/>
        </w:rPr>
        <w:t>certain</w:t>
      </w:r>
      <w:r w:rsidR="0029649B">
        <w:rPr>
          <w:rFonts w:cs="Times New Roman"/>
          <w:kern w:val="22"/>
          <w:sz w:val="22"/>
          <w:lang w:val="fr-FR"/>
        </w:rPr>
        <w:t>e</w:t>
      </w:r>
      <w:r w:rsidR="00AA5919">
        <w:rPr>
          <w:rFonts w:cs="Times New Roman"/>
          <w:kern w:val="22"/>
          <w:sz w:val="22"/>
          <w:lang w:val="fr-FR"/>
        </w:rPr>
        <w:t xml:space="preserve">s </w:t>
      </w:r>
      <w:r w:rsidR="00FC7EA5" w:rsidRPr="00111C2E">
        <w:rPr>
          <w:rFonts w:cs="Times New Roman"/>
          <w:kern w:val="22"/>
          <w:sz w:val="22"/>
          <w:lang w:val="fr-FR"/>
        </w:rPr>
        <w:t>collections</w:t>
      </w:r>
      <w:r w:rsidR="00FC7EA5" w:rsidRPr="009D43F1">
        <w:rPr>
          <w:rFonts w:cs="Times New Roman"/>
          <w:i/>
          <w:kern w:val="22"/>
          <w:sz w:val="22"/>
          <w:lang w:val="fr-FR"/>
        </w:rPr>
        <w:t xml:space="preserve"> ex situ</w:t>
      </w:r>
      <w:r w:rsidR="00111C2E">
        <w:rPr>
          <w:rFonts w:cs="Times New Roman"/>
          <w:kern w:val="22"/>
          <w:sz w:val="22"/>
          <w:lang w:val="fr-FR"/>
        </w:rPr>
        <w:t xml:space="preserve"> abordent les obligation</w:t>
      </w:r>
      <w:r w:rsidR="0029649B">
        <w:rPr>
          <w:rFonts w:cs="Times New Roman"/>
          <w:kern w:val="22"/>
          <w:sz w:val="22"/>
          <w:lang w:val="fr-FR"/>
        </w:rPr>
        <w:t>s relatives à</w:t>
      </w:r>
      <w:r w:rsidR="00D6232E" w:rsidRPr="009D43F1">
        <w:rPr>
          <w:rFonts w:cs="Times New Roman"/>
          <w:kern w:val="22"/>
          <w:sz w:val="22"/>
          <w:lang w:val="fr-FR"/>
        </w:rPr>
        <w:t xml:space="preserve"> </w:t>
      </w:r>
      <w:r w:rsidR="0029649B">
        <w:rPr>
          <w:rFonts w:cs="Times New Roman"/>
          <w:kern w:val="22"/>
          <w:sz w:val="22"/>
          <w:lang w:val="fr-FR"/>
        </w:rPr>
        <w:t>l’accès et au</w:t>
      </w:r>
      <w:r w:rsidR="00E3674F" w:rsidRPr="009D43F1">
        <w:rPr>
          <w:rFonts w:cs="Times New Roman"/>
          <w:kern w:val="22"/>
          <w:sz w:val="22"/>
          <w:lang w:val="fr-FR"/>
        </w:rPr>
        <w:t xml:space="preserve"> partage des avantages</w:t>
      </w:r>
      <w:r w:rsidR="00111C2E">
        <w:rPr>
          <w:rFonts w:cs="Times New Roman"/>
          <w:kern w:val="22"/>
          <w:sz w:val="22"/>
          <w:lang w:val="fr-FR"/>
        </w:rPr>
        <w:t xml:space="preserve"> pour </w:t>
      </w:r>
      <w:r w:rsidR="0029649B">
        <w:rPr>
          <w:rFonts w:cs="Times New Roman"/>
          <w:kern w:val="22"/>
          <w:sz w:val="22"/>
          <w:lang w:val="fr-FR"/>
        </w:rPr>
        <w:t>diffé</w:t>
      </w:r>
      <w:r w:rsidR="00100087" w:rsidRPr="009D43F1">
        <w:rPr>
          <w:rFonts w:cs="Times New Roman"/>
          <w:kern w:val="22"/>
          <w:sz w:val="22"/>
          <w:lang w:val="fr-FR"/>
        </w:rPr>
        <w:t>rent</w:t>
      </w:r>
      <w:r w:rsidR="0029649B">
        <w:rPr>
          <w:rFonts w:cs="Times New Roman"/>
          <w:kern w:val="22"/>
          <w:sz w:val="22"/>
          <w:lang w:val="fr-FR"/>
        </w:rPr>
        <w:t>es</w:t>
      </w:r>
      <w:r w:rsidR="00100087" w:rsidRPr="009D43F1">
        <w:rPr>
          <w:rFonts w:cs="Times New Roman"/>
          <w:kern w:val="22"/>
          <w:sz w:val="22"/>
          <w:lang w:val="fr-FR"/>
        </w:rPr>
        <w:t xml:space="preserve"> </w:t>
      </w:r>
      <w:r w:rsidR="00FB2FE9" w:rsidRPr="009D43F1">
        <w:rPr>
          <w:rFonts w:cs="Times New Roman"/>
          <w:kern w:val="22"/>
          <w:sz w:val="22"/>
          <w:lang w:val="fr-FR"/>
        </w:rPr>
        <w:t>ressources</w:t>
      </w:r>
      <w:r w:rsidR="0029649B">
        <w:rPr>
          <w:rFonts w:cs="Times New Roman"/>
          <w:kern w:val="22"/>
          <w:sz w:val="22"/>
          <w:lang w:val="fr-FR"/>
        </w:rPr>
        <w:t xml:space="preserve"> détenues dans</w:t>
      </w:r>
      <w:r w:rsidR="0050280F">
        <w:rPr>
          <w:rFonts w:cs="Times New Roman"/>
          <w:kern w:val="22"/>
          <w:sz w:val="22"/>
          <w:lang w:val="fr-FR"/>
        </w:rPr>
        <w:t xml:space="preserve"> leurs </w:t>
      </w:r>
      <w:r w:rsidR="00100087" w:rsidRPr="009D43F1">
        <w:rPr>
          <w:rFonts w:cs="Times New Roman"/>
          <w:kern w:val="22"/>
          <w:sz w:val="22"/>
          <w:lang w:val="fr-FR"/>
        </w:rPr>
        <w:t>collections</w:t>
      </w:r>
      <w:r w:rsidR="0030782E" w:rsidRPr="009D43F1">
        <w:rPr>
          <w:rFonts w:cs="Times New Roman"/>
          <w:kern w:val="22"/>
          <w:sz w:val="22"/>
          <w:lang w:val="fr-FR"/>
        </w:rPr>
        <w:t>.</w:t>
      </w:r>
    </w:p>
    <w:p w14:paraId="129FA215" w14:textId="0E157748" w:rsidR="00AC0D8F" w:rsidRPr="00CC2EFA" w:rsidRDefault="00E15AC0" w:rsidP="00AC0D8F">
      <w:pPr>
        <w:rPr>
          <w:rFonts w:cs="Times New Roman"/>
          <w:b/>
          <w:i/>
          <w:kern w:val="22"/>
          <w:sz w:val="22"/>
          <w:lang w:val="fr-FR"/>
        </w:rPr>
      </w:pPr>
      <w:r w:rsidRPr="00CC2EFA">
        <w:rPr>
          <w:rFonts w:cs="Times New Roman"/>
          <w:i/>
          <w:kern w:val="22"/>
          <w:sz w:val="22"/>
          <w:lang w:val="fr-FR"/>
        </w:rPr>
        <w:t>Collections de cultures</w:t>
      </w:r>
    </w:p>
    <w:p w14:paraId="0E5BFAC7" w14:textId="5AAE6482" w:rsidR="00FB1B65" w:rsidRPr="00F86971" w:rsidRDefault="0029649B" w:rsidP="00AC0D8F">
      <w:pPr>
        <w:rPr>
          <w:rFonts w:cs="Times New Roman"/>
          <w:kern w:val="22"/>
          <w:sz w:val="22"/>
          <w:lang w:val="fr-FR"/>
        </w:rPr>
      </w:pPr>
      <w:r>
        <w:rPr>
          <w:rFonts w:cs="Times New Roman"/>
          <w:kern w:val="22"/>
          <w:sz w:val="22"/>
          <w:lang w:val="fr-FR"/>
        </w:rPr>
        <w:t>Les principales collections</w:t>
      </w:r>
      <w:r w:rsidR="00AC0D8F" w:rsidRPr="00CC2EFA">
        <w:rPr>
          <w:rFonts w:cs="Times New Roman"/>
          <w:kern w:val="22"/>
          <w:sz w:val="22"/>
          <w:lang w:val="fr-FR"/>
        </w:rPr>
        <w:t xml:space="preserve"> </w:t>
      </w:r>
      <w:r w:rsidR="00AC0D8F" w:rsidRPr="00CC2EFA">
        <w:rPr>
          <w:rFonts w:cs="Times New Roman"/>
          <w:i/>
          <w:iCs/>
          <w:kern w:val="22"/>
          <w:sz w:val="22"/>
          <w:lang w:val="fr-FR"/>
        </w:rPr>
        <w:t>ex situ</w:t>
      </w:r>
      <w:r w:rsidR="000E53C0">
        <w:rPr>
          <w:rFonts w:cs="Times New Roman"/>
          <w:kern w:val="22"/>
          <w:sz w:val="22"/>
          <w:lang w:val="fr-FR"/>
        </w:rPr>
        <w:t xml:space="preserve"> </w:t>
      </w:r>
      <w:r w:rsidR="00CA3230" w:rsidRPr="00CC2EFA">
        <w:rPr>
          <w:rFonts w:cs="Times New Roman"/>
          <w:kern w:val="22"/>
          <w:sz w:val="22"/>
          <w:lang w:val="fr-FR"/>
        </w:rPr>
        <w:t>de</w:t>
      </w:r>
      <w:r w:rsidR="00AC0D8F" w:rsidRPr="00CC2EFA">
        <w:rPr>
          <w:rFonts w:cs="Times New Roman"/>
          <w:kern w:val="22"/>
          <w:sz w:val="22"/>
          <w:lang w:val="fr-FR"/>
        </w:rPr>
        <w:t xml:space="preserve"> microorganism</w:t>
      </w:r>
      <w:r w:rsidR="00CA3230" w:rsidRPr="00CC2EFA">
        <w:rPr>
          <w:rFonts w:cs="Times New Roman"/>
          <w:kern w:val="22"/>
          <w:sz w:val="22"/>
          <w:lang w:val="fr-FR"/>
        </w:rPr>
        <w:t>es sont les</w:t>
      </w:r>
      <w:r w:rsidR="00AC0D8F" w:rsidRPr="00CC2EFA">
        <w:rPr>
          <w:rFonts w:cs="Times New Roman"/>
          <w:kern w:val="22"/>
          <w:sz w:val="22"/>
          <w:lang w:val="fr-FR"/>
        </w:rPr>
        <w:t xml:space="preserve"> </w:t>
      </w:r>
      <w:r w:rsidR="00E15AC0" w:rsidRPr="00CC2EFA">
        <w:rPr>
          <w:rFonts w:cs="Times New Roman"/>
          <w:kern w:val="22"/>
          <w:sz w:val="22"/>
          <w:lang w:val="fr-FR"/>
        </w:rPr>
        <w:t>collections de cultures</w:t>
      </w:r>
      <w:r w:rsidR="00AC0D8F" w:rsidRPr="00CC2EFA">
        <w:rPr>
          <w:rFonts w:cs="Times New Roman"/>
          <w:kern w:val="22"/>
          <w:sz w:val="22"/>
          <w:lang w:val="fr-FR"/>
        </w:rPr>
        <w:t xml:space="preserve">, </w:t>
      </w:r>
      <w:r w:rsidR="00BD383D">
        <w:rPr>
          <w:rFonts w:cs="Times New Roman"/>
          <w:kern w:val="22"/>
          <w:sz w:val="22"/>
          <w:lang w:val="fr-FR"/>
        </w:rPr>
        <w:t>dont la plupart</w:t>
      </w:r>
      <w:r w:rsidR="00531804" w:rsidRPr="00CC2EFA">
        <w:rPr>
          <w:rFonts w:cs="Times New Roman"/>
          <w:kern w:val="22"/>
          <w:sz w:val="22"/>
          <w:lang w:val="fr-FR"/>
        </w:rPr>
        <w:t xml:space="preserve"> sont </w:t>
      </w:r>
      <w:r w:rsidR="00B679BA" w:rsidRPr="00CC2EFA">
        <w:rPr>
          <w:rFonts w:cs="Times New Roman"/>
          <w:kern w:val="22"/>
          <w:sz w:val="22"/>
          <w:lang w:val="fr-FR"/>
        </w:rPr>
        <w:t>membre</w:t>
      </w:r>
      <w:r w:rsidR="00AC0D8F" w:rsidRPr="00CC2EFA">
        <w:rPr>
          <w:rFonts w:cs="Times New Roman"/>
          <w:kern w:val="22"/>
          <w:sz w:val="22"/>
          <w:lang w:val="fr-FR"/>
        </w:rPr>
        <w:t xml:space="preserve">s </w:t>
      </w:r>
      <w:r w:rsidR="00531804" w:rsidRPr="00CC2EFA">
        <w:rPr>
          <w:rFonts w:cs="Times New Roman"/>
          <w:kern w:val="22"/>
          <w:sz w:val="22"/>
          <w:lang w:val="fr-FR"/>
        </w:rPr>
        <w:t>de la Fédération mondiale des collections de cultures</w:t>
      </w:r>
      <w:r w:rsidR="00AC0D8F" w:rsidRPr="00CC2EFA">
        <w:rPr>
          <w:rFonts w:cs="Times New Roman"/>
          <w:kern w:val="22"/>
          <w:sz w:val="22"/>
          <w:lang w:val="fr-FR"/>
        </w:rPr>
        <w:t xml:space="preserve"> (</w:t>
      </w:r>
      <w:r w:rsidR="00CC2EFA" w:rsidRPr="00CC2EFA">
        <w:rPr>
          <w:rFonts w:cs="Times New Roman"/>
          <w:kern w:val="22"/>
          <w:sz w:val="22"/>
          <w:lang w:val="fr-FR"/>
        </w:rPr>
        <w:t xml:space="preserve">World Federation for </w:t>
      </w:r>
      <w:r w:rsidR="006011EF">
        <w:rPr>
          <w:rFonts w:cs="Times New Roman"/>
          <w:kern w:val="22"/>
          <w:sz w:val="22"/>
          <w:lang w:val="fr-FR"/>
        </w:rPr>
        <w:t>Culture Collection</w:t>
      </w:r>
      <w:r w:rsidR="00CC2EFA" w:rsidRPr="00CC2EFA">
        <w:rPr>
          <w:rFonts w:cs="Times New Roman"/>
          <w:kern w:val="22"/>
          <w:sz w:val="22"/>
          <w:lang w:val="fr-FR"/>
        </w:rPr>
        <w:t xml:space="preserve">s - </w:t>
      </w:r>
      <w:r w:rsidR="005645F7">
        <w:rPr>
          <w:rFonts w:cs="Times New Roman"/>
          <w:kern w:val="22"/>
          <w:sz w:val="22"/>
          <w:lang w:val="fr-FR"/>
        </w:rPr>
        <w:t>WFCC). Les organismes microscopiques (ou</w:t>
      </w:r>
      <w:r w:rsidR="00AC0D8F" w:rsidRPr="00CC2EFA">
        <w:rPr>
          <w:rFonts w:cs="Times New Roman"/>
          <w:kern w:val="22"/>
          <w:sz w:val="22"/>
          <w:lang w:val="fr-FR"/>
        </w:rPr>
        <w:t xml:space="preserve"> microorganism</w:t>
      </w:r>
      <w:r w:rsidR="005645F7">
        <w:rPr>
          <w:rFonts w:cs="Times New Roman"/>
          <w:kern w:val="22"/>
          <w:sz w:val="22"/>
          <w:lang w:val="fr-FR"/>
        </w:rPr>
        <w:t>e</w:t>
      </w:r>
      <w:r w:rsidR="00AC0D8F" w:rsidRPr="00CC2EFA">
        <w:rPr>
          <w:rFonts w:cs="Times New Roman"/>
          <w:kern w:val="22"/>
          <w:sz w:val="22"/>
          <w:lang w:val="fr-FR"/>
        </w:rPr>
        <w:t xml:space="preserve">s) </w:t>
      </w:r>
      <w:r w:rsidR="007A438A" w:rsidRPr="00CC2EFA">
        <w:rPr>
          <w:rFonts w:cs="Times New Roman"/>
          <w:kern w:val="22"/>
          <w:sz w:val="22"/>
          <w:lang w:val="fr-FR"/>
        </w:rPr>
        <w:t>contenus</w:t>
      </w:r>
      <w:r w:rsidR="005645F7">
        <w:rPr>
          <w:rFonts w:cs="Times New Roman"/>
          <w:kern w:val="22"/>
          <w:sz w:val="22"/>
          <w:lang w:val="fr-FR"/>
        </w:rPr>
        <w:t xml:space="preserve"> dans</w:t>
      </w:r>
      <w:r w:rsidR="00AC0D8F" w:rsidRPr="00CC2EFA">
        <w:rPr>
          <w:rFonts w:cs="Times New Roman"/>
          <w:kern w:val="22"/>
          <w:sz w:val="22"/>
          <w:lang w:val="fr-FR"/>
        </w:rPr>
        <w:t xml:space="preserve"> </w:t>
      </w:r>
      <w:r w:rsidR="00CA644E" w:rsidRPr="00CC2EFA">
        <w:rPr>
          <w:rFonts w:cs="Times New Roman"/>
          <w:kern w:val="22"/>
          <w:sz w:val="22"/>
          <w:lang w:val="fr-FR"/>
        </w:rPr>
        <w:t>ces</w:t>
      </w:r>
      <w:r w:rsidR="005645F7">
        <w:rPr>
          <w:rFonts w:cs="Times New Roman"/>
          <w:kern w:val="22"/>
          <w:sz w:val="22"/>
          <w:lang w:val="fr-FR"/>
        </w:rPr>
        <w:t xml:space="preserve"> collections inclu</w:t>
      </w:r>
      <w:r w:rsidR="00AC0D8F" w:rsidRPr="00CC2EFA">
        <w:rPr>
          <w:rFonts w:cs="Times New Roman"/>
          <w:kern w:val="22"/>
          <w:sz w:val="22"/>
          <w:lang w:val="fr-FR"/>
        </w:rPr>
        <w:t>e</w:t>
      </w:r>
      <w:r w:rsidR="00BD383D">
        <w:rPr>
          <w:rFonts w:cs="Times New Roman"/>
          <w:kern w:val="22"/>
          <w:sz w:val="22"/>
          <w:lang w:val="fr-FR"/>
        </w:rPr>
        <w:t>nt des bacté</w:t>
      </w:r>
      <w:r w:rsidR="005645F7">
        <w:rPr>
          <w:rFonts w:cs="Times New Roman"/>
          <w:kern w:val="22"/>
          <w:sz w:val="22"/>
          <w:lang w:val="fr-FR"/>
        </w:rPr>
        <w:t>ries</w:t>
      </w:r>
      <w:r w:rsidR="00AC0D8F" w:rsidRPr="00CC2EFA">
        <w:rPr>
          <w:rFonts w:cs="Times New Roman"/>
          <w:kern w:val="22"/>
          <w:sz w:val="22"/>
          <w:lang w:val="fr-FR"/>
        </w:rPr>
        <w:t xml:space="preserve">, </w:t>
      </w:r>
      <w:r w:rsidR="00BD383D">
        <w:rPr>
          <w:rFonts w:cs="Times New Roman"/>
          <w:kern w:val="22"/>
          <w:sz w:val="22"/>
          <w:lang w:val="fr-FR"/>
        </w:rPr>
        <w:t xml:space="preserve">des </w:t>
      </w:r>
      <w:r w:rsidR="00C6671C" w:rsidRPr="00CC2EFA">
        <w:rPr>
          <w:rFonts w:cs="Times New Roman"/>
          <w:kern w:val="22"/>
          <w:sz w:val="22"/>
          <w:lang w:val="fr-FR"/>
        </w:rPr>
        <w:t>protozoa</w:t>
      </w:r>
      <w:r w:rsidR="00BD383D">
        <w:rPr>
          <w:rFonts w:cs="Times New Roman"/>
          <w:kern w:val="22"/>
          <w:sz w:val="22"/>
          <w:lang w:val="fr-FR"/>
        </w:rPr>
        <w:t>ires</w:t>
      </w:r>
      <w:r w:rsidR="00C6671C" w:rsidRPr="00CC2EFA">
        <w:rPr>
          <w:rFonts w:cs="Times New Roman"/>
          <w:kern w:val="22"/>
          <w:sz w:val="22"/>
          <w:lang w:val="fr-FR"/>
        </w:rPr>
        <w:t xml:space="preserve">, </w:t>
      </w:r>
      <w:r w:rsidR="00BD383D">
        <w:rPr>
          <w:rFonts w:cs="Times New Roman"/>
          <w:kern w:val="22"/>
          <w:sz w:val="22"/>
          <w:lang w:val="fr-FR"/>
        </w:rPr>
        <w:t xml:space="preserve">des </w:t>
      </w:r>
      <w:r w:rsidR="005645F7">
        <w:rPr>
          <w:rFonts w:cs="Times New Roman"/>
          <w:kern w:val="22"/>
          <w:sz w:val="22"/>
          <w:lang w:val="fr-FR"/>
        </w:rPr>
        <w:t>champignons</w:t>
      </w:r>
      <w:r w:rsidR="00E3674F" w:rsidRPr="00CC2EFA">
        <w:rPr>
          <w:rFonts w:cs="Times New Roman"/>
          <w:kern w:val="22"/>
          <w:sz w:val="22"/>
          <w:lang w:val="fr-FR"/>
        </w:rPr>
        <w:t xml:space="preserve"> et </w:t>
      </w:r>
      <w:r w:rsidR="00BD383D">
        <w:rPr>
          <w:rFonts w:cs="Times New Roman"/>
          <w:kern w:val="22"/>
          <w:sz w:val="22"/>
          <w:lang w:val="fr-FR"/>
        </w:rPr>
        <w:t>des algues</w:t>
      </w:r>
      <w:r w:rsidR="00452436" w:rsidRPr="00CC2EFA">
        <w:rPr>
          <w:rFonts w:cs="Times New Roman"/>
          <w:kern w:val="22"/>
          <w:sz w:val="22"/>
          <w:lang w:val="fr-FR"/>
        </w:rPr>
        <w:t xml:space="preserve">. </w:t>
      </w:r>
      <w:r w:rsidR="005645F7">
        <w:rPr>
          <w:rFonts w:cs="Times New Roman"/>
          <w:kern w:val="22"/>
          <w:sz w:val="22"/>
          <w:lang w:val="fr-FR"/>
        </w:rPr>
        <w:t>Les c</w:t>
      </w:r>
      <w:r w:rsidR="00E15AC0" w:rsidRPr="00F86971">
        <w:rPr>
          <w:rFonts w:cs="Times New Roman"/>
          <w:kern w:val="22"/>
          <w:sz w:val="22"/>
          <w:lang w:val="fr-FR"/>
        </w:rPr>
        <w:t>ollections de cultures</w:t>
      </w:r>
      <w:r w:rsidR="00452436" w:rsidRPr="00F86971">
        <w:rPr>
          <w:rFonts w:cs="Times New Roman"/>
          <w:kern w:val="22"/>
          <w:sz w:val="22"/>
          <w:lang w:val="fr-FR"/>
        </w:rPr>
        <w:t xml:space="preserve"> </w:t>
      </w:r>
      <w:r w:rsidR="005645F7">
        <w:rPr>
          <w:rFonts w:cs="Times New Roman"/>
          <w:kern w:val="22"/>
          <w:sz w:val="22"/>
          <w:lang w:val="fr-FR"/>
        </w:rPr>
        <w:t>peuvent aussi contenir des</w:t>
      </w:r>
      <w:r w:rsidR="00AC0D8F" w:rsidRPr="00F86971">
        <w:rPr>
          <w:rFonts w:cs="Times New Roman"/>
          <w:kern w:val="22"/>
          <w:sz w:val="22"/>
          <w:lang w:val="fr-FR"/>
        </w:rPr>
        <w:t xml:space="preserve"> </w:t>
      </w:r>
      <w:r w:rsidR="002412D6">
        <w:rPr>
          <w:rFonts w:cs="Times New Roman"/>
          <w:kern w:val="22"/>
          <w:sz w:val="22"/>
          <w:lang w:val="fr-FR"/>
        </w:rPr>
        <w:t>lignées cellulaires</w:t>
      </w:r>
      <w:r w:rsidR="00AC0D8F" w:rsidRPr="00F86971">
        <w:rPr>
          <w:rFonts w:cs="Times New Roman"/>
          <w:kern w:val="22"/>
          <w:sz w:val="22"/>
          <w:lang w:val="fr-FR"/>
        </w:rPr>
        <w:t xml:space="preserve">, </w:t>
      </w:r>
      <w:r w:rsidR="00BD383D">
        <w:rPr>
          <w:rFonts w:cs="Times New Roman"/>
          <w:kern w:val="22"/>
          <w:sz w:val="22"/>
          <w:lang w:val="fr-FR"/>
        </w:rPr>
        <w:t xml:space="preserve">des </w:t>
      </w:r>
      <w:r w:rsidR="005645F7">
        <w:rPr>
          <w:rFonts w:cs="Times New Roman"/>
          <w:kern w:val="22"/>
          <w:sz w:val="22"/>
          <w:lang w:val="fr-FR"/>
        </w:rPr>
        <w:t>virus</w:t>
      </w:r>
      <w:r w:rsidR="00E3674F" w:rsidRPr="00F86971">
        <w:rPr>
          <w:rFonts w:cs="Times New Roman"/>
          <w:kern w:val="22"/>
          <w:sz w:val="22"/>
          <w:lang w:val="fr-FR"/>
        </w:rPr>
        <w:t xml:space="preserve"> et </w:t>
      </w:r>
      <w:r w:rsidR="00BD383D">
        <w:rPr>
          <w:rFonts w:cs="Times New Roman"/>
          <w:kern w:val="22"/>
          <w:sz w:val="22"/>
          <w:lang w:val="fr-FR"/>
        </w:rPr>
        <w:t xml:space="preserve">des produits </w:t>
      </w:r>
      <w:r w:rsidR="005645F7">
        <w:rPr>
          <w:rFonts w:cs="Times New Roman"/>
          <w:kern w:val="22"/>
          <w:sz w:val="22"/>
          <w:lang w:val="fr-FR"/>
        </w:rPr>
        <w:t>dérivé</w:t>
      </w:r>
      <w:r w:rsidR="00452436" w:rsidRPr="00F86971">
        <w:rPr>
          <w:rFonts w:cs="Times New Roman"/>
          <w:kern w:val="22"/>
          <w:sz w:val="22"/>
          <w:lang w:val="fr-FR"/>
        </w:rPr>
        <w:t>s</w:t>
      </w:r>
      <w:r w:rsidR="005645F7">
        <w:rPr>
          <w:rFonts w:cs="Times New Roman"/>
          <w:kern w:val="22"/>
          <w:sz w:val="22"/>
          <w:lang w:val="fr-FR"/>
        </w:rPr>
        <w:t xml:space="preserve"> végétaux et animaux,</w:t>
      </w:r>
      <w:r w:rsidR="00AC0D8F" w:rsidRPr="00F86971">
        <w:rPr>
          <w:rFonts w:cs="Times New Roman"/>
          <w:kern w:val="22"/>
          <w:sz w:val="22"/>
          <w:lang w:val="fr-FR"/>
        </w:rPr>
        <w:t xml:space="preserve"> </w:t>
      </w:r>
      <w:r w:rsidR="00733DB1" w:rsidRPr="00F86971">
        <w:rPr>
          <w:rFonts w:cs="Times New Roman"/>
          <w:kern w:val="22"/>
          <w:sz w:val="22"/>
          <w:lang w:val="fr-FR"/>
        </w:rPr>
        <w:t>tels que</w:t>
      </w:r>
      <w:r w:rsidR="00AC0D8F" w:rsidRPr="00F86971">
        <w:rPr>
          <w:rFonts w:cs="Times New Roman"/>
          <w:kern w:val="22"/>
          <w:sz w:val="22"/>
          <w:lang w:val="fr-FR"/>
        </w:rPr>
        <w:t xml:space="preserve"> </w:t>
      </w:r>
      <w:r w:rsidR="005645F7">
        <w:rPr>
          <w:rFonts w:cs="Times New Roman"/>
          <w:kern w:val="22"/>
          <w:sz w:val="22"/>
          <w:lang w:val="fr-FR"/>
        </w:rPr>
        <w:t xml:space="preserve">les </w:t>
      </w:r>
      <w:r w:rsidR="00AC0D8F" w:rsidRPr="00F86971">
        <w:rPr>
          <w:rFonts w:cs="Times New Roman"/>
          <w:kern w:val="22"/>
          <w:sz w:val="22"/>
          <w:lang w:val="fr-FR"/>
        </w:rPr>
        <w:t>plasmid</w:t>
      </w:r>
      <w:r w:rsidR="005645F7">
        <w:rPr>
          <w:rFonts w:cs="Times New Roman"/>
          <w:kern w:val="22"/>
          <w:sz w:val="22"/>
          <w:lang w:val="fr-FR"/>
        </w:rPr>
        <w:t>e</w:t>
      </w:r>
      <w:r w:rsidR="00AC0D8F" w:rsidRPr="00F86971">
        <w:rPr>
          <w:rFonts w:cs="Times New Roman"/>
          <w:kern w:val="22"/>
          <w:sz w:val="22"/>
          <w:lang w:val="fr-FR"/>
        </w:rPr>
        <w:t>s</w:t>
      </w:r>
      <w:r w:rsidR="00E3674F" w:rsidRPr="00F86971">
        <w:rPr>
          <w:rFonts w:cs="Times New Roman"/>
          <w:kern w:val="22"/>
          <w:sz w:val="22"/>
          <w:lang w:val="fr-FR"/>
        </w:rPr>
        <w:t xml:space="preserve"> et </w:t>
      </w:r>
      <w:r w:rsidR="000E53C0">
        <w:rPr>
          <w:rFonts w:cs="Times New Roman"/>
          <w:kern w:val="22"/>
          <w:sz w:val="22"/>
          <w:lang w:val="fr-FR"/>
        </w:rPr>
        <w:t>l’</w:t>
      </w:r>
      <w:r w:rsidR="00550AF1">
        <w:rPr>
          <w:rFonts w:cs="Times New Roman"/>
          <w:kern w:val="22"/>
          <w:sz w:val="22"/>
          <w:lang w:val="fr-FR"/>
        </w:rPr>
        <w:t xml:space="preserve">ADN complémentaire </w:t>
      </w:r>
      <w:r w:rsidR="00BD383D">
        <w:rPr>
          <w:rFonts w:cs="Times New Roman"/>
          <w:kern w:val="22"/>
          <w:sz w:val="22"/>
          <w:lang w:val="fr-FR"/>
        </w:rPr>
        <w:t xml:space="preserve">(aussi connu sous le nom </w:t>
      </w:r>
      <w:r w:rsidR="000E53C0">
        <w:rPr>
          <w:rFonts w:cs="Times New Roman"/>
          <w:kern w:val="22"/>
          <w:sz w:val="22"/>
          <w:lang w:val="fr-FR"/>
        </w:rPr>
        <w:t>d’</w:t>
      </w:r>
      <w:r w:rsidR="00550AF1">
        <w:rPr>
          <w:rFonts w:cs="Times New Roman"/>
          <w:kern w:val="22"/>
          <w:sz w:val="22"/>
          <w:lang w:val="fr-FR"/>
        </w:rPr>
        <w:t>ADNc</w:t>
      </w:r>
      <w:r w:rsidR="00AC0D8F" w:rsidRPr="00F86971">
        <w:rPr>
          <w:rFonts w:cs="Times New Roman"/>
          <w:kern w:val="22"/>
          <w:sz w:val="22"/>
          <w:lang w:val="fr-FR"/>
        </w:rPr>
        <w:t>).</w:t>
      </w:r>
      <w:r w:rsidR="00AC0D8F" w:rsidRPr="002364AB">
        <w:rPr>
          <w:rStyle w:val="FootnoteReference"/>
          <w:kern w:val="22"/>
          <w:sz w:val="22"/>
          <w:lang w:val="en-GB"/>
        </w:rPr>
        <w:footnoteReference w:id="79"/>
      </w:r>
      <w:r w:rsidR="00AC0D8F" w:rsidRPr="00F86971">
        <w:rPr>
          <w:rFonts w:cs="Times New Roman"/>
          <w:kern w:val="22"/>
          <w:sz w:val="22"/>
          <w:lang w:val="fr-FR"/>
        </w:rPr>
        <w:t xml:space="preserve"> </w:t>
      </w:r>
    </w:p>
    <w:p w14:paraId="1119CB4F" w14:textId="288781F5" w:rsidR="00AC0D8F" w:rsidRPr="008945A9" w:rsidRDefault="00B97D85" w:rsidP="00AC0D8F">
      <w:pPr>
        <w:rPr>
          <w:rFonts w:cs="Times New Roman"/>
          <w:kern w:val="22"/>
          <w:sz w:val="22"/>
          <w:lang w:val="fr-FR"/>
        </w:rPr>
      </w:pPr>
      <w:r w:rsidRPr="00550AF1">
        <w:rPr>
          <w:rFonts w:cs="Times New Roman"/>
          <w:kern w:val="22"/>
          <w:sz w:val="22"/>
          <w:lang w:val="fr-FR"/>
        </w:rPr>
        <w:t>La</w:t>
      </w:r>
      <w:r w:rsidR="00550AF1">
        <w:rPr>
          <w:rFonts w:cs="Times New Roman"/>
          <w:kern w:val="22"/>
          <w:sz w:val="22"/>
          <w:lang w:val="fr-FR"/>
        </w:rPr>
        <w:t xml:space="preserve"> WFCC comprend plus de 1000</w:t>
      </w:r>
      <w:r w:rsidR="00AC0D8F" w:rsidRPr="00550AF1">
        <w:rPr>
          <w:rFonts w:cs="Times New Roman"/>
          <w:kern w:val="22"/>
          <w:sz w:val="22"/>
          <w:lang w:val="fr-FR"/>
        </w:rPr>
        <w:t xml:space="preserve"> </w:t>
      </w:r>
      <w:r w:rsidR="00B679BA" w:rsidRPr="00550AF1">
        <w:rPr>
          <w:rFonts w:cs="Times New Roman"/>
          <w:kern w:val="22"/>
          <w:sz w:val="22"/>
          <w:lang w:val="fr-FR"/>
        </w:rPr>
        <w:t>membre</w:t>
      </w:r>
      <w:r w:rsidR="00AC0D8F" w:rsidRPr="00550AF1">
        <w:rPr>
          <w:rFonts w:cs="Times New Roman"/>
          <w:kern w:val="22"/>
          <w:sz w:val="22"/>
          <w:lang w:val="fr-FR"/>
        </w:rPr>
        <w:t>s</w:t>
      </w:r>
      <w:r w:rsidR="0028742E" w:rsidRPr="00550AF1">
        <w:rPr>
          <w:rFonts w:cs="Times New Roman"/>
          <w:kern w:val="22"/>
          <w:sz w:val="22"/>
          <w:lang w:val="fr-FR"/>
        </w:rPr>
        <w:t xml:space="preserve"> </w:t>
      </w:r>
      <w:r w:rsidR="00550AF1">
        <w:rPr>
          <w:rFonts w:cs="Times New Roman"/>
          <w:kern w:val="22"/>
          <w:sz w:val="22"/>
          <w:lang w:val="fr-FR"/>
        </w:rPr>
        <w:t xml:space="preserve">de collections </w:t>
      </w:r>
      <w:r w:rsidR="0028742E" w:rsidRPr="00550AF1">
        <w:rPr>
          <w:rFonts w:cs="Times New Roman"/>
          <w:kern w:val="22"/>
          <w:sz w:val="22"/>
          <w:lang w:val="fr-FR"/>
        </w:rPr>
        <w:t>ou</w:t>
      </w:r>
      <w:r w:rsidR="00C55525">
        <w:rPr>
          <w:rFonts w:cs="Times New Roman"/>
          <w:kern w:val="22"/>
          <w:sz w:val="22"/>
          <w:lang w:val="fr-FR"/>
        </w:rPr>
        <w:t xml:space="preserve"> de</w:t>
      </w:r>
      <w:r w:rsidR="0028742E" w:rsidRPr="00550AF1">
        <w:rPr>
          <w:rFonts w:cs="Times New Roman"/>
          <w:kern w:val="22"/>
          <w:sz w:val="22"/>
          <w:lang w:val="fr-FR"/>
        </w:rPr>
        <w:t xml:space="preserve"> </w:t>
      </w:r>
      <w:r w:rsidR="00B679BA" w:rsidRPr="00550AF1">
        <w:rPr>
          <w:rFonts w:cs="Times New Roman"/>
          <w:kern w:val="22"/>
          <w:sz w:val="22"/>
          <w:lang w:val="fr-FR"/>
        </w:rPr>
        <w:t>membre</w:t>
      </w:r>
      <w:r w:rsidR="00AC0D8F" w:rsidRPr="00550AF1">
        <w:rPr>
          <w:rFonts w:cs="Times New Roman"/>
          <w:kern w:val="22"/>
          <w:sz w:val="22"/>
          <w:lang w:val="fr-FR"/>
        </w:rPr>
        <w:t>s</w:t>
      </w:r>
      <w:r w:rsidR="00C55525">
        <w:rPr>
          <w:rFonts w:cs="Times New Roman"/>
          <w:kern w:val="22"/>
          <w:sz w:val="22"/>
          <w:lang w:val="fr-FR"/>
        </w:rPr>
        <w:t xml:space="preserve"> affiliés inscrits, provenant </w:t>
      </w:r>
      <w:r w:rsidR="00550AF1">
        <w:rPr>
          <w:rFonts w:cs="Times New Roman"/>
          <w:kern w:val="22"/>
          <w:sz w:val="22"/>
          <w:lang w:val="fr-FR"/>
        </w:rPr>
        <w:t xml:space="preserve">de </w:t>
      </w:r>
      <w:r w:rsidR="00C55525">
        <w:rPr>
          <w:rFonts w:cs="Times New Roman"/>
          <w:kern w:val="22"/>
          <w:sz w:val="22"/>
          <w:lang w:val="fr-FR"/>
        </w:rPr>
        <w:t>125 </w:t>
      </w:r>
      <w:r w:rsidR="00E40444" w:rsidRPr="00550AF1">
        <w:rPr>
          <w:rFonts w:cs="Times New Roman"/>
          <w:kern w:val="22"/>
          <w:sz w:val="22"/>
          <w:lang w:val="fr-FR"/>
        </w:rPr>
        <w:t>pays</w:t>
      </w:r>
      <w:r w:rsidR="00AC0D8F" w:rsidRPr="00550AF1">
        <w:rPr>
          <w:rFonts w:cs="Times New Roman"/>
          <w:kern w:val="22"/>
          <w:sz w:val="22"/>
          <w:lang w:val="fr-FR"/>
        </w:rPr>
        <w:t>.</w:t>
      </w:r>
      <w:r w:rsidR="00AC0D8F" w:rsidRPr="002364AB">
        <w:rPr>
          <w:rStyle w:val="FootnoteReference"/>
          <w:kern w:val="22"/>
          <w:sz w:val="22"/>
          <w:lang w:val="en-GB"/>
        </w:rPr>
        <w:footnoteReference w:id="80"/>
      </w:r>
      <w:r w:rsidR="00AC0D8F" w:rsidRPr="00550AF1">
        <w:rPr>
          <w:rFonts w:cs="Times New Roman"/>
          <w:kern w:val="22"/>
          <w:sz w:val="22"/>
          <w:lang w:val="fr-FR"/>
        </w:rPr>
        <w:t xml:space="preserve"> </w:t>
      </w:r>
      <w:r w:rsidR="00550AF1" w:rsidRPr="00550AF1">
        <w:rPr>
          <w:rFonts w:cs="Times New Roman"/>
          <w:kern w:val="22"/>
          <w:sz w:val="22"/>
          <w:lang w:val="fr-FR"/>
        </w:rPr>
        <w:t>Elle a adop</w:t>
      </w:r>
      <w:r w:rsidR="00550AF1">
        <w:rPr>
          <w:rFonts w:cs="Times New Roman"/>
          <w:kern w:val="22"/>
          <w:sz w:val="22"/>
          <w:lang w:val="fr-FR"/>
        </w:rPr>
        <w:t xml:space="preserve">té un code de conduite qui </w:t>
      </w:r>
      <w:r w:rsidR="008945A9">
        <w:rPr>
          <w:rFonts w:cs="Times New Roman"/>
          <w:kern w:val="22"/>
          <w:sz w:val="22"/>
          <w:lang w:val="fr-FR"/>
        </w:rPr>
        <w:t xml:space="preserve">« approuve les </w:t>
      </w:r>
      <w:r w:rsidR="008945A9">
        <w:rPr>
          <w:kern w:val="22"/>
          <w:sz w:val="22"/>
          <w:lang w:val="fr-FR"/>
        </w:rPr>
        <w:t>princip</w:t>
      </w:r>
      <w:r w:rsidR="00AC0D8F" w:rsidRPr="00550AF1">
        <w:rPr>
          <w:kern w:val="22"/>
          <w:sz w:val="22"/>
          <w:lang w:val="fr-FR"/>
        </w:rPr>
        <w:t xml:space="preserve">es </w:t>
      </w:r>
      <w:r w:rsidR="008F38B0" w:rsidRPr="00550AF1">
        <w:rPr>
          <w:kern w:val="22"/>
          <w:sz w:val="22"/>
          <w:lang w:val="fr-FR"/>
        </w:rPr>
        <w:t>de la Convention</w:t>
      </w:r>
      <w:r w:rsidR="00AC0D8F" w:rsidRPr="00550AF1">
        <w:rPr>
          <w:kern w:val="22"/>
          <w:sz w:val="22"/>
          <w:lang w:val="fr-FR"/>
        </w:rPr>
        <w:t xml:space="preserve"> </w:t>
      </w:r>
      <w:r w:rsidR="0020703A" w:rsidRPr="00550AF1">
        <w:rPr>
          <w:kern w:val="22"/>
          <w:sz w:val="22"/>
          <w:lang w:val="fr-FR"/>
        </w:rPr>
        <w:t xml:space="preserve">sur la diversité </w:t>
      </w:r>
      <w:r w:rsidR="0020703A" w:rsidRPr="00550AF1">
        <w:rPr>
          <w:kern w:val="22"/>
          <w:sz w:val="22"/>
          <w:lang w:val="fr-FR"/>
        </w:rPr>
        <w:lastRenderedPageBreak/>
        <w:t>biologique</w:t>
      </w:r>
      <w:r w:rsidR="00E3674F" w:rsidRPr="00550AF1">
        <w:rPr>
          <w:kern w:val="22"/>
          <w:sz w:val="22"/>
          <w:lang w:val="fr-FR"/>
        </w:rPr>
        <w:t xml:space="preserve"> et </w:t>
      </w:r>
      <w:r w:rsidR="00C55525">
        <w:rPr>
          <w:kern w:val="22"/>
          <w:sz w:val="22"/>
          <w:lang w:val="fr-FR"/>
        </w:rPr>
        <w:t xml:space="preserve">exige que le matériel biologique soit reçu et fourni en </w:t>
      </w:r>
      <w:r w:rsidR="008945A9">
        <w:rPr>
          <w:kern w:val="22"/>
          <w:sz w:val="22"/>
          <w:lang w:val="fr-FR"/>
        </w:rPr>
        <w:t>respect</w:t>
      </w:r>
      <w:r w:rsidR="00C55525">
        <w:rPr>
          <w:kern w:val="22"/>
          <w:sz w:val="22"/>
          <w:lang w:val="fr-FR"/>
        </w:rPr>
        <w:t xml:space="preserve">ant </w:t>
      </w:r>
      <w:r w:rsidR="008945A9">
        <w:rPr>
          <w:kern w:val="22"/>
          <w:sz w:val="22"/>
          <w:lang w:val="fr-FR"/>
        </w:rPr>
        <w:t>l’esprit de la Convention ».</w:t>
      </w:r>
      <w:r w:rsidR="00AC0D8F" w:rsidRPr="002364AB">
        <w:rPr>
          <w:rStyle w:val="FootnoteReference"/>
          <w:kern w:val="22"/>
          <w:sz w:val="22"/>
          <w:lang w:val="en-GB"/>
        </w:rPr>
        <w:footnoteReference w:id="81"/>
      </w:r>
      <w:r w:rsidR="00AC0D8F" w:rsidRPr="00550AF1">
        <w:rPr>
          <w:rFonts w:cs="Times New Roman"/>
          <w:kern w:val="22"/>
          <w:sz w:val="22"/>
          <w:lang w:val="fr-FR"/>
        </w:rPr>
        <w:t xml:space="preserve"> </w:t>
      </w:r>
      <w:r w:rsidR="008945A9">
        <w:rPr>
          <w:rFonts w:cs="Times New Roman"/>
          <w:kern w:val="22"/>
          <w:sz w:val="22"/>
          <w:lang w:val="fr-FR"/>
        </w:rPr>
        <w:t xml:space="preserve">Bien que la plupart des </w:t>
      </w:r>
      <w:r w:rsidR="00E3674F" w:rsidRPr="00550AF1">
        <w:rPr>
          <w:rFonts w:cs="Times New Roman"/>
          <w:kern w:val="22"/>
          <w:sz w:val="22"/>
          <w:lang w:val="fr-FR"/>
        </w:rPr>
        <w:t>ressources génétiques</w:t>
      </w:r>
      <w:r w:rsidR="008945A9">
        <w:rPr>
          <w:rFonts w:cs="Times New Roman"/>
          <w:kern w:val="22"/>
          <w:sz w:val="22"/>
          <w:lang w:val="fr-FR"/>
        </w:rPr>
        <w:t xml:space="preserve"> microbiennes</w:t>
      </w:r>
      <w:r w:rsidR="00AC0D8F" w:rsidRPr="00550AF1">
        <w:rPr>
          <w:rFonts w:cs="Times New Roman"/>
          <w:kern w:val="22"/>
          <w:sz w:val="22"/>
          <w:lang w:val="fr-FR"/>
        </w:rPr>
        <w:t xml:space="preserve"> </w:t>
      </w:r>
      <w:r w:rsidR="007A438A" w:rsidRPr="00550AF1">
        <w:rPr>
          <w:rFonts w:cs="Times New Roman"/>
          <w:kern w:val="22"/>
          <w:sz w:val="22"/>
          <w:lang w:val="fr-FR"/>
        </w:rPr>
        <w:t xml:space="preserve">des </w:t>
      </w:r>
      <w:r w:rsidR="00E15AC0" w:rsidRPr="00550AF1">
        <w:rPr>
          <w:rFonts w:cs="Times New Roman"/>
          <w:kern w:val="22"/>
          <w:sz w:val="22"/>
          <w:lang w:val="fr-FR"/>
        </w:rPr>
        <w:t>collections de cultures</w:t>
      </w:r>
      <w:r w:rsidR="008945A9">
        <w:rPr>
          <w:rFonts w:cs="Times New Roman"/>
          <w:kern w:val="22"/>
          <w:sz w:val="22"/>
          <w:lang w:val="fr-FR"/>
        </w:rPr>
        <w:t xml:space="preserve"> proviennent de sources</w:t>
      </w:r>
      <w:r w:rsidR="00AC0D8F" w:rsidRPr="00550AF1">
        <w:rPr>
          <w:rFonts w:cs="Times New Roman"/>
          <w:kern w:val="22"/>
          <w:sz w:val="22"/>
          <w:lang w:val="fr-FR"/>
        </w:rPr>
        <w:t xml:space="preserve"> </w:t>
      </w:r>
      <w:r w:rsidR="00AC0D8F" w:rsidRPr="00550AF1">
        <w:rPr>
          <w:rFonts w:cs="Times New Roman"/>
          <w:i/>
          <w:iCs/>
          <w:kern w:val="22"/>
          <w:sz w:val="22"/>
          <w:lang w:val="fr-FR"/>
        </w:rPr>
        <w:t>in situ</w:t>
      </w:r>
      <w:r w:rsidR="00AC0D8F" w:rsidRPr="00550AF1">
        <w:rPr>
          <w:rFonts w:cs="Times New Roman"/>
          <w:kern w:val="22"/>
          <w:sz w:val="22"/>
          <w:lang w:val="fr-FR"/>
        </w:rPr>
        <w:t xml:space="preserve">, </w:t>
      </w:r>
      <w:r w:rsidR="00C55525">
        <w:rPr>
          <w:rFonts w:cs="Times New Roman"/>
          <w:kern w:val="22"/>
          <w:sz w:val="22"/>
          <w:lang w:val="fr-FR"/>
        </w:rPr>
        <w:t>la manière</w:t>
      </w:r>
      <w:r w:rsidR="008945A9">
        <w:rPr>
          <w:rFonts w:cs="Times New Roman"/>
          <w:kern w:val="22"/>
          <w:sz w:val="22"/>
          <w:lang w:val="fr-FR"/>
        </w:rPr>
        <w:t xml:space="preserve"> do</w:t>
      </w:r>
      <w:r w:rsidR="00C55525">
        <w:rPr>
          <w:rFonts w:cs="Times New Roman"/>
          <w:kern w:val="22"/>
          <w:sz w:val="22"/>
          <w:lang w:val="fr-FR"/>
        </w:rPr>
        <w:t>nt ces ressources ont été obtenu</w:t>
      </w:r>
      <w:r w:rsidR="008945A9">
        <w:rPr>
          <w:rFonts w:cs="Times New Roman"/>
          <w:kern w:val="22"/>
          <w:sz w:val="22"/>
          <w:lang w:val="fr-FR"/>
        </w:rPr>
        <w:t>es varie</w:t>
      </w:r>
      <w:r w:rsidR="00AC0D8F" w:rsidRPr="00550AF1">
        <w:rPr>
          <w:rFonts w:cs="Times New Roman"/>
          <w:kern w:val="22"/>
          <w:sz w:val="22"/>
          <w:lang w:val="fr-FR"/>
        </w:rPr>
        <w:t>.</w:t>
      </w:r>
      <w:r w:rsidR="00AC0D8F" w:rsidRPr="002364AB">
        <w:rPr>
          <w:rStyle w:val="FootnoteReference"/>
          <w:kern w:val="22"/>
          <w:sz w:val="22"/>
          <w:lang w:val="en-GB"/>
        </w:rPr>
        <w:footnoteReference w:id="82"/>
      </w:r>
      <w:r w:rsidR="00AC0D8F" w:rsidRPr="00550AF1">
        <w:rPr>
          <w:rFonts w:cs="Times New Roman"/>
          <w:kern w:val="22"/>
          <w:sz w:val="22"/>
          <w:lang w:val="fr-FR"/>
        </w:rPr>
        <w:t xml:space="preserve"> </w:t>
      </w:r>
      <w:r w:rsidR="008945A9">
        <w:rPr>
          <w:rFonts w:cs="Times New Roman"/>
          <w:kern w:val="22"/>
          <w:sz w:val="22"/>
          <w:lang w:val="fr-FR"/>
        </w:rPr>
        <w:t>Les</w:t>
      </w:r>
      <w:r w:rsidR="00AC0D8F" w:rsidRPr="008945A9">
        <w:rPr>
          <w:rFonts w:cs="Times New Roman"/>
          <w:kern w:val="22"/>
          <w:sz w:val="22"/>
          <w:lang w:val="fr-FR"/>
        </w:rPr>
        <w:t xml:space="preserve"> </w:t>
      </w:r>
      <w:r w:rsidR="00E15AC0" w:rsidRPr="008945A9">
        <w:rPr>
          <w:rFonts w:cs="Times New Roman"/>
          <w:kern w:val="22"/>
          <w:sz w:val="22"/>
          <w:lang w:val="fr-FR"/>
        </w:rPr>
        <w:t>collections de cultures</w:t>
      </w:r>
      <w:r w:rsidR="008945A9">
        <w:rPr>
          <w:rFonts w:cs="Times New Roman"/>
          <w:kern w:val="22"/>
          <w:sz w:val="22"/>
          <w:lang w:val="fr-FR"/>
        </w:rPr>
        <w:t xml:space="preserve"> publiques acquièrent directement plus de la moitié de leurs </w:t>
      </w:r>
      <w:r w:rsidR="00D6232E" w:rsidRPr="008945A9">
        <w:rPr>
          <w:rFonts w:cs="Times New Roman"/>
          <w:kern w:val="22"/>
          <w:sz w:val="22"/>
          <w:lang w:val="fr-FR"/>
        </w:rPr>
        <w:t>spécimen</w:t>
      </w:r>
      <w:r w:rsidR="00AC0D8F" w:rsidRPr="008945A9">
        <w:rPr>
          <w:rFonts w:cs="Times New Roman"/>
          <w:kern w:val="22"/>
          <w:sz w:val="22"/>
          <w:lang w:val="fr-FR"/>
        </w:rPr>
        <w:t xml:space="preserve">s </w:t>
      </w:r>
      <w:r w:rsidR="00C55525">
        <w:rPr>
          <w:rFonts w:cs="Times New Roman"/>
          <w:kern w:val="22"/>
          <w:sz w:val="22"/>
          <w:lang w:val="fr-FR"/>
        </w:rPr>
        <w:t>dans l</w:t>
      </w:r>
      <w:r w:rsidR="008945A9">
        <w:rPr>
          <w:rFonts w:cs="Times New Roman"/>
          <w:kern w:val="22"/>
          <w:sz w:val="22"/>
          <w:lang w:val="fr-FR"/>
        </w:rPr>
        <w:t>es</w:t>
      </w:r>
      <w:r w:rsidR="00390EC2" w:rsidRPr="008945A9">
        <w:rPr>
          <w:rFonts w:cs="Times New Roman"/>
          <w:kern w:val="22"/>
          <w:sz w:val="22"/>
          <w:lang w:val="fr-FR"/>
        </w:rPr>
        <w:t xml:space="preserve"> </w:t>
      </w:r>
      <w:r w:rsidR="00651FB0" w:rsidRPr="008945A9">
        <w:rPr>
          <w:kern w:val="22"/>
          <w:sz w:val="22"/>
          <w:lang w:val="fr-FR"/>
        </w:rPr>
        <w:t>écosystèmes</w:t>
      </w:r>
      <w:r w:rsidR="00E3674F" w:rsidRPr="008945A9">
        <w:rPr>
          <w:kern w:val="22"/>
          <w:sz w:val="22"/>
          <w:lang w:val="fr-FR"/>
        </w:rPr>
        <w:t xml:space="preserve"> et </w:t>
      </w:r>
      <w:r w:rsidR="00C55525">
        <w:rPr>
          <w:kern w:val="22"/>
          <w:sz w:val="22"/>
          <w:lang w:val="fr-FR"/>
        </w:rPr>
        <w:t xml:space="preserve">les </w:t>
      </w:r>
      <w:r w:rsidR="00390EC2" w:rsidRPr="008945A9">
        <w:rPr>
          <w:kern w:val="22"/>
          <w:sz w:val="22"/>
          <w:lang w:val="fr-FR"/>
        </w:rPr>
        <w:t>habitats</w:t>
      </w:r>
      <w:r w:rsidR="008945A9">
        <w:rPr>
          <w:kern w:val="22"/>
          <w:sz w:val="22"/>
          <w:lang w:val="fr-FR"/>
        </w:rPr>
        <w:t xml:space="preserve"> naturels</w:t>
      </w:r>
      <w:r w:rsidR="00AC0D8F" w:rsidRPr="008945A9">
        <w:rPr>
          <w:rFonts w:cs="Times New Roman"/>
          <w:kern w:val="22"/>
          <w:sz w:val="22"/>
          <w:lang w:val="fr-FR"/>
        </w:rPr>
        <w:t>,</w:t>
      </w:r>
      <w:r w:rsidR="008945A9">
        <w:rPr>
          <w:rFonts w:cs="Times New Roman"/>
          <w:kern w:val="22"/>
          <w:sz w:val="22"/>
          <w:lang w:val="fr-FR"/>
        </w:rPr>
        <w:t xml:space="preserve"> et les</w:t>
      </w:r>
      <w:r w:rsidR="00D6232E" w:rsidRPr="008945A9">
        <w:rPr>
          <w:rFonts w:cs="Times New Roman"/>
          <w:kern w:val="22"/>
          <w:sz w:val="22"/>
          <w:lang w:val="fr-FR"/>
        </w:rPr>
        <w:t xml:space="preserve"> </w:t>
      </w:r>
      <w:r w:rsidR="008A362D" w:rsidRPr="008945A9">
        <w:rPr>
          <w:rFonts w:cs="Times New Roman"/>
          <w:kern w:val="22"/>
          <w:sz w:val="22"/>
          <w:lang w:val="fr-FR"/>
        </w:rPr>
        <w:t>chercheurs</w:t>
      </w:r>
      <w:r w:rsidR="00C55525">
        <w:rPr>
          <w:rFonts w:cs="Times New Roman"/>
          <w:kern w:val="22"/>
          <w:sz w:val="22"/>
          <w:lang w:val="fr-FR"/>
        </w:rPr>
        <w:t xml:space="preserve"> déposent souvent leur</w:t>
      </w:r>
      <w:r w:rsidR="008945A9">
        <w:rPr>
          <w:rFonts w:cs="Times New Roman"/>
          <w:kern w:val="22"/>
          <w:sz w:val="22"/>
          <w:lang w:val="fr-FR"/>
        </w:rPr>
        <w:t xml:space="preserve"> matérie</w:t>
      </w:r>
      <w:r w:rsidR="00AC0D8F" w:rsidRPr="008945A9">
        <w:rPr>
          <w:rFonts w:cs="Times New Roman"/>
          <w:kern w:val="22"/>
          <w:sz w:val="22"/>
          <w:lang w:val="fr-FR"/>
        </w:rPr>
        <w:t>l</w:t>
      </w:r>
      <w:r w:rsidR="008945A9">
        <w:rPr>
          <w:rFonts w:cs="Times New Roman"/>
          <w:kern w:val="22"/>
          <w:sz w:val="22"/>
          <w:lang w:val="fr-FR"/>
        </w:rPr>
        <w:t xml:space="preserve"> bi</w:t>
      </w:r>
      <w:r w:rsidR="00C55525">
        <w:rPr>
          <w:rFonts w:cs="Times New Roman"/>
          <w:kern w:val="22"/>
          <w:sz w:val="22"/>
          <w:lang w:val="fr-FR"/>
        </w:rPr>
        <w:t>ologique dans d</w:t>
      </w:r>
      <w:r w:rsidR="008945A9">
        <w:rPr>
          <w:rFonts w:cs="Times New Roman"/>
          <w:kern w:val="22"/>
          <w:sz w:val="22"/>
          <w:lang w:val="fr-FR"/>
        </w:rPr>
        <w:t>es</w:t>
      </w:r>
      <w:r w:rsidR="00530EC5" w:rsidRPr="008945A9">
        <w:rPr>
          <w:rFonts w:cs="Times New Roman"/>
          <w:kern w:val="22"/>
          <w:sz w:val="22"/>
          <w:lang w:val="fr-FR"/>
        </w:rPr>
        <w:t xml:space="preserve"> collections</w:t>
      </w:r>
      <w:r w:rsidR="00C55525">
        <w:rPr>
          <w:rFonts w:cs="Times New Roman"/>
          <w:kern w:val="22"/>
          <w:sz w:val="22"/>
          <w:lang w:val="fr-FR"/>
        </w:rPr>
        <w:t xml:space="preserve"> en même temps qu’une publication </w:t>
      </w:r>
      <w:r w:rsidR="0028742E" w:rsidRPr="008945A9">
        <w:rPr>
          <w:rFonts w:cs="Times New Roman"/>
          <w:kern w:val="22"/>
          <w:sz w:val="22"/>
          <w:lang w:val="fr-FR"/>
        </w:rPr>
        <w:t xml:space="preserve">ou </w:t>
      </w:r>
      <w:r w:rsidR="008945A9">
        <w:rPr>
          <w:rFonts w:cs="Times New Roman"/>
          <w:kern w:val="22"/>
          <w:sz w:val="22"/>
          <w:lang w:val="fr-FR"/>
        </w:rPr>
        <w:t xml:space="preserve">une demande de </w:t>
      </w:r>
      <w:r w:rsidR="001B70B7">
        <w:rPr>
          <w:rFonts w:cs="Times New Roman"/>
          <w:kern w:val="22"/>
          <w:sz w:val="22"/>
          <w:lang w:val="fr-FR"/>
        </w:rPr>
        <w:t>droits de propriété intellectuelle</w:t>
      </w:r>
      <w:r w:rsidR="00AC0D8F" w:rsidRPr="008945A9">
        <w:rPr>
          <w:rFonts w:cs="Times New Roman"/>
          <w:kern w:val="22"/>
          <w:sz w:val="22"/>
          <w:lang w:val="fr-FR"/>
        </w:rPr>
        <w:t>,</w:t>
      </w:r>
      <w:r w:rsidR="00927B9D">
        <w:rPr>
          <w:rFonts w:cs="Times New Roman"/>
          <w:kern w:val="22"/>
          <w:sz w:val="22"/>
          <w:lang w:val="fr-FR"/>
        </w:rPr>
        <w:t xml:space="preserve"> tandis que </w:t>
      </w:r>
      <w:r w:rsidR="0075509E">
        <w:rPr>
          <w:rFonts w:cs="Times New Roman"/>
          <w:kern w:val="22"/>
          <w:sz w:val="22"/>
          <w:lang w:val="fr-FR"/>
        </w:rPr>
        <w:t>des échanges</w:t>
      </w:r>
      <w:r w:rsidR="00E3674F" w:rsidRPr="008945A9">
        <w:rPr>
          <w:rFonts w:cs="Times New Roman"/>
          <w:kern w:val="22"/>
          <w:sz w:val="22"/>
          <w:lang w:val="fr-FR"/>
        </w:rPr>
        <w:t xml:space="preserve"> </w:t>
      </w:r>
      <w:r w:rsidR="00927B9D">
        <w:rPr>
          <w:rFonts w:cs="Times New Roman"/>
          <w:kern w:val="22"/>
          <w:sz w:val="22"/>
          <w:lang w:val="fr-FR"/>
        </w:rPr>
        <w:t>de spécimens officiel</w:t>
      </w:r>
      <w:r w:rsidR="0075509E">
        <w:rPr>
          <w:rFonts w:cs="Times New Roman"/>
          <w:kern w:val="22"/>
          <w:sz w:val="22"/>
          <w:lang w:val="fr-FR"/>
        </w:rPr>
        <w:t>s</w:t>
      </w:r>
      <w:r w:rsidR="00E3674F" w:rsidRPr="008945A9">
        <w:rPr>
          <w:rFonts w:cs="Times New Roman"/>
          <w:kern w:val="22"/>
          <w:sz w:val="22"/>
          <w:lang w:val="fr-FR"/>
        </w:rPr>
        <w:t xml:space="preserve"> et </w:t>
      </w:r>
      <w:r w:rsidR="00927B9D">
        <w:rPr>
          <w:rFonts w:cs="Times New Roman"/>
          <w:kern w:val="22"/>
          <w:sz w:val="22"/>
          <w:lang w:val="fr-FR"/>
        </w:rPr>
        <w:t>non officiels</w:t>
      </w:r>
      <w:r w:rsidR="00C55525">
        <w:rPr>
          <w:rFonts w:cs="Times New Roman"/>
          <w:kern w:val="22"/>
          <w:sz w:val="22"/>
          <w:lang w:val="fr-FR"/>
        </w:rPr>
        <w:t xml:space="preserve"> entre les </w:t>
      </w:r>
      <w:r w:rsidR="00AC0D8F" w:rsidRPr="008945A9">
        <w:rPr>
          <w:rFonts w:cs="Times New Roman"/>
          <w:kern w:val="22"/>
          <w:sz w:val="22"/>
          <w:lang w:val="fr-FR"/>
        </w:rPr>
        <w:t xml:space="preserve">institutions </w:t>
      </w:r>
      <w:r w:rsidR="00C55525">
        <w:rPr>
          <w:rFonts w:cs="Times New Roman"/>
          <w:kern w:val="22"/>
          <w:sz w:val="22"/>
          <w:lang w:val="fr-FR"/>
        </w:rPr>
        <w:t>constituent le reste</w:t>
      </w:r>
      <w:r w:rsidR="0075509E">
        <w:rPr>
          <w:rFonts w:cs="Times New Roman"/>
          <w:kern w:val="22"/>
          <w:sz w:val="22"/>
          <w:lang w:val="fr-FR"/>
        </w:rPr>
        <w:t xml:space="preserve"> des</w:t>
      </w:r>
      <w:r w:rsidR="00390EC2" w:rsidRPr="008945A9">
        <w:rPr>
          <w:rFonts w:cs="Times New Roman"/>
          <w:kern w:val="22"/>
          <w:sz w:val="22"/>
          <w:lang w:val="fr-FR"/>
        </w:rPr>
        <w:t xml:space="preserve"> acquisition</w:t>
      </w:r>
      <w:r w:rsidR="000173EB" w:rsidRPr="008945A9">
        <w:rPr>
          <w:rFonts w:cs="Times New Roman"/>
          <w:kern w:val="22"/>
          <w:sz w:val="22"/>
          <w:lang w:val="fr-FR"/>
        </w:rPr>
        <w:t>s</w:t>
      </w:r>
      <w:r w:rsidR="00AC0D8F" w:rsidRPr="002364AB">
        <w:rPr>
          <w:rStyle w:val="FootnoteReference"/>
          <w:kern w:val="22"/>
          <w:sz w:val="22"/>
          <w:lang w:val="en-GB"/>
        </w:rPr>
        <w:footnoteReference w:id="83"/>
      </w:r>
      <w:r w:rsidR="00AC0D8F" w:rsidRPr="008945A9">
        <w:rPr>
          <w:rFonts w:cs="Times New Roman"/>
          <w:kern w:val="22"/>
          <w:sz w:val="22"/>
          <w:lang w:val="fr-FR"/>
        </w:rPr>
        <w:t xml:space="preserve"> </w:t>
      </w:r>
    </w:p>
    <w:p w14:paraId="25995AB6" w14:textId="3C6B7BD9" w:rsidR="00AC0D8F" w:rsidRPr="00FB5AF9" w:rsidRDefault="0075509E" w:rsidP="00AC0D8F">
      <w:pPr>
        <w:rPr>
          <w:rFonts w:cs="Times New Roman"/>
          <w:kern w:val="22"/>
          <w:sz w:val="22"/>
          <w:lang w:val="fr-FR"/>
        </w:rPr>
      </w:pPr>
      <w:r>
        <w:rPr>
          <w:rFonts w:cs="Times New Roman"/>
          <w:kern w:val="22"/>
          <w:sz w:val="22"/>
          <w:lang w:val="fr-FR"/>
        </w:rPr>
        <w:t xml:space="preserve">Dans une </w:t>
      </w:r>
      <w:r w:rsidR="002518EB" w:rsidRPr="005645F7">
        <w:rPr>
          <w:rFonts w:cs="Times New Roman"/>
          <w:kern w:val="22"/>
          <w:sz w:val="22"/>
          <w:lang w:val="fr-FR"/>
        </w:rPr>
        <w:t>communication</w:t>
      </w:r>
      <w:r w:rsidR="00AC0D8F" w:rsidRPr="005645F7">
        <w:rPr>
          <w:rFonts w:cs="Times New Roman"/>
          <w:kern w:val="22"/>
          <w:sz w:val="22"/>
          <w:lang w:val="fr-FR"/>
        </w:rPr>
        <w:t xml:space="preserve"> </w:t>
      </w:r>
      <w:r>
        <w:rPr>
          <w:rFonts w:cs="Times New Roman"/>
          <w:kern w:val="22"/>
          <w:sz w:val="22"/>
          <w:lang w:val="fr-FR"/>
        </w:rPr>
        <w:t xml:space="preserve">de 2017 de la </w:t>
      </w:r>
      <w:r w:rsidR="00AC0D8F" w:rsidRPr="005645F7">
        <w:rPr>
          <w:rFonts w:cs="Times New Roman"/>
          <w:kern w:val="22"/>
          <w:sz w:val="22"/>
          <w:lang w:val="fr-FR"/>
        </w:rPr>
        <w:t xml:space="preserve">WFCC, </w:t>
      </w:r>
      <w:r w:rsidR="008C205E">
        <w:rPr>
          <w:rFonts w:cs="Times New Roman"/>
          <w:kern w:val="22"/>
          <w:sz w:val="22"/>
          <w:lang w:val="fr-FR"/>
        </w:rPr>
        <w:t xml:space="preserve">rédigée </w:t>
      </w:r>
      <w:r>
        <w:rPr>
          <w:rFonts w:cs="Times New Roman"/>
          <w:kern w:val="22"/>
          <w:sz w:val="22"/>
          <w:lang w:val="fr-FR"/>
        </w:rPr>
        <w:t>conjointem</w:t>
      </w:r>
      <w:r w:rsidR="008C205E">
        <w:rPr>
          <w:rFonts w:cs="Times New Roman"/>
          <w:kern w:val="22"/>
          <w:sz w:val="22"/>
          <w:lang w:val="fr-FR"/>
        </w:rPr>
        <w:t>ent avec deux organismes apparenté</w:t>
      </w:r>
      <w:r>
        <w:rPr>
          <w:rFonts w:cs="Times New Roman"/>
          <w:kern w:val="22"/>
          <w:sz w:val="22"/>
          <w:lang w:val="fr-FR"/>
        </w:rPr>
        <w:t xml:space="preserve">s, deux </w:t>
      </w:r>
      <w:r w:rsidR="00E752CB" w:rsidRPr="005645F7">
        <w:rPr>
          <w:rFonts w:cs="Times New Roman"/>
          <w:kern w:val="22"/>
          <w:sz w:val="22"/>
          <w:lang w:val="fr-FR"/>
        </w:rPr>
        <w:t>scénario</w:t>
      </w:r>
      <w:r w:rsidR="008C205E">
        <w:rPr>
          <w:rFonts w:cs="Times New Roman"/>
          <w:kern w:val="22"/>
          <w:sz w:val="22"/>
          <w:lang w:val="fr-FR"/>
        </w:rPr>
        <w:t>s ont été identifiés pour</w:t>
      </w:r>
      <w:r>
        <w:rPr>
          <w:rFonts w:cs="Times New Roman"/>
          <w:kern w:val="22"/>
          <w:sz w:val="22"/>
          <w:lang w:val="fr-FR"/>
        </w:rPr>
        <w:t xml:space="preserve"> </w:t>
      </w:r>
      <w:r w:rsidR="0062035A" w:rsidRPr="005645F7">
        <w:rPr>
          <w:rFonts w:cs="Times New Roman"/>
          <w:kern w:val="22"/>
          <w:sz w:val="22"/>
          <w:lang w:val="fr-FR"/>
        </w:rPr>
        <w:t>lesquels</w:t>
      </w:r>
      <w:r w:rsidR="00AC0D8F" w:rsidRPr="005645F7">
        <w:rPr>
          <w:rFonts w:cs="Times New Roman"/>
          <w:kern w:val="22"/>
          <w:sz w:val="22"/>
          <w:lang w:val="fr-FR"/>
        </w:rPr>
        <w:t xml:space="preserve"> </w:t>
      </w:r>
      <w:r w:rsidR="007D7761">
        <w:rPr>
          <w:rFonts w:cs="Times New Roman"/>
          <w:kern w:val="22"/>
          <w:sz w:val="22"/>
          <w:lang w:val="fr-FR"/>
        </w:rPr>
        <w:t>il n’est pas possible</w:t>
      </w:r>
      <w:r w:rsidR="00E5449A" w:rsidRPr="005645F7">
        <w:rPr>
          <w:rFonts w:cs="Times New Roman"/>
          <w:kern w:val="22"/>
          <w:sz w:val="22"/>
          <w:lang w:val="fr-FR"/>
        </w:rPr>
        <w:t xml:space="preserve"> </w:t>
      </w:r>
      <w:r w:rsidR="00FB033A" w:rsidRPr="005645F7">
        <w:rPr>
          <w:rFonts w:cs="Times New Roman"/>
          <w:kern w:val="22"/>
          <w:sz w:val="22"/>
          <w:lang w:val="fr-FR"/>
        </w:rPr>
        <w:t>d’accorder ou d’obtenir un</w:t>
      </w:r>
      <w:r w:rsidR="00E5449A" w:rsidRPr="005645F7">
        <w:rPr>
          <w:rFonts w:cs="Times New Roman"/>
          <w:kern w:val="22"/>
          <w:sz w:val="22"/>
          <w:lang w:val="fr-FR"/>
        </w:rPr>
        <w:t xml:space="preserve"> </w:t>
      </w:r>
      <w:r w:rsidR="007D7761">
        <w:rPr>
          <w:rFonts w:cs="Times New Roman"/>
          <w:kern w:val="22"/>
          <w:sz w:val="22"/>
          <w:lang w:val="fr-FR"/>
        </w:rPr>
        <w:t>consentement préalable donné en connaissance de cause</w:t>
      </w:r>
      <w:r w:rsidR="008C205E">
        <w:rPr>
          <w:rFonts w:cs="Times New Roman"/>
          <w:kern w:val="22"/>
          <w:sz w:val="22"/>
          <w:lang w:val="fr-FR"/>
        </w:rPr>
        <w:t xml:space="preserve">, en ce qui concerne </w:t>
      </w:r>
      <w:r>
        <w:rPr>
          <w:rFonts w:cs="Times New Roman"/>
          <w:kern w:val="22"/>
          <w:sz w:val="22"/>
          <w:lang w:val="fr-FR"/>
        </w:rPr>
        <w:t>des</w:t>
      </w:r>
      <w:r w:rsidR="00E5449A" w:rsidRPr="005645F7">
        <w:rPr>
          <w:rFonts w:cs="Times New Roman"/>
          <w:kern w:val="22"/>
          <w:sz w:val="22"/>
          <w:lang w:val="fr-FR"/>
        </w:rPr>
        <w:t xml:space="preserve"> </w:t>
      </w:r>
      <w:r w:rsidR="00E3674F" w:rsidRPr="005645F7">
        <w:rPr>
          <w:rFonts w:cs="Times New Roman"/>
          <w:kern w:val="22"/>
          <w:sz w:val="22"/>
          <w:lang w:val="fr-FR"/>
        </w:rPr>
        <w:t>ressources génétiques</w:t>
      </w:r>
      <w:r w:rsidRPr="0075509E">
        <w:rPr>
          <w:rFonts w:cs="Times New Roman"/>
          <w:i/>
          <w:kern w:val="22"/>
          <w:sz w:val="22"/>
          <w:lang w:val="fr-FR"/>
        </w:rPr>
        <w:t xml:space="preserve"> </w:t>
      </w:r>
      <w:r w:rsidRPr="005645F7">
        <w:rPr>
          <w:rFonts w:cs="Times New Roman"/>
          <w:i/>
          <w:kern w:val="22"/>
          <w:sz w:val="22"/>
          <w:lang w:val="fr-FR"/>
        </w:rPr>
        <w:t>ex situ</w:t>
      </w:r>
      <w:r>
        <w:rPr>
          <w:rFonts w:cs="Times New Roman"/>
          <w:i/>
          <w:kern w:val="22"/>
          <w:sz w:val="22"/>
          <w:lang w:val="fr-FR"/>
        </w:rPr>
        <w:t xml:space="preserve"> </w:t>
      </w:r>
      <w:r>
        <w:rPr>
          <w:rFonts w:cs="Times New Roman"/>
          <w:kern w:val="22"/>
          <w:sz w:val="22"/>
          <w:lang w:val="fr-FR"/>
        </w:rPr>
        <w:t xml:space="preserve">: </w:t>
      </w:r>
      <w:r w:rsidR="00AC0D8F" w:rsidRPr="005645F7">
        <w:rPr>
          <w:rFonts w:cs="Times New Roman"/>
          <w:kern w:val="22"/>
          <w:sz w:val="22"/>
          <w:lang w:val="fr-FR"/>
        </w:rPr>
        <w:t xml:space="preserve">1) </w:t>
      </w:r>
      <w:r w:rsidR="008C205E">
        <w:rPr>
          <w:rFonts w:cs="Times New Roman"/>
          <w:kern w:val="22"/>
          <w:sz w:val="22"/>
          <w:lang w:val="fr-FR"/>
        </w:rPr>
        <w:t xml:space="preserve">l’acquisition des </w:t>
      </w:r>
      <w:r>
        <w:rPr>
          <w:rFonts w:cs="Times New Roman"/>
          <w:kern w:val="22"/>
          <w:sz w:val="22"/>
          <w:lang w:val="fr-FR"/>
        </w:rPr>
        <w:t xml:space="preserve">échantillons </w:t>
      </w:r>
      <w:r w:rsidR="00AC0D8F" w:rsidRPr="005645F7">
        <w:rPr>
          <w:rFonts w:cs="Times New Roman"/>
          <w:i/>
          <w:iCs/>
          <w:kern w:val="22"/>
          <w:sz w:val="22"/>
          <w:lang w:val="fr-FR"/>
        </w:rPr>
        <w:t xml:space="preserve">in situ </w:t>
      </w:r>
      <w:r w:rsidR="008C205E">
        <w:rPr>
          <w:rFonts w:cs="Times New Roman"/>
          <w:kern w:val="22"/>
          <w:sz w:val="22"/>
          <w:lang w:val="fr-FR"/>
        </w:rPr>
        <w:t>a été réalisée</w:t>
      </w:r>
      <w:r>
        <w:rPr>
          <w:rFonts w:cs="Times New Roman"/>
          <w:kern w:val="22"/>
          <w:sz w:val="22"/>
          <w:lang w:val="fr-FR"/>
        </w:rPr>
        <w:t xml:space="preserve"> avant</w:t>
      </w:r>
      <w:r w:rsidR="00AC0D8F" w:rsidRPr="005645F7">
        <w:rPr>
          <w:rFonts w:cs="Times New Roman"/>
          <w:kern w:val="22"/>
          <w:sz w:val="22"/>
          <w:lang w:val="fr-FR"/>
        </w:rPr>
        <w:t xml:space="preserve"> </w:t>
      </w:r>
      <w:r w:rsidR="00202126" w:rsidRPr="005645F7">
        <w:rPr>
          <w:rFonts w:cs="Times New Roman"/>
          <w:kern w:val="22"/>
          <w:sz w:val="22"/>
          <w:lang w:val="fr-FR"/>
        </w:rPr>
        <w:t>l’entrée en vigueur</w:t>
      </w:r>
      <w:r w:rsidR="00AC0D8F" w:rsidRPr="005645F7">
        <w:rPr>
          <w:rFonts w:cs="Times New Roman"/>
          <w:kern w:val="22"/>
          <w:sz w:val="22"/>
          <w:lang w:val="fr-FR"/>
        </w:rPr>
        <w:t xml:space="preserve"> </w:t>
      </w:r>
      <w:r w:rsidR="00770AB8" w:rsidRPr="005645F7">
        <w:rPr>
          <w:rFonts w:cs="Times New Roman"/>
          <w:kern w:val="22"/>
          <w:sz w:val="22"/>
          <w:lang w:val="fr-FR"/>
        </w:rPr>
        <w:t>du Pro</w:t>
      </w:r>
      <w:r w:rsidR="00E3674F" w:rsidRPr="005645F7">
        <w:rPr>
          <w:rFonts w:cs="Times New Roman"/>
          <w:kern w:val="22"/>
          <w:sz w:val="22"/>
          <w:lang w:val="fr-FR"/>
        </w:rPr>
        <w:t>tocole de Nagoya</w:t>
      </w:r>
      <w:r>
        <w:rPr>
          <w:rFonts w:cs="Times New Roman"/>
          <w:kern w:val="22"/>
          <w:sz w:val="22"/>
          <w:lang w:val="fr-FR"/>
        </w:rPr>
        <w:t>, mais aucune documentation n’est</w:t>
      </w:r>
      <w:r w:rsidR="00AC0D8F" w:rsidRPr="005645F7">
        <w:rPr>
          <w:rFonts w:cs="Times New Roman"/>
          <w:kern w:val="22"/>
          <w:sz w:val="22"/>
          <w:lang w:val="fr-FR"/>
        </w:rPr>
        <w:t xml:space="preserve"> </w:t>
      </w:r>
      <w:r>
        <w:rPr>
          <w:rFonts w:cs="Times New Roman"/>
          <w:kern w:val="22"/>
          <w:sz w:val="22"/>
          <w:lang w:val="fr-FR"/>
        </w:rPr>
        <w:t>disponible</w:t>
      </w:r>
      <w:r w:rsidR="008C205E">
        <w:rPr>
          <w:rFonts w:cs="Times New Roman"/>
          <w:kern w:val="22"/>
          <w:sz w:val="22"/>
          <w:lang w:val="fr-FR"/>
        </w:rPr>
        <w:t>, hormis</w:t>
      </w:r>
      <w:r>
        <w:rPr>
          <w:rFonts w:cs="Times New Roman"/>
          <w:kern w:val="22"/>
          <w:sz w:val="22"/>
          <w:lang w:val="fr-FR"/>
        </w:rPr>
        <w:t xml:space="preserve"> la date de</w:t>
      </w:r>
      <w:r w:rsidR="00AC0D8F" w:rsidRPr="005645F7">
        <w:rPr>
          <w:rFonts w:cs="Times New Roman"/>
          <w:kern w:val="22"/>
          <w:sz w:val="22"/>
          <w:lang w:val="fr-FR"/>
        </w:rPr>
        <w:t xml:space="preserve"> </w:t>
      </w:r>
      <w:r w:rsidR="008C205E">
        <w:rPr>
          <w:rFonts w:cs="Times New Roman"/>
          <w:kern w:val="22"/>
          <w:sz w:val="22"/>
          <w:lang w:val="fr-FR"/>
        </w:rPr>
        <w:t>dépôt des</w:t>
      </w:r>
      <w:r w:rsidR="00F22B5D" w:rsidRPr="005645F7">
        <w:rPr>
          <w:rFonts w:cs="Times New Roman"/>
          <w:kern w:val="22"/>
          <w:sz w:val="22"/>
          <w:lang w:val="fr-FR"/>
        </w:rPr>
        <w:t xml:space="preserve"> </w:t>
      </w:r>
      <w:r w:rsidR="00D6232E" w:rsidRPr="005645F7">
        <w:rPr>
          <w:rFonts w:cs="Times New Roman"/>
          <w:kern w:val="22"/>
          <w:sz w:val="22"/>
          <w:lang w:val="fr-FR"/>
        </w:rPr>
        <w:t>spécimen</w:t>
      </w:r>
      <w:r w:rsidR="008C205E">
        <w:rPr>
          <w:rFonts w:cs="Times New Roman"/>
          <w:kern w:val="22"/>
          <w:sz w:val="22"/>
          <w:lang w:val="fr-FR"/>
        </w:rPr>
        <w:t>s ;</w:t>
      </w:r>
      <w:r w:rsidR="00E3674F" w:rsidRPr="005645F7">
        <w:rPr>
          <w:rFonts w:cs="Times New Roman"/>
          <w:kern w:val="22"/>
          <w:sz w:val="22"/>
          <w:lang w:val="fr-FR"/>
        </w:rPr>
        <w:t xml:space="preserve"> </w:t>
      </w:r>
      <w:r w:rsidR="00AC0D8F" w:rsidRPr="005645F7">
        <w:rPr>
          <w:rFonts w:cs="Times New Roman"/>
          <w:kern w:val="22"/>
          <w:sz w:val="22"/>
          <w:lang w:val="fr-FR"/>
        </w:rPr>
        <w:t xml:space="preserve">2) </w:t>
      </w:r>
      <w:r w:rsidR="00927B9D">
        <w:rPr>
          <w:rFonts w:cs="Times New Roman"/>
          <w:kern w:val="22"/>
          <w:sz w:val="22"/>
          <w:lang w:val="fr-FR"/>
        </w:rPr>
        <w:t>une tierce partie cherche à déposer un spécimen dans une collection de cultures, mais ne dispose</w:t>
      </w:r>
      <w:r w:rsidR="008C205E">
        <w:rPr>
          <w:rFonts w:cs="Times New Roman"/>
          <w:kern w:val="22"/>
          <w:sz w:val="22"/>
          <w:lang w:val="fr-FR"/>
        </w:rPr>
        <w:t xml:space="preserve"> d’auc</w:t>
      </w:r>
      <w:r>
        <w:rPr>
          <w:rFonts w:cs="Times New Roman"/>
          <w:kern w:val="22"/>
          <w:sz w:val="22"/>
          <w:lang w:val="fr-FR"/>
        </w:rPr>
        <w:t>une documentation sur la</w:t>
      </w:r>
      <w:r w:rsidR="00AC0D8F" w:rsidRPr="005645F7">
        <w:rPr>
          <w:rFonts w:cs="Times New Roman"/>
          <w:kern w:val="22"/>
          <w:sz w:val="22"/>
          <w:lang w:val="fr-FR"/>
        </w:rPr>
        <w:t xml:space="preserve"> date</w:t>
      </w:r>
      <w:r w:rsidR="008C205E">
        <w:rPr>
          <w:rFonts w:cs="Times New Roman"/>
          <w:kern w:val="22"/>
          <w:sz w:val="22"/>
          <w:lang w:val="fr-FR"/>
        </w:rPr>
        <w:t xml:space="preserve"> ou</w:t>
      </w:r>
      <w:r w:rsidR="0028742E" w:rsidRPr="005645F7">
        <w:rPr>
          <w:rFonts w:cs="Times New Roman"/>
          <w:kern w:val="22"/>
          <w:sz w:val="22"/>
          <w:lang w:val="fr-FR"/>
        </w:rPr>
        <w:t xml:space="preserve"> </w:t>
      </w:r>
      <w:r w:rsidR="00AC0D8F" w:rsidRPr="005645F7">
        <w:rPr>
          <w:rFonts w:cs="Times New Roman"/>
          <w:kern w:val="22"/>
          <w:sz w:val="22"/>
          <w:lang w:val="fr-FR"/>
        </w:rPr>
        <w:t>l</w:t>
      </w:r>
      <w:r w:rsidR="008C205E">
        <w:rPr>
          <w:rFonts w:cs="Times New Roman"/>
          <w:kern w:val="22"/>
          <w:sz w:val="22"/>
          <w:lang w:val="fr-FR"/>
        </w:rPr>
        <w:t>e lieu d’acquisition</w:t>
      </w:r>
      <w:r w:rsidR="00927B9D">
        <w:rPr>
          <w:rFonts w:cs="Times New Roman"/>
          <w:kern w:val="22"/>
          <w:sz w:val="22"/>
          <w:lang w:val="fr-FR"/>
        </w:rPr>
        <w:t xml:space="preserve"> de l’échantillon, ni d’un</w:t>
      </w:r>
      <w:r>
        <w:rPr>
          <w:rFonts w:cs="Times New Roman"/>
          <w:kern w:val="22"/>
          <w:sz w:val="22"/>
          <w:lang w:val="fr-FR"/>
        </w:rPr>
        <w:t xml:space="preserve"> consentement préalable donné en</w:t>
      </w:r>
      <w:r w:rsidR="00651FB0" w:rsidRPr="005645F7">
        <w:rPr>
          <w:rFonts w:cs="Times New Roman"/>
          <w:kern w:val="22"/>
          <w:sz w:val="22"/>
          <w:lang w:val="fr-FR"/>
        </w:rPr>
        <w:t xml:space="preserve"> connaissance de cause</w:t>
      </w:r>
      <w:r w:rsidR="00AC0D8F" w:rsidRPr="005645F7">
        <w:rPr>
          <w:rFonts w:cs="Times New Roman"/>
          <w:kern w:val="22"/>
          <w:sz w:val="22"/>
          <w:lang w:val="fr-FR"/>
        </w:rPr>
        <w:t xml:space="preserve">. </w:t>
      </w:r>
      <w:r w:rsidRPr="00FB5AF9">
        <w:rPr>
          <w:rFonts w:cs="Times New Roman"/>
          <w:kern w:val="22"/>
          <w:sz w:val="22"/>
          <w:lang w:val="fr-FR"/>
        </w:rPr>
        <w:t>La WFCC explique que</w:t>
      </w:r>
      <w:r w:rsidR="00AC0D8F" w:rsidRPr="00FB5AF9">
        <w:rPr>
          <w:rFonts w:cs="Times New Roman"/>
          <w:kern w:val="22"/>
          <w:sz w:val="22"/>
          <w:lang w:val="fr-FR"/>
        </w:rPr>
        <w:t xml:space="preserve">: </w:t>
      </w:r>
    </w:p>
    <w:p w14:paraId="0739B6C3" w14:textId="0DAEA386" w:rsidR="00AC0D8F" w:rsidRPr="00E162EE" w:rsidRDefault="003474B6" w:rsidP="00AC0D8F">
      <w:pPr>
        <w:ind w:left="720" w:right="720"/>
        <w:rPr>
          <w:rFonts w:cs="Times New Roman"/>
          <w:kern w:val="22"/>
          <w:sz w:val="22"/>
          <w:lang w:val="fr-FR"/>
        </w:rPr>
      </w:pPr>
      <w:r w:rsidRPr="003474B6">
        <w:rPr>
          <w:rFonts w:cs="Times New Roman"/>
          <w:kern w:val="22"/>
          <w:sz w:val="22"/>
          <w:lang w:val="fr-FR"/>
        </w:rPr>
        <w:t>Plutôt que de rejeter un</w:t>
      </w:r>
      <w:r w:rsidR="00AC0D8F" w:rsidRPr="003474B6">
        <w:rPr>
          <w:rFonts w:cs="Times New Roman"/>
          <w:kern w:val="22"/>
          <w:sz w:val="22"/>
          <w:lang w:val="fr-FR"/>
        </w:rPr>
        <w:t xml:space="preserve"> </w:t>
      </w:r>
      <w:r w:rsidRPr="003474B6">
        <w:rPr>
          <w:rFonts w:cs="Times New Roman"/>
          <w:kern w:val="22"/>
          <w:sz w:val="22"/>
          <w:lang w:val="fr-FR"/>
        </w:rPr>
        <w:t>matériel</w:t>
      </w:r>
      <w:r w:rsidR="00AC0D8F" w:rsidRPr="003474B6">
        <w:rPr>
          <w:rFonts w:cs="Times New Roman"/>
          <w:kern w:val="22"/>
          <w:sz w:val="22"/>
          <w:lang w:val="fr-FR"/>
        </w:rPr>
        <w:t xml:space="preserve"> </w:t>
      </w:r>
      <w:r w:rsidRPr="003474B6">
        <w:rPr>
          <w:rFonts w:cs="Times New Roman"/>
          <w:kern w:val="22"/>
          <w:sz w:val="22"/>
          <w:lang w:val="fr-FR"/>
        </w:rPr>
        <w:t>qui p</w:t>
      </w:r>
      <w:r>
        <w:rPr>
          <w:rFonts w:cs="Times New Roman"/>
          <w:kern w:val="22"/>
          <w:sz w:val="22"/>
          <w:lang w:val="fr-FR"/>
        </w:rPr>
        <w:t>ourrait avoir une grande valeur scientifique</w:t>
      </w:r>
      <w:r w:rsidR="00AC0D8F" w:rsidRPr="003474B6">
        <w:rPr>
          <w:rFonts w:cs="Times New Roman"/>
          <w:kern w:val="22"/>
          <w:sz w:val="22"/>
          <w:lang w:val="fr-FR"/>
        </w:rPr>
        <w:t xml:space="preserve">, </w:t>
      </w:r>
      <w:r w:rsidR="008C205E">
        <w:rPr>
          <w:rFonts w:cs="Times New Roman"/>
          <w:kern w:val="22"/>
          <w:sz w:val="22"/>
          <w:lang w:val="fr-FR"/>
        </w:rPr>
        <w:t>même si aucune preuve de l</w:t>
      </w:r>
      <w:r>
        <w:rPr>
          <w:rFonts w:cs="Times New Roman"/>
          <w:kern w:val="22"/>
          <w:sz w:val="22"/>
          <w:lang w:val="fr-FR"/>
        </w:rPr>
        <w:t xml:space="preserve">a légalité </w:t>
      </w:r>
      <w:r w:rsidR="008C205E">
        <w:rPr>
          <w:rFonts w:cs="Times New Roman"/>
          <w:kern w:val="22"/>
          <w:sz w:val="22"/>
          <w:lang w:val="fr-FR"/>
        </w:rPr>
        <w:t xml:space="preserve">de son acquisition </w:t>
      </w:r>
      <w:r>
        <w:rPr>
          <w:rFonts w:cs="Times New Roman"/>
          <w:kern w:val="22"/>
          <w:sz w:val="22"/>
          <w:lang w:val="fr-FR"/>
        </w:rPr>
        <w:t>n’est fournie,</w:t>
      </w:r>
      <w:r w:rsidR="00AC0D8F" w:rsidRPr="003474B6">
        <w:rPr>
          <w:rFonts w:cs="Times New Roman"/>
          <w:kern w:val="22"/>
          <w:sz w:val="22"/>
          <w:lang w:val="fr-FR"/>
        </w:rPr>
        <w:t xml:space="preserve"> </w:t>
      </w:r>
      <w:r w:rsidR="0058416D">
        <w:rPr>
          <w:rFonts w:cs="Times New Roman"/>
          <w:kern w:val="22"/>
          <w:sz w:val="22"/>
          <w:lang w:val="fr-FR"/>
        </w:rPr>
        <w:t xml:space="preserve">une </w:t>
      </w:r>
      <w:r>
        <w:rPr>
          <w:rFonts w:cs="Times New Roman"/>
          <w:kern w:val="22"/>
          <w:sz w:val="22"/>
          <w:lang w:val="fr-FR"/>
        </w:rPr>
        <w:t>collection de cultures</w:t>
      </w:r>
      <w:r w:rsidR="008C205E">
        <w:rPr>
          <w:rFonts w:cs="Times New Roman"/>
          <w:kern w:val="22"/>
          <w:sz w:val="22"/>
          <w:lang w:val="fr-FR"/>
        </w:rPr>
        <w:t xml:space="preserve"> pourra</w:t>
      </w:r>
      <w:r w:rsidR="0058416D">
        <w:rPr>
          <w:rFonts w:cs="Times New Roman"/>
          <w:kern w:val="22"/>
          <w:sz w:val="22"/>
          <w:lang w:val="fr-FR"/>
        </w:rPr>
        <w:t xml:space="preserve"> </w:t>
      </w:r>
      <w:r w:rsidR="008C205E">
        <w:rPr>
          <w:rFonts w:cs="Times New Roman"/>
          <w:kern w:val="22"/>
          <w:sz w:val="22"/>
          <w:lang w:val="fr-FR"/>
        </w:rPr>
        <w:t xml:space="preserve">néanmoins </w:t>
      </w:r>
      <w:r w:rsidR="00AC0D8F" w:rsidRPr="003474B6">
        <w:rPr>
          <w:rFonts w:cs="Times New Roman"/>
          <w:kern w:val="22"/>
          <w:sz w:val="22"/>
          <w:lang w:val="fr-FR"/>
        </w:rPr>
        <w:t>accept</w:t>
      </w:r>
      <w:r w:rsidR="0058416D">
        <w:rPr>
          <w:rFonts w:cs="Times New Roman"/>
          <w:kern w:val="22"/>
          <w:sz w:val="22"/>
          <w:lang w:val="fr-FR"/>
        </w:rPr>
        <w:t>er le</w:t>
      </w:r>
      <w:r w:rsidR="00AC0D8F" w:rsidRPr="003474B6">
        <w:rPr>
          <w:rFonts w:cs="Times New Roman"/>
          <w:kern w:val="22"/>
          <w:sz w:val="22"/>
          <w:lang w:val="fr-FR"/>
        </w:rPr>
        <w:t xml:space="preserve"> </w:t>
      </w:r>
      <w:r w:rsidRPr="003474B6">
        <w:rPr>
          <w:rFonts w:cs="Times New Roman"/>
          <w:kern w:val="22"/>
          <w:sz w:val="22"/>
          <w:lang w:val="fr-FR"/>
        </w:rPr>
        <w:t>matériel</w:t>
      </w:r>
      <w:r w:rsidR="0058416D">
        <w:rPr>
          <w:rFonts w:cs="Times New Roman"/>
          <w:kern w:val="22"/>
          <w:sz w:val="22"/>
          <w:lang w:val="fr-FR"/>
        </w:rPr>
        <w:t xml:space="preserve"> et </w:t>
      </w:r>
      <w:r w:rsidR="008C205E">
        <w:rPr>
          <w:rFonts w:cs="Times New Roman"/>
          <w:kern w:val="22"/>
          <w:sz w:val="22"/>
          <w:lang w:val="fr-FR"/>
        </w:rPr>
        <w:t xml:space="preserve">en </w:t>
      </w:r>
      <w:r w:rsidR="00AC0D8F" w:rsidRPr="003474B6">
        <w:rPr>
          <w:rFonts w:cs="Times New Roman"/>
          <w:kern w:val="22"/>
          <w:sz w:val="22"/>
          <w:lang w:val="fr-FR"/>
        </w:rPr>
        <w:t>inform</w:t>
      </w:r>
      <w:r w:rsidR="0058416D">
        <w:rPr>
          <w:rFonts w:cs="Times New Roman"/>
          <w:kern w:val="22"/>
          <w:sz w:val="22"/>
          <w:lang w:val="fr-FR"/>
        </w:rPr>
        <w:t>er</w:t>
      </w:r>
      <w:r w:rsidR="00E162EE">
        <w:rPr>
          <w:rFonts w:cs="Times New Roman"/>
          <w:kern w:val="22"/>
          <w:sz w:val="22"/>
          <w:lang w:val="fr-FR"/>
        </w:rPr>
        <w:t xml:space="preserve"> les</w:t>
      </w:r>
      <w:r w:rsidR="00AC0D8F" w:rsidRPr="003474B6">
        <w:rPr>
          <w:rFonts w:cs="Times New Roman"/>
          <w:kern w:val="22"/>
          <w:sz w:val="22"/>
          <w:lang w:val="fr-FR"/>
        </w:rPr>
        <w:t xml:space="preserve"> </w:t>
      </w:r>
      <w:r w:rsidR="0058416D">
        <w:rPr>
          <w:rFonts w:cs="Times New Roman"/>
          <w:kern w:val="22"/>
          <w:sz w:val="22"/>
          <w:lang w:val="fr-FR"/>
        </w:rPr>
        <w:t>autorités</w:t>
      </w:r>
      <w:r w:rsidR="00AC0D8F" w:rsidRPr="003474B6">
        <w:rPr>
          <w:rFonts w:cs="Times New Roman"/>
          <w:kern w:val="22"/>
          <w:sz w:val="22"/>
          <w:lang w:val="fr-FR"/>
        </w:rPr>
        <w:t xml:space="preserve"> </w:t>
      </w:r>
      <w:r w:rsidR="00AC0D8F" w:rsidRPr="003474B6">
        <w:rPr>
          <w:rFonts w:cs="Times New Roman"/>
          <w:i/>
          <w:iCs/>
          <w:kern w:val="22"/>
          <w:sz w:val="22"/>
          <w:lang w:val="fr-FR"/>
        </w:rPr>
        <w:t>a posteriori</w:t>
      </w:r>
      <w:r w:rsidR="00AC0D8F" w:rsidRPr="003474B6">
        <w:rPr>
          <w:rFonts w:cs="Times New Roman"/>
          <w:kern w:val="22"/>
          <w:sz w:val="22"/>
          <w:lang w:val="fr-FR"/>
        </w:rPr>
        <w:t xml:space="preserve">. </w:t>
      </w:r>
      <w:r w:rsidR="00E162EE" w:rsidRPr="00E162EE">
        <w:rPr>
          <w:rFonts w:cs="Times New Roman"/>
          <w:kern w:val="22"/>
          <w:sz w:val="22"/>
          <w:lang w:val="fr-FR"/>
        </w:rPr>
        <w:t>Lorsqu’aucun</w:t>
      </w:r>
      <w:r w:rsidR="00E162EE">
        <w:rPr>
          <w:rFonts w:cs="Times New Roman"/>
          <w:kern w:val="22"/>
          <w:sz w:val="22"/>
          <w:lang w:val="fr-FR"/>
        </w:rPr>
        <w:t xml:space="preserve"> </w:t>
      </w:r>
      <w:r w:rsidR="00695005" w:rsidRPr="00E162EE">
        <w:rPr>
          <w:rFonts w:cs="Times New Roman"/>
          <w:kern w:val="22"/>
          <w:sz w:val="22"/>
          <w:lang w:val="fr-FR"/>
        </w:rPr>
        <w:t>pays d’origine</w:t>
      </w:r>
      <w:r w:rsidR="00E162EE">
        <w:rPr>
          <w:rFonts w:cs="Times New Roman"/>
          <w:kern w:val="22"/>
          <w:sz w:val="22"/>
          <w:lang w:val="fr-FR"/>
        </w:rPr>
        <w:t xml:space="preserve"> n’</w:t>
      </w:r>
      <w:r w:rsidR="008C205E">
        <w:rPr>
          <w:rFonts w:cs="Times New Roman"/>
          <w:kern w:val="22"/>
          <w:sz w:val="22"/>
          <w:lang w:val="fr-FR"/>
        </w:rPr>
        <w:t>est identifiable facilement</w:t>
      </w:r>
      <w:r w:rsidR="00E162EE">
        <w:rPr>
          <w:rFonts w:cs="Times New Roman"/>
          <w:kern w:val="22"/>
          <w:sz w:val="22"/>
          <w:lang w:val="fr-FR"/>
        </w:rPr>
        <w:t xml:space="preserve"> </w:t>
      </w:r>
      <w:r w:rsidR="00AC0D8F" w:rsidRPr="00E162EE">
        <w:rPr>
          <w:rFonts w:cs="Times New Roman"/>
          <w:kern w:val="22"/>
          <w:sz w:val="22"/>
          <w:lang w:val="fr-FR"/>
        </w:rPr>
        <w:t>(</w:t>
      </w:r>
      <w:r w:rsidR="00E162EE">
        <w:rPr>
          <w:rFonts w:cs="Times New Roman"/>
          <w:kern w:val="22"/>
          <w:sz w:val="22"/>
          <w:lang w:val="fr-FR"/>
        </w:rPr>
        <w:t>par exemple</w:t>
      </w:r>
      <w:r w:rsidR="008C205E">
        <w:rPr>
          <w:rFonts w:cs="Times New Roman"/>
          <w:kern w:val="22"/>
          <w:sz w:val="22"/>
          <w:lang w:val="fr-FR"/>
        </w:rPr>
        <w:t>, lorsqu’un</w:t>
      </w:r>
      <w:r w:rsidR="00E162EE">
        <w:rPr>
          <w:rFonts w:cs="Times New Roman"/>
          <w:kern w:val="22"/>
          <w:sz w:val="22"/>
          <w:lang w:val="fr-FR"/>
        </w:rPr>
        <w:t xml:space="preserve"> </w:t>
      </w:r>
      <w:r w:rsidRPr="00E162EE">
        <w:rPr>
          <w:rFonts w:cs="Times New Roman"/>
          <w:kern w:val="22"/>
          <w:sz w:val="22"/>
          <w:lang w:val="fr-FR"/>
        </w:rPr>
        <w:t>matériel</w:t>
      </w:r>
      <w:r w:rsidR="00AC0D8F" w:rsidRPr="00E162EE">
        <w:rPr>
          <w:rFonts w:cs="Times New Roman"/>
          <w:kern w:val="22"/>
          <w:sz w:val="22"/>
          <w:lang w:val="fr-FR"/>
        </w:rPr>
        <w:t xml:space="preserve"> </w:t>
      </w:r>
      <w:r w:rsidR="008C205E">
        <w:rPr>
          <w:rFonts w:cs="Times New Roman"/>
          <w:kern w:val="22"/>
          <w:sz w:val="22"/>
          <w:lang w:val="fr-FR"/>
        </w:rPr>
        <w:t>microbien est évident</w:t>
      </w:r>
      <w:r w:rsidR="00AC0D8F" w:rsidRPr="00E162EE">
        <w:rPr>
          <w:rFonts w:cs="Times New Roman"/>
          <w:kern w:val="22"/>
          <w:sz w:val="22"/>
          <w:lang w:val="fr-FR"/>
        </w:rPr>
        <w:t>)</w:t>
      </w:r>
      <w:r w:rsidR="008C205E">
        <w:rPr>
          <w:rFonts w:cs="Times New Roman"/>
          <w:kern w:val="22"/>
          <w:sz w:val="22"/>
          <w:lang w:val="fr-FR"/>
        </w:rPr>
        <w:t>, un mécanisme multilatéral mondial de</w:t>
      </w:r>
      <w:r w:rsidR="00E162EE">
        <w:rPr>
          <w:rFonts w:cs="Times New Roman"/>
          <w:kern w:val="22"/>
          <w:sz w:val="22"/>
          <w:lang w:val="fr-FR"/>
        </w:rPr>
        <w:t xml:space="preserve"> partage des avantages</w:t>
      </w:r>
      <w:r w:rsidR="00AC0D8F" w:rsidRPr="00E162EE">
        <w:rPr>
          <w:rFonts w:cs="Times New Roman"/>
          <w:kern w:val="22"/>
          <w:sz w:val="22"/>
          <w:lang w:val="fr-FR"/>
        </w:rPr>
        <w:t xml:space="preserve"> </w:t>
      </w:r>
      <w:r w:rsidR="008C205E">
        <w:rPr>
          <w:rFonts w:cs="Times New Roman"/>
          <w:kern w:val="22"/>
          <w:sz w:val="22"/>
          <w:lang w:val="fr-FR"/>
        </w:rPr>
        <w:t xml:space="preserve">pourrait s’avérer utile, pour autant qu’il soit abordable et </w:t>
      </w:r>
      <w:r w:rsidR="00E162EE">
        <w:rPr>
          <w:rFonts w:cs="Times New Roman"/>
          <w:kern w:val="22"/>
          <w:sz w:val="22"/>
          <w:lang w:val="fr-FR"/>
        </w:rPr>
        <w:t xml:space="preserve">facile à mettre en œuvre dans le cadre de </w:t>
      </w:r>
      <w:r w:rsidR="008F38B0" w:rsidRPr="00E162EE">
        <w:rPr>
          <w:rFonts w:cs="Times New Roman"/>
          <w:kern w:val="22"/>
          <w:sz w:val="22"/>
          <w:lang w:val="fr-FR"/>
        </w:rPr>
        <w:t>la Convention</w:t>
      </w:r>
      <w:r w:rsidR="00AC0D8F" w:rsidRPr="00E162EE">
        <w:rPr>
          <w:rFonts w:cs="Times New Roman"/>
          <w:kern w:val="22"/>
          <w:sz w:val="22"/>
          <w:lang w:val="fr-FR"/>
        </w:rPr>
        <w:t>.</w:t>
      </w:r>
      <w:r w:rsidR="00AC0D8F" w:rsidRPr="002364AB">
        <w:rPr>
          <w:rStyle w:val="FootnoteReference"/>
          <w:kern w:val="22"/>
          <w:sz w:val="22"/>
          <w:lang w:val="en-GB"/>
        </w:rPr>
        <w:footnoteReference w:id="84"/>
      </w:r>
    </w:p>
    <w:p w14:paraId="44259308" w14:textId="3C73D232" w:rsidR="00100087" w:rsidRPr="005645F7" w:rsidRDefault="00D6232E" w:rsidP="00100087">
      <w:pPr>
        <w:rPr>
          <w:rFonts w:cs="Times New Roman"/>
          <w:b/>
          <w:i/>
          <w:kern w:val="22"/>
          <w:sz w:val="22"/>
          <w:lang w:val="fr-FR"/>
        </w:rPr>
      </w:pPr>
      <w:r w:rsidRPr="005645F7">
        <w:rPr>
          <w:rFonts w:cs="Times New Roman"/>
          <w:i/>
          <w:kern w:val="22"/>
          <w:sz w:val="22"/>
          <w:lang w:val="fr-FR"/>
        </w:rPr>
        <w:t>Jardins botaniques</w:t>
      </w:r>
    </w:p>
    <w:p w14:paraId="70866249" w14:textId="761A3FFF" w:rsidR="00100087" w:rsidRPr="00AA5919" w:rsidRDefault="0029649B" w:rsidP="00100087">
      <w:pPr>
        <w:rPr>
          <w:kern w:val="22"/>
          <w:sz w:val="22"/>
          <w:lang w:val="fr-FR"/>
        </w:rPr>
      </w:pPr>
      <w:r w:rsidRPr="0029649B">
        <w:rPr>
          <w:kern w:val="22"/>
          <w:sz w:val="22"/>
          <w:lang w:val="fr-FR"/>
        </w:rPr>
        <w:t>Un grand</w:t>
      </w:r>
      <w:r w:rsidR="00100087" w:rsidRPr="0029649B">
        <w:rPr>
          <w:kern w:val="22"/>
          <w:sz w:val="22"/>
          <w:lang w:val="fr-FR"/>
        </w:rPr>
        <w:t xml:space="preserve"> </w:t>
      </w:r>
      <w:r w:rsidR="00D6232E" w:rsidRPr="0029649B">
        <w:rPr>
          <w:kern w:val="22"/>
          <w:sz w:val="22"/>
          <w:lang w:val="fr-FR"/>
        </w:rPr>
        <w:t>nombre</w:t>
      </w:r>
      <w:r w:rsidRPr="0029649B">
        <w:rPr>
          <w:kern w:val="22"/>
          <w:sz w:val="22"/>
          <w:lang w:val="fr-FR"/>
        </w:rPr>
        <w:t xml:space="preserve"> de </w:t>
      </w:r>
      <w:r w:rsidR="00D6232E" w:rsidRPr="0029649B">
        <w:rPr>
          <w:kern w:val="22"/>
          <w:sz w:val="22"/>
          <w:lang w:val="fr-FR"/>
        </w:rPr>
        <w:t>spécimen</w:t>
      </w:r>
      <w:r w:rsidR="00100087" w:rsidRPr="0029649B">
        <w:rPr>
          <w:kern w:val="22"/>
          <w:sz w:val="22"/>
          <w:lang w:val="fr-FR"/>
        </w:rPr>
        <w:t xml:space="preserve">s </w:t>
      </w:r>
      <w:r w:rsidRPr="0029649B">
        <w:rPr>
          <w:kern w:val="22"/>
          <w:sz w:val="22"/>
          <w:lang w:val="fr-FR"/>
        </w:rPr>
        <w:t xml:space="preserve">vivants de </w:t>
      </w:r>
      <w:r w:rsidR="00B46D70" w:rsidRPr="0029649B">
        <w:rPr>
          <w:kern w:val="22"/>
          <w:sz w:val="22"/>
          <w:lang w:val="fr-FR"/>
        </w:rPr>
        <w:t>biodiversité</w:t>
      </w:r>
      <w:r w:rsidR="00100087" w:rsidRPr="0029649B">
        <w:rPr>
          <w:kern w:val="22"/>
          <w:sz w:val="22"/>
          <w:lang w:val="fr-FR"/>
        </w:rPr>
        <w:t xml:space="preserve"> </w:t>
      </w:r>
      <w:r w:rsidR="00927B9D">
        <w:rPr>
          <w:kern w:val="22"/>
          <w:sz w:val="22"/>
          <w:lang w:val="fr-FR"/>
        </w:rPr>
        <w:t>sont contenus</w:t>
      </w:r>
      <w:r w:rsidRPr="0029649B">
        <w:rPr>
          <w:kern w:val="22"/>
          <w:sz w:val="22"/>
          <w:lang w:val="fr-FR"/>
        </w:rPr>
        <w:t xml:space="preserve"> dans plus de</w:t>
      </w:r>
      <w:r w:rsidR="00100087" w:rsidRPr="0029649B">
        <w:rPr>
          <w:kern w:val="22"/>
          <w:sz w:val="22"/>
          <w:lang w:val="fr-FR"/>
        </w:rPr>
        <w:t xml:space="preserve"> 36</w:t>
      </w:r>
      <w:r w:rsidR="0083762A">
        <w:rPr>
          <w:kern w:val="22"/>
          <w:sz w:val="22"/>
          <w:lang w:val="fr-FR"/>
        </w:rPr>
        <w:t>00 « </w:t>
      </w:r>
      <w:r w:rsidR="00100087" w:rsidRPr="0029649B">
        <w:rPr>
          <w:kern w:val="22"/>
          <w:sz w:val="22"/>
          <w:lang w:val="fr-FR"/>
        </w:rPr>
        <w:t>collections</w:t>
      </w:r>
      <w:r w:rsidR="0083762A">
        <w:rPr>
          <w:kern w:val="22"/>
          <w:sz w:val="22"/>
          <w:lang w:val="fr-FR"/>
        </w:rPr>
        <w:t xml:space="preserve"> botaniques vivantes »</w:t>
      </w:r>
      <w:r w:rsidR="00100087" w:rsidRPr="0029649B">
        <w:rPr>
          <w:kern w:val="22"/>
          <w:sz w:val="22"/>
          <w:lang w:val="fr-FR"/>
        </w:rPr>
        <w:t xml:space="preserve"> </w:t>
      </w:r>
      <w:r w:rsidR="0083762A">
        <w:rPr>
          <w:kern w:val="22"/>
          <w:sz w:val="22"/>
          <w:lang w:val="fr-FR"/>
        </w:rPr>
        <w:t xml:space="preserve">enregistrées </w:t>
      </w:r>
      <w:r w:rsidR="00053E0E" w:rsidRPr="0029649B">
        <w:rPr>
          <w:kern w:val="22"/>
          <w:sz w:val="22"/>
          <w:lang w:val="fr-FR"/>
        </w:rPr>
        <w:t>partout dans le monde</w:t>
      </w:r>
      <w:r w:rsidR="00100087" w:rsidRPr="0029649B">
        <w:rPr>
          <w:kern w:val="22"/>
          <w:sz w:val="22"/>
          <w:lang w:val="fr-FR"/>
        </w:rPr>
        <w:t>.</w:t>
      </w:r>
      <w:r w:rsidR="00100087" w:rsidRPr="002364AB">
        <w:rPr>
          <w:rStyle w:val="FootnoteReference"/>
          <w:kern w:val="22"/>
          <w:sz w:val="22"/>
          <w:lang w:val="en-GB"/>
        </w:rPr>
        <w:footnoteReference w:id="85"/>
      </w:r>
      <w:r w:rsidR="00100087" w:rsidRPr="0029649B">
        <w:rPr>
          <w:kern w:val="22"/>
          <w:sz w:val="22"/>
          <w:lang w:val="fr-FR"/>
        </w:rPr>
        <w:t xml:space="preserve"> </w:t>
      </w:r>
      <w:r w:rsidR="00927B9D">
        <w:rPr>
          <w:kern w:val="22"/>
          <w:sz w:val="22"/>
          <w:lang w:val="fr-FR"/>
        </w:rPr>
        <w:t>Celles-ci</w:t>
      </w:r>
      <w:r>
        <w:rPr>
          <w:kern w:val="22"/>
          <w:sz w:val="22"/>
          <w:lang w:val="fr-FR"/>
        </w:rPr>
        <w:t xml:space="preserve"> inclu</w:t>
      </w:r>
      <w:r w:rsidR="00927B9D">
        <w:rPr>
          <w:kern w:val="22"/>
          <w:sz w:val="22"/>
          <w:lang w:val="fr-FR"/>
        </w:rPr>
        <w:t>en</w:t>
      </w:r>
      <w:r>
        <w:rPr>
          <w:kern w:val="22"/>
          <w:sz w:val="22"/>
          <w:lang w:val="fr-FR"/>
        </w:rPr>
        <w:t>t les</w:t>
      </w:r>
      <w:r w:rsidR="00100087" w:rsidRPr="002E33B3">
        <w:rPr>
          <w:kern w:val="22"/>
          <w:sz w:val="22"/>
          <w:lang w:val="fr-FR"/>
        </w:rPr>
        <w:t xml:space="preserve"> </w:t>
      </w:r>
      <w:r w:rsidR="00D6232E" w:rsidRPr="002E33B3">
        <w:rPr>
          <w:kern w:val="22"/>
          <w:sz w:val="22"/>
          <w:lang w:val="fr-FR"/>
        </w:rPr>
        <w:t>jardins botaniques</w:t>
      </w:r>
      <w:r w:rsidR="00100087" w:rsidRPr="002E33B3">
        <w:rPr>
          <w:kern w:val="22"/>
          <w:sz w:val="22"/>
          <w:lang w:val="fr-FR"/>
        </w:rPr>
        <w:t xml:space="preserve">, </w:t>
      </w:r>
      <w:r>
        <w:rPr>
          <w:kern w:val="22"/>
          <w:sz w:val="22"/>
          <w:lang w:val="fr-FR"/>
        </w:rPr>
        <w:t>les jardins zoologiques</w:t>
      </w:r>
      <w:r w:rsidR="00E3674F" w:rsidRPr="002E33B3">
        <w:rPr>
          <w:kern w:val="22"/>
          <w:sz w:val="22"/>
          <w:lang w:val="fr-FR"/>
        </w:rPr>
        <w:t xml:space="preserve"> et </w:t>
      </w:r>
      <w:r w:rsidR="000E53C0">
        <w:rPr>
          <w:kern w:val="22"/>
          <w:sz w:val="22"/>
          <w:lang w:val="fr-FR"/>
        </w:rPr>
        <w:t>les arboretums</w:t>
      </w:r>
      <w:r w:rsidR="00100087" w:rsidRPr="002E33B3">
        <w:rPr>
          <w:kern w:val="22"/>
          <w:sz w:val="22"/>
          <w:lang w:val="fr-FR"/>
        </w:rPr>
        <w:t xml:space="preserve">. </w:t>
      </w:r>
      <w:r w:rsidR="00202126" w:rsidRPr="00AA5919">
        <w:rPr>
          <w:kern w:val="22"/>
          <w:sz w:val="22"/>
          <w:lang w:val="fr-FR"/>
        </w:rPr>
        <w:t>De plus</w:t>
      </w:r>
      <w:r w:rsidR="00100087" w:rsidRPr="00AA5919">
        <w:rPr>
          <w:kern w:val="22"/>
          <w:sz w:val="22"/>
          <w:lang w:val="fr-FR"/>
        </w:rPr>
        <w:t>,</w:t>
      </w:r>
      <w:r w:rsidR="00AA5919" w:rsidRPr="00AA5919">
        <w:rPr>
          <w:kern w:val="22"/>
          <w:sz w:val="22"/>
          <w:lang w:val="fr-FR"/>
        </w:rPr>
        <w:t xml:space="preserve"> certains </w:t>
      </w:r>
      <w:r w:rsidR="00D6232E" w:rsidRPr="00AA5919">
        <w:rPr>
          <w:kern w:val="22"/>
          <w:sz w:val="22"/>
          <w:lang w:val="fr-FR"/>
        </w:rPr>
        <w:t>jardins botaniques</w:t>
      </w:r>
      <w:r w:rsidR="00100087" w:rsidRPr="00AA5919">
        <w:rPr>
          <w:kern w:val="22"/>
          <w:sz w:val="22"/>
          <w:lang w:val="fr-FR"/>
        </w:rPr>
        <w:t xml:space="preserve"> </w:t>
      </w:r>
      <w:r>
        <w:rPr>
          <w:kern w:val="22"/>
          <w:sz w:val="22"/>
          <w:lang w:val="fr-FR"/>
        </w:rPr>
        <w:t xml:space="preserve">entreprennent d’autres formes de conservation </w:t>
      </w:r>
      <w:r w:rsidR="00100087" w:rsidRPr="00AA5919">
        <w:rPr>
          <w:i/>
          <w:kern w:val="22"/>
          <w:sz w:val="22"/>
          <w:lang w:val="fr-FR"/>
        </w:rPr>
        <w:t>ex situ</w:t>
      </w:r>
      <w:r w:rsidR="00100087" w:rsidRPr="00AA5919">
        <w:rPr>
          <w:kern w:val="22"/>
          <w:sz w:val="22"/>
          <w:lang w:val="fr-FR"/>
        </w:rPr>
        <w:t xml:space="preserve">, </w:t>
      </w:r>
      <w:r w:rsidR="00733DB1" w:rsidRPr="00AA5919">
        <w:rPr>
          <w:kern w:val="22"/>
          <w:sz w:val="22"/>
          <w:lang w:val="fr-FR"/>
        </w:rPr>
        <w:t>tel</w:t>
      </w:r>
      <w:r>
        <w:rPr>
          <w:kern w:val="22"/>
          <w:sz w:val="22"/>
          <w:lang w:val="fr-FR"/>
        </w:rPr>
        <w:t>le</w:t>
      </w:r>
      <w:r w:rsidR="00733DB1" w:rsidRPr="00AA5919">
        <w:rPr>
          <w:kern w:val="22"/>
          <w:sz w:val="22"/>
          <w:lang w:val="fr-FR"/>
        </w:rPr>
        <w:t>s que</w:t>
      </w:r>
      <w:r>
        <w:rPr>
          <w:kern w:val="22"/>
          <w:sz w:val="22"/>
          <w:lang w:val="fr-FR"/>
        </w:rPr>
        <w:t xml:space="preserve"> les</w:t>
      </w:r>
      <w:r w:rsidR="00BF1F4D" w:rsidRPr="00AA5919">
        <w:rPr>
          <w:kern w:val="22"/>
          <w:sz w:val="22"/>
          <w:lang w:val="fr-FR"/>
        </w:rPr>
        <w:t xml:space="preserve"> collections</w:t>
      </w:r>
      <w:r>
        <w:rPr>
          <w:kern w:val="22"/>
          <w:sz w:val="22"/>
          <w:lang w:val="fr-FR"/>
        </w:rPr>
        <w:t xml:space="preserve"> de tissus</w:t>
      </w:r>
      <w:r w:rsidR="00100087" w:rsidRPr="00AA5919">
        <w:rPr>
          <w:kern w:val="22"/>
          <w:sz w:val="22"/>
          <w:lang w:val="fr-FR"/>
        </w:rPr>
        <w:t xml:space="preserve">, </w:t>
      </w:r>
      <w:r w:rsidR="00654D64">
        <w:rPr>
          <w:kern w:val="22"/>
          <w:sz w:val="22"/>
          <w:lang w:val="fr-FR"/>
        </w:rPr>
        <w:t>l</w:t>
      </w:r>
      <w:r w:rsidR="008701AD">
        <w:rPr>
          <w:kern w:val="22"/>
          <w:sz w:val="22"/>
          <w:lang w:val="fr-FR"/>
        </w:rPr>
        <w:t xml:space="preserve">es banques de </w:t>
      </w:r>
      <w:r w:rsidR="00654D64">
        <w:rPr>
          <w:kern w:val="22"/>
          <w:sz w:val="22"/>
          <w:lang w:val="fr-FR"/>
        </w:rPr>
        <w:t>champignons</w:t>
      </w:r>
      <w:r w:rsidR="006A6E74">
        <w:rPr>
          <w:kern w:val="22"/>
          <w:sz w:val="22"/>
          <w:lang w:val="fr-FR"/>
        </w:rPr>
        <w:t>,</w:t>
      </w:r>
      <w:r w:rsidR="008701AD">
        <w:rPr>
          <w:kern w:val="22"/>
          <w:sz w:val="22"/>
          <w:lang w:val="fr-FR"/>
        </w:rPr>
        <w:t xml:space="preserve"> de</w:t>
      </w:r>
      <w:r w:rsidR="006A6E74">
        <w:rPr>
          <w:kern w:val="22"/>
          <w:sz w:val="22"/>
          <w:lang w:val="fr-FR"/>
        </w:rPr>
        <w:t xml:space="preserve"> semences</w:t>
      </w:r>
      <w:r w:rsidR="00E3674F" w:rsidRPr="00AA5919">
        <w:rPr>
          <w:kern w:val="22"/>
          <w:sz w:val="22"/>
          <w:lang w:val="fr-FR"/>
        </w:rPr>
        <w:t xml:space="preserve"> et </w:t>
      </w:r>
      <w:r w:rsidR="00D6232E" w:rsidRPr="00AA5919">
        <w:rPr>
          <w:kern w:val="22"/>
          <w:sz w:val="22"/>
          <w:lang w:val="fr-FR"/>
        </w:rPr>
        <w:t>de gènes</w:t>
      </w:r>
      <w:r w:rsidR="008B41F4" w:rsidRPr="00AA5919">
        <w:rPr>
          <w:kern w:val="22"/>
          <w:sz w:val="22"/>
          <w:lang w:val="fr-FR"/>
        </w:rPr>
        <w:t>,</w:t>
      </w:r>
      <w:r w:rsidR="00E3674F" w:rsidRPr="00AA5919">
        <w:rPr>
          <w:kern w:val="22"/>
          <w:sz w:val="22"/>
          <w:lang w:val="fr-FR"/>
        </w:rPr>
        <w:t xml:space="preserve"> et </w:t>
      </w:r>
      <w:r w:rsidR="006A6E74">
        <w:rPr>
          <w:kern w:val="22"/>
          <w:sz w:val="22"/>
          <w:lang w:val="fr-FR"/>
        </w:rPr>
        <w:t xml:space="preserve">détiennent des </w:t>
      </w:r>
      <w:r w:rsidR="00FB3877" w:rsidRPr="00AA5919">
        <w:rPr>
          <w:kern w:val="22"/>
          <w:sz w:val="22"/>
          <w:lang w:val="fr-FR"/>
        </w:rPr>
        <w:t>collections</w:t>
      </w:r>
      <w:r w:rsidR="00654D64">
        <w:rPr>
          <w:kern w:val="22"/>
          <w:sz w:val="22"/>
          <w:lang w:val="fr-FR"/>
        </w:rPr>
        <w:t xml:space="preserve"> issues de travaux de </w:t>
      </w:r>
      <w:r w:rsidR="006A6E74">
        <w:rPr>
          <w:kern w:val="22"/>
          <w:sz w:val="22"/>
          <w:lang w:val="fr-FR"/>
        </w:rPr>
        <w:t>recherche, comme les</w:t>
      </w:r>
      <w:r w:rsidR="00FB3877" w:rsidRPr="00AA5919">
        <w:rPr>
          <w:kern w:val="22"/>
          <w:sz w:val="22"/>
          <w:lang w:val="fr-FR"/>
        </w:rPr>
        <w:t xml:space="preserve"> </w:t>
      </w:r>
      <w:r w:rsidR="00BE6788" w:rsidRPr="00AA5919">
        <w:rPr>
          <w:kern w:val="22"/>
          <w:sz w:val="22"/>
          <w:lang w:val="fr-FR"/>
        </w:rPr>
        <w:t>herbiers</w:t>
      </w:r>
      <w:r w:rsidR="00E3674F" w:rsidRPr="00AA5919">
        <w:rPr>
          <w:kern w:val="22"/>
          <w:sz w:val="22"/>
          <w:lang w:val="fr-FR"/>
        </w:rPr>
        <w:t xml:space="preserve"> et </w:t>
      </w:r>
      <w:r w:rsidR="006A6E74">
        <w:rPr>
          <w:kern w:val="22"/>
          <w:sz w:val="22"/>
          <w:lang w:val="fr-FR"/>
        </w:rPr>
        <w:t>les</w:t>
      </w:r>
      <w:r w:rsidR="00E809BF" w:rsidRPr="00AA5919">
        <w:rPr>
          <w:kern w:val="22"/>
          <w:sz w:val="22"/>
          <w:lang w:val="fr-FR"/>
        </w:rPr>
        <w:t xml:space="preserve"> collections</w:t>
      </w:r>
      <w:r w:rsidR="006A6E74">
        <w:rPr>
          <w:kern w:val="22"/>
          <w:sz w:val="22"/>
          <w:lang w:val="fr-FR"/>
        </w:rPr>
        <w:t xml:space="preserve"> ethnobotaniques</w:t>
      </w:r>
      <w:r w:rsidR="00100087" w:rsidRPr="00AA5919">
        <w:rPr>
          <w:kern w:val="22"/>
          <w:sz w:val="22"/>
          <w:lang w:val="fr-FR"/>
        </w:rPr>
        <w:t>.</w:t>
      </w:r>
      <w:r w:rsidR="00100087" w:rsidRPr="002364AB">
        <w:rPr>
          <w:rStyle w:val="FootnoteReference"/>
          <w:kern w:val="22"/>
          <w:sz w:val="22"/>
          <w:lang w:val="en-GB"/>
        </w:rPr>
        <w:footnoteReference w:id="86"/>
      </w:r>
      <w:r w:rsidR="00100087" w:rsidRPr="00AA5919">
        <w:rPr>
          <w:kern w:val="22"/>
          <w:sz w:val="22"/>
          <w:lang w:val="fr-FR"/>
        </w:rPr>
        <w:t xml:space="preserve">  </w:t>
      </w:r>
    </w:p>
    <w:p w14:paraId="6E757630" w14:textId="332B39A4" w:rsidR="00100087" w:rsidRPr="00FA4E1F" w:rsidRDefault="00931FA2" w:rsidP="00100087">
      <w:pPr>
        <w:rPr>
          <w:kern w:val="22"/>
          <w:sz w:val="22"/>
          <w:lang w:val="fr-FR"/>
        </w:rPr>
      </w:pPr>
      <w:r w:rsidRPr="00931FA2">
        <w:rPr>
          <w:kern w:val="22"/>
          <w:sz w:val="22"/>
          <w:lang w:val="fr-FR"/>
        </w:rPr>
        <w:t>Le Réseau internation</w:t>
      </w:r>
      <w:r w:rsidR="0044399E">
        <w:rPr>
          <w:kern w:val="22"/>
          <w:sz w:val="22"/>
          <w:lang w:val="fr-FR"/>
        </w:rPr>
        <w:t>al d’échange de plantes</w:t>
      </w:r>
      <w:r w:rsidR="00100087" w:rsidRPr="00931FA2">
        <w:rPr>
          <w:kern w:val="22"/>
          <w:sz w:val="22"/>
          <w:lang w:val="fr-FR"/>
        </w:rPr>
        <w:t xml:space="preserve"> (IPEN) </w:t>
      </w:r>
      <w:r w:rsidRPr="00931FA2">
        <w:rPr>
          <w:kern w:val="22"/>
          <w:sz w:val="22"/>
          <w:lang w:val="fr-FR"/>
        </w:rPr>
        <w:t xml:space="preserve">a été créé en </w:t>
      </w:r>
      <w:r w:rsidR="00100087" w:rsidRPr="00931FA2">
        <w:rPr>
          <w:kern w:val="22"/>
          <w:sz w:val="22"/>
          <w:lang w:val="fr-FR"/>
        </w:rPr>
        <w:t>2002</w:t>
      </w:r>
      <w:r w:rsidR="006A6E74">
        <w:rPr>
          <w:kern w:val="22"/>
          <w:sz w:val="22"/>
          <w:lang w:val="fr-FR"/>
        </w:rPr>
        <w:t xml:space="preserve"> par le V</w:t>
      </w:r>
      <w:r w:rsidR="00654D64">
        <w:rPr>
          <w:kern w:val="22"/>
          <w:sz w:val="22"/>
          <w:lang w:val="fr-FR"/>
        </w:rPr>
        <w:t xml:space="preserve">erband Botanischer Gärten, en tant que mécanisme </w:t>
      </w:r>
      <w:r w:rsidR="006531D6">
        <w:rPr>
          <w:kern w:val="22"/>
          <w:sz w:val="22"/>
          <w:lang w:val="fr-FR"/>
        </w:rPr>
        <w:t>pour</w:t>
      </w:r>
      <w:r w:rsidR="006A6E74">
        <w:rPr>
          <w:kern w:val="22"/>
          <w:sz w:val="22"/>
          <w:lang w:val="fr-FR"/>
        </w:rPr>
        <w:t xml:space="preserve"> faciliter les échanges internationaux de matériel végétal vivant </w:t>
      </w:r>
      <w:r w:rsidR="00D6232E" w:rsidRPr="00931FA2">
        <w:rPr>
          <w:kern w:val="22"/>
          <w:sz w:val="22"/>
          <w:lang w:val="fr-FR"/>
        </w:rPr>
        <w:t>entre</w:t>
      </w:r>
      <w:r w:rsidR="00822EA8" w:rsidRPr="00931FA2">
        <w:rPr>
          <w:kern w:val="22"/>
          <w:sz w:val="22"/>
          <w:lang w:val="fr-FR"/>
        </w:rPr>
        <w:t xml:space="preserve"> </w:t>
      </w:r>
      <w:r w:rsidR="0044399E">
        <w:rPr>
          <w:kern w:val="22"/>
          <w:sz w:val="22"/>
          <w:lang w:val="fr-FR"/>
        </w:rPr>
        <w:t xml:space="preserve">les </w:t>
      </w:r>
      <w:r w:rsidR="006A6E74">
        <w:rPr>
          <w:kern w:val="22"/>
          <w:sz w:val="22"/>
          <w:lang w:val="fr-FR"/>
        </w:rPr>
        <w:t>jardins botaniques</w:t>
      </w:r>
      <w:r w:rsidR="00822EA8" w:rsidRPr="00931FA2">
        <w:rPr>
          <w:kern w:val="22"/>
          <w:sz w:val="22"/>
          <w:lang w:val="fr-FR"/>
        </w:rPr>
        <w:t xml:space="preserve"> </w:t>
      </w:r>
      <w:r w:rsidR="00DD1A9B" w:rsidRPr="00931FA2">
        <w:rPr>
          <w:kern w:val="22"/>
          <w:sz w:val="22"/>
          <w:lang w:val="fr-FR"/>
        </w:rPr>
        <w:t xml:space="preserve">à des fins </w:t>
      </w:r>
      <w:r w:rsidR="00C36AB3">
        <w:rPr>
          <w:kern w:val="22"/>
          <w:sz w:val="22"/>
          <w:lang w:val="fr-FR"/>
        </w:rPr>
        <w:t>non-</w:t>
      </w:r>
      <w:r w:rsidR="00DD1A9B" w:rsidRPr="00931FA2">
        <w:rPr>
          <w:kern w:val="22"/>
          <w:sz w:val="22"/>
          <w:lang w:val="fr-FR"/>
        </w:rPr>
        <w:t>commerciales</w:t>
      </w:r>
      <w:r w:rsidR="00C36AB3">
        <w:rPr>
          <w:kern w:val="22"/>
          <w:sz w:val="22"/>
          <w:lang w:val="fr-FR"/>
        </w:rPr>
        <w:t>, conformément aux dispositions de la</w:t>
      </w:r>
      <w:r w:rsidR="007466E1" w:rsidRPr="00931FA2">
        <w:rPr>
          <w:kern w:val="22"/>
          <w:sz w:val="22"/>
          <w:lang w:val="fr-FR"/>
        </w:rPr>
        <w:t xml:space="preserve"> </w:t>
      </w:r>
      <w:r w:rsidR="007347F7">
        <w:rPr>
          <w:kern w:val="22"/>
          <w:sz w:val="22"/>
          <w:lang w:val="fr-FR"/>
        </w:rPr>
        <w:t>Convention</w:t>
      </w:r>
      <w:r w:rsidR="0044399E">
        <w:rPr>
          <w:kern w:val="22"/>
          <w:sz w:val="22"/>
          <w:lang w:val="fr-FR"/>
        </w:rPr>
        <w:t xml:space="preserve"> sur la diversité </w:t>
      </w:r>
      <w:r w:rsidR="0044399E">
        <w:rPr>
          <w:kern w:val="22"/>
          <w:sz w:val="22"/>
          <w:lang w:val="fr-FR"/>
        </w:rPr>
        <w:lastRenderedPageBreak/>
        <w:t>biologique</w:t>
      </w:r>
      <w:r w:rsidR="00822EA8" w:rsidRPr="00931FA2">
        <w:rPr>
          <w:kern w:val="22"/>
          <w:sz w:val="22"/>
          <w:lang w:val="fr-FR"/>
        </w:rPr>
        <w:t>.</w:t>
      </w:r>
      <w:r w:rsidR="005D5F79" w:rsidRPr="002364AB">
        <w:rPr>
          <w:rStyle w:val="FootnoteReference"/>
          <w:kern w:val="22"/>
          <w:sz w:val="22"/>
          <w:lang w:val="en-GB"/>
        </w:rPr>
        <w:footnoteReference w:id="87"/>
      </w:r>
      <w:r w:rsidR="00822EA8" w:rsidRPr="00931FA2">
        <w:rPr>
          <w:kern w:val="22"/>
          <w:sz w:val="22"/>
          <w:lang w:val="fr-FR"/>
        </w:rPr>
        <w:t xml:space="preserve"> </w:t>
      </w:r>
      <w:r w:rsidR="00C36AB3">
        <w:rPr>
          <w:kern w:val="22"/>
          <w:sz w:val="22"/>
          <w:lang w:val="fr-FR"/>
        </w:rPr>
        <w:t>Les membres de l’</w:t>
      </w:r>
      <w:r w:rsidR="00822EA8" w:rsidRPr="0050280F">
        <w:rPr>
          <w:kern w:val="22"/>
          <w:sz w:val="22"/>
          <w:lang w:val="fr-FR"/>
        </w:rPr>
        <w:t xml:space="preserve">IPEN </w:t>
      </w:r>
      <w:r w:rsidR="006531D6">
        <w:rPr>
          <w:kern w:val="22"/>
          <w:sz w:val="22"/>
          <w:lang w:val="fr-FR"/>
        </w:rPr>
        <w:t>ont</w:t>
      </w:r>
      <w:r w:rsidR="00C36AB3">
        <w:rPr>
          <w:kern w:val="22"/>
          <w:sz w:val="22"/>
          <w:lang w:val="fr-FR"/>
        </w:rPr>
        <w:t xml:space="preserve"> un code de conduite commun</w:t>
      </w:r>
      <w:r w:rsidR="006531D6">
        <w:rPr>
          <w:kern w:val="22"/>
          <w:sz w:val="22"/>
          <w:lang w:val="fr-FR"/>
        </w:rPr>
        <w:t>, partagent</w:t>
      </w:r>
      <w:r w:rsidR="00C36AB3">
        <w:rPr>
          <w:kern w:val="22"/>
          <w:sz w:val="22"/>
          <w:lang w:val="fr-FR"/>
        </w:rPr>
        <w:t xml:space="preserve"> de</w:t>
      </w:r>
      <w:r w:rsidR="006531D6">
        <w:rPr>
          <w:kern w:val="22"/>
          <w:sz w:val="22"/>
          <w:lang w:val="fr-FR"/>
        </w:rPr>
        <w:t>s</w:t>
      </w:r>
      <w:r w:rsidR="00C36AB3">
        <w:rPr>
          <w:kern w:val="22"/>
          <w:sz w:val="22"/>
          <w:lang w:val="fr-FR"/>
        </w:rPr>
        <w:t xml:space="preserve"> </w:t>
      </w:r>
      <w:r w:rsidR="006531D6">
        <w:rPr>
          <w:kern w:val="22"/>
          <w:sz w:val="22"/>
          <w:lang w:val="fr-FR"/>
        </w:rPr>
        <w:t>documents</w:t>
      </w:r>
      <w:r w:rsidR="00C36AB3">
        <w:rPr>
          <w:kern w:val="22"/>
          <w:sz w:val="22"/>
          <w:lang w:val="fr-FR"/>
        </w:rPr>
        <w:t>,</w:t>
      </w:r>
      <w:r w:rsidR="00E3674F" w:rsidRPr="0050280F">
        <w:rPr>
          <w:kern w:val="22"/>
          <w:sz w:val="22"/>
          <w:lang w:val="fr-FR"/>
        </w:rPr>
        <w:t xml:space="preserve"> et</w:t>
      </w:r>
      <w:r w:rsidR="006531D6">
        <w:rPr>
          <w:kern w:val="22"/>
          <w:sz w:val="22"/>
          <w:lang w:val="fr-FR"/>
        </w:rPr>
        <w:t xml:space="preserve"> ont</w:t>
      </w:r>
      <w:r w:rsidR="00E3674F" w:rsidRPr="0050280F">
        <w:rPr>
          <w:kern w:val="22"/>
          <w:sz w:val="22"/>
          <w:lang w:val="fr-FR"/>
        </w:rPr>
        <w:t xml:space="preserve"> </w:t>
      </w:r>
      <w:r w:rsidR="0044399E">
        <w:rPr>
          <w:kern w:val="22"/>
          <w:sz w:val="22"/>
          <w:lang w:val="fr-FR"/>
        </w:rPr>
        <w:t>des numéros d’identification traçables</w:t>
      </w:r>
      <w:r w:rsidR="00822EA8" w:rsidRPr="0050280F">
        <w:rPr>
          <w:kern w:val="22"/>
          <w:sz w:val="22"/>
          <w:lang w:val="fr-FR"/>
        </w:rPr>
        <w:t>.</w:t>
      </w:r>
      <w:r w:rsidR="00100087" w:rsidRPr="0050280F">
        <w:rPr>
          <w:kern w:val="22"/>
          <w:sz w:val="22"/>
          <w:lang w:val="fr-FR"/>
        </w:rPr>
        <w:t xml:space="preserve"> </w:t>
      </w:r>
      <w:r w:rsidR="00C36AB3" w:rsidRPr="00FA4E1F">
        <w:rPr>
          <w:kern w:val="22"/>
          <w:sz w:val="22"/>
          <w:lang w:val="fr-FR"/>
        </w:rPr>
        <w:t>L’</w:t>
      </w:r>
      <w:r w:rsidR="001E1D86" w:rsidRPr="00FA4E1F">
        <w:rPr>
          <w:kern w:val="22"/>
          <w:sz w:val="22"/>
          <w:lang w:val="fr-FR"/>
        </w:rPr>
        <w:t>objectif</w:t>
      </w:r>
      <w:r w:rsidR="00C36AB3" w:rsidRPr="00FA4E1F">
        <w:rPr>
          <w:kern w:val="22"/>
          <w:sz w:val="22"/>
          <w:lang w:val="fr-FR"/>
        </w:rPr>
        <w:t xml:space="preserve"> de l’</w:t>
      </w:r>
      <w:r w:rsidR="0044399E">
        <w:rPr>
          <w:kern w:val="22"/>
          <w:sz w:val="22"/>
          <w:lang w:val="fr-FR"/>
        </w:rPr>
        <w:t>IPEN est</w:t>
      </w:r>
      <w:r w:rsidR="00FA4E1F" w:rsidRPr="00FA4E1F">
        <w:rPr>
          <w:kern w:val="22"/>
          <w:sz w:val="22"/>
          <w:lang w:val="fr-FR"/>
        </w:rPr>
        <w:t xml:space="preserve"> de</w:t>
      </w:r>
      <w:r w:rsidR="00100087" w:rsidRPr="00FA4E1F">
        <w:rPr>
          <w:kern w:val="22"/>
          <w:sz w:val="22"/>
          <w:lang w:val="fr-FR"/>
        </w:rPr>
        <w:t xml:space="preserve"> </w:t>
      </w:r>
      <w:r w:rsidR="00FA4E1F" w:rsidRPr="00FA4E1F">
        <w:rPr>
          <w:kern w:val="22"/>
          <w:sz w:val="22"/>
          <w:lang w:val="fr-FR"/>
        </w:rPr>
        <w:t>fournir une base rationnelle pour la</w:t>
      </w:r>
      <w:r w:rsidR="00100087" w:rsidRPr="00FA4E1F">
        <w:rPr>
          <w:kern w:val="22"/>
          <w:sz w:val="22"/>
          <w:lang w:val="fr-FR"/>
        </w:rPr>
        <w:t xml:space="preserve"> </w:t>
      </w:r>
      <w:r w:rsidR="00FA4E1F" w:rsidRPr="00FA4E1F">
        <w:rPr>
          <w:kern w:val="22"/>
          <w:sz w:val="22"/>
          <w:lang w:val="fr-FR"/>
        </w:rPr>
        <w:t>coopération</w:t>
      </w:r>
      <w:r w:rsidR="00100087" w:rsidRPr="00FA4E1F">
        <w:rPr>
          <w:kern w:val="22"/>
          <w:sz w:val="22"/>
          <w:lang w:val="fr-FR"/>
        </w:rPr>
        <w:t xml:space="preserve">, </w:t>
      </w:r>
      <w:r w:rsidR="0044399E">
        <w:rPr>
          <w:kern w:val="22"/>
          <w:sz w:val="22"/>
          <w:lang w:val="fr-FR"/>
        </w:rPr>
        <w:t>ainsi qu’</w:t>
      </w:r>
      <w:r w:rsidR="00FA4E1F" w:rsidRPr="00FA4E1F">
        <w:rPr>
          <w:kern w:val="22"/>
          <w:sz w:val="22"/>
          <w:lang w:val="fr-FR"/>
        </w:rPr>
        <w:t xml:space="preserve">une </w:t>
      </w:r>
      <w:r w:rsidR="00FA4E1F">
        <w:rPr>
          <w:kern w:val="22"/>
          <w:sz w:val="22"/>
          <w:lang w:val="fr-FR"/>
        </w:rPr>
        <w:t>transparence</w:t>
      </w:r>
      <w:r w:rsidR="00E3674F" w:rsidRPr="00FA4E1F">
        <w:rPr>
          <w:kern w:val="22"/>
          <w:sz w:val="22"/>
          <w:lang w:val="fr-FR"/>
        </w:rPr>
        <w:t xml:space="preserve"> et </w:t>
      </w:r>
      <w:r w:rsidR="00FA4E1F">
        <w:rPr>
          <w:kern w:val="22"/>
          <w:sz w:val="22"/>
          <w:lang w:val="fr-FR"/>
        </w:rPr>
        <w:t xml:space="preserve">une </w:t>
      </w:r>
      <w:r w:rsidR="00100087" w:rsidRPr="00FA4E1F">
        <w:rPr>
          <w:kern w:val="22"/>
          <w:sz w:val="22"/>
          <w:lang w:val="fr-FR"/>
        </w:rPr>
        <w:t xml:space="preserve">communication, </w:t>
      </w:r>
      <w:r w:rsidR="00FA4E1F">
        <w:rPr>
          <w:kern w:val="22"/>
          <w:sz w:val="22"/>
          <w:lang w:val="fr-FR"/>
        </w:rPr>
        <w:t xml:space="preserve">compte </w:t>
      </w:r>
      <w:r w:rsidR="0044399E">
        <w:rPr>
          <w:kern w:val="22"/>
          <w:sz w:val="22"/>
          <w:lang w:val="fr-FR"/>
        </w:rPr>
        <w:t xml:space="preserve">tenu des préoccupations </w:t>
      </w:r>
      <w:r w:rsidR="00FA4E1F">
        <w:rPr>
          <w:kern w:val="22"/>
          <w:sz w:val="22"/>
          <w:lang w:val="fr-FR"/>
        </w:rPr>
        <w:t>des fournisseurs</w:t>
      </w:r>
      <w:r w:rsidR="00E3674F" w:rsidRPr="00FA4E1F">
        <w:rPr>
          <w:kern w:val="22"/>
          <w:sz w:val="22"/>
          <w:lang w:val="fr-FR"/>
        </w:rPr>
        <w:t xml:space="preserve"> et </w:t>
      </w:r>
      <w:r w:rsidR="00FA4E1F">
        <w:rPr>
          <w:kern w:val="22"/>
          <w:sz w:val="22"/>
          <w:lang w:val="fr-FR"/>
        </w:rPr>
        <w:t>d</w:t>
      </w:r>
      <w:r w:rsidR="00100087" w:rsidRPr="00FA4E1F">
        <w:rPr>
          <w:kern w:val="22"/>
          <w:sz w:val="22"/>
          <w:lang w:val="fr-FR"/>
        </w:rPr>
        <w:t>e</w:t>
      </w:r>
      <w:r w:rsidR="00FA4E1F">
        <w:rPr>
          <w:kern w:val="22"/>
          <w:sz w:val="22"/>
          <w:lang w:val="fr-FR"/>
        </w:rPr>
        <w:t>s</w:t>
      </w:r>
      <w:r w:rsidR="00AA5919" w:rsidRPr="00FA4E1F">
        <w:rPr>
          <w:kern w:val="22"/>
          <w:sz w:val="22"/>
          <w:lang w:val="fr-FR"/>
        </w:rPr>
        <w:t xml:space="preserve"> utilisateurs </w:t>
      </w:r>
      <w:r w:rsidR="00D6232E" w:rsidRPr="00FA4E1F">
        <w:rPr>
          <w:kern w:val="22"/>
          <w:sz w:val="22"/>
          <w:lang w:val="fr-FR"/>
        </w:rPr>
        <w:t>de ressources</w:t>
      </w:r>
      <w:r w:rsidR="00E3674F" w:rsidRPr="00FA4E1F">
        <w:rPr>
          <w:kern w:val="22"/>
          <w:sz w:val="22"/>
          <w:lang w:val="fr-FR"/>
        </w:rPr>
        <w:t xml:space="preserve"> génétiques</w:t>
      </w:r>
      <w:r w:rsidR="00100087" w:rsidRPr="00FA4E1F">
        <w:rPr>
          <w:kern w:val="22"/>
          <w:sz w:val="22"/>
          <w:lang w:val="fr-FR"/>
        </w:rPr>
        <w:t xml:space="preserve">. </w:t>
      </w:r>
      <w:r w:rsidR="0044399E">
        <w:rPr>
          <w:kern w:val="22"/>
          <w:sz w:val="22"/>
          <w:lang w:val="fr-FR"/>
        </w:rPr>
        <w:t>L</w:t>
      </w:r>
      <w:r w:rsidR="00FA4E1F" w:rsidRPr="00FA4E1F">
        <w:rPr>
          <w:kern w:val="22"/>
          <w:sz w:val="22"/>
          <w:lang w:val="fr-FR"/>
        </w:rPr>
        <w:t xml:space="preserve">e </w:t>
      </w:r>
      <w:r w:rsidR="00C36AB3" w:rsidRPr="00FA4E1F">
        <w:rPr>
          <w:kern w:val="22"/>
          <w:sz w:val="22"/>
          <w:lang w:val="fr-FR"/>
        </w:rPr>
        <w:t xml:space="preserve">Code de </w:t>
      </w:r>
      <w:r w:rsidR="00FA4E1F" w:rsidRPr="00FA4E1F">
        <w:rPr>
          <w:kern w:val="22"/>
          <w:sz w:val="22"/>
          <w:lang w:val="fr-FR"/>
        </w:rPr>
        <w:t>conduit</w:t>
      </w:r>
      <w:r w:rsidR="0044399E">
        <w:rPr>
          <w:kern w:val="22"/>
          <w:sz w:val="22"/>
          <w:lang w:val="fr-FR"/>
        </w:rPr>
        <w:t>e</w:t>
      </w:r>
      <w:r w:rsidR="00FA4E1F" w:rsidRPr="00FA4E1F">
        <w:rPr>
          <w:kern w:val="22"/>
          <w:sz w:val="22"/>
          <w:lang w:val="fr-FR"/>
        </w:rPr>
        <w:t xml:space="preserve"> de l’IPEN</w:t>
      </w:r>
      <w:r w:rsidR="0044399E">
        <w:rPr>
          <w:kern w:val="22"/>
          <w:sz w:val="22"/>
          <w:lang w:val="fr-FR"/>
        </w:rPr>
        <w:t xml:space="preserve"> prévoit ainsi que :</w:t>
      </w:r>
      <w:r w:rsidR="00100087" w:rsidRPr="00FA4E1F">
        <w:rPr>
          <w:kern w:val="22"/>
          <w:sz w:val="22"/>
          <w:lang w:val="fr-FR"/>
        </w:rPr>
        <w:t xml:space="preserve"> “</w:t>
      </w:r>
      <w:r w:rsidR="00FA4E1F">
        <w:rPr>
          <w:kern w:val="22"/>
          <w:sz w:val="22"/>
          <w:lang w:val="fr-FR"/>
        </w:rPr>
        <w:t>les jardins botaniques membres de l’</w:t>
      </w:r>
      <w:r w:rsidR="00100087" w:rsidRPr="00FA4E1F">
        <w:rPr>
          <w:kern w:val="22"/>
          <w:sz w:val="22"/>
          <w:lang w:val="fr-FR"/>
        </w:rPr>
        <w:t xml:space="preserve">IPEN </w:t>
      </w:r>
      <w:r w:rsidR="00FA4E1F">
        <w:rPr>
          <w:kern w:val="22"/>
          <w:sz w:val="22"/>
          <w:lang w:val="fr-FR"/>
        </w:rPr>
        <w:t>sont fortement encouragés à traiter tout le matériel végétal</w:t>
      </w:r>
      <w:r w:rsidR="00100087" w:rsidRPr="00FA4E1F">
        <w:rPr>
          <w:kern w:val="22"/>
          <w:sz w:val="22"/>
          <w:lang w:val="fr-FR"/>
        </w:rPr>
        <w:t xml:space="preserve"> </w:t>
      </w:r>
      <w:r w:rsidR="00FA4E1F">
        <w:rPr>
          <w:kern w:val="22"/>
          <w:sz w:val="22"/>
          <w:lang w:val="fr-FR"/>
        </w:rPr>
        <w:t>[vivant</w:t>
      </w:r>
      <w:r w:rsidR="00B13A08" w:rsidRPr="00FA4E1F">
        <w:rPr>
          <w:kern w:val="22"/>
          <w:sz w:val="22"/>
          <w:lang w:val="fr-FR"/>
        </w:rPr>
        <w:t>]</w:t>
      </w:r>
      <w:r w:rsidR="0044399E">
        <w:rPr>
          <w:kern w:val="22"/>
          <w:sz w:val="22"/>
          <w:lang w:val="fr-FR"/>
        </w:rPr>
        <w:t xml:space="preserve"> ‘comme s’</w:t>
      </w:r>
      <w:r w:rsidR="00FA4E1F">
        <w:rPr>
          <w:kern w:val="22"/>
          <w:sz w:val="22"/>
          <w:lang w:val="fr-FR"/>
        </w:rPr>
        <w:t>il avait été acquis après l’ent</w:t>
      </w:r>
      <w:r w:rsidR="0044399E">
        <w:rPr>
          <w:kern w:val="22"/>
          <w:sz w:val="22"/>
          <w:lang w:val="fr-FR"/>
        </w:rPr>
        <w:t>rée en vigueur de la Convention</w:t>
      </w:r>
      <w:r w:rsidR="006531D6">
        <w:rPr>
          <w:kern w:val="22"/>
          <w:sz w:val="22"/>
          <w:lang w:val="fr-FR"/>
        </w:rPr>
        <w:t>, et donc subordonné à l’application des</w:t>
      </w:r>
      <w:r w:rsidR="00FA4E1F">
        <w:rPr>
          <w:kern w:val="22"/>
          <w:sz w:val="22"/>
          <w:lang w:val="fr-FR"/>
        </w:rPr>
        <w:t xml:space="preserve"> dispositions de la Convention</w:t>
      </w:r>
      <w:r w:rsidR="00100087" w:rsidRPr="00FA4E1F">
        <w:rPr>
          <w:kern w:val="22"/>
          <w:sz w:val="22"/>
          <w:lang w:val="fr-FR"/>
        </w:rPr>
        <w:t xml:space="preserve">. </w:t>
      </w:r>
      <w:r w:rsidR="00FA4E1F">
        <w:rPr>
          <w:kern w:val="22"/>
          <w:sz w:val="22"/>
          <w:lang w:val="fr-FR"/>
        </w:rPr>
        <w:t xml:space="preserve">Ceci n’implique pas </w:t>
      </w:r>
      <w:r w:rsidR="00D6232E" w:rsidRPr="00FA4E1F">
        <w:rPr>
          <w:kern w:val="22"/>
          <w:sz w:val="22"/>
          <w:lang w:val="fr-FR"/>
        </w:rPr>
        <w:t>cependant</w:t>
      </w:r>
      <w:r w:rsidR="00FA4E1F">
        <w:rPr>
          <w:kern w:val="22"/>
          <w:sz w:val="22"/>
          <w:lang w:val="fr-FR"/>
        </w:rPr>
        <w:t xml:space="preserve"> </w:t>
      </w:r>
      <w:r w:rsidR="0044399E">
        <w:rPr>
          <w:kern w:val="22"/>
          <w:sz w:val="22"/>
          <w:lang w:val="fr-FR"/>
        </w:rPr>
        <w:t>l’acceptation d</w:t>
      </w:r>
      <w:r w:rsidR="00FA4E1F">
        <w:rPr>
          <w:kern w:val="22"/>
          <w:sz w:val="22"/>
          <w:lang w:val="fr-FR"/>
        </w:rPr>
        <w:t>’</w:t>
      </w:r>
      <w:r w:rsidR="0044399E">
        <w:rPr>
          <w:kern w:val="22"/>
          <w:sz w:val="22"/>
          <w:lang w:val="fr-FR"/>
        </w:rPr>
        <w:t xml:space="preserve">une responsabilité </w:t>
      </w:r>
      <w:r w:rsidR="00FA4E1F">
        <w:rPr>
          <w:kern w:val="22"/>
          <w:sz w:val="22"/>
          <w:lang w:val="fr-FR"/>
        </w:rPr>
        <w:t>en cas de demande rétroactive de</w:t>
      </w:r>
      <w:r w:rsidR="00100087" w:rsidRPr="00FA4E1F">
        <w:rPr>
          <w:kern w:val="22"/>
          <w:sz w:val="22"/>
          <w:lang w:val="fr-FR"/>
        </w:rPr>
        <w:t xml:space="preserve"> </w:t>
      </w:r>
      <w:r w:rsidR="00E3674F" w:rsidRPr="00FA4E1F">
        <w:rPr>
          <w:kern w:val="22"/>
          <w:sz w:val="22"/>
          <w:lang w:val="fr-FR"/>
        </w:rPr>
        <w:t>partage des avantages</w:t>
      </w:r>
      <w:r w:rsidR="0044399E">
        <w:rPr>
          <w:kern w:val="22"/>
          <w:sz w:val="22"/>
          <w:lang w:val="fr-FR"/>
        </w:rPr>
        <w:t xml:space="preserve"> pour une</w:t>
      </w:r>
      <w:r w:rsidR="00100087" w:rsidRPr="00FA4E1F">
        <w:rPr>
          <w:kern w:val="22"/>
          <w:sz w:val="22"/>
          <w:lang w:val="fr-FR"/>
        </w:rPr>
        <w:t xml:space="preserve"> </w:t>
      </w:r>
      <w:r w:rsidR="00FA4E1F">
        <w:rPr>
          <w:kern w:val="22"/>
          <w:sz w:val="22"/>
          <w:lang w:val="fr-FR"/>
        </w:rPr>
        <w:t>utilisation commerciale de</w:t>
      </w:r>
      <w:r w:rsidR="00100087" w:rsidRPr="00FA4E1F">
        <w:rPr>
          <w:kern w:val="22"/>
          <w:sz w:val="22"/>
          <w:lang w:val="fr-FR"/>
        </w:rPr>
        <w:t xml:space="preserve"> </w:t>
      </w:r>
      <w:r w:rsidR="001B2CC8" w:rsidRPr="00FA4E1F">
        <w:rPr>
          <w:kern w:val="22"/>
          <w:sz w:val="22"/>
          <w:lang w:val="fr-FR"/>
        </w:rPr>
        <w:t>plantes</w:t>
      </w:r>
      <w:r w:rsidR="00FA4E1F">
        <w:rPr>
          <w:kern w:val="22"/>
          <w:sz w:val="22"/>
          <w:lang w:val="fr-FR"/>
        </w:rPr>
        <w:t xml:space="preserve"> acquises avant l’entrée en vigueur de la</w:t>
      </w:r>
      <w:r w:rsidR="00100087" w:rsidRPr="00FA4E1F">
        <w:rPr>
          <w:kern w:val="22"/>
          <w:sz w:val="22"/>
          <w:lang w:val="fr-FR"/>
        </w:rPr>
        <w:t xml:space="preserve"> </w:t>
      </w:r>
      <w:r w:rsidR="007347F7">
        <w:rPr>
          <w:kern w:val="22"/>
          <w:sz w:val="22"/>
          <w:lang w:val="fr-FR"/>
        </w:rPr>
        <w:t>Convention</w:t>
      </w:r>
      <w:r w:rsidR="00FA4E1F">
        <w:rPr>
          <w:kern w:val="22"/>
          <w:sz w:val="22"/>
          <w:lang w:val="fr-FR"/>
        </w:rPr>
        <w:t> ».</w:t>
      </w:r>
      <w:r w:rsidR="00100087" w:rsidRPr="002364AB">
        <w:rPr>
          <w:rStyle w:val="FootnoteReference"/>
          <w:rFonts w:cs="Times New Roman"/>
          <w:kern w:val="22"/>
          <w:sz w:val="22"/>
          <w:lang w:val="en-GB"/>
        </w:rPr>
        <w:footnoteReference w:id="88"/>
      </w:r>
      <w:r w:rsidR="00100087" w:rsidRPr="00FA4E1F">
        <w:rPr>
          <w:kern w:val="22"/>
          <w:sz w:val="22"/>
          <w:lang w:val="fr-FR"/>
        </w:rPr>
        <w:t xml:space="preserve"> </w:t>
      </w:r>
    </w:p>
    <w:p w14:paraId="2B441064" w14:textId="15E459B3" w:rsidR="00100087" w:rsidRPr="00424B6E" w:rsidRDefault="00931FA2" w:rsidP="00100087">
      <w:pPr>
        <w:rPr>
          <w:rFonts w:cs="Times New Roman"/>
          <w:kern w:val="22"/>
          <w:sz w:val="22"/>
          <w:lang w:val="fr-FR"/>
        </w:rPr>
      </w:pPr>
      <w:r w:rsidRPr="00FA4E1F">
        <w:rPr>
          <w:rFonts w:cs="Times New Roman"/>
          <w:kern w:val="22"/>
          <w:sz w:val="22"/>
          <w:lang w:val="fr-FR"/>
        </w:rPr>
        <w:t>L</w:t>
      </w:r>
      <w:r w:rsidR="00100087" w:rsidRPr="00FA4E1F">
        <w:rPr>
          <w:rFonts w:cs="Times New Roman"/>
          <w:kern w:val="22"/>
          <w:sz w:val="22"/>
          <w:lang w:val="fr-FR"/>
        </w:rPr>
        <w:t xml:space="preserve">e </w:t>
      </w:r>
      <w:r w:rsidR="00F106D9" w:rsidRPr="00FA4E1F">
        <w:rPr>
          <w:rFonts w:cs="Times New Roman"/>
          <w:kern w:val="22"/>
          <w:sz w:val="22"/>
          <w:lang w:val="fr-FR"/>
        </w:rPr>
        <w:t>Royal Botanic Gardens</w:t>
      </w:r>
      <w:r w:rsidR="00100087" w:rsidRPr="00FA4E1F">
        <w:rPr>
          <w:rFonts w:cs="Times New Roman"/>
          <w:kern w:val="22"/>
          <w:sz w:val="22"/>
          <w:lang w:val="fr-FR"/>
        </w:rPr>
        <w:t>, Kew (</w:t>
      </w:r>
      <w:r w:rsidR="006531D6">
        <w:rPr>
          <w:rFonts w:cs="Times New Roman"/>
          <w:kern w:val="22"/>
          <w:sz w:val="22"/>
          <w:lang w:val="fr-FR"/>
        </w:rPr>
        <w:t xml:space="preserve">ci-après Kew) </w:t>
      </w:r>
      <w:r w:rsidR="00FA4E1F">
        <w:rPr>
          <w:rFonts w:cs="Times New Roman"/>
          <w:kern w:val="22"/>
          <w:sz w:val="22"/>
          <w:lang w:val="fr-FR"/>
        </w:rPr>
        <w:t>n’est pa</w:t>
      </w:r>
      <w:r w:rsidR="006531D6">
        <w:rPr>
          <w:rFonts w:cs="Times New Roman"/>
          <w:kern w:val="22"/>
          <w:sz w:val="22"/>
          <w:lang w:val="fr-FR"/>
        </w:rPr>
        <w:t xml:space="preserve">s </w:t>
      </w:r>
      <w:r w:rsidR="00FA4E1F">
        <w:rPr>
          <w:rFonts w:cs="Times New Roman"/>
          <w:kern w:val="22"/>
          <w:sz w:val="22"/>
          <w:lang w:val="fr-FR"/>
        </w:rPr>
        <w:t>membre de l’IPEN</w:t>
      </w:r>
      <w:r w:rsidR="006531D6">
        <w:rPr>
          <w:rFonts w:cs="Times New Roman"/>
          <w:kern w:val="22"/>
          <w:sz w:val="22"/>
          <w:lang w:val="fr-FR"/>
        </w:rPr>
        <w:t xml:space="preserve">, mais il conserve des </w:t>
      </w:r>
      <w:r w:rsidR="009B0CE8" w:rsidRPr="00FA4E1F">
        <w:rPr>
          <w:rFonts w:cs="Times New Roman"/>
          <w:kern w:val="22"/>
          <w:sz w:val="22"/>
          <w:lang w:val="fr-FR"/>
        </w:rPr>
        <w:t>collections</w:t>
      </w:r>
      <w:r w:rsidR="006531D6">
        <w:rPr>
          <w:rFonts w:cs="Times New Roman"/>
          <w:kern w:val="22"/>
          <w:sz w:val="22"/>
          <w:lang w:val="fr-FR"/>
        </w:rPr>
        <w:t xml:space="preserve"> diversifiées</w:t>
      </w:r>
      <w:r w:rsidR="00CB5F59">
        <w:rPr>
          <w:rFonts w:cs="Times New Roman"/>
          <w:kern w:val="22"/>
          <w:sz w:val="22"/>
          <w:lang w:val="fr-FR"/>
        </w:rPr>
        <w:t>,</w:t>
      </w:r>
      <w:r w:rsidR="009B0CE8" w:rsidRPr="00FA4E1F">
        <w:rPr>
          <w:rFonts w:cs="Times New Roman"/>
          <w:kern w:val="22"/>
          <w:sz w:val="22"/>
          <w:lang w:val="fr-FR"/>
        </w:rPr>
        <w:t xml:space="preserve"> </w:t>
      </w:r>
      <w:r w:rsidR="00CB5F59">
        <w:rPr>
          <w:rFonts w:cs="Times New Roman"/>
          <w:kern w:val="22"/>
          <w:sz w:val="22"/>
          <w:lang w:val="fr-FR"/>
        </w:rPr>
        <w:t>dont</w:t>
      </w:r>
      <w:r w:rsidR="005B5286" w:rsidRPr="00FA4E1F">
        <w:rPr>
          <w:rFonts w:cs="Times New Roman"/>
          <w:kern w:val="22"/>
          <w:sz w:val="22"/>
          <w:lang w:val="fr-FR"/>
        </w:rPr>
        <w:t xml:space="preserve"> </w:t>
      </w:r>
      <w:r w:rsidR="00CB5F59">
        <w:rPr>
          <w:rFonts w:cs="Times New Roman"/>
          <w:kern w:val="22"/>
          <w:sz w:val="22"/>
          <w:lang w:val="fr-FR"/>
        </w:rPr>
        <w:t xml:space="preserve">50 000 </w:t>
      </w:r>
      <w:r w:rsidR="001B2CC8" w:rsidRPr="00FA4E1F">
        <w:rPr>
          <w:rFonts w:cs="Times New Roman"/>
          <w:kern w:val="22"/>
          <w:sz w:val="22"/>
          <w:lang w:val="fr-FR"/>
        </w:rPr>
        <w:t>plantes</w:t>
      </w:r>
      <w:r w:rsidR="00CB5F59">
        <w:rPr>
          <w:rFonts w:cs="Times New Roman"/>
          <w:kern w:val="22"/>
          <w:sz w:val="22"/>
          <w:lang w:val="fr-FR"/>
        </w:rPr>
        <w:t xml:space="preserve"> vivantes</w:t>
      </w:r>
      <w:r w:rsidR="00461377" w:rsidRPr="00FA4E1F">
        <w:rPr>
          <w:rFonts w:cs="Times New Roman"/>
          <w:kern w:val="22"/>
          <w:sz w:val="22"/>
          <w:lang w:val="fr-FR"/>
        </w:rPr>
        <w:t>,</w:t>
      </w:r>
      <w:r w:rsidR="00CB5F59">
        <w:rPr>
          <w:rFonts w:cs="Times New Roman"/>
          <w:kern w:val="22"/>
          <w:sz w:val="22"/>
          <w:lang w:val="fr-FR"/>
        </w:rPr>
        <w:t xml:space="preserve"> un</w:t>
      </w:r>
      <w:r w:rsidR="00100087" w:rsidRPr="00FA4E1F">
        <w:rPr>
          <w:rFonts w:cs="Times New Roman"/>
          <w:kern w:val="22"/>
          <w:sz w:val="22"/>
          <w:lang w:val="fr-FR"/>
        </w:rPr>
        <w:t xml:space="preserve"> arboretum,</w:t>
      </w:r>
      <w:r w:rsidR="00E3674F" w:rsidRPr="00FA4E1F">
        <w:rPr>
          <w:rFonts w:cs="Times New Roman"/>
          <w:kern w:val="22"/>
          <w:sz w:val="22"/>
          <w:lang w:val="fr-FR"/>
        </w:rPr>
        <w:t xml:space="preserve"> et </w:t>
      </w:r>
      <w:r w:rsidR="00AB6A02" w:rsidRPr="00FA4E1F">
        <w:rPr>
          <w:rFonts w:cs="Times New Roman"/>
          <w:kern w:val="22"/>
          <w:sz w:val="22"/>
          <w:lang w:val="fr-FR"/>
        </w:rPr>
        <w:t>plusieurs</w:t>
      </w:r>
      <w:r w:rsidR="00100087" w:rsidRPr="00FA4E1F">
        <w:rPr>
          <w:rFonts w:cs="Times New Roman"/>
          <w:kern w:val="22"/>
          <w:sz w:val="22"/>
          <w:lang w:val="fr-FR"/>
        </w:rPr>
        <w:t xml:space="preserve"> </w:t>
      </w:r>
      <w:r w:rsidR="00CB5F59">
        <w:rPr>
          <w:rFonts w:cs="Times New Roman"/>
          <w:kern w:val="22"/>
          <w:sz w:val="22"/>
          <w:lang w:val="fr-FR"/>
        </w:rPr>
        <w:t xml:space="preserve">autres </w:t>
      </w:r>
      <w:r w:rsidR="00100087" w:rsidRPr="00FA4E1F">
        <w:rPr>
          <w:rFonts w:cs="Times New Roman"/>
          <w:kern w:val="22"/>
          <w:sz w:val="22"/>
          <w:lang w:val="fr-FR"/>
        </w:rPr>
        <w:t>collections</w:t>
      </w:r>
      <w:r w:rsidR="00CB5F59">
        <w:rPr>
          <w:rFonts w:cs="Times New Roman"/>
          <w:kern w:val="22"/>
          <w:sz w:val="22"/>
          <w:lang w:val="fr-FR"/>
        </w:rPr>
        <w:t>,</w:t>
      </w:r>
      <w:r w:rsidR="00100087" w:rsidRPr="00FA4E1F">
        <w:rPr>
          <w:rFonts w:cs="Times New Roman"/>
          <w:kern w:val="22"/>
          <w:sz w:val="22"/>
          <w:lang w:val="fr-FR"/>
        </w:rPr>
        <w:t xml:space="preserve"> </w:t>
      </w:r>
      <w:r w:rsidR="00B43E38" w:rsidRPr="00FA4E1F">
        <w:rPr>
          <w:rFonts w:cs="Times New Roman"/>
          <w:kern w:val="22"/>
          <w:sz w:val="22"/>
          <w:lang w:val="fr-FR"/>
        </w:rPr>
        <w:t>y compris</w:t>
      </w:r>
      <w:r w:rsidR="006531D6">
        <w:rPr>
          <w:rFonts w:cs="Times New Roman"/>
          <w:kern w:val="22"/>
          <w:sz w:val="22"/>
          <w:lang w:val="fr-FR"/>
        </w:rPr>
        <w:t xml:space="preserve"> un herbier, ainsi que</w:t>
      </w:r>
      <w:r w:rsidR="00CB5F59">
        <w:rPr>
          <w:rFonts w:cs="Times New Roman"/>
          <w:kern w:val="22"/>
          <w:sz w:val="22"/>
          <w:lang w:val="fr-FR"/>
        </w:rPr>
        <w:t xml:space="preserve"> des banques de champignons, de semences</w:t>
      </w:r>
      <w:r w:rsidR="00100087" w:rsidRPr="00FA4E1F">
        <w:rPr>
          <w:rFonts w:cs="Times New Roman"/>
          <w:kern w:val="22"/>
          <w:sz w:val="22"/>
          <w:lang w:val="fr-FR"/>
        </w:rPr>
        <w:t xml:space="preserve">, </w:t>
      </w:r>
      <w:r w:rsidR="00CB5F59">
        <w:rPr>
          <w:rFonts w:cs="Times New Roman"/>
          <w:kern w:val="22"/>
          <w:sz w:val="22"/>
          <w:lang w:val="fr-FR"/>
        </w:rPr>
        <w:t>de gè</w:t>
      </w:r>
      <w:r w:rsidR="00100087" w:rsidRPr="00FA4E1F">
        <w:rPr>
          <w:rFonts w:cs="Times New Roman"/>
          <w:kern w:val="22"/>
          <w:sz w:val="22"/>
          <w:lang w:val="fr-FR"/>
        </w:rPr>
        <w:t>ne</w:t>
      </w:r>
      <w:r w:rsidR="00CB5F59">
        <w:rPr>
          <w:rFonts w:cs="Times New Roman"/>
          <w:kern w:val="22"/>
          <w:sz w:val="22"/>
          <w:lang w:val="fr-FR"/>
        </w:rPr>
        <w:t>s</w:t>
      </w:r>
      <w:r w:rsidR="00E3674F" w:rsidRPr="00FA4E1F">
        <w:rPr>
          <w:rFonts w:cs="Times New Roman"/>
          <w:kern w:val="22"/>
          <w:sz w:val="22"/>
          <w:lang w:val="fr-FR"/>
        </w:rPr>
        <w:t xml:space="preserve"> et</w:t>
      </w:r>
      <w:r w:rsidR="002518EB" w:rsidRPr="00FA4E1F">
        <w:rPr>
          <w:rFonts w:cs="Times New Roman"/>
          <w:kern w:val="22"/>
          <w:sz w:val="22"/>
          <w:lang w:val="fr-FR"/>
        </w:rPr>
        <w:t xml:space="preserve"> autres </w:t>
      </w:r>
      <w:r w:rsidR="00CB5F59">
        <w:rPr>
          <w:rFonts w:cs="Times New Roman"/>
          <w:kern w:val="22"/>
          <w:sz w:val="22"/>
          <w:lang w:val="fr-FR"/>
        </w:rPr>
        <w:t>banque</w:t>
      </w:r>
      <w:r w:rsidR="00100087" w:rsidRPr="00FA4E1F">
        <w:rPr>
          <w:rFonts w:cs="Times New Roman"/>
          <w:kern w:val="22"/>
          <w:sz w:val="22"/>
          <w:lang w:val="fr-FR"/>
        </w:rPr>
        <w:t>s</w:t>
      </w:r>
      <w:r w:rsidR="00CB5F59">
        <w:rPr>
          <w:rFonts w:cs="Times New Roman"/>
          <w:kern w:val="22"/>
          <w:sz w:val="22"/>
          <w:lang w:val="fr-FR"/>
        </w:rPr>
        <w:t xml:space="preserve">, </w:t>
      </w:r>
      <w:r w:rsidR="006531D6">
        <w:rPr>
          <w:rFonts w:cs="Times New Roman"/>
          <w:kern w:val="22"/>
          <w:sz w:val="22"/>
          <w:lang w:val="fr-FR"/>
        </w:rPr>
        <w:t xml:space="preserve">constituant plus de </w:t>
      </w:r>
      <w:r w:rsidR="008701AD">
        <w:rPr>
          <w:rFonts w:cs="Times New Roman"/>
          <w:kern w:val="22"/>
          <w:sz w:val="22"/>
          <w:lang w:val="fr-FR"/>
        </w:rPr>
        <w:t>8,</w:t>
      </w:r>
      <w:r w:rsidR="00100087" w:rsidRPr="00FA4E1F">
        <w:rPr>
          <w:rFonts w:cs="Times New Roman"/>
          <w:kern w:val="22"/>
          <w:sz w:val="22"/>
          <w:lang w:val="fr-FR"/>
        </w:rPr>
        <w:t>5 million</w:t>
      </w:r>
      <w:r w:rsidR="006531D6">
        <w:rPr>
          <w:rFonts w:cs="Times New Roman"/>
          <w:kern w:val="22"/>
          <w:sz w:val="22"/>
          <w:lang w:val="fr-FR"/>
        </w:rPr>
        <w:t>s spécimens</w:t>
      </w:r>
      <w:r w:rsidR="00100087" w:rsidRPr="00FA4E1F">
        <w:rPr>
          <w:rFonts w:cs="Times New Roman"/>
          <w:kern w:val="22"/>
          <w:sz w:val="22"/>
          <w:lang w:val="fr-FR"/>
        </w:rPr>
        <w:t>.</w:t>
      </w:r>
      <w:r w:rsidR="00100087" w:rsidRPr="002364AB">
        <w:rPr>
          <w:rStyle w:val="FootnoteReference"/>
          <w:kern w:val="22"/>
          <w:sz w:val="22"/>
          <w:lang w:val="en-GB"/>
        </w:rPr>
        <w:footnoteReference w:id="89"/>
      </w:r>
      <w:r w:rsidR="00100087" w:rsidRPr="00FA4E1F">
        <w:rPr>
          <w:rFonts w:cs="Times New Roman"/>
          <w:kern w:val="22"/>
          <w:sz w:val="22"/>
          <w:lang w:val="fr-FR"/>
        </w:rPr>
        <w:t xml:space="preserve"> </w:t>
      </w:r>
      <w:r w:rsidR="006531D6">
        <w:rPr>
          <w:rFonts w:cs="Times New Roman"/>
          <w:kern w:val="22"/>
          <w:sz w:val="22"/>
          <w:lang w:val="fr-FR"/>
        </w:rPr>
        <w:t>La politique de Kew de 2004 sur l’</w:t>
      </w:r>
      <w:r w:rsidR="00A70F9B" w:rsidRPr="00FA4E1F">
        <w:rPr>
          <w:rFonts w:cs="Times New Roman"/>
          <w:kern w:val="22"/>
          <w:sz w:val="22"/>
          <w:lang w:val="fr-FR"/>
        </w:rPr>
        <w:t xml:space="preserve">accès et </w:t>
      </w:r>
      <w:r w:rsidR="006531D6">
        <w:rPr>
          <w:rFonts w:cs="Times New Roman"/>
          <w:kern w:val="22"/>
          <w:sz w:val="22"/>
          <w:lang w:val="fr-FR"/>
        </w:rPr>
        <w:t xml:space="preserve">le </w:t>
      </w:r>
      <w:r w:rsidR="00A70F9B" w:rsidRPr="00FA4E1F">
        <w:rPr>
          <w:rFonts w:cs="Times New Roman"/>
          <w:kern w:val="22"/>
          <w:sz w:val="22"/>
          <w:lang w:val="fr-FR"/>
        </w:rPr>
        <w:t>partage des avantages</w:t>
      </w:r>
      <w:r w:rsidR="00406D5F" w:rsidRPr="00FA4E1F">
        <w:rPr>
          <w:rFonts w:cs="Times New Roman"/>
          <w:kern w:val="22"/>
          <w:sz w:val="22"/>
          <w:lang w:val="fr-FR"/>
        </w:rPr>
        <w:t xml:space="preserve"> </w:t>
      </w:r>
      <w:r w:rsidR="006531D6">
        <w:rPr>
          <w:rFonts w:cs="Times New Roman"/>
          <w:kern w:val="22"/>
          <w:sz w:val="22"/>
          <w:lang w:val="fr-FR"/>
        </w:rPr>
        <w:t>indique que le jardin botanique</w:t>
      </w:r>
      <w:r w:rsidR="00774420" w:rsidRPr="00FA4E1F">
        <w:rPr>
          <w:rFonts w:cs="Times New Roman"/>
          <w:kern w:val="22"/>
          <w:sz w:val="22"/>
          <w:lang w:val="fr-FR"/>
        </w:rPr>
        <w:t xml:space="preserve"> “</w:t>
      </w:r>
      <w:r w:rsidR="00056144">
        <w:rPr>
          <w:rFonts w:cs="Times New Roman"/>
          <w:kern w:val="22"/>
          <w:sz w:val="22"/>
          <w:lang w:val="fr-FR"/>
        </w:rPr>
        <w:t xml:space="preserve">s’efforce de </w:t>
      </w:r>
      <w:r w:rsidR="00424B6E">
        <w:rPr>
          <w:rFonts w:cs="Times New Roman"/>
          <w:kern w:val="22"/>
          <w:sz w:val="22"/>
          <w:lang w:val="fr-FR"/>
        </w:rPr>
        <w:t>partager les</w:t>
      </w:r>
      <w:r w:rsidR="00774420" w:rsidRPr="00FA4E1F">
        <w:rPr>
          <w:rFonts w:cs="Times New Roman"/>
          <w:kern w:val="22"/>
          <w:sz w:val="22"/>
          <w:lang w:val="fr-FR"/>
        </w:rPr>
        <w:t xml:space="preserve"> </w:t>
      </w:r>
      <w:r w:rsidR="000B36BE" w:rsidRPr="00FA4E1F">
        <w:rPr>
          <w:rFonts w:cs="Times New Roman"/>
          <w:kern w:val="22"/>
          <w:sz w:val="22"/>
          <w:lang w:val="fr-FR"/>
        </w:rPr>
        <w:t>avantages</w:t>
      </w:r>
      <w:r w:rsidR="00774420" w:rsidRPr="00FA4E1F">
        <w:rPr>
          <w:rFonts w:cs="Times New Roman"/>
          <w:kern w:val="22"/>
          <w:sz w:val="22"/>
          <w:lang w:val="fr-FR"/>
        </w:rPr>
        <w:t xml:space="preserve"> </w:t>
      </w:r>
      <w:r w:rsidR="00056144">
        <w:rPr>
          <w:rFonts w:cs="Times New Roman"/>
          <w:kern w:val="22"/>
          <w:sz w:val="22"/>
          <w:lang w:val="fr-FR"/>
        </w:rPr>
        <w:t>d’une</w:t>
      </w:r>
      <w:r w:rsidR="00424B6E">
        <w:rPr>
          <w:rFonts w:cs="Times New Roman"/>
          <w:kern w:val="22"/>
          <w:sz w:val="22"/>
          <w:lang w:val="fr-FR"/>
        </w:rPr>
        <w:t xml:space="preserve"> manière juste et équitable</w:t>
      </w:r>
      <w:r w:rsidR="00056144">
        <w:rPr>
          <w:rFonts w:cs="Times New Roman"/>
          <w:kern w:val="22"/>
          <w:sz w:val="22"/>
          <w:lang w:val="fr-FR"/>
        </w:rPr>
        <w:t>,</w:t>
      </w:r>
      <w:r w:rsidR="00774420" w:rsidRPr="00FA4E1F">
        <w:rPr>
          <w:rFonts w:cs="Times New Roman"/>
          <w:kern w:val="22"/>
          <w:sz w:val="22"/>
          <w:lang w:val="fr-FR"/>
        </w:rPr>
        <w:t xml:space="preserve"> </w:t>
      </w:r>
      <w:r w:rsidR="00056144">
        <w:rPr>
          <w:rFonts w:cs="Times New Roman"/>
          <w:kern w:val="22"/>
          <w:sz w:val="22"/>
          <w:lang w:val="fr-FR"/>
        </w:rPr>
        <w:t>lorsqu’ils découlent de l’</w:t>
      </w:r>
      <w:r w:rsidR="00424B6E">
        <w:rPr>
          <w:rFonts w:cs="Times New Roman"/>
          <w:kern w:val="22"/>
          <w:sz w:val="22"/>
          <w:lang w:val="fr-FR"/>
        </w:rPr>
        <w:t xml:space="preserve">utilisation </w:t>
      </w:r>
      <w:r w:rsidR="00D6232E" w:rsidRPr="00FA4E1F">
        <w:rPr>
          <w:rFonts w:cs="Times New Roman"/>
          <w:kern w:val="22"/>
          <w:sz w:val="22"/>
          <w:lang w:val="fr-FR"/>
        </w:rPr>
        <w:t>de ressources</w:t>
      </w:r>
      <w:r w:rsidR="00E3674F" w:rsidRPr="00FA4E1F">
        <w:rPr>
          <w:rFonts w:cs="Times New Roman"/>
          <w:kern w:val="22"/>
          <w:sz w:val="22"/>
          <w:lang w:val="fr-FR"/>
        </w:rPr>
        <w:t xml:space="preserve"> génétiques</w:t>
      </w:r>
      <w:r w:rsidR="00424B6E">
        <w:rPr>
          <w:rFonts w:cs="Times New Roman"/>
          <w:kern w:val="22"/>
          <w:sz w:val="22"/>
          <w:lang w:val="fr-FR"/>
        </w:rPr>
        <w:t xml:space="preserve"> qui ont été</w:t>
      </w:r>
      <w:r w:rsidR="00774420" w:rsidRPr="00FA4E1F">
        <w:rPr>
          <w:rFonts w:cs="Times New Roman"/>
          <w:kern w:val="22"/>
          <w:sz w:val="22"/>
          <w:lang w:val="fr-FR"/>
        </w:rPr>
        <w:t xml:space="preserve"> </w:t>
      </w:r>
      <w:r w:rsidR="00424B6E">
        <w:rPr>
          <w:rFonts w:cs="Times New Roman"/>
          <w:kern w:val="22"/>
          <w:sz w:val="22"/>
          <w:lang w:val="fr-FR"/>
        </w:rPr>
        <w:t>acquises</w:t>
      </w:r>
      <w:r w:rsidR="00774420" w:rsidRPr="00FA4E1F">
        <w:rPr>
          <w:rFonts w:cs="Times New Roman"/>
          <w:kern w:val="22"/>
          <w:sz w:val="22"/>
          <w:lang w:val="fr-FR"/>
        </w:rPr>
        <w:t xml:space="preserve"> </w:t>
      </w:r>
      <w:r w:rsidR="0075509E" w:rsidRPr="00FA4E1F">
        <w:rPr>
          <w:rFonts w:cs="Times New Roman"/>
          <w:kern w:val="22"/>
          <w:sz w:val="22"/>
          <w:lang w:val="fr-FR"/>
        </w:rPr>
        <w:t>avant</w:t>
      </w:r>
      <w:r w:rsidR="00774420" w:rsidRPr="00FA4E1F">
        <w:rPr>
          <w:rFonts w:cs="Times New Roman"/>
          <w:kern w:val="22"/>
          <w:sz w:val="22"/>
          <w:lang w:val="fr-FR"/>
        </w:rPr>
        <w:t xml:space="preserve"> </w:t>
      </w:r>
      <w:r w:rsidR="00424B6E">
        <w:rPr>
          <w:rFonts w:cs="Times New Roman"/>
          <w:kern w:val="22"/>
          <w:sz w:val="22"/>
          <w:lang w:val="fr-FR"/>
        </w:rPr>
        <w:t xml:space="preserve">l’entrée en vigueur de la </w:t>
      </w:r>
      <w:r w:rsidR="007347F7">
        <w:rPr>
          <w:rFonts w:cs="Times New Roman"/>
          <w:kern w:val="22"/>
          <w:sz w:val="22"/>
          <w:lang w:val="fr-FR"/>
        </w:rPr>
        <w:t>Convention</w:t>
      </w:r>
      <w:r w:rsidR="00CE5A1C" w:rsidRPr="00FA4E1F">
        <w:rPr>
          <w:rFonts w:cs="Times New Roman"/>
          <w:kern w:val="22"/>
          <w:sz w:val="22"/>
          <w:lang w:val="fr-FR"/>
        </w:rPr>
        <w:t>”</w:t>
      </w:r>
      <w:r w:rsidR="00D51CCC" w:rsidRPr="00FA4E1F">
        <w:rPr>
          <w:rFonts w:cs="Times New Roman"/>
          <w:kern w:val="22"/>
          <w:sz w:val="22"/>
          <w:lang w:val="fr-FR"/>
        </w:rPr>
        <w:t>.</w:t>
      </w:r>
      <w:r w:rsidR="00D51CCC" w:rsidRPr="002364AB">
        <w:rPr>
          <w:rStyle w:val="FootnoteReference"/>
          <w:rFonts w:cs="Times New Roman"/>
          <w:kern w:val="22"/>
          <w:sz w:val="22"/>
          <w:lang w:val="en-GB"/>
        </w:rPr>
        <w:footnoteReference w:id="90"/>
      </w:r>
      <w:r w:rsidR="00702BF7" w:rsidRPr="00FA4E1F">
        <w:rPr>
          <w:rFonts w:cs="Times New Roman"/>
          <w:kern w:val="22"/>
          <w:sz w:val="22"/>
          <w:lang w:val="fr-FR"/>
        </w:rPr>
        <w:t xml:space="preserve"> </w:t>
      </w:r>
      <w:r w:rsidR="00056144">
        <w:rPr>
          <w:rFonts w:cs="Times New Roman"/>
          <w:kern w:val="22"/>
          <w:sz w:val="22"/>
          <w:lang w:val="fr-FR"/>
        </w:rPr>
        <w:t>Lorsque</w:t>
      </w:r>
      <w:r w:rsidR="00424B6E">
        <w:rPr>
          <w:rFonts w:cs="Times New Roman"/>
          <w:kern w:val="22"/>
          <w:sz w:val="22"/>
          <w:lang w:val="fr-FR"/>
        </w:rPr>
        <w:t xml:space="preserve"> Kew souhaite </w:t>
      </w:r>
      <w:r w:rsidR="00A94DB7" w:rsidRPr="00424B6E">
        <w:rPr>
          <w:rFonts w:cs="Times New Roman"/>
          <w:kern w:val="22"/>
          <w:sz w:val="22"/>
          <w:lang w:val="fr-FR"/>
        </w:rPr>
        <w:t>c</w:t>
      </w:r>
      <w:r w:rsidR="002F4910" w:rsidRPr="00424B6E">
        <w:rPr>
          <w:rFonts w:cs="Times New Roman"/>
          <w:kern w:val="22"/>
          <w:sz w:val="22"/>
          <w:lang w:val="fr-FR"/>
        </w:rPr>
        <w:t>ommercialise</w:t>
      </w:r>
      <w:r w:rsidR="00424B6E">
        <w:rPr>
          <w:rFonts w:cs="Times New Roman"/>
          <w:kern w:val="22"/>
          <w:sz w:val="22"/>
          <w:lang w:val="fr-FR"/>
        </w:rPr>
        <w:t>r du matériel</w:t>
      </w:r>
      <w:r w:rsidR="002F4910" w:rsidRPr="00424B6E">
        <w:rPr>
          <w:rFonts w:cs="Times New Roman"/>
          <w:kern w:val="22"/>
          <w:sz w:val="22"/>
          <w:lang w:val="fr-FR"/>
        </w:rPr>
        <w:t xml:space="preserve"> </w:t>
      </w:r>
      <w:r w:rsidR="00424B6E">
        <w:rPr>
          <w:rFonts w:cs="Times New Roman"/>
          <w:kern w:val="22"/>
          <w:sz w:val="22"/>
          <w:lang w:val="fr-FR"/>
        </w:rPr>
        <w:t>végét</w:t>
      </w:r>
      <w:r w:rsidR="00577EA9">
        <w:rPr>
          <w:rFonts w:cs="Times New Roman"/>
          <w:kern w:val="22"/>
          <w:sz w:val="22"/>
          <w:lang w:val="fr-FR"/>
        </w:rPr>
        <w:t xml:space="preserve">al ou fongique </w:t>
      </w:r>
      <w:r w:rsidR="00424B6E">
        <w:rPr>
          <w:rFonts w:cs="Times New Roman"/>
          <w:kern w:val="22"/>
          <w:sz w:val="22"/>
          <w:lang w:val="fr-FR"/>
        </w:rPr>
        <w:t>obtenu</w:t>
      </w:r>
      <w:r w:rsidR="00A94DB7" w:rsidRPr="00424B6E">
        <w:rPr>
          <w:rFonts w:cs="Times New Roman"/>
          <w:kern w:val="22"/>
          <w:sz w:val="22"/>
          <w:lang w:val="fr-FR"/>
        </w:rPr>
        <w:t xml:space="preserve"> </w:t>
      </w:r>
      <w:r w:rsidR="00056144">
        <w:rPr>
          <w:rFonts w:cs="Times New Roman"/>
          <w:kern w:val="22"/>
          <w:sz w:val="22"/>
          <w:lang w:val="fr-FR"/>
        </w:rPr>
        <w:t xml:space="preserve">après </w:t>
      </w:r>
      <w:r w:rsidR="00202126" w:rsidRPr="00424B6E">
        <w:rPr>
          <w:rFonts w:cs="Times New Roman"/>
          <w:kern w:val="22"/>
          <w:sz w:val="22"/>
          <w:lang w:val="fr-FR"/>
        </w:rPr>
        <w:t>l’entrée en vigueur</w:t>
      </w:r>
      <w:r w:rsidR="00A94DB7" w:rsidRPr="00424B6E">
        <w:rPr>
          <w:rFonts w:cs="Times New Roman"/>
          <w:kern w:val="22"/>
          <w:sz w:val="22"/>
          <w:lang w:val="fr-FR"/>
        </w:rPr>
        <w:t xml:space="preserve"> </w:t>
      </w:r>
      <w:r w:rsidR="004F1D8A" w:rsidRPr="00424B6E">
        <w:rPr>
          <w:rFonts w:cs="Times New Roman"/>
          <w:kern w:val="22"/>
          <w:sz w:val="22"/>
          <w:lang w:val="fr-FR"/>
        </w:rPr>
        <w:t xml:space="preserve">de la </w:t>
      </w:r>
      <w:r w:rsidR="007347F7">
        <w:rPr>
          <w:rFonts w:cs="Times New Roman"/>
          <w:kern w:val="22"/>
          <w:sz w:val="22"/>
          <w:lang w:val="fr-FR"/>
        </w:rPr>
        <w:t>Convention</w:t>
      </w:r>
      <w:r w:rsidR="00056144">
        <w:rPr>
          <w:rFonts w:cs="Times New Roman"/>
          <w:kern w:val="22"/>
          <w:sz w:val="22"/>
          <w:lang w:val="fr-FR"/>
        </w:rPr>
        <w:t>, le jardin botanique</w:t>
      </w:r>
      <w:r w:rsidR="00A94DB7" w:rsidRPr="00424B6E">
        <w:rPr>
          <w:rFonts w:cs="Times New Roman"/>
          <w:kern w:val="22"/>
          <w:sz w:val="22"/>
          <w:lang w:val="fr-FR"/>
        </w:rPr>
        <w:t xml:space="preserve"> “</w:t>
      </w:r>
      <w:r w:rsidR="00056144">
        <w:rPr>
          <w:rFonts w:cs="Times New Roman"/>
          <w:kern w:val="22"/>
          <w:sz w:val="22"/>
          <w:lang w:val="fr-FR"/>
        </w:rPr>
        <w:t>partage</w:t>
      </w:r>
      <w:r w:rsidR="00424B6E">
        <w:rPr>
          <w:rFonts w:cs="Times New Roman"/>
          <w:kern w:val="22"/>
          <w:sz w:val="22"/>
          <w:lang w:val="fr-FR"/>
        </w:rPr>
        <w:t xml:space="preserve"> les</w:t>
      </w:r>
      <w:r w:rsidR="002F4910" w:rsidRPr="00424B6E">
        <w:rPr>
          <w:rFonts w:cs="Times New Roman"/>
          <w:kern w:val="22"/>
          <w:sz w:val="22"/>
          <w:lang w:val="fr-FR"/>
        </w:rPr>
        <w:t xml:space="preserve"> </w:t>
      </w:r>
      <w:r w:rsidR="000B36BE" w:rsidRPr="00424B6E">
        <w:rPr>
          <w:rFonts w:cs="Times New Roman"/>
          <w:kern w:val="22"/>
          <w:sz w:val="22"/>
          <w:lang w:val="fr-FR"/>
        </w:rPr>
        <w:t>avantages</w:t>
      </w:r>
      <w:r w:rsidR="002F4910" w:rsidRPr="00424B6E">
        <w:rPr>
          <w:rFonts w:cs="Times New Roman"/>
          <w:kern w:val="22"/>
          <w:sz w:val="22"/>
          <w:lang w:val="fr-FR"/>
        </w:rPr>
        <w:t xml:space="preserve"> </w:t>
      </w:r>
      <w:r w:rsidR="00056144">
        <w:rPr>
          <w:rFonts w:cs="Times New Roman"/>
          <w:kern w:val="22"/>
          <w:sz w:val="22"/>
          <w:lang w:val="fr-FR"/>
        </w:rPr>
        <w:t>d’une</w:t>
      </w:r>
      <w:r w:rsidR="00424B6E">
        <w:rPr>
          <w:rFonts w:cs="Times New Roman"/>
          <w:kern w:val="22"/>
          <w:sz w:val="22"/>
          <w:lang w:val="fr-FR"/>
        </w:rPr>
        <w:t xml:space="preserve"> manière juste et équitable, autant que possible</w:t>
      </w:r>
      <w:r w:rsidR="00A94DB7" w:rsidRPr="00424B6E">
        <w:rPr>
          <w:rFonts w:cs="Times New Roman"/>
          <w:kern w:val="22"/>
          <w:sz w:val="22"/>
          <w:lang w:val="fr-FR"/>
        </w:rPr>
        <w:t>.”</w:t>
      </w:r>
      <w:r w:rsidR="00A94DB7" w:rsidRPr="002364AB">
        <w:rPr>
          <w:rStyle w:val="FootnoteReference"/>
          <w:rFonts w:cs="Times New Roman"/>
          <w:kern w:val="22"/>
          <w:sz w:val="22"/>
          <w:lang w:val="en-GB"/>
        </w:rPr>
        <w:footnoteReference w:id="91"/>
      </w:r>
      <w:r w:rsidR="00A94DB7" w:rsidRPr="00424B6E">
        <w:rPr>
          <w:rFonts w:cs="Times New Roman"/>
          <w:kern w:val="22"/>
          <w:sz w:val="22"/>
          <w:lang w:val="fr-FR"/>
        </w:rPr>
        <w:t xml:space="preserve"> </w:t>
      </w:r>
      <w:r w:rsidR="003655F7">
        <w:rPr>
          <w:rFonts w:cs="Times New Roman"/>
          <w:kern w:val="22"/>
          <w:sz w:val="22"/>
          <w:lang w:val="fr-FR"/>
        </w:rPr>
        <w:t>Les</w:t>
      </w:r>
      <w:r w:rsidR="00424B6E" w:rsidRPr="00424B6E">
        <w:rPr>
          <w:rFonts w:cs="Times New Roman"/>
          <w:kern w:val="22"/>
          <w:sz w:val="22"/>
          <w:lang w:val="fr-FR"/>
        </w:rPr>
        <w:t xml:space="preserve"> Col</w:t>
      </w:r>
      <w:r w:rsidR="00056144">
        <w:rPr>
          <w:rFonts w:cs="Times New Roman"/>
          <w:kern w:val="22"/>
          <w:sz w:val="22"/>
          <w:lang w:val="fr-FR"/>
        </w:rPr>
        <w:t>lection</w:t>
      </w:r>
      <w:r w:rsidR="003655F7">
        <w:rPr>
          <w:rFonts w:cs="Times New Roman"/>
          <w:kern w:val="22"/>
          <w:sz w:val="22"/>
          <w:lang w:val="fr-FR"/>
        </w:rPr>
        <w:t>s</w:t>
      </w:r>
      <w:r w:rsidR="00056144">
        <w:rPr>
          <w:rFonts w:cs="Times New Roman"/>
          <w:kern w:val="22"/>
          <w:sz w:val="22"/>
          <w:lang w:val="fr-FR"/>
        </w:rPr>
        <w:t xml:space="preserve"> </w:t>
      </w:r>
      <w:r w:rsidR="003655F7">
        <w:rPr>
          <w:rFonts w:cs="Times New Roman"/>
          <w:kern w:val="22"/>
          <w:sz w:val="22"/>
          <w:lang w:val="fr-FR"/>
        </w:rPr>
        <w:t xml:space="preserve">de </w:t>
      </w:r>
      <w:r w:rsidR="00056144">
        <w:rPr>
          <w:rFonts w:cs="Times New Roman"/>
          <w:kern w:val="22"/>
          <w:sz w:val="22"/>
          <w:lang w:val="fr-FR"/>
        </w:rPr>
        <w:t>botanique économique</w:t>
      </w:r>
      <w:r w:rsidR="00424B6E" w:rsidRPr="00424B6E">
        <w:rPr>
          <w:rFonts w:cs="Times New Roman"/>
          <w:kern w:val="22"/>
          <w:sz w:val="22"/>
          <w:lang w:val="fr-FR"/>
        </w:rPr>
        <w:t xml:space="preserve"> de </w:t>
      </w:r>
      <w:r w:rsidR="00100087" w:rsidRPr="00424B6E">
        <w:rPr>
          <w:rFonts w:cs="Times New Roman"/>
          <w:kern w:val="22"/>
          <w:sz w:val="22"/>
          <w:lang w:val="fr-FR"/>
        </w:rPr>
        <w:t xml:space="preserve"> Kew (EBC)</w:t>
      </w:r>
      <w:r w:rsidR="00424B6E" w:rsidRPr="00424B6E">
        <w:rPr>
          <w:rFonts w:cs="Times New Roman"/>
          <w:kern w:val="22"/>
          <w:sz w:val="22"/>
          <w:lang w:val="fr-FR"/>
        </w:rPr>
        <w:t>,</w:t>
      </w:r>
      <w:r w:rsidR="00100087" w:rsidRPr="00424B6E">
        <w:rPr>
          <w:rFonts w:cs="Times New Roman"/>
          <w:kern w:val="22"/>
          <w:sz w:val="22"/>
          <w:lang w:val="fr-FR"/>
        </w:rPr>
        <w:t xml:space="preserve"> fo</w:t>
      </w:r>
      <w:r w:rsidR="00424B6E">
        <w:rPr>
          <w:rFonts w:cs="Times New Roman"/>
          <w:kern w:val="22"/>
          <w:sz w:val="22"/>
          <w:lang w:val="fr-FR"/>
        </w:rPr>
        <w:t>ndée</w:t>
      </w:r>
      <w:r w:rsidR="003655F7">
        <w:rPr>
          <w:rFonts w:cs="Times New Roman"/>
          <w:kern w:val="22"/>
          <w:sz w:val="22"/>
          <w:lang w:val="fr-FR"/>
        </w:rPr>
        <w:t xml:space="preserve">s en 1847, constituent </w:t>
      </w:r>
      <w:r w:rsidR="00424B6E">
        <w:rPr>
          <w:rFonts w:cs="Times New Roman"/>
          <w:kern w:val="22"/>
          <w:sz w:val="22"/>
          <w:lang w:val="fr-FR"/>
        </w:rPr>
        <w:t xml:space="preserve">l’une des plus vastes collections de </w:t>
      </w:r>
      <w:r w:rsidR="00D6232E" w:rsidRPr="00424B6E">
        <w:rPr>
          <w:rFonts w:cs="Times New Roman"/>
          <w:kern w:val="22"/>
          <w:sz w:val="22"/>
          <w:lang w:val="fr-FR"/>
        </w:rPr>
        <w:t>spécimen</w:t>
      </w:r>
      <w:r w:rsidR="00056144">
        <w:rPr>
          <w:rFonts w:cs="Times New Roman"/>
          <w:kern w:val="22"/>
          <w:sz w:val="22"/>
          <w:lang w:val="fr-FR"/>
        </w:rPr>
        <w:t>s de</w:t>
      </w:r>
      <w:r w:rsidR="00424B6E">
        <w:rPr>
          <w:rFonts w:cs="Times New Roman"/>
          <w:kern w:val="22"/>
          <w:sz w:val="22"/>
          <w:lang w:val="fr-FR"/>
        </w:rPr>
        <w:t xml:space="preserve"> </w:t>
      </w:r>
      <w:r w:rsidR="00100087" w:rsidRPr="00424B6E">
        <w:rPr>
          <w:rFonts w:cs="Times New Roman"/>
          <w:kern w:val="22"/>
          <w:sz w:val="22"/>
          <w:lang w:val="fr-FR"/>
        </w:rPr>
        <w:t>Kew,</w:t>
      </w:r>
      <w:r w:rsidR="00D6232E" w:rsidRPr="00424B6E">
        <w:rPr>
          <w:rFonts w:cs="Times New Roman"/>
          <w:kern w:val="22"/>
          <w:sz w:val="22"/>
          <w:lang w:val="fr-FR"/>
        </w:rPr>
        <w:t xml:space="preserve"> </w:t>
      </w:r>
      <w:r w:rsidR="00424B6E">
        <w:rPr>
          <w:rFonts w:cs="Times New Roman"/>
          <w:kern w:val="22"/>
          <w:sz w:val="22"/>
          <w:lang w:val="fr-FR"/>
        </w:rPr>
        <w:t xml:space="preserve">comprenant environ 90 </w:t>
      </w:r>
      <w:r w:rsidR="00100087" w:rsidRPr="00424B6E">
        <w:rPr>
          <w:rFonts w:cs="Times New Roman"/>
          <w:kern w:val="22"/>
          <w:sz w:val="22"/>
          <w:lang w:val="fr-FR"/>
        </w:rPr>
        <w:t xml:space="preserve">000 </w:t>
      </w:r>
      <w:r w:rsidR="00424B6E">
        <w:rPr>
          <w:rFonts w:cs="Times New Roman"/>
          <w:kern w:val="22"/>
          <w:sz w:val="22"/>
          <w:lang w:val="fr-FR"/>
        </w:rPr>
        <w:t>spécimens de</w:t>
      </w:r>
      <w:r w:rsidR="00056144">
        <w:rPr>
          <w:rFonts w:cs="Times New Roman"/>
          <w:kern w:val="22"/>
          <w:sz w:val="22"/>
          <w:lang w:val="fr-FR"/>
        </w:rPr>
        <w:t xml:space="preserve"> “</w:t>
      </w:r>
      <w:r w:rsidR="003474B6" w:rsidRPr="00424B6E">
        <w:rPr>
          <w:rFonts w:cs="Times New Roman"/>
          <w:kern w:val="22"/>
          <w:sz w:val="22"/>
          <w:lang w:val="fr-FR"/>
        </w:rPr>
        <w:t>matériel</w:t>
      </w:r>
      <w:r w:rsidR="00056144">
        <w:rPr>
          <w:rFonts w:cs="Times New Roman"/>
          <w:kern w:val="22"/>
          <w:sz w:val="22"/>
          <w:lang w:val="fr-FR"/>
        </w:rPr>
        <w:t xml:space="preserve"> végétal vivant</w:t>
      </w:r>
      <w:r w:rsidR="00E3674F" w:rsidRPr="00424B6E">
        <w:rPr>
          <w:rFonts w:cs="Times New Roman"/>
          <w:kern w:val="22"/>
          <w:sz w:val="22"/>
          <w:lang w:val="fr-FR"/>
        </w:rPr>
        <w:t xml:space="preserve"> et </w:t>
      </w:r>
      <w:r w:rsidR="00056144">
        <w:rPr>
          <w:rFonts w:cs="Times New Roman"/>
          <w:kern w:val="22"/>
          <w:sz w:val="22"/>
          <w:lang w:val="fr-FR"/>
        </w:rPr>
        <w:t>objets artisanaux</w:t>
      </w:r>
      <w:r w:rsidR="00424B6E">
        <w:rPr>
          <w:rFonts w:cs="Times New Roman"/>
          <w:kern w:val="22"/>
          <w:sz w:val="22"/>
          <w:lang w:val="fr-FR"/>
        </w:rPr>
        <w:t xml:space="preserve"> représentant tous les aspects de l’artisanat et de la vie quotidienne partout dans le monde, </w:t>
      </w:r>
      <w:r w:rsidR="00B43E38" w:rsidRPr="00424B6E">
        <w:rPr>
          <w:rFonts w:cs="Times New Roman"/>
          <w:kern w:val="22"/>
          <w:sz w:val="22"/>
          <w:lang w:val="fr-FR"/>
        </w:rPr>
        <w:t>y compris</w:t>
      </w:r>
      <w:r w:rsidR="00424B6E">
        <w:rPr>
          <w:rFonts w:cs="Times New Roman"/>
          <w:kern w:val="22"/>
          <w:sz w:val="22"/>
          <w:lang w:val="fr-FR"/>
        </w:rPr>
        <w:t xml:space="preserve"> des</w:t>
      </w:r>
      <w:r w:rsidR="00100087" w:rsidRPr="00424B6E">
        <w:rPr>
          <w:rFonts w:cs="Times New Roman"/>
          <w:kern w:val="22"/>
          <w:sz w:val="22"/>
          <w:lang w:val="fr-FR"/>
        </w:rPr>
        <w:t xml:space="preserve"> </w:t>
      </w:r>
      <w:r w:rsidR="00424B6E">
        <w:rPr>
          <w:rFonts w:cs="Times New Roman"/>
          <w:kern w:val="22"/>
          <w:sz w:val="22"/>
          <w:lang w:val="fr-FR"/>
        </w:rPr>
        <w:t>médicaments</w:t>
      </w:r>
      <w:r w:rsidR="00100087" w:rsidRPr="00424B6E">
        <w:rPr>
          <w:rFonts w:cs="Times New Roman"/>
          <w:kern w:val="22"/>
          <w:sz w:val="22"/>
          <w:lang w:val="fr-FR"/>
        </w:rPr>
        <w:t xml:space="preserve">, </w:t>
      </w:r>
      <w:r w:rsidR="00424B6E">
        <w:rPr>
          <w:rFonts w:cs="Times New Roman"/>
          <w:kern w:val="22"/>
          <w:sz w:val="22"/>
          <w:lang w:val="fr-FR"/>
        </w:rPr>
        <w:t xml:space="preserve">des </w:t>
      </w:r>
      <w:r w:rsidR="00100087" w:rsidRPr="00424B6E">
        <w:rPr>
          <w:rFonts w:cs="Times New Roman"/>
          <w:kern w:val="22"/>
          <w:sz w:val="22"/>
          <w:lang w:val="fr-FR"/>
        </w:rPr>
        <w:t xml:space="preserve">textiles, </w:t>
      </w:r>
      <w:r w:rsidR="00424B6E">
        <w:rPr>
          <w:rFonts w:cs="Times New Roman"/>
          <w:kern w:val="22"/>
          <w:sz w:val="22"/>
          <w:lang w:val="fr-FR"/>
        </w:rPr>
        <w:t>des</w:t>
      </w:r>
      <w:r w:rsidR="003655F7">
        <w:rPr>
          <w:rFonts w:cs="Times New Roman"/>
          <w:kern w:val="22"/>
          <w:sz w:val="22"/>
          <w:lang w:val="fr-FR"/>
        </w:rPr>
        <w:t xml:space="preserve"> paniers, des teintures, des</w:t>
      </w:r>
      <w:r w:rsidR="00C04C2A">
        <w:rPr>
          <w:rFonts w:cs="Times New Roman"/>
          <w:kern w:val="22"/>
          <w:sz w:val="22"/>
          <w:lang w:val="fr-FR"/>
        </w:rPr>
        <w:t xml:space="preserve"> gomme</w:t>
      </w:r>
      <w:r w:rsidR="003655F7">
        <w:rPr>
          <w:rFonts w:cs="Times New Roman"/>
          <w:kern w:val="22"/>
          <w:sz w:val="22"/>
          <w:lang w:val="fr-FR"/>
        </w:rPr>
        <w:t>s</w:t>
      </w:r>
      <w:r w:rsidR="00424B6E">
        <w:rPr>
          <w:rFonts w:cs="Times New Roman"/>
          <w:kern w:val="22"/>
          <w:sz w:val="22"/>
          <w:lang w:val="fr-FR"/>
        </w:rPr>
        <w:t xml:space="preserve"> et </w:t>
      </w:r>
      <w:r w:rsidR="00C04C2A">
        <w:rPr>
          <w:rFonts w:cs="Times New Roman"/>
          <w:kern w:val="22"/>
          <w:sz w:val="22"/>
          <w:lang w:val="fr-FR"/>
        </w:rPr>
        <w:t xml:space="preserve">des </w:t>
      </w:r>
      <w:r w:rsidR="00424B6E">
        <w:rPr>
          <w:rFonts w:cs="Times New Roman"/>
          <w:kern w:val="22"/>
          <w:sz w:val="22"/>
          <w:lang w:val="fr-FR"/>
        </w:rPr>
        <w:t xml:space="preserve">résines, des </w:t>
      </w:r>
      <w:r w:rsidR="00056144">
        <w:rPr>
          <w:rFonts w:cs="Times New Roman"/>
          <w:kern w:val="22"/>
          <w:sz w:val="22"/>
          <w:lang w:val="fr-FR"/>
        </w:rPr>
        <w:t xml:space="preserve">produits </w:t>
      </w:r>
      <w:r w:rsidR="00424B6E">
        <w:rPr>
          <w:rFonts w:cs="Times New Roman"/>
          <w:kern w:val="22"/>
          <w:sz w:val="22"/>
          <w:lang w:val="fr-FR"/>
        </w:rPr>
        <w:t>aliment</w:t>
      </w:r>
      <w:r w:rsidR="00056144">
        <w:rPr>
          <w:rFonts w:cs="Times New Roman"/>
          <w:kern w:val="22"/>
          <w:sz w:val="22"/>
          <w:lang w:val="fr-FR"/>
        </w:rPr>
        <w:t>aire</w:t>
      </w:r>
      <w:r w:rsidR="00424B6E">
        <w:rPr>
          <w:rFonts w:cs="Times New Roman"/>
          <w:kern w:val="22"/>
          <w:sz w:val="22"/>
          <w:lang w:val="fr-FR"/>
        </w:rPr>
        <w:t>s et des produits ligneux</w:t>
      </w:r>
      <w:r w:rsidR="00100087" w:rsidRPr="00424B6E">
        <w:rPr>
          <w:rFonts w:cs="Times New Roman"/>
          <w:kern w:val="22"/>
          <w:sz w:val="22"/>
          <w:lang w:val="fr-FR"/>
        </w:rPr>
        <w:t>.”</w:t>
      </w:r>
      <w:r w:rsidR="00100087" w:rsidRPr="002364AB">
        <w:rPr>
          <w:rStyle w:val="FootnoteReference"/>
          <w:kern w:val="22"/>
          <w:sz w:val="22"/>
          <w:lang w:val="en-GB"/>
        </w:rPr>
        <w:footnoteReference w:id="92"/>
      </w:r>
      <w:r w:rsidR="00100087" w:rsidRPr="00424B6E">
        <w:rPr>
          <w:rFonts w:cs="Times New Roman"/>
          <w:kern w:val="22"/>
          <w:sz w:val="22"/>
          <w:lang w:val="fr-FR"/>
        </w:rPr>
        <w:t xml:space="preserve"> </w:t>
      </w:r>
      <w:r w:rsidR="00424B6E">
        <w:rPr>
          <w:rFonts w:cs="Times New Roman"/>
          <w:kern w:val="22"/>
          <w:sz w:val="22"/>
          <w:lang w:val="fr-FR"/>
        </w:rPr>
        <w:t xml:space="preserve">Une recherche </w:t>
      </w:r>
      <w:r w:rsidR="00056144">
        <w:rPr>
          <w:rFonts w:cs="Times New Roman"/>
          <w:kern w:val="22"/>
          <w:sz w:val="22"/>
          <w:lang w:val="fr-FR"/>
        </w:rPr>
        <w:t xml:space="preserve">effectuée dans </w:t>
      </w:r>
      <w:r w:rsidR="00424B6E">
        <w:rPr>
          <w:rFonts w:cs="Times New Roman"/>
          <w:kern w:val="22"/>
          <w:sz w:val="22"/>
          <w:lang w:val="fr-FR"/>
        </w:rPr>
        <w:t>la</w:t>
      </w:r>
      <w:r w:rsidR="00100087" w:rsidRPr="00424B6E">
        <w:rPr>
          <w:rFonts w:cs="Times New Roman"/>
          <w:kern w:val="22"/>
          <w:sz w:val="22"/>
          <w:lang w:val="fr-FR"/>
        </w:rPr>
        <w:t xml:space="preserve"> </w:t>
      </w:r>
      <w:r w:rsidR="00046703" w:rsidRPr="00424B6E">
        <w:rPr>
          <w:rFonts w:cs="Times New Roman"/>
          <w:kern w:val="22"/>
          <w:sz w:val="22"/>
          <w:lang w:val="fr-FR"/>
        </w:rPr>
        <w:t>base de données</w:t>
      </w:r>
      <w:r w:rsidR="003655F7">
        <w:rPr>
          <w:rFonts w:cs="Times New Roman"/>
          <w:kern w:val="22"/>
          <w:sz w:val="22"/>
          <w:lang w:val="fr-FR"/>
        </w:rPr>
        <w:t xml:space="preserve"> d’EBC a affiché</w:t>
      </w:r>
      <w:r w:rsidR="00424B6E">
        <w:rPr>
          <w:rFonts w:cs="Times New Roman"/>
          <w:kern w:val="22"/>
          <w:sz w:val="22"/>
          <w:lang w:val="fr-FR"/>
        </w:rPr>
        <w:t xml:space="preserve"> </w:t>
      </w:r>
      <w:r w:rsidR="00AB6A02" w:rsidRPr="00424B6E">
        <w:rPr>
          <w:rFonts w:cs="Times New Roman"/>
          <w:kern w:val="22"/>
          <w:sz w:val="22"/>
          <w:lang w:val="fr-FR"/>
        </w:rPr>
        <w:t>plusieurs</w:t>
      </w:r>
      <w:r w:rsidR="00100087" w:rsidRPr="00424B6E">
        <w:rPr>
          <w:rFonts w:cs="Times New Roman"/>
          <w:kern w:val="22"/>
          <w:sz w:val="22"/>
          <w:lang w:val="fr-FR"/>
        </w:rPr>
        <w:t xml:space="preserve"> </w:t>
      </w:r>
      <w:r w:rsidR="009D43F1" w:rsidRPr="00424B6E">
        <w:rPr>
          <w:rFonts w:cs="Times New Roman"/>
          <w:kern w:val="22"/>
          <w:sz w:val="22"/>
          <w:lang w:val="fr-FR"/>
        </w:rPr>
        <w:t>exemple</w:t>
      </w:r>
      <w:r w:rsidR="00C04C2A">
        <w:rPr>
          <w:rFonts w:cs="Times New Roman"/>
          <w:kern w:val="22"/>
          <w:sz w:val="22"/>
          <w:lang w:val="fr-FR"/>
        </w:rPr>
        <w:t xml:space="preserve">s </w:t>
      </w:r>
      <w:r w:rsidR="00424B6E">
        <w:rPr>
          <w:rFonts w:cs="Times New Roman"/>
          <w:kern w:val="22"/>
          <w:sz w:val="22"/>
          <w:lang w:val="fr-FR"/>
        </w:rPr>
        <w:t>de</w:t>
      </w:r>
      <w:r w:rsidR="00100087" w:rsidRPr="00424B6E">
        <w:rPr>
          <w:rFonts w:cs="Times New Roman"/>
          <w:kern w:val="22"/>
          <w:sz w:val="22"/>
          <w:lang w:val="fr-FR"/>
        </w:rPr>
        <w:t xml:space="preserve"> </w:t>
      </w:r>
      <w:r w:rsidR="00D6232E" w:rsidRPr="00424B6E">
        <w:rPr>
          <w:rFonts w:cs="Times New Roman"/>
          <w:kern w:val="22"/>
          <w:sz w:val="22"/>
          <w:lang w:val="fr-FR"/>
        </w:rPr>
        <w:t>spécimen</w:t>
      </w:r>
      <w:r w:rsidR="00056144">
        <w:rPr>
          <w:rFonts w:cs="Times New Roman"/>
          <w:kern w:val="22"/>
          <w:sz w:val="22"/>
          <w:lang w:val="fr-FR"/>
        </w:rPr>
        <w:t>s historiques</w:t>
      </w:r>
      <w:r w:rsidR="00C04C2A">
        <w:rPr>
          <w:rFonts w:cs="Times New Roman"/>
          <w:kern w:val="22"/>
          <w:sz w:val="22"/>
          <w:lang w:val="fr-FR"/>
        </w:rPr>
        <w:t xml:space="preserve"> enregistrés</w:t>
      </w:r>
      <w:r w:rsidR="00056144">
        <w:rPr>
          <w:rFonts w:cs="Times New Roman"/>
          <w:kern w:val="22"/>
          <w:sz w:val="22"/>
          <w:lang w:val="fr-FR"/>
        </w:rPr>
        <w:t xml:space="preserve"> ne</w:t>
      </w:r>
      <w:r w:rsidR="003655F7">
        <w:rPr>
          <w:rFonts w:cs="Times New Roman"/>
          <w:kern w:val="22"/>
          <w:sz w:val="22"/>
          <w:lang w:val="fr-FR"/>
        </w:rPr>
        <w:t xml:space="preserve"> comprenant</w:t>
      </w:r>
      <w:r w:rsidR="00056144">
        <w:rPr>
          <w:rFonts w:cs="Times New Roman"/>
          <w:kern w:val="22"/>
          <w:sz w:val="22"/>
          <w:lang w:val="fr-FR"/>
        </w:rPr>
        <w:t xml:space="preserve"> aucune </w:t>
      </w:r>
      <w:r w:rsidR="00424B6E">
        <w:rPr>
          <w:rFonts w:cs="Times New Roman"/>
          <w:kern w:val="22"/>
          <w:sz w:val="22"/>
          <w:lang w:val="fr-FR"/>
        </w:rPr>
        <w:t xml:space="preserve">information sur le </w:t>
      </w:r>
      <w:r w:rsidR="00D70471" w:rsidRPr="00424B6E">
        <w:rPr>
          <w:rFonts w:cs="Times New Roman"/>
          <w:kern w:val="22"/>
          <w:sz w:val="22"/>
          <w:lang w:val="fr-FR"/>
        </w:rPr>
        <w:t>pays fournisseur</w:t>
      </w:r>
      <w:r w:rsidR="00056144">
        <w:rPr>
          <w:rFonts w:cs="Times New Roman"/>
          <w:kern w:val="22"/>
          <w:sz w:val="22"/>
          <w:lang w:val="fr-FR"/>
        </w:rPr>
        <w:t xml:space="preserve"> et/ou </w:t>
      </w:r>
      <w:r w:rsidR="00424B6E">
        <w:rPr>
          <w:rFonts w:cs="Times New Roman"/>
          <w:kern w:val="22"/>
          <w:sz w:val="22"/>
          <w:lang w:val="fr-FR"/>
        </w:rPr>
        <w:t>le</w:t>
      </w:r>
      <w:r w:rsidR="00830BE4" w:rsidRPr="00424B6E">
        <w:rPr>
          <w:rFonts w:cs="Times New Roman"/>
          <w:kern w:val="22"/>
          <w:sz w:val="22"/>
          <w:lang w:val="fr-FR"/>
        </w:rPr>
        <w:t>s peuples autochtones et communautés locales</w:t>
      </w:r>
      <w:r w:rsidR="00424B6E">
        <w:rPr>
          <w:rFonts w:cs="Times New Roman"/>
          <w:kern w:val="22"/>
          <w:sz w:val="22"/>
          <w:lang w:val="fr-FR"/>
        </w:rPr>
        <w:t>,</w:t>
      </w:r>
      <w:r w:rsidR="00100087" w:rsidRPr="00424B6E">
        <w:rPr>
          <w:rFonts w:cs="Times New Roman"/>
          <w:kern w:val="22"/>
          <w:sz w:val="22"/>
          <w:lang w:val="fr-FR"/>
        </w:rPr>
        <w:t xml:space="preserve"> </w:t>
      </w:r>
      <w:r w:rsidR="00424B6E">
        <w:rPr>
          <w:rFonts w:cs="Times New Roman"/>
          <w:kern w:val="22"/>
          <w:sz w:val="22"/>
          <w:lang w:val="fr-FR"/>
        </w:rPr>
        <w:t>pour des</w:t>
      </w:r>
      <w:r w:rsidR="00053E0E" w:rsidRPr="00424B6E">
        <w:rPr>
          <w:rFonts w:cs="Times New Roman"/>
          <w:kern w:val="22"/>
          <w:sz w:val="22"/>
          <w:lang w:val="fr-FR"/>
        </w:rPr>
        <w:t xml:space="preserve"> utilisations </w:t>
      </w:r>
      <w:r w:rsidR="00424B6E">
        <w:rPr>
          <w:rFonts w:cs="Times New Roman"/>
          <w:kern w:val="22"/>
          <w:sz w:val="22"/>
          <w:lang w:val="fr-FR"/>
        </w:rPr>
        <w:t xml:space="preserve">qui semblent inclure des </w:t>
      </w:r>
      <w:r w:rsidR="00830BE4" w:rsidRPr="00424B6E">
        <w:rPr>
          <w:rFonts w:cs="Times New Roman"/>
          <w:kern w:val="22"/>
          <w:sz w:val="22"/>
          <w:lang w:val="fr-FR"/>
        </w:rPr>
        <w:t>connaissances traditionnelles connexes</w:t>
      </w:r>
      <w:r w:rsidR="00100087" w:rsidRPr="00424B6E">
        <w:rPr>
          <w:rFonts w:cs="Times New Roman"/>
          <w:kern w:val="22"/>
          <w:sz w:val="22"/>
          <w:lang w:val="fr-FR"/>
        </w:rPr>
        <w:t>.</w:t>
      </w:r>
      <w:r w:rsidR="00100087" w:rsidRPr="002364AB">
        <w:rPr>
          <w:rStyle w:val="FootnoteReference"/>
          <w:kern w:val="22"/>
          <w:sz w:val="22"/>
          <w:lang w:val="en-GB"/>
        </w:rPr>
        <w:footnoteReference w:id="93"/>
      </w:r>
      <w:r w:rsidR="00100087" w:rsidRPr="00424B6E">
        <w:rPr>
          <w:rFonts w:cs="Times New Roman"/>
          <w:kern w:val="22"/>
          <w:sz w:val="22"/>
          <w:lang w:val="fr-FR"/>
        </w:rPr>
        <w:t xml:space="preserve"> </w:t>
      </w:r>
    </w:p>
    <w:p w14:paraId="06F2546B" w14:textId="4F2B5942" w:rsidR="00100087" w:rsidRPr="00D6074A" w:rsidRDefault="00BE6788" w:rsidP="00100087">
      <w:pPr>
        <w:rPr>
          <w:rFonts w:cs="Times New Roman"/>
          <w:b/>
          <w:i/>
          <w:kern w:val="22"/>
          <w:sz w:val="22"/>
          <w:lang w:val="fr-FR"/>
        </w:rPr>
      </w:pPr>
      <w:r w:rsidRPr="00D6074A">
        <w:rPr>
          <w:rFonts w:cs="Times New Roman"/>
          <w:i/>
          <w:kern w:val="22"/>
          <w:sz w:val="22"/>
          <w:lang w:val="fr-FR"/>
        </w:rPr>
        <w:t>Herbiers</w:t>
      </w:r>
    </w:p>
    <w:p w14:paraId="199D5375" w14:textId="177B6C3F" w:rsidR="00100087" w:rsidRPr="00DA5B96" w:rsidRDefault="00C04C2A" w:rsidP="00100087">
      <w:pPr>
        <w:rPr>
          <w:rFonts w:cs="Times New Roman"/>
          <w:kern w:val="22"/>
          <w:sz w:val="22"/>
          <w:lang w:val="fr-FR"/>
        </w:rPr>
      </w:pPr>
      <w:r>
        <w:rPr>
          <w:rFonts w:cs="Times New Roman"/>
          <w:kern w:val="22"/>
          <w:sz w:val="22"/>
          <w:lang w:val="fr-FR"/>
        </w:rPr>
        <w:t>Tandis</w:t>
      </w:r>
      <w:r w:rsidR="00931FA2" w:rsidRPr="00424B6E">
        <w:rPr>
          <w:rFonts w:cs="Times New Roman"/>
          <w:kern w:val="22"/>
          <w:sz w:val="22"/>
          <w:lang w:val="fr-FR"/>
        </w:rPr>
        <w:t xml:space="preserve"> que les</w:t>
      </w:r>
      <w:r w:rsidR="00100087" w:rsidRPr="00424B6E">
        <w:rPr>
          <w:rFonts w:cs="Times New Roman"/>
          <w:kern w:val="22"/>
          <w:sz w:val="22"/>
          <w:lang w:val="fr-FR"/>
        </w:rPr>
        <w:t xml:space="preserve"> </w:t>
      </w:r>
      <w:r w:rsidR="00D6232E" w:rsidRPr="00424B6E">
        <w:rPr>
          <w:rFonts w:cs="Times New Roman"/>
          <w:kern w:val="22"/>
          <w:sz w:val="22"/>
          <w:lang w:val="fr-FR"/>
        </w:rPr>
        <w:t>jardins botaniques</w:t>
      </w:r>
      <w:r w:rsidR="00100087" w:rsidRPr="00424B6E">
        <w:rPr>
          <w:rFonts w:cs="Times New Roman"/>
          <w:kern w:val="22"/>
          <w:sz w:val="22"/>
          <w:lang w:val="fr-FR"/>
        </w:rPr>
        <w:t xml:space="preserve"> </w:t>
      </w:r>
      <w:r w:rsidR="00931FA2" w:rsidRPr="00424B6E">
        <w:rPr>
          <w:rFonts w:cs="Times New Roman"/>
          <w:kern w:val="22"/>
          <w:sz w:val="22"/>
          <w:lang w:val="fr-FR"/>
        </w:rPr>
        <w:t>sont</w:t>
      </w:r>
      <w:r>
        <w:rPr>
          <w:rFonts w:cs="Times New Roman"/>
          <w:kern w:val="22"/>
          <w:sz w:val="22"/>
          <w:lang w:val="fr-FR"/>
        </w:rPr>
        <w:t xml:space="preserve"> principalement connus comme collections</w:t>
      </w:r>
      <w:r w:rsidR="00100087" w:rsidRPr="00424B6E">
        <w:rPr>
          <w:rFonts w:cs="Times New Roman"/>
          <w:kern w:val="22"/>
          <w:sz w:val="22"/>
          <w:lang w:val="fr-FR"/>
        </w:rPr>
        <w:t xml:space="preserve"> </w:t>
      </w:r>
      <w:r w:rsidR="00931FA2" w:rsidRPr="00424B6E">
        <w:rPr>
          <w:rFonts w:cs="Times New Roman"/>
          <w:kern w:val="22"/>
          <w:sz w:val="22"/>
          <w:lang w:val="fr-FR"/>
        </w:rPr>
        <w:t>de spécimens de plantes vivantes</w:t>
      </w:r>
      <w:r w:rsidR="00100087" w:rsidRPr="00424B6E">
        <w:rPr>
          <w:rFonts w:cs="Times New Roman"/>
          <w:kern w:val="22"/>
          <w:sz w:val="22"/>
          <w:lang w:val="fr-FR"/>
        </w:rPr>
        <w:t xml:space="preserve">, </w:t>
      </w:r>
      <w:r w:rsidR="00931FA2" w:rsidRPr="00424B6E">
        <w:rPr>
          <w:rFonts w:cs="Times New Roman"/>
          <w:kern w:val="22"/>
          <w:sz w:val="22"/>
          <w:lang w:val="fr-FR"/>
        </w:rPr>
        <w:t>les h</w:t>
      </w:r>
      <w:r w:rsidR="00BE6788" w:rsidRPr="00424B6E">
        <w:rPr>
          <w:rFonts w:cs="Times New Roman"/>
          <w:kern w:val="22"/>
          <w:sz w:val="22"/>
          <w:lang w:val="fr-FR"/>
        </w:rPr>
        <w:t>erbiers</w:t>
      </w:r>
      <w:r w:rsidR="00100087" w:rsidRPr="00424B6E">
        <w:rPr>
          <w:rFonts w:cs="Times New Roman"/>
          <w:kern w:val="22"/>
          <w:sz w:val="22"/>
          <w:lang w:val="fr-FR"/>
        </w:rPr>
        <w:t xml:space="preserve"> </w:t>
      </w:r>
      <w:r>
        <w:rPr>
          <w:rFonts w:cs="Times New Roman"/>
          <w:kern w:val="22"/>
          <w:sz w:val="22"/>
          <w:lang w:val="fr-FR"/>
        </w:rPr>
        <w:t>abritent</w:t>
      </w:r>
      <w:r w:rsidR="00931FA2" w:rsidRPr="00424B6E">
        <w:rPr>
          <w:rFonts w:cs="Times New Roman"/>
          <w:kern w:val="22"/>
          <w:sz w:val="22"/>
          <w:lang w:val="fr-FR"/>
        </w:rPr>
        <w:t xml:space="preserve"> </w:t>
      </w:r>
      <w:r>
        <w:rPr>
          <w:rFonts w:cs="Times New Roman"/>
          <w:kern w:val="22"/>
          <w:sz w:val="22"/>
          <w:lang w:val="fr-FR"/>
        </w:rPr>
        <w:t xml:space="preserve">quant à eux </w:t>
      </w:r>
      <w:r w:rsidR="00931FA2" w:rsidRPr="00424B6E">
        <w:rPr>
          <w:rFonts w:cs="Times New Roman"/>
          <w:kern w:val="22"/>
          <w:sz w:val="22"/>
          <w:lang w:val="fr-FR"/>
        </w:rPr>
        <w:t>des</w:t>
      </w:r>
      <w:r w:rsidR="00100087" w:rsidRPr="00424B6E">
        <w:rPr>
          <w:rFonts w:cs="Times New Roman"/>
          <w:kern w:val="22"/>
          <w:sz w:val="22"/>
          <w:lang w:val="fr-FR"/>
        </w:rPr>
        <w:t xml:space="preserve"> </w:t>
      </w:r>
      <w:r w:rsidR="00E40444" w:rsidRPr="00424B6E">
        <w:rPr>
          <w:rFonts w:cs="Times New Roman"/>
          <w:kern w:val="22"/>
          <w:sz w:val="22"/>
          <w:lang w:val="fr-FR"/>
        </w:rPr>
        <w:t>échantillons</w:t>
      </w:r>
      <w:r w:rsidR="00931FA2" w:rsidRPr="00424B6E">
        <w:rPr>
          <w:rFonts w:cs="Times New Roman"/>
          <w:kern w:val="22"/>
          <w:sz w:val="22"/>
          <w:lang w:val="fr-FR"/>
        </w:rPr>
        <w:t xml:space="preserve"> de</w:t>
      </w:r>
      <w:r w:rsidR="00C1689B">
        <w:rPr>
          <w:rFonts w:cs="Times New Roman"/>
          <w:kern w:val="22"/>
          <w:sz w:val="22"/>
          <w:lang w:val="fr-FR"/>
        </w:rPr>
        <w:t xml:space="preserve"> plantes séchées et préservées, comprenant des </w:t>
      </w:r>
      <w:r w:rsidR="00C1689B">
        <w:rPr>
          <w:rFonts w:cs="Times New Roman"/>
          <w:kern w:val="22"/>
          <w:sz w:val="22"/>
          <w:lang w:val="fr-FR"/>
        </w:rPr>
        <w:lastRenderedPageBreak/>
        <w:t>annotations qui fournissent des informations sur l’origine</w:t>
      </w:r>
      <w:r w:rsidR="00424B6E">
        <w:rPr>
          <w:rFonts w:cs="Times New Roman"/>
          <w:kern w:val="22"/>
          <w:sz w:val="22"/>
          <w:lang w:val="fr-FR"/>
        </w:rPr>
        <w:t xml:space="preserve"> de l’échantillon collecté</w:t>
      </w:r>
      <w:r w:rsidR="00100087" w:rsidRPr="00424B6E">
        <w:rPr>
          <w:rFonts w:cs="Times New Roman"/>
          <w:kern w:val="22"/>
          <w:sz w:val="22"/>
          <w:lang w:val="fr-FR"/>
        </w:rPr>
        <w:t xml:space="preserve"> (</w:t>
      </w:r>
      <w:r w:rsidR="00424B6E">
        <w:rPr>
          <w:rFonts w:cs="Times New Roman"/>
          <w:kern w:val="22"/>
          <w:sz w:val="22"/>
          <w:lang w:val="fr-FR"/>
        </w:rPr>
        <w:t xml:space="preserve">qui n’est pas toujours le </w:t>
      </w:r>
      <w:r w:rsidR="00D70471" w:rsidRPr="00424B6E">
        <w:rPr>
          <w:rFonts w:cs="Times New Roman"/>
          <w:kern w:val="22"/>
          <w:sz w:val="22"/>
          <w:lang w:val="fr-FR"/>
        </w:rPr>
        <w:t>pays fournisseur</w:t>
      </w:r>
      <w:r w:rsidR="00424B6E">
        <w:rPr>
          <w:rFonts w:cs="Times New Roman"/>
          <w:kern w:val="22"/>
          <w:sz w:val="22"/>
          <w:lang w:val="fr-FR"/>
        </w:rPr>
        <w:t xml:space="preserve"> d’une ressource</w:t>
      </w:r>
      <w:r w:rsidR="00100087" w:rsidRPr="00424B6E">
        <w:rPr>
          <w:rFonts w:cs="Times New Roman"/>
          <w:kern w:val="22"/>
          <w:sz w:val="22"/>
          <w:lang w:val="fr-FR"/>
        </w:rPr>
        <w:t xml:space="preserve">), </w:t>
      </w:r>
      <w:r w:rsidR="00424B6E">
        <w:rPr>
          <w:rFonts w:cs="Times New Roman"/>
          <w:kern w:val="22"/>
          <w:sz w:val="22"/>
          <w:lang w:val="fr-FR"/>
        </w:rPr>
        <w:t xml:space="preserve">ainsi que </w:t>
      </w:r>
      <w:r w:rsidR="00C1689B">
        <w:rPr>
          <w:rFonts w:cs="Times New Roman"/>
          <w:kern w:val="22"/>
          <w:sz w:val="22"/>
          <w:lang w:val="fr-FR"/>
        </w:rPr>
        <w:t xml:space="preserve">sur </w:t>
      </w:r>
      <w:r w:rsidR="00424B6E">
        <w:rPr>
          <w:rFonts w:cs="Times New Roman"/>
          <w:kern w:val="22"/>
          <w:sz w:val="22"/>
          <w:lang w:val="fr-FR"/>
        </w:rPr>
        <w:t>la personne ayant collec</w:t>
      </w:r>
      <w:r w:rsidR="00C1689B">
        <w:rPr>
          <w:rFonts w:cs="Times New Roman"/>
          <w:kern w:val="22"/>
          <w:sz w:val="22"/>
          <w:lang w:val="fr-FR"/>
        </w:rPr>
        <w:t>té la ressource, la date d’acquisit</w:t>
      </w:r>
      <w:r w:rsidR="00424B6E">
        <w:rPr>
          <w:rFonts w:cs="Times New Roman"/>
          <w:kern w:val="22"/>
          <w:sz w:val="22"/>
          <w:lang w:val="fr-FR"/>
        </w:rPr>
        <w:t>ion, les caractéristiques phénotypiques</w:t>
      </w:r>
      <w:r w:rsidR="00100087" w:rsidRPr="00424B6E">
        <w:rPr>
          <w:rFonts w:cs="Times New Roman"/>
          <w:kern w:val="22"/>
          <w:sz w:val="22"/>
          <w:lang w:val="fr-FR"/>
        </w:rPr>
        <w:t>,</w:t>
      </w:r>
      <w:r w:rsidR="00C1689B">
        <w:rPr>
          <w:rFonts w:cs="Times New Roman"/>
          <w:kern w:val="22"/>
          <w:sz w:val="22"/>
          <w:lang w:val="fr-FR"/>
        </w:rPr>
        <w:t xml:space="preserve"> ainsi que </w:t>
      </w:r>
      <w:r w:rsidR="00424B6E">
        <w:rPr>
          <w:rFonts w:cs="Times New Roman"/>
          <w:kern w:val="22"/>
          <w:sz w:val="22"/>
          <w:lang w:val="fr-FR"/>
        </w:rPr>
        <w:t>les utilisation</w:t>
      </w:r>
      <w:r w:rsidR="00100087" w:rsidRPr="00424B6E">
        <w:rPr>
          <w:rFonts w:cs="Times New Roman"/>
          <w:kern w:val="22"/>
          <w:sz w:val="22"/>
          <w:lang w:val="fr-FR"/>
        </w:rPr>
        <w:t xml:space="preserve">s, </w:t>
      </w:r>
      <w:r w:rsidR="00C1689B">
        <w:rPr>
          <w:rFonts w:cs="Times New Roman"/>
          <w:kern w:val="22"/>
          <w:sz w:val="22"/>
          <w:lang w:val="fr-FR"/>
        </w:rPr>
        <w:t xml:space="preserve">en particulier pour les plantes acquises par des </w:t>
      </w:r>
      <w:r w:rsidR="00100087" w:rsidRPr="00424B6E">
        <w:rPr>
          <w:rFonts w:cs="Times New Roman"/>
          <w:kern w:val="22"/>
          <w:sz w:val="22"/>
          <w:lang w:val="fr-FR"/>
        </w:rPr>
        <w:t>ethnobotani</w:t>
      </w:r>
      <w:r w:rsidR="00C1689B">
        <w:rPr>
          <w:rFonts w:cs="Times New Roman"/>
          <w:kern w:val="22"/>
          <w:sz w:val="22"/>
          <w:lang w:val="fr-FR"/>
        </w:rPr>
        <w:t>ste</w:t>
      </w:r>
      <w:r w:rsidR="00424B6E">
        <w:rPr>
          <w:rFonts w:cs="Times New Roman"/>
          <w:kern w:val="22"/>
          <w:sz w:val="22"/>
          <w:lang w:val="fr-FR"/>
        </w:rPr>
        <w:t>s</w:t>
      </w:r>
      <w:r w:rsidR="00100087" w:rsidRPr="00424B6E">
        <w:rPr>
          <w:rFonts w:cs="Times New Roman"/>
          <w:kern w:val="22"/>
          <w:sz w:val="22"/>
          <w:lang w:val="fr-FR"/>
        </w:rPr>
        <w:t>.</w:t>
      </w:r>
      <w:r w:rsidR="00E312BB" w:rsidRPr="00424B6E">
        <w:rPr>
          <w:rFonts w:cs="Times New Roman"/>
          <w:kern w:val="22"/>
          <w:sz w:val="22"/>
          <w:lang w:val="fr-FR"/>
        </w:rPr>
        <w:t xml:space="preserve"> </w:t>
      </w:r>
      <w:r w:rsidR="00424B6E" w:rsidRPr="00424B6E">
        <w:rPr>
          <w:rFonts w:cs="Times New Roman"/>
          <w:kern w:val="22"/>
          <w:sz w:val="22"/>
          <w:lang w:val="fr-FR"/>
        </w:rPr>
        <w:t>L’</w:t>
      </w:r>
      <w:r w:rsidR="00C1689B">
        <w:rPr>
          <w:rFonts w:cs="Times New Roman"/>
          <w:kern w:val="22"/>
          <w:sz w:val="22"/>
          <w:lang w:val="fr-FR"/>
        </w:rPr>
        <w:t>Index Herbariorum fournit</w:t>
      </w:r>
      <w:r w:rsidR="00424B6E" w:rsidRPr="00424B6E">
        <w:rPr>
          <w:rFonts w:cs="Times New Roman"/>
          <w:kern w:val="22"/>
          <w:sz w:val="22"/>
          <w:lang w:val="fr-FR"/>
        </w:rPr>
        <w:t xml:space="preserve"> une liste de 3324 </w:t>
      </w:r>
      <w:r w:rsidR="00BE6788" w:rsidRPr="00424B6E">
        <w:rPr>
          <w:rFonts w:cs="Times New Roman"/>
          <w:kern w:val="22"/>
          <w:sz w:val="22"/>
          <w:lang w:val="fr-FR"/>
        </w:rPr>
        <w:t>herbiers</w:t>
      </w:r>
      <w:r w:rsidR="00CD1EE7" w:rsidRPr="00424B6E">
        <w:rPr>
          <w:rFonts w:cs="Times New Roman"/>
          <w:kern w:val="22"/>
          <w:sz w:val="22"/>
          <w:lang w:val="fr-FR"/>
        </w:rPr>
        <w:t xml:space="preserve"> </w:t>
      </w:r>
      <w:r w:rsidR="00424B6E" w:rsidRPr="00424B6E">
        <w:rPr>
          <w:rFonts w:cs="Times New Roman"/>
          <w:kern w:val="22"/>
          <w:sz w:val="22"/>
          <w:lang w:val="fr-FR"/>
        </w:rPr>
        <w:t>actifs dans le</w:t>
      </w:r>
      <w:r w:rsidR="00C1689B">
        <w:rPr>
          <w:rFonts w:cs="Times New Roman"/>
          <w:kern w:val="22"/>
          <w:sz w:val="22"/>
          <w:lang w:val="fr-FR"/>
        </w:rPr>
        <w:t xml:space="preserve"> monde au</w:t>
      </w:r>
      <w:r w:rsidR="00DA5B96">
        <w:rPr>
          <w:rFonts w:cs="Times New Roman"/>
          <w:kern w:val="22"/>
          <w:sz w:val="22"/>
          <w:lang w:val="fr-FR"/>
        </w:rPr>
        <w:t xml:space="preserve"> 15 décembre 2019, compren</w:t>
      </w:r>
      <w:r w:rsidR="00C1689B">
        <w:rPr>
          <w:rFonts w:cs="Times New Roman"/>
          <w:kern w:val="22"/>
          <w:sz w:val="22"/>
          <w:lang w:val="fr-FR"/>
        </w:rPr>
        <w:t>ant</w:t>
      </w:r>
      <w:r w:rsidR="00424B6E">
        <w:rPr>
          <w:rFonts w:cs="Times New Roman"/>
          <w:kern w:val="22"/>
          <w:sz w:val="22"/>
          <w:lang w:val="fr-FR"/>
        </w:rPr>
        <w:t xml:space="preserve"> plus de </w:t>
      </w:r>
      <w:r w:rsidR="00CD1EE7" w:rsidRPr="00424B6E">
        <w:rPr>
          <w:rFonts w:cs="Times New Roman"/>
          <w:kern w:val="22"/>
          <w:sz w:val="22"/>
          <w:lang w:val="fr-FR"/>
        </w:rPr>
        <w:t>390 million</w:t>
      </w:r>
      <w:r w:rsidR="00424B6E">
        <w:rPr>
          <w:rFonts w:cs="Times New Roman"/>
          <w:kern w:val="22"/>
          <w:sz w:val="22"/>
          <w:lang w:val="fr-FR"/>
        </w:rPr>
        <w:t>s de</w:t>
      </w:r>
      <w:r w:rsidR="00CD1EE7" w:rsidRPr="00424B6E">
        <w:rPr>
          <w:rFonts w:cs="Times New Roman"/>
          <w:kern w:val="22"/>
          <w:sz w:val="22"/>
          <w:lang w:val="fr-FR"/>
        </w:rPr>
        <w:t xml:space="preserve"> </w:t>
      </w:r>
      <w:r w:rsidR="00D6232E" w:rsidRPr="00424B6E">
        <w:rPr>
          <w:rFonts w:cs="Times New Roman"/>
          <w:kern w:val="22"/>
          <w:sz w:val="22"/>
          <w:lang w:val="fr-FR"/>
        </w:rPr>
        <w:t>spécimen</w:t>
      </w:r>
      <w:r w:rsidR="00CD1EE7" w:rsidRPr="00424B6E">
        <w:rPr>
          <w:rFonts w:cs="Times New Roman"/>
          <w:kern w:val="22"/>
          <w:sz w:val="22"/>
          <w:lang w:val="fr-FR"/>
        </w:rPr>
        <w:t>s.</w:t>
      </w:r>
      <w:r w:rsidR="00CD1EE7" w:rsidRPr="002364AB">
        <w:rPr>
          <w:rStyle w:val="FootnoteReference"/>
          <w:rFonts w:cs="Times New Roman"/>
          <w:kern w:val="22"/>
          <w:sz w:val="22"/>
          <w:lang w:val="en-GB"/>
        </w:rPr>
        <w:footnoteReference w:id="94"/>
      </w:r>
      <w:r w:rsidR="00CD1EE7" w:rsidRPr="00424B6E">
        <w:rPr>
          <w:rFonts w:cs="Times New Roman"/>
          <w:kern w:val="22"/>
          <w:sz w:val="22"/>
          <w:lang w:val="fr-FR"/>
        </w:rPr>
        <w:t xml:space="preserve"> </w:t>
      </w:r>
      <w:r w:rsidR="00424B6E" w:rsidRPr="00424B6E">
        <w:rPr>
          <w:rFonts w:cs="Times New Roman"/>
          <w:kern w:val="22"/>
          <w:sz w:val="22"/>
          <w:lang w:val="fr-FR"/>
        </w:rPr>
        <w:t>Nombr</w:t>
      </w:r>
      <w:r w:rsidR="00424B6E">
        <w:rPr>
          <w:rFonts w:cs="Times New Roman"/>
          <w:kern w:val="22"/>
          <w:sz w:val="22"/>
          <w:lang w:val="fr-FR"/>
        </w:rPr>
        <w:t xml:space="preserve">e de ces spécimens sont liés à des universités, </w:t>
      </w:r>
      <w:r w:rsidR="00C1689B">
        <w:rPr>
          <w:rFonts w:cs="Times New Roman"/>
          <w:kern w:val="22"/>
          <w:sz w:val="22"/>
          <w:lang w:val="fr-FR"/>
        </w:rPr>
        <w:t xml:space="preserve">des </w:t>
      </w:r>
      <w:r w:rsidR="00424B6E">
        <w:rPr>
          <w:rFonts w:cs="Times New Roman"/>
          <w:kern w:val="22"/>
          <w:sz w:val="22"/>
          <w:lang w:val="fr-FR"/>
        </w:rPr>
        <w:t>musé</w:t>
      </w:r>
      <w:r w:rsidR="00CD1EE7" w:rsidRPr="00424B6E">
        <w:rPr>
          <w:rFonts w:cs="Times New Roman"/>
          <w:kern w:val="22"/>
          <w:sz w:val="22"/>
          <w:lang w:val="fr-FR"/>
        </w:rPr>
        <w:t xml:space="preserve">ums, </w:t>
      </w:r>
      <w:r w:rsidR="00C1689B">
        <w:rPr>
          <w:rFonts w:cs="Times New Roman"/>
          <w:kern w:val="22"/>
          <w:sz w:val="22"/>
          <w:lang w:val="fr-FR"/>
        </w:rPr>
        <w:t xml:space="preserve">des </w:t>
      </w:r>
      <w:r w:rsidR="00D6232E" w:rsidRPr="00424B6E">
        <w:rPr>
          <w:rFonts w:cs="Times New Roman"/>
          <w:kern w:val="22"/>
          <w:sz w:val="22"/>
          <w:lang w:val="fr-FR"/>
        </w:rPr>
        <w:t>jardins botaniques</w:t>
      </w:r>
      <w:r w:rsidR="00CD1EE7" w:rsidRPr="00424B6E">
        <w:rPr>
          <w:rFonts w:cs="Times New Roman"/>
          <w:kern w:val="22"/>
          <w:sz w:val="22"/>
          <w:lang w:val="fr-FR"/>
        </w:rPr>
        <w:t>,</w:t>
      </w:r>
      <w:r w:rsidR="0028742E" w:rsidRPr="00424B6E">
        <w:rPr>
          <w:rFonts w:cs="Times New Roman"/>
          <w:kern w:val="22"/>
          <w:sz w:val="22"/>
          <w:lang w:val="fr-FR"/>
        </w:rPr>
        <w:t xml:space="preserve"> ou</w:t>
      </w:r>
      <w:r w:rsidR="002518EB" w:rsidRPr="00424B6E">
        <w:rPr>
          <w:rFonts w:cs="Times New Roman"/>
          <w:kern w:val="22"/>
          <w:sz w:val="22"/>
          <w:lang w:val="fr-FR"/>
        </w:rPr>
        <w:t xml:space="preserve"> d’autres </w:t>
      </w:r>
      <w:r w:rsidR="00424B6E">
        <w:rPr>
          <w:rFonts w:cs="Times New Roman"/>
          <w:kern w:val="22"/>
          <w:sz w:val="22"/>
          <w:lang w:val="fr-FR"/>
        </w:rPr>
        <w:t>instituts de recherche</w:t>
      </w:r>
      <w:r w:rsidR="00CD1EE7" w:rsidRPr="00424B6E">
        <w:rPr>
          <w:rFonts w:cs="Times New Roman"/>
          <w:kern w:val="22"/>
          <w:sz w:val="22"/>
          <w:lang w:val="fr-FR"/>
        </w:rPr>
        <w:t>.</w:t>
      </w:r>
      <w:r w:rsidR="00CD1EE7" w:rsidRPr="002364AB">
        <w:rPr>
          <w:rStyle w:val="FootnoteReference"/>
          <w:rFonts w:cs="Times New Roman"/>
          <w:kern w:val="22"/>
          <w:sz w:val="22"/>
          <w:lang w:val="en-GB"/>
        </w:rPr>
        <w:footnoteReference w:id="95"/>
      </w:r>
      <w:r w:rsidR="00CD1EE7" w:rsidRPr="00424B6E">
        <w:rPr>
          <w:rFonts w:cs="Times New Roman"/>
          <w:kern w:val="22"/>
          <w:sz w:val="22"/>
          <w:lang w:val="fr-FR"/>
        </w:rPr>
        <w:t xml:space="preserve"> </w:t>
      </w:r>
      <w:r w:rsidR="00C1689B">
        <w:rPr>
          <w:rFonts w:cs="Times New Roman"/>
          <w:kern w:val="22"/>
          <w:sz w:val="22"/>
          <w:lang w:val="fr-FR"/>
        </w:rPr>
        <w:t>Les herbiers</w:t>
      </w:r>
      <w:r w:rsidR="00424B6E" w:rsidRPr="00424B6E">
        <w:rPr>
          <w:rFonts w:cs="Times New Roman"/>
          <w:kern w:val="22"/>
          <w:sz w:val="22"/>
          <w:lang w:val="fr-FR"/>
        </w:rPr>
        <w:t xml:space="preserve"> const</w:t>
      </w:r>
      <w:r w:rsidR="00424B6E">
        <w:rPr>
          <w:rFonts w:cs="Times New Roman"/>
          <w:kern w:val="22"/>
          <w:sz w:val="22"/>
          <w:lang w:val="fr-FR"/>
        </w:rPr>
        <w:t>ituent une source d’</w:t>
      </w:r>
      <w:r w:rsidR="00100087" w:rsidRPr="00424B6E">
        <w:rPr>
          <w:rFonts w:cs="Times New Roman"/>
          <w:kern w:val="22"/>
          <w:sz w:val="22"/>
          <w:lang w:val="fr-FR"/>
        </w:rPr>
        <w:t>information</w:t>
      </w:r>
      <w:r w:rsidR="00424B6E">
        <w:rPr>
          <w:rFonts w:cs="Times New Roman"/>
          <w:kern w:val="22"/>
          <w:sz w:val="22"/>
          <w:lang w:val="fr-FR"/>
        </w:rPr>
        <w:t xml:space="preserve"> précieuse pour la recherche, l’éducation</w:t>
      </w:r>
      <w:r w:rsidR="00100087" w:rsidRPr="00424B6E">
        <w:rPr>
          <w:rFonts w:cs="Times New Roman"/>
          <w:kern w:val="22"/>
          <w:sz w:val="22"/>
          <w:lang w:val="fr-FR"/>
        </w:rPr>
        <w:t>,</w:t>
      </w:r>
      <w:r w:rsidR="00C1689B">
        <w:rPr>
          <w:rFonts w:cs="Times New Roman"/>
          <w:kern w:val="22"/>
          <w:sz w:val="22"/>
          <w:lang w:val="fr-FR"/>
        </w:rPr>
        <w:t xml:space="preserve"> voire </w:t>
      </w:r>
      <w:r w:rsidR="00424B6E">
        <w:rPr>
          <w:rFonts w:cs="Times New Roman"/>
          <w:kern w:val="22"/>
          <w:sz w:val="22"/>
          <w:lang w:val="fr-FR"/>
        </w:rPr>
        <w:t xml:space="preserve">même </w:t>
      </w:r>
      <w:r w:rsidR="00DD1A9B" w:rsidRPr="00424B6E">
        <w:rPr>
          <w:rFonts w:cs="Times New Roman"/>
          <w:kern w:val="22"/>
          <w:sz w:val="22"/>
          <w:lang w:val="fr-FR"/>
        </w:rPr>
        <w:t>à des fins commerciales</w:t>
      </w:r>
      <w:r w:rsidR="00100087" w:rsidRPr="00424B6E">
        <w:rPr>
          <w:rFonts w:cs="Times New Roman"/>
          <w:kern w:val="22"/>
          <w:sz w:val="22"/>
          <w:lang w:val="fr-FR"/>
        </w:rPr>
        <w:t>.</w:t>
      </w:r>
      <w:r w:rsidR="003150A7" w:rsidRPr="002364AB">
        <w:rPr>
          <w:rStyle w:val="FootnoteReference"/>
          <w:rFonts w:cs="Times New Roman"/>
          <w:kern w:val="22"/>
          <w:sz w:val="22"/>
          <w:lang w:val="en-GB"/>
        </w:rPr>
        <w:footnoteReference w:id="96"/>
      </w:r>
      <w:r w:rsidR="00100087" w:rsidRPr="00424B6E">
        <w:rPr>
          <w:rFonts w:cs="Times New Roman"/>
          <w:kern w:val="22"/>
          <w:sz w:val="22"/>
          <w:lang w:val="fr-FR"/>
        </w:rPr>
        <w:t xml:space="preserve"> </w:t>
      </w:r>
      <w:r w:rsidR="00C1689B">
        <w:rPr>
          <w:rFonts w:cs="Times New Roman"/>
          <w:kern w:val="22"/>
          <w:sz w:val="22"/>
          <w:lang w:val="fr-FR"/>
        </w:rPr>
        <w:t>Les récentes avancées</w:t>
      </w:r>
      <w:r w:rsidR="00DA5B96">
        <w:rPr>
          <w:rFonts w:cs="Times New Roman"/>
          <w:kern w:val="22"/>
          <w:sz w:val="22"/>
          <w:lang w:val="fr-FR"/>
        </w:rPr>
        <w:t xml:space="preserve"> dans le domaine de la</w:t>
      </w:r>
      <w:r w:rsidR="00121FCD">
        <w:rPr>
          <w:rFonts w:cs="Times New Roman"/>
          <w:kern w:val="22"/>
          <w:sz w:val="22"/>
          <w:lang w:val="fr-FR"/>
        </w:rPr>
        <w:t xml:space="preserve"> technologie de</w:t>
      </w:r>
      <w:r w:rsidR="00100087" w:rsidRPr="00121FCD">
        <w:rPr>
          <w:rFonts w:cs="Times New Roman"/>
          <w:kern w:val="22"/>
          <w:sz w:val="22"/>
          <w:lang w:val="fr-FR"/>
        </w:rPr>
        <w:t xml:space="preserve"> </w:t>
      </w:r>
      <w:r w:rsidR="00121FCD">
        <w:rPr>
          <w:rFonts w:cs="Times New Roman"/>
          <w:kern w:val="22"/>
          <w:sz w:val="22"/>
          <w:lang w:val="fr-FR"/>
        </w:rPr>
        <w:t>séquençage génétique per</w:t>
      </w:r>
      <w:r w:rsidR="00C1689B">
        <w:rPr>
          <w:rFonts w:cs="Times New Roman"/>
          <w:kern w:val="22"/>
          <w:sz w:val="22"/>
          <w:lang w:val="fr-FR"/>
        </w:rPr>
        <w:t>mettent aujourd’hui d’analyser d</w:t>
      </w:r>
      <w:r w:rsidR="00121FCD">
        <w:rPr>
          <w:rFonts w:cs="Times New Roman"/>
          <w:kern w:val="22"/>
          <w:sz w:val="22"/>
          <w:lang w:val="fr-FR"/>
        </w:rPr>
        <w:t xml:space="preserve">es </w:t>
      </w:r>
      <w:r w:rsidR="00D6232E" w:rsidRPr="00121FCD">
        <w:rPr>
          <w:rFonts w:cs="Times New Roman"/>
          <w:kern w:val="22"/>
          <w:sz w:val="22"/>
          <w:lang w:val="fr-FR"/>
        </w:rPr>
        <w:t>spécimen</w:t>
      </w:r>
      <w:r w:rsidR="00100087" w:rsidRPr="00121FCD">
        <w:rPr>
          <w:rFonts w:cs="Times New Roman"/>
          <w:kern w:val="22"/>
          <w:sz w:val="22"/>
          <w:lang w:val="fr-FR"/>
        </w:rPr>
        <w:t>s</w:t>
      </w:r>
      <w:r w:rsidR="00DA5B96">
        <w:rPr>
          <w:rFonts w:cs="Times New Roman"/>
          <w:kern w:val="22"/>
          <w:sz w:val="22"/>
          <w:lang w:val="fr-FR"/>
        </w:rPr>
        <w:t xml:space="preserve"> ayant </w:t>
      </w:r>
      <w:r w:rsidR="00C1689B">
        <w:rPr>
          <w:rFonts w:cs="Times New Roman"/>
          <w:kern w:val="22"/>
          <w:sz w:val="22"/>
          <w:lang w:val="fr-FR"/>
        </w:rPr>
        <w:t>plus de 100 ans dans des herbiers</w:t>
      </w:r>
      <w:r w:rsidR="00100087" w:rsidRPr="00121FCD">
        <w:rPr>
          <w:rFonts w:cs="Times New Roman"/>
          <w:kern w:val="22"/>
          <w:sz w:val="22"/>
          <w:lang w:val="fr-FR"/>
        </w:rPr>
        <w:t xml:space="preserve">, </w:t>
      </w:r>
      <w:r w:rsidR="00B43E38" w:rsidRPr="00121FCD">
        <w:rPr>
          <w:rFonts w:cs="Times New Roman"/>
          <w:kern w:val="22"/>
          <w:sz w:val="22"/>
          <w:lang w:val="fr-FR"/>
        </w:rPr>
        <w:t>y compris</w:t>
      </w:r>
      <w:r w:rsidR="00121FCD">
        <w:rPr>
          <w:rFonts w:cs="Times New Roman"/>
          <w:kern w:val="22"/>
          <w:sz w:val="22"/>
          <w:lang w:val="fr-FR"/>
        </w:rPr>
        <w:t xml:space="preserve"> des </w:t>
      </w:r>
      <w:r w:rsidR="00651FB0" w:rsidRPr="00121FCD">
        <w:rPr>
          <w:rFonts w:cs="Times New Roman"/>
          <w:kern w:val="22"/>
          <w:sz w:val="22"/>
          <w:lang w:val="fr-FR"/>
        </w:rPr>
        <w:t>espèces</w:t>
      </w:r>
      <w:r w:rsidR="00121FCD">
        <w:rPr>
          <w:rFonts w:cs="Times New Roman"/>
          <w:kern w:val="22"/>
          <w:sz w:val="22"/>
          <w:lang w:val="fr-FR"/>
        </w:rPr>
        <w:t xml:space="preserve"> ayant disparu depuis longtemps</w:t>
      </w:r>
      <w:r w:rsidR="00100087" w:rsidRPr="00121FCD">
        <w:rPr>
          <w:rFonts w:cs="Times New Roman"/>
          <w:kern w:val="22"/>
          <w:sz w:val="22"/>
          <w:lang w:val="fr-FR"/>
        </w:rPr>
        <w:t>.</w:t>
      </w:r>
      <w:r w:rsidR="00100087" w:rsidRPr="002364AB">
        <w:rPr>
          <w:rStyle w:val="FootnoteReference"/>
          <w:rFonts w:cs="Times New Roman"/>
          <w:kern w:val="22"/>
          <w:sz w:val="22"/>
          <w:lang w:val="en-GB"/>
        </w:rPr>
        <w:footnoteReference w:id="97"/>
      </w:r>
      <w:r w:rsidR="00100087" w:rsidRPr="00121FCD">
        <w:rPr>
          <w:rFonts w:cs="Times New Roman"/>
          <w:kern w:val="22"/>
          <w:sz w:val="22"/>
          <w:lang w:val="fr-FR"/>
        </w:rPr>
        <w:t xml:space="preserve"> </w:t>
      </w:r>
      <w:r w:rsidR="00C1689B">
        <w:rPr>
          <w:rFonts w:cs="Times New Roman"/>
          <w:kern w:val="22"/>
          <w:sz w:val="22"/>
          <w:lang w:val="fr-FR"/>
        </w:rPr>
        <w:t>Comme dans le cas d</w:t>
      </w:r>
      <w:r w:rsidR="00121FCD">
        <w:rPr>
          <w:rFonts w:cs="Times New Roman"/>
          <w:kern w:val="22"/>
          <w:sz w:val="22"/>
          <w:lang w:val="fr-FR"/>
        </w:rPr>
        <w:t>es</w:t>
      </w:r>
      <w:r w:rsidR="00D6232E" w:rsidRPr="00733DB1">
        <w:rPr>
          <w:rFonts w:cs="Times New Roman"/>
          <w:kern w:val="22"/>
          <w:sz w:val="22"/>
          <w:lang w:val="fr-FR"/>
        </w:rPr>
        <w:t xml:space="preserve"> jardins botaniques</w:t>
      </w:r>
      <w:r w:rsidR="004D4CEA" w:rsidRPr="00733DB1">
        <w:rPr>
          <w:rFonts w:cs="Times New Roman"/>
          <w:kern w:val="22"/>
          <w:sz w:val="22"/>
          <w:lang w:val="fr-FR"/>
        </w:rPr>
        <w:t xml:space="preserve">, </w:t>
      </w:r>
      <w:r w:rsidR="00C1689B">
        <w:rPr>
          <w:rFonts w:cs="Times New Roman"/>
          <w:kern w:val="22"/>
          <w:sz w:val="22"/>
          <w:lang w:val="fr-FR"/>
        </w:rPr>
        <w:t>d</w:t>
      </w:r>
      <w:r w:rsidR="00121FCD">
        <w:rPr>
          <w:rFonts w:cs="Times New Roman"/>
          <w:kern w:val="22"/>
          <w:sz w:val="22"/>
          <w:lang w:val="fr-FR"/>
        </w:rPr>
        <w:t xml:space="preserve">es </w:t>
      </w:r>
      <w:r w:rsidR="00E15AC0">
        <w:rPr>
          <w:rFonts w:cs="Times New Roman"/>
          <w:kern w:val="22"/>
          <w:sz w:val="22"/>
          <w:lang w:val="fr-FR"/>
        </w:rPr>
        <w:t>collections de cultures</w:t>
      </w:r>
      <w:r w:rsidR="00E3674F" w:rsidRPr="00733DB1">
        <w:rPr>
          <w:rFonts w:cs="Times New Roman"/>
          <w:kern w:val="22"/>
          <w:sz w:val="22"/>
          <w:lang w:val="fr-FR"/>
        </w:rPr>
        <w:t xml:space="preserve"> et</w:t>
      </w:r>
      <w:r w:rsidR="002518EB">
        <w:rPr>
          <w:rFonts w:cs="Times New Roman"/>
          <w:kern w:val="22"/>
          <w:sz w:val="22"/>
          <w:lang w:val="fr-FR"/>
        </w:rPr>
        <w:t xml:space="preserve"> d’autres</w:t>
      </w:r>
      <w:r w:rsidR="00C1689B">
        <w:rPr>
          <w:rFonts w:cs="Times New Roman"/>
          <w:kern w:val="22"/>
          <w:sz w:val="22"/>
          <w:lang w:val="fr-FR"/>
        </w:rPr>
        <w:t xml:space="preserve"> collections</w:t>
      </w:r>
      <w:r w:rsidR="002518EB">
        <w:rPr>
          <w:rFonts w:cs="Times New Roman"/>
          <w:kern w:val="22"/>
          <w:sz w:val="22"/>
          <w:lang w:val="fr-FR"/>
        </w:rPr>
        <w:t xml:space="preserve"> </w:t>
      </w:r>
      <w:r w:rsidR="004D4CEA" w:rsidRPr="00733DB1">
        <w:rPr>
          <w:rFonts w:cs="Times New Roman"/>
          <w:i/>
          <w:iCs/>
          <w:kern w:val="22"/>
          <w:sz w:val="22"/>
          <w:lang w:val="fr-FR"/>
        </w:rPr>
        <w:t>ex situ</w:t>
      </w:r>
      <w:r w:rsidR="004D4CEA" w:rsidRPr="00733DB1">
        <w:rPr>
          <w:rFonts w:cs="Times New Roman"/>
          <w:kern w:val="22"/>
          <w:sz w:val="22"/>
          <w:lang w:val="fr-FR"/>
        </w:rPr>
        <w:t>,</w:t>
      </w:r>
      <w:r w:rsidR="00AA5919">
        <w:rPr>
          <w:rFonts w:cs="Times New Roman"/>
          <w:kern w:val="22"/>
          <w:sz w:val="22"/>
          <w:lang w:val="fr-FR"/>
        </w:rPr>
        <w:t xml:space="preserve"> certains </w:t>
      </w:r>
      <w:r w:rsidR="00E40444" w:rsidRPr="00733DB1">
        <w:rPr>
          <w:rFonts w:cs="Times New Roman"/>
          <w:kern w:val="22"/>
          <w:sz w:val="22"/>
          <w:lang w:val="fr-FR"/>
        </w:rPr>
        <w:t>échantillons</w:t>
      </w:r>
      <w:r w:rsidR="004D4CEA" w:rsidRPr="00733DB1">
        <w:rPr>
          <w:rFonts w:cs="Times New Roman"/>
          <w:kern w:val="22"/>
          <w:sz w:val="22"/>
          <w:lang w:val="fr-FR"/>
        </w:rPr>
        <w:t xml:space="preserve"> </w:t>
      </w:r>
      <w:r w:rsidR="00DA5B96">
        <w:rPr>
          <w:rFonts w:cs="Times New Roman"/>
          <w:kern w:val="22"/>
          <w:sz w:val="22"/>
          <w:lang w:val="fr-FR"/>
        </w:rPr>
        <w:t>déposés</w:t>
      </w:r>
      <w:r w:rsidR="00C1689B">
        <w:rPr>
          <w:rFonts w:cs="Times New Roman"/>
          <w:kern w:val="22"/>
          <w:sz w:val="22"/>
          <w:lang w:val="fr-FR"/>
        </w:rPr>
        <w:t xml:space="preserve"> dans l</w:t>
      </w:r>
      <w:r w:rsidR="003523ED">
        <w:rPr>
          <w:rFonts w:cs="Times New Roman"/>
          <w:kern w:val="22"/>
          <w:sz w:val="22"/>
          <w:lang w:val="fr-FR"/>
        </w:rPr>
        <w:t>es</w:t>
      </w:r>
      <w:r w:rsidR="004D4CEA" w:rsidRPr="00733DB1">
        <w:rPr>
          <w:rFonts w:cs="Times New Roman"/>
          <w:kern w:val="22"/>
          <w:sz w:val="22"/>
          <w:lang w:val="fr-FR"/>
        </w:rPr>
        <w:t xml:space="preserve"> </w:t>
      </w:r>
      <w:r w:rsidR="00BE6788">
        <w:rPr>
          <w:rFonts w:cs="Times New Roman"/>
          <w:kern w:val="22"/>
          <w:sz w:val="22"/>
          <w:lang w:val="fr-FR"/>
        </w:rPr>
        <w:t>herbiers</w:t>
      </w:r>
      <w:r w:rsidR="004D4CEA" w:rsidRPr="00733DB1">
        <w:rPr>
          <w:rFonts w:cs="Times New Roman"/>
          <w:kern w:val="22"/>
          <w:sz w:val="22"/>
          <w:lang w:val="fr-FR"/>
        </w:rPr>
        <w:t xml:space="preserve"> </w:t>
      </w:r>
      <w:r w:rsidR="00C1689B">
        <w:rPr>
          <w:rFonts w:cs="Times New Roman"/>
          <w:kern w:val="22"/>
          <w:sz w:val="22"/>
          <w:lang w:val="fr-FR"/>
        </w:rPr>
        <w:t xml:space="preserve">ne fournissent aucune </w:t>
      </w:r>
      <w:r w:rsidR="004D4CEA" w:rsidRPr="00733DB1">
        <w:rPr>
          <w:rFonts w:cs="Times New Roman"/>
          <w:kern w:val="22"/>
          <w:sz w:val="22"/>
          <w:lang w:val="fr-FR"/>
        </w:rPr>
        <w:t xml:space="preserve">information </w:t>
      </w:r>
      <w:r w:rsidR="003523ED">
        <w:rPr>
          <w:rFonts w:cs="Times New Roman"/>
          <w:kern w:val="22"/>
          <w:sz w:val="22"/>
          <w:lang w:val="fr-FR"/>
        </w:rPr>
        <w:t>sur la</w:t>
      </w:r>
      <w:r w:rsidR="00EE0B2C" w:rsidRPr="00733DB1">
        <w:rPr>
          <w:rFonts w:cs="Times New Roman"/>
          <w:kern w:val="22"/>
          <w:sz w:val="22"/>
          <w:lang w:val="fr-FR"/>
        </w:rPr>
        <w:t xml:space="preserve"> </w:t>
      </w:r>
      <w:r w:rsidR="004D4CEA" w:rsidRPr="00733DB1">
        <w:rPr>
          <w:rFonts w:cs="Times New Roman"/>
          <w:kern w:val="22"/>
          <w:sz w:val="22"/>
          <w:lang w:val="fr-FR"/>
        </w:rPr>
        <w:t>source</w:t>
      </w:r>
      <w:r w:rsidR="0028742E">
        <w:rPr>
          <w:rFonts w:cs="Times New Roman"/>
          <w:kern w:val="22"/>
          <w:sz w:val="22"/>
          <w:lang w:val="fr-FR"/>
        </w:rPr>
        <w:t xml:space="preserve"> ou </w:t>
      </w:r>
      <w:r w:rsidR="003523ED">
        <w:rPr>
          <w:rFonts w:cs="Times New Roman"/>
          <w:kern w:val="22"/>
          <w:sz w:val="22"/>
          <w:lang w:val="fr-FR"/>
        </w:rPr>
        <w:t>l’</w:t>
      </w:r>
      <w:r w:rsidR="004D4CEA" w:rsidRPr="00733DB1">
        <w:rPr>
          <w:rFonts w:cs="Times New Roman"/>
          <w:kern w:val="22"/>
          <w:sz w:val="22"/>
          <w:lang w:val="fr-FR"/>
        </w:rPr>
        <w:t>origin</w:t>
      </w:r>
      <w:r w:rsidR="00C1689B">
        <w:rPr>
          <w:rFonts w:cs="Times New Roman"/>
          <w:kern w:val="22"/>
          <w:sz w:val="22"/>
          <w:lang w:val="fr-FR"/>
        </w:rPr>
        <w:t>e de l’</w:t>
      </w:r>
      <w:r w:rsidR="003523ED">
        <w:rPr>
          <w:rFonts w:cs="Times New Roman"/>
          <w:kern w:val="22"/>
          <w:sz w:val="22"/>
          <w:lang w:val="fr-FR"/>
        </w:rPr>
        <w:t>échantillon</w:t>
      </w:r>
      <w:r w:rsidR="004D4CEA" w:rsidRPr="00733DB1">
        <w:rPr>
          <w:rFonts w:cs="Times New Roman"/>
          <w:kern w:val="22"/>
          <w:sz w:val="22"/>
          <w:lang w:val="fr-FR"/>
        </w:rPr>
        <w:t>.</w:t>
      </w:r>
      <w:r w:rsidR="0030782E" w:rsidRPr="002364AB">
        <w:rPr>
          <w:rStyle w:val="FootnoteReference"/>
          <w:rFonts w:cs="Times New Roman"/>
          <w:kern w:val="22"/>
          <w:sz w:val="22"/>
          <w:lang w:val="en-GB"/>
        </w:rPr>
        <w:footnoteReference w:id="98"/>
      </w:r>
    </w:p>
    <w:p w14:paraId="43976707" w14:textId="61882D8E" w:rsidR="00100087" w:rsidRPr="003F6B4A" w:rsidRDefault="003F6B4A" w:rsidP="00100087">
      <w:pPr>
        <w:rPr>
          <w:rFonts w:cs="Times New Roman"/>
          <w:i/>
          <w:kern w:val="22"/>
          <w:sz w:val="22"/>
          <w:lang w:val="fr-FR"/>
        </w:rPr>
      </w:pPr>
      <w:r w:rsidRPr="003F6B4A">
        <w:rPr>
          <w:rFonts w:cs="Times New Roman"/>
          <w:i/>
          <w:kern w:val="22"/>
          <w:sz w:val="22"/>
          <w:lang w:val="fr-FR"/>
        </w:rPr>
        <w:t>Evolution des</w:t>
      </w:r>
      <w:r w:rsidR="00100087" w:rsidRPr="003F6B4A">
        <w:rPr>
          <w:rFonts w:cs="Times New Roman"/>
          <w:i/>
          <w:kern w:val="22"/>
          <w:sz w:val="22"/>
          <w:lang w:val="fr-FR"/>
        </w:rPr>
        <w:t xml:space="preserve"> </w:t>
      </w:r>
      <w:r w:rsidR="001A200E" w:rsidRPr="003F6B4A">
        <w:rPr>
          <w:rFonts w:cs="Times New Roman"/>
          <w:i/>
          <w:kern w:val="22"/>
          <w:sz w:val="22"/>
          <w:lang w:val="fr-FR"/>
        </w:rPr>
        <w:t>approche</w:t>
      </w:r>
      <w:r w:rsidR="00F3205A">
        <w:rPr>
          <w:rFonts w:cs="Times New Roman"/>
          <w:i/>
          <w:kern w:val="22"/>
          <w:sz w:val="22"/>
          <w:lang w:val="fr-FR"/>
        </w:rPr>
        <w:t xml:space="preserve">s </w:t>
      </w:r>
      <w:r w:rsidR="00CF1CA8">
        <w:rPr>
          <w:rFonts w:cs="Times New Roman"/>
          <w:i/>
          <w:kern w:val="22"/>
          <w:sz w:val="22"/>
          <w:lang w:val="fr-FR"/>
        </w:rPr>
        <w:t xml:space="preserve">en matière </w:t>
      </w:r>
      <w:r w:rsidRPr="003F6B4A">
        <w:rPr>
          <w:rFonts w:cs="Times New Roman"/>
          <w:i/>
          <w:kern w:val="22"/>
          <w:sz w:val="22"/>
          <w:lang w:val="fr-FR"/>
        </w:rPr>
        <w:t>d’</w:t>
      </w:r>
      <w:r w:rsidR="008627A9" w:rsidRPr="003F6B4A">
        <w:rPr>
          <w:rFonts w:cs="Times New Roman"/>
          <w:i/>
          <w:kern w:val="22"/>
          <w:sz w:val="22"/>
          <w:lang w:val="fr-FR"/>
        </w:rPr>
        <w:t>utilisation</w:t>
      </w:r>
      <w:r>
        <w:rPr>
          <w:rFonts w:cs="Times New Roman"/>
          <w:i/>
          <w:kern w:val="22"/>
          <w:sz w:val="22"/>
          <w:lang w:val="fr-FR"/>
        </w:rPr>
        <w:t xml:space="preserve"> dans les</w:t>
      </w:r>
      <w:r w:rsidR="00100087" w:rsidRPr="00C04C2A">
        <w:rPr>
          <w:rFonts w:cs="Times New Roman"/>
          <w:i/>
          <w:kern w:val="22"/>
          <w:sz w:val="22"/>
          <w:lang w:val="fr-FR"/>
        </w:rPr>
        <w:t xml:space="preserve"> </w:t>
      </w:r>
      <w:r w:rsidR="00FC7EA5" w:rsidRPr="00C04C2A">
        <w:rPr>
          <w:rFonts w:cs="Times New Roman"/>
          <w:i/>
          <w:kern w:val="22"/>
          <w:sz w:val="22"/>
          <w:lang w:val="fr-FR"/>
        </w:rPr>
        <w:t>collections</w:t>
      </w:r>
      <w:r w:rsidR="00FC7EA5" w:rsidRPr="003F6B4A">
        <w:rPr>
          <w:rFonts w:cs="Times New Roman"/>
          <w:kern w:val="22"/>
          <w:sz w:val="22"/>
          <w:lang w:val="fr-FR"/>
        </w:rPr>
        <w:t xml:space="preserve"> ex situ</w:t>
      </w:r>
    </w:p>
    <w:p w14:paraId="225841E0" w14:textId="3D995BA2" w:rsidR="00100087" w:rsidRPr="0017354A" w:rsidRDefault="00931FA2" w:rsidP="00100087">
      <w:pPr>
        <w:rPr>
          <w:noProof/>
          <w:kern w:val="22"/>
          <w:sz w:val="22"/>
          <w:lang w:val="fr-FR"/>
        </w:rPr>
      </w:pPr>
      <w:r w:rsidRPr="00FB5AF9">
        <w:rPr>
          <w:rFonts w:cs="Times New Roman"/>
          <w:kern w:val="22"/>
          <w:sz w:val="22"/>
          <w:lang w:val="fr-FR"/>
        </w:rPr>
        <w:t>L</w:t>
      </w:r>
      <w:r w:rsidR="009244E6">
        <w:rPr>
          <w:rFonts w:cs="Times New Roman"/>
          <w:kern w:val="22"/>
          <w:sz w:val="22"/>
          <w:lang w:val="fr-FR"/>
        </w:rPr>
        <w:t>e</w:t>
      </w:r>
      <w:r w:rsidR="000D75CB">
        <w:rPr>
          <w:rFonts w:cs="Times New Roman"/>
          <w:kern w:val="22"/>
          <w:sz w:val="22"/>
          <w:lang w:val="fr-FR"/>
        </w:rPr>
        <w:t xml:space="preserve"> Consortium des institutions taxonomiques européennes</w:t>
      </w:r>
      <w:r w:rsidR="00B07D6E">
        <w:rPr>
          <w:rFonts w:cs="Times New Roman"/>
          <w:kern w:val="22"/>
          <w:sz w:val="22"/>
          <w:lang w:val="fr-FR"/>
        </w:rPr>
        <w:t xml:space="preserve"> (CETAF) est un </w:t>
      </w:r>
      <w:r w:rsidR="009244E6">
        <w:rPr>
          <w:rFonts w:cs="Times New Roman"/>
          <w:kern w:val="22"/>
          <w:sz w:val="22"/>
          <w:lang w:val="fr-FR"/>
        </w:rPr>
        <w:t>groupe</w:t>
      </w:r>
      <w:r w:rsidR="00B07D6E">
        <w:rPr>
          <w:rFonts w:cs="Times New Roman"/>
          <w:kern w:val="22"/>
          <w:sz w:val="22"/>
          <w:lang w:val="fr-FR"/>
        </w:rPr>
        <w:t xml:space="preserve"> </w:t>
      </w:r>
      <w:r w:rsidR="00FB5AF9">
        <w:rPr>
          <w:rFonts w:cs="Times New Roman"/>
          <w:kern w:val="22"/>
          <w:sz w:val="22"/>
          <w:lang w:val="fr-FR"/>
        </w:rPr>
        <w:t>de</w:t>
      </w:r>
      <w:r w:rsidR="00100087" w:rsidRPr="00FB5AF9" w:rsidDel="00811667">
        <w:rPr>
          <w:rFonts w:cs="Times New Roman"/>
          <w:kern w:val="22"/>
          <w:sz w:val="22"/>
          <w:lang w:val="fr-FR"/>
        </w:rPr>
        <w:t xml:space="preserve"> </w:t>
      </w:r>
      <w:r w:rsidR="000D75CB">
        <w:rPr>
          <w:rFonts w:cs="Times New Roman"/>
          <w:kern w:val="22"/>
          <w:sz w:val="22"/>
          <w:lang w:val="fr-FR"/>
        </w:rPr>
        <w:t>muséum</w:t>
      </w:r>
      <w:r w:rsidR="00FB5AF9">
        <w:rPr>
          <w:rFonts w:cs="Times New Roman"/>
          <w:kern w:val="22"/>
          <w:sz w:val="22"/>
          <w:lang w:val="fr-FR"/>
        </w:rPr>
        <w:t>s de</w:t>
      </w:r>
      <w:r w:rsidR="000D75CB">
        <w:rPr>
          <w:rFonts w:cs="Times New Roman"/>
          <w:kern w:val="22"/>
          <w:sz w:val="22"/>
          <w:lang w:val="fr-FR"/>
        </w:rPr>
        <w:t>s</w:t>
      </w:r>
      <w:r w:rsidR="00FB5AF9">
        <w:rPr>
          <w:rFonts w:cs="Times New Roman"/>
          <w:kern w:val="22"/>
          <w:sz w:val="22"/>
          <w:lang w:val="fr-FR"/>
        </w:rPr>
        <w:t xml:space="preserve"> sciences naturelles</w:t>
      </w:r>
      <w:r w:rsidR="003A49ED" w:rsidRPr="00FB5AF9">
        <w:rPr>
          <w:rFonts w:cs="Times New Roman"/>
          <w:kern w:val="22"/>
          <w:sz w:val="22"/>
          <w:lang w:val="fr-FR"/>
        </w:rPr>
        <w:t xml:space="preserve">, </w:t>
      </w:r>
      <w:r w:rsidR="00C309CE" w:rsidRPr="00FB5AF9">
        <w:rPr>
          <w:rFonts w:cs="Times New Roman"/>
          <w:kern w:val="22"/>
          <w:sz w:val="22"/>
          <w:lang w:val="fr-FR"/>
        </w:rPr>
        <w:t>m</w:t>
      </w:r>
      <w:r w:rsidR="00FB5AF9">
        <w:rPr>
          <w:rFonts w:cs="Times New Roman"/>
          <w:kern w:val="22"/>
          <w:sz w:val="22"/>
          <w:lang w:val="fr-FR"/>
        </w:rPr>
        <w:t>usé</w:t>
      </w:r>
      <w:r w:rsidR="003A49ED" w:rsidRPr="00FB5AF9">
        <w:rPr>
          <w:rFonts w:cs="Times New Roman"/>
          <w:kern w:val="22"/>
          <w:sz w:val="22"/>
          <w:lang w:val="fr-FR"/>
        </w:rPr>
        <w:t>ums</w:t>
      </w:r>
      <w:r w:rsidR="00FB5AF9">
        <w:rPr>
          <w:rFonts w:cs="Times New Roman"/>
          <w:kern w:val="22"/>
          <w:sz w:val="22"/>
          <w:lang w:val="fr-FR"/>
        </w:rPr>
        <w:t xml:space="preserve"> d’histoire naturelle</w:t>
      </w:r>
      <w:r w:rsidR="003A49ED" w:rsidRPr="00FB5AF9">
        <w:rPr>
          <w:rFonts w:cs="Times New Roman"/>
          <w:kern w:val="22"/>
          <w:sz w:val="22"/>
          <w:lang w:val="fr-FR"/>
        </w:rPr>
        <w:t xml:space="preserve">, </w:t>
      </w:r>
      <w:r w:rsidR="006A6E74" w:rsidRPr="00FB5AF9">
        <w:rPr>
          <w:rFonts w:cs="Times New Roman"/>
          <w:kern w:val="22"/>
          <w:sz w:val="22"/>
          <w:lang w:val="fr-FR"/>
        </w:rPr>
        <w:t>jardins botaniques</w:t>
      </w:r>
      <w:r w:rsidR="00E3674F" w:rsidRPr="00FB5AF9">
        <w:rPr>
          <w:rFonts w:cs="Times New Roman"/>
          <w:kern w:val="22"/>
          <w:sz w:val="22"/>
          <w:lang w:val="fr-FR"/>
        </w:rPr>
        <w:t xml:space="preserve"> et </w:t>
      </w:r>
      <w:r w:rsidR="00FB5AF9">
        <w:rPr>
          <w:rFonts w:cs="Times New Roman"/>
          <w:kern w:val="22"/>
          <w:sz w:val="22"/>
          <w:lang w:val="fr-FR"/>
        </w:rPr>
        <w:t xml:space="preserve">centres de recherche sur la </w:t>
      </w:r>
      <w:r w:rsidR="00B46D70" w:rsidRPr="00FB5AF9">
        <w:rPr>
          <w:rFonts w:cs="Times New Roman"/>
          <w:kern w:val="22"/>
          <w:sz w:val="22"/>
          <w:lang w:val="fr-FR"/>
        </w:rPr>
        <w:t>biodiversité</w:t>
      </w:r>
      <w:r w:rsidR="003A49ED" w:rsidRPr="00FB5AF9">
        <w:rPr>
          <w:rFonts w:cs="Times New Roman"/>
          <w:kern w:val="22"/>
          <w:sz w:val="22"/>
          <w:lang w:val="fr-FR"/>
        </w:rPr>
        <w:t xml:space="preserve"> </w:t>
      </w:r>
      <w:r w:rsidR="009244E6">
        <w:rPr>
          <w:rFonts w:cs="Times New Roman"/>
          <w:kern w:val="22"/>
          <w:sz w:val="22"/>
          <w:lang w:val="fr-FR"/>
        </w:rPr>
        <w:t>bénéficiant d’un financement public</w:t>
      </w:r>
      <w:r w:rsidR="00FB5AF9">
        <w:rPr>
          <w:rFonts w:cs="Times New Roman"/>
          <w:kern w:val="22"/>
          <w:sz w:val="22"/>
          <w:lang w:val="fr-FR"/>
        </w:rPr>
        <w:t>, qui contribuen</w:t>
      </w:r>
      <w:r w:rsidR="00E46DF1">
        <w:rPr>
          <w:rFonts w:cs="Times New Roman"/>
          <w:kern w:val="22"/>
          <w:sz w:val="22"/>
          <w:lang w:val="fr-FR"/>
        </w:rPr>
        <w:t>t à la recherche taxonomique et apportent</w:t>
      </w:r>
      <w:r w:rsidR="009244E6">
        <w:rPr>
          <w:rFonts w:cs="Times New Roman"/>
          <w:kern w:val="22"/>
          <w:sz w:val="22"/>
          <w:lang w:val="fr-FR"/>
        </w:rPr>
        <w:t xml:space="preserve"> une</w:t>
      </w:r>
      <w:r w:rsidR="003A49ED" w:rsidRPr="00FB5AF9">
        <w:rPr>
          <w:rFonts w:cs="Times New Roman"/>
          <w:kern w:val="22"/>
          <w:sz w:val="22"/>
          <w:lang w:val="fr-FR"/>
        </w:rPr>
        <w:t xml:space="preserve"> </w:t>
      </w:r>
      <w:r w:rsidR="00FB5AF9">
        <w:rPr>
          <w:rFonts w:cs="Times New Roman"/>
          <w:kern w:val="22"/>
          <w:sz w:val="22"/>
          <w:lang w:val="fr-FR"/>
        </w:rPr>
        <w:t>formation</w:t>
      </w:r>
      <w:r w:rsidR="00100087" w:rsidRPr="00FB5AF9">
        <w:rPr>
          <w:rFonts w:cs="Times New Roman"/>
          <w:kern w:val="22"/>
          <w:sz w:val="22"/>
          <w:lang w:val="fr-FR"/>
        </w:rPr>
        <w:t xml:space="preserve">, </w:t>
      </w:r>
      <w:r w:rsidR="009244E6">
        <w:rPr>
          <w:rFonts w:cs="Times New Roman"/>
          <w:kern w:val="22"/>
          <w:sz w:val="22"/>
          <w:lang w:val="fr-FR"/>
        </w:rPr>
        <w:t xml:space="preserve">des travaux de </w:t>
      </w:r>
      <w:r w:rsidR="00121FCD" w:rsidRPr="00FB5AF9">
        <w:rPr>
          <w:rFonts w:cs="Times New Roman"/>
          <w:kern w:val="22"/>
          <w:sz w:val="22"/>
          <w:lang w:val="fr-FR"/>
        </w:rPr>
        <w:t>recherche</w:t>
      </w:r>
      <w:r w:rsidR="00E3674F" w:rsidRPr="00FB5AF9">
        <w:rPr>
          <w:rFonts w:cs="Times New Roman"/>
          <w:kern w:val="22"/>
          <w:sz w:val="22"/>
          <w:lang w:val="fr-FR"/>
        </w:rPr>
        <w:t xml:space="preserve"> et </w:t>
      </w:r>
      <w:r w:rsidR="009244E6">
        <w:rPr>
          <w:rFonts w:cs="Times New Roman"/>
          <w:kern w:val="22"/>
          <w:sz w:val="22"/>
          <w:lang w:val="fr-FR"/>
        </w:rPr>
        <w:t xml:space="preserve">des </w:t>
      </w:r>
      <w:r w:rsidR="00FB5AF9">
        <w:rPr>
          <w:rFonts w:cs="Times New Roman"/>
          <w:kern w:val="22"/>
          <w:sz w:val="22"/>
          <w:lang w:val="fr-FR"/>
        </w:rPr>
        <w:t>connaissance</w:t>
      </w:r>
      <w:r w:rsidR="009244E6">
        <w:rPr>
          <w:rFonts w:cs="Times New Roman"/>
          <w:kern w:val="22"/>
          <w:sz w:val="22"/>
          <w:lang w:val="fr-FR"/>
        </w:rPr>
        <w:t>s sur la biologie systémique</w:t>
      </w:r>
      <w:r w:rsidR="003A49ED" w:rsidRPr="00FB5AF9">
        <w:rPr>
          <w:rFonts w:cs="Times New Roman"/>
          <w:kern w:val="22"/>
          <w:sz w:val="22"/>
          <w:lang w:val="fr-FR"/>
        </w:rPr>
        <w:t>,</w:t>
      </w:r>
      <w:r w:rsidR="00100087" w:rsidRPr="00FB5AF9">
        <w:rPr>
          <w:rFonts w:cs="Times New Roman"/>
          <w:kern w:val="22"/>
          <w:sz w:val="22"/>
          <w:lang w:val="fr-FR"/>
        </w:rPr>
        <w:t xml:space="preserve"> </w:t>
      </w:r>
      <w:r w:rsidR="00FB5AF9">
        <w:rPr>
          <w:rFonts w:cs="Times New Roman"/>
          <w:kern w:val="22"/>
          <w:sz w:val="22"/>
          <w:lang w:val="fr-FR"/>
        </w:rPr>
        <w:t xml:space="preserve">la </w:t>
      </w:r>
      <w:r w:rsidR="00FF0781">
        <w:rPr>
          <w:rFonts w:cs="Times New Roman"/>
          <w:kern w:val="22"/>
          <w:sz w:val="22"/>
          <w:lang w:val="fr-FR"/>
        </w:rPr>
        <w:t>palé</w:t>
      </w:r>
      <w:r w:rsidR="009244E6">
        <w:rPr>
          <w:rFonts w:cs="Times New Roman"/>
          <w:kern w:val="22"/>
          <w:sz w:val="22"/>
          <w:lang w:val="fr-FR"/>
        </w:rPr>
        <w:t>obiologie</w:t>
      </w:r>
      <w:r w:rsidR="00E3674F" w:rsidRPr="00FB5AF9">
        <w:rPr>
          <w:rFonts w:cs="Times New Roman"/>
          <w:kern w:val="22"/>
          <w:sz w:val="22"/>
          <w:lang w:val="fr-FR"/>
        </w:rPr>
        <w:t xml:space="preserve"> et </w:t>
      </w:r>
      <w:r w:rsidR="009244E6">
        <w:rPr>
          <w:rFonts w:cs="Times New Roman"/>
          <w:kern w:val="22"/>
          <w:sz w:val="22"/>
          <w:lang w:val="fr-FR"/>
        </w:rPr>
        <w:t>l</w:t>
      </w:r>
      <w:r w:rsidR="00FB5AF9">
        <w:rPr>
          <w:rFonts w:cs="Times New Roman"/>
          <w:kern w:val="22"/>
          <w:sz w:val="22"/>
          <w:lang w:val="fr-FR"/>
        </w:rPr>
        <w:t>es sciences de la terre</w:t>
      </w:r>
      <w:r w:rsidR="00100087" w:rsidRPr="00FB5AF9">
        <w:rPr>
          <w:rFonts w:cs="Times New Roman"/>
          <w:kern w:val="22"/>
          <w:sz w:val="22"/>
          <w:lang w:val="fr-FR"/>
        </w:rPr>
        <w:t xml:space="preserve">. </w:t>
      </w:r>
      <w:r w:rsidR="00FB5AF9">
        <w:rPr>
          <w:rFonts w:cs="Times New Roman"/>
          <w:kern w:val="22"/>
          <w:sz w:val="22"/>
          <w:lang w:val="fr-FR"/>
        </w:rPr>
        <w:t xml:space="preserve">Les </w:t>
      </w:r>
      <w:r w:rsidR="00100087" w:rsidRPr="00FB5AF9">
        <w:rPr>
          <w:rFonts w:cs="Times New Roman"/>
          <w:kern w:val="22"/>
          <w:sz w:val="22"/>
          <w:lang w:val="fr-FR"/>
        </w:rPr>
        <w:t>institutions</w:t>
      </w:r>
      <w:r w:rsidR="00FF0781">
        <w:rPr>
          <w:rFonts w:cs="Times New Roman"/>
          <w:kern w:val="22"/>
          <w:sz w:val="22"/>
          <w:lang w:val="fr-FR"/>
        </w:rPr>
        <w:t xml:space="preserve"> du</w:t>
      </w:r>
      <w:r w:rsidR="00100087" w:rsidRPr="00FB5AF9">
        <w:rPr>
          <w:rFonts w:cs="Times New Roman"/>
          <w:kern w:val="22"/>
          <w:sz w:val="22"/>
          <w:lang w:val="fr-FR"/>
        </w:rPr>
        <w:t xml:space="preserve"> </w:t>
      </w:r>
      <w:r w:rsidR="00FB5AF9" w:rsidRPr="00FB5AF9">
        <w:rPr>
          <w:rFonts w:cs="Times New Roman"/>
          <w:kern w:val="22"/>
          <w:sz w:val="22"/>
          <w:lang w:val="fr-FR"/>
        </w:rPr>
        <w:t xml:space="preserve">CETAF </w:t>
      </w:r>
      <w:r w:rsidR="00FF0781">
        <w:rPr>
          <w:rFonts w:cs="Times New Roman"/>
          <w:kern w:val="22"/>
          <w:sz w:val="22"/>
          <w:lang w:val="fr-FR"/>
        </w:rPr>
        <w:t>abritent des collections</w:t>
      </w:r>
      <w:r w:rsidR="00100087" w:rsidRPr="00FB5AF9">
        <w:rPr>
          <w:rFonts w:cs="Times New Roman"/>
          <w:kern w:val="22"/>
          <w:sz w:val="22"/>
          <w:lang w:val="fr-FR"/>
        </w:rPr>
        <w:t xml:space="preserve"> </w:t>
      </w:r>
      <w:r w:rsidR="00FF0781">
        <w:rPr>
          <w:rFonts w:cs="Times New Roman"/>
          <w:kern w:val="22"/>
          <w:sz w:val="22"/>
          <w:lang w:val="fr-FR"/>
        </w:rPr>
        <w:t>zoologiques, botaniques, paléobiologiques, paléontologiques</w:t>
      </w:r>
      <w:r w:rsidR="00E3674F" w:rsidRPr="00FB5AF9">
        <w:rPr>
          <w:rFonts w:cs="Times New Roman"/>
          <w:kern w:val="22"/>
          <w:sz w:val="22"/>
          <w:lang w:val="fr-FR"/>
        </w:rPr>
        <w:t xml:space="preserve"> et </w:t>
      </w:r>
      <w:r w:rsidR="00FF0781">
        <w:rPr>
          <w:rFonts w:cs="Times New Roman"/>
          <w:kern w:val="22"/>
          <w:sz w:val="22"/>
          <w:lang w:val="fr-FR"/>
        </w:rPr>
        <w:t>géologiques importantes</w:t>
      </w:r>
      <w:r w:rsidR="00847823" w:rsidRPr="00FB5AF9">
        <w:rPr>
          <w:rFonts w:cs="Times New Roman"/>
          <w:kern w:val="22"/>
          <w:sz w:val="22"/>
          <w:lang w:val="fr-FR"/>
        </w:rPr>
        <w:t>.</w:t>
      </w:r>
      <w:r w:rsidR="003B7289" w:rsidRPr="00FB5AF9" w:rsidDel="003B7289">
        <w:rPr>
          <w:rFonts w:cs="Times New Roman"/>
          <w:kern w:val="22"/>
          <w:sz w:val="22"/>
          <w:lang w:val="fr-FR"/>
        </w:rPr>
        <w:t xml:space="preserve"> </w:t>
      </w:r>
      <w:r w:rsidR="00FF0781">
        <w:rPr>
          <w:rFonts w:cs="Times New Roman"/>
          <w:kern w:val="22"/>
          <w:sz w:val="22"/>
          <w:lang w:val="fr-FR"/>
        </w:rPr>
        <w:t xml:space="preserve">Le </w:t>
      </w:r>
      <w:r w:rsidR="00FB4908" w:rsidRPr="00FF0781">
        <w:rPr>
          <w:rFonts w:cs="Times New Roman"/>
          <w:kern w:val="22"/>
          <w:sz w:val="22"/>
          <w:lang w:val="fr-FR"/>
        </w:rPr>
        <w:t xml:space="preserve">CETAF </w:t>
      </w:r>
      <w:r w:rsidR="00FF0781">
        <w:rPr>
          <w:rFonts w:cs="Times New Roman"/>
          <w:kern w:val="22"/>
          <w:sz w:val="22"/>
          <w:lang w:val="fr-FR"/>
        </w:rPr>
        <w:t xml:space="preserve">a élaboré un </w:t>
      </w:r>
      <w:r w:rsidR="00C36AB3" w:rsidRPr="00FF0781">
        <w:rPr>
          <w:rFonts w:cs="Times New Roman"/>
          <w:kern w:val="22"/>
          <w:sz w:val="22"/>
          <w:lang w:val="fr-FR"/>
        </w:rPr>
        <w:t>Code de conduite</w:t>
      </w:r>
      <w:r w:rsidR="00E3674F" w:rsidRPr="00FF0781">
        <w:rPr>
          <w:rFonts w:cs="Times New Roman"/>
          <w:kern w:val="22"/>
          <w:sz w:val="22"/>
          <w:lang w:val="fr-FR"/>
        </w:rPr>
        <w:t xml:space="preserve"> et </w:t>
      </w:r>
      <w:r w:rsidR="009244E6">
        <w:rPr>
          <w:rFonts w:cs="Times New Roman"/>
          <w:kern w:val="22"/>
          <w:sz w:val="22"/>
          <w:lang w:val="fr-FR"/>
        </w:rPr>
        <w:t>de bonnes pratiques en matière d’</w:t>
      </w:r>
      <w:r w:rsidR="009620A7" w:rsidRPr="00FF0781">
        <w:rPr>
          <w:rFonts w:cs="Times New Roman"/>
          <w:kern w:val="22"/>
          <w:sz w:val="22"/>
          <w:lang w:val="fr-FR"/>
        </w:rPr>
        <w:t xml:space="preserve">accès </w:t>
      </w:r>
      <w:r w:rsidR="00E3674F" w:rsidRPr="00FF0781">
        <w:rPr>
          <w:rFonts w:cs="Times New Roman"/>
          <w:kern w:val="22"/>
          <w:sz w:val="22"/>
          <w:lang w:val="fr-FR"/>
        </w:rPr>
        <w:t xml:space="preserve">et </w:t>
      </w:r>
      <w:r w:rsidR="009244E6">
        <w:rPr>
          <w:rFonts w:cs="Times New Roman"/>
          <w:kern w:val="22"/>
          <w:sz w:val="22"/>
          <w:lang w:val="fr-FR"/>
        </w:rPr>
        <w:t>d</w:t>
      </w:r>
      <w:r w:rsidR="00DF00EA">
        <w:rPr>
          <w:rFonts w:cs="Times New Roman"/>
          <w:kern w:val="22"/>
          <w:sz w:val="22"/>
          <w:lang w:val="fr-FR"/>
        </w:rPr>
        <w:t xml:space="preserve">e partage des avantages, afin d’aider les </w:t>
      </w:r>
      <w:r w:rsidR="00FB4908" w:rsidRPr="00FF0781">
        <w:rPr>
          <w:rFonts w:cs="Times New Roman"/>
          <w:kern w:val="22"/>
          <w:sz w:val="22"/>
          <w:lang w:val="fr-FR"/>
        </w:rPr>
        <w:t>taxonomist</w:t>
      </w:r>
      <w:r w:rsidR="00DF00EA">
        <w:rPr>
          <w:rFonts w:cs="Times New Roman"/>
          <w:kern w:val="22"/>
          <w:sz w:val="22"/>
          <w:lang w:val="fr-FR"/>
        </w:rPr>
        <w:t>e</w:t>
      </w:r>
      <w:r w:rsidR="00FB4908" w:rsidRPr="00FF0781">
        <w:rPr>
          <w:rFonts w:cs="Times New Roman"/>
          <w:kern w:val="22"/>
          <w:sz w:val="22"/>
          <w:lang w:val="fr-FR"/>
        </w:rPr>
        <w:t>s</w:t>
      </w:r>
      <w:r w:rsidR="00E3674F" w:rsidRPr="00FF0781">
        <w:rPr>
          <w:rFonts w:cs="Times New Roman"/>
          <w:kern w:val="22"/>
          <w:sz w:val="22"/>
          <w:lang w:val="fr-FR"/>
        </w:rPr>
        <w:t xml:space="preserve"> et </w:t>
      </w:r>
      <w:r w:rsidR="009244E6">
        <w:rPr>
          <w:rFonts w:cs="Times New Roman"/>
          <w:kern w:val="22"/>
          <w:sz w:val="22"/>
          <w:lang w:val="fr-FR"/>
        </w:rPr>
        <w:t xml:space="preserve">les chercheurs spécialisés dans la </w:t>
      </w:r>
      <w:r w:rsidR="00B46D70" w:rsidRPr="00FF0781">
        <w:rPr>
          <w:rFonts w:cs="Times New Roman"/>
          <w:kern w:val="22"/>
          <w:sz w:val="22"/>
          <w:lang w:val="fr-FR"/>
        </w:rPr>
        <w:t>biodiversité</w:t>
      </w:r>
      <w:r w:rsidR="00DF00EA">
        <w:rPr>
          <w:rFonts w:cs="Times New Roman"/>
          <w:kern w:val="22"/>
          <w:sz w:val="22"/>
          <w:lang w:val="fr-FR"/>
        </w:rPr>
        <w:t xml:space="preserve"> </w:t>
      </w:r>
      <w:r w:rsidR="009244E6">
        <w:rPr>
          <w:rFonts w:cs="Times New Roman"/>
          <w:kern w:val="22"/>
          <w:sz w:val="22"/>
          <w:lang w:val="fr-FR"/>
        </w:rPr>
        <w:t xml:space="preserve">à s’acquitter de </w:t>
      </w:r>
      <w:r w:rsidR="0050280F" w:rsidRPr="00FF0781">
        <w:rPr>
          <w:rFonts w:cs="Times New Roman"/>
          <w:kern w:val="22"/>
          <w:sz w:val="22"/>
          <w:lang w:val="fr-FR"/>
        </w:rPr>
        <w:t xml:space="preserve">leurs </w:t>
      </w:r>
      <w:r w:rsidR="00FB4908" w:rsidRPr="00FF0781">
        <w:rPr>
          <w:rFonts w:cs="Times New Roman"/>
          <w:kern w:val="22"/>
          <w:sz w:val="22"/>
          <w:lang w:val="fr-FR"/>
        </w:rPr>
        <w:t xml:space="preserve">obligations </w:t>
      </w:r>
      <w:r w:rsidR="009244E6">
        <w:rPr>
          <w:rFonts w:cs="Times New Roman"/>
          <w:kern w:val="22"/>
          <w:sz w:val="22"/>
          <w:lang w:val="fr-FR"/>
        </w:rPr>
        <w:t xml:space="preserve">au titre </w:t>
      </w:r>
      <w:r w:rsidR="00DF00EA">
        <w:rPr>
          <w:rFonts w:cs="Times New Roman"/>
          <w:kern w:val="22"/>
          <w:sz w:val="22"/>
          <w:lang w:val="fr-FR"/>
        </w:rPr>
        <w:t xml:space="preserve">de la </w:t>
      </w:r>
      <w:r w:rsidR="007347F7">
        <w:rPr>
          <w:rFonts w:cs="Times New Roman"/>
          <w:kern w:val="22"/>
          <w:sz w:val="22"/>
          <w:lang w:val="fr-FR"/>
        </w:rPr>
        <w:t>Convention</w:t>
      </w:r>
      <w:r w:rsidR="00E3674F" w:rsidRPr="00FF0781">
        <w:rPr>
          <w:rFonts w:cs="Times New Roman"/>
          <w:kern w:val="22"/>
          <w:sz w:val="22"/>
          <w:lang w:val="fr-FR"/>
        </w:rPr>
        <w:t xml:space="preserve"> et </w:t>
      </w:r>
      <w:r w:rsidR="00DF00EA">
        <w:rPr>
          <w:rFonts w:cs="Times New Roman"/>
          <w:kern w:val="22"/>
          <w:sz w:val="22"/>
          <w:lang w:val="fr-FR"/>
        </w:rPr>
        <w:t>du</w:t>
      </w:r>
      <w:r w:rsidR="00E3674F" w:rsidRPr="00FF0781">
        <w:rPr>
          <w:rFonts w:cs="Times New Roman"/>
          <w:kern w:val="22"/>
          <w:sz w:val="22"/>
          <w:lang w:val="fr-FR"/>
        </w:rPr>
        <w:t xml:space="preserve"> Protocole de Nagoya</w:t>
      </w:r>
      <w:r w:rsidR="00FB4908" w:rsidRPr="00FF0781">
        <w:rPr>
          <w:rFonts w:cs="Times New Roman"/>
          <w:kern w:val="22"/>
          <w:sz w:val="22"/>
          <w:lang w:val="fr-FR"/>
        </w:rPr>
        <w:t xml:space="preserve">. </w:t>
      </w:r>
      <w:r w:rsidR="00DF00EA">
        <w:rPr>
          <w:rFonts w:cs="Times New Roman"/>
          <w:kern w:val="22"/>
          <w:sz w:val="22"/>
          <w:lang w:val="fr-FR"/>
        </w:rPr>
        <w:t>Le</w:t>
      </w:r>
      <w:r w:rsidR="00FB4908" w:rsidRPr="00DF00EA">
        <w:rPr>
          <w:rFonts w:cs="Times New Roman"/>
          <w:kern w:val="22"/>
          <w:sz w:val="22"/>
          <w:lang w:val="fr-FR"/>
        </w:rPr>
        <w:t xml:space="preserve"> </w:t>
      </w:r>
      <w:r w:rsidR="00C36AB3" w:rsidRPr="00DF00EA">
        <w:rPr>
          <w:rFonts w:cs="Times New Roman"/>
          <w:kern w:val="22"/>
          <w:sz w:val="22"/>
          <w:lang w:val="fr-FR"/>
        </w:rPr>
        <w:t>Code de conduite</w:t>
      </w:r>
      <w:r w:rsidR="00FB4908" w:rsidRPr="00DF00EA">
        <w:rPr>
          <w:rFonts w:cs="Times New Roman"/>
          <w:kern w:val="22"/>
          <w:sz w:val="22"/>
          <w:lang w:val="fr-FR"/>
        </w:rPr>
        <w:t xml:space="preserve"> </w:t>
      </w:r>
      <w:r w:rsidR="00DF00EA">
        <w:rPr>
          <w:rFonts w:cs="Times New Roman"/>
          <w:kern w:val="22"/>
          <w:sz w:val="22"/>
          <w:lang w:val="fr-FR"/>
        </w:rPr>
        <w:t xml:space="preserve">du </w:t>
      </w:r>
      <w:r w:rsidR="00DF00EA" w:rsidRPr="00DF00EA">
        <w:rPr>
          <w:rFonts w:cs="Times New Roman"/>
          <w:kern w:val="22"/>
          <w:sz w:val="22"/>
          <w:lang w:val="fr-FR"/>
        </w:rPr>
        <w:t>CETAF</w:t>
      </w:r>
      <w:r w:rsidR="009244E6">
        <w:rPr>
          <w:rFonts w:cs="Times New Roman"/>
          <w:kern w:val="22"/>
          <w:sz w:val="22"/>
          <w:lang w:val="fr-FR"/>
        </w:rPr>
        <w:t xml:space="preserve"> constitue</w:t>
      </w:r>
      <w:r w:rsidR="0017354A">
        <w:rPr>
          <w:rFonts w:cs="Times New Roman"/>
          <w:kern w:val="22"/>
          <w:sz w:val="22"/>
          <w:lang w:val="fr-FR"/>
        </w:rPr>
        <w:t xml:space="preserve"> les premières</w:t>
      </w:r>
      <w:r w:rsidR="00FB4908" w:rsidRPr="00DF00EA">
        <w:rPr>
          <w:rFonts w:cs="Times New Roman"/>
          <w:kern w:val="22"/>
          <w:sz w:val="22"/>
          <w:lang w:val="fr-FR"/>
        </w:rPr>
        <w:t xml:space="preserve"> </w:t>
      </w:r>
      <w:r w:rsidR="00DF00EA" w:rsidRPr="00DF00EA">
        <w:rPr>
          <w:rFonts w:cs="Times New Roman"/>
          <w:kern w:val="22"/>
          <w:sz w:val="22"/>
          <w:lang w:val="fr-FR"/>
        </w:rPr>
        <w:t>bonnes pratiques</w:t>
      </w:r>
      <w:r w:rsidR="0017354A">
        <w:rPr>
          <w:rFonts w:cs="Times New Roman"/>
          <w:kern w:val="22"/>
          <w:sz w:val="22"/>
          <w:lang w:val="fr-FR"/>
        </w:rPr>
        <w:t xml:space="preserve"> reconnues officiellement dans l’article</w:t>
      </w:r>
      <w:r w:rsidR="00FB4908" w:rsidRPr="00DF00EA">
        <w:rPr>
          <w:rFonts w:cs="Times New Roman"/>
          <w:kern w:val="22"/>
          <w:sz w:val="22"/>
          <w:lang w:val="fr-FR"/>
        </w:rPr>
        <w:t xml:space="preserve"> 8 </w:t>
      </w:r>
      <w:r w:rsidR="0017354A">
        <w:rPr>
          <w:rFonts w:cs="Times New Roman"/>
          <w:kern w:val="22"/>
          <w:sz w:val="22"/>
          <w:lang w:val="fr-FR"/>
        </w:rPr>
        <w:t>du</w:t>
      </w:r>
      <w:r w:rsidR="00C35F0A" w:rsidRPr="00DF00EA">
        <w:rPr>
          <w:rFonts w:cs="Times New Roman"/>
          <w:kern w:val="22"/>
          <w:sz w:val="22"/>
          <w:lang w:val="fr-FR"/>
        </w:rPr>
        <w:t xml:space="preserve"> </w:t>
      </w:r>
      <w:r w:rsidR="0017354A">
        <w:rPr>
          <w:rFonts w:cs="Times New Roman"/>
          <w:kern w:val="22"/>
          <w:sz w:val="22"/>
          <w:lang w:val="fr-FR"/>
        </w:rPr>
        <w:t>Règlement (</w:t>
      </w:r>
      <w:r w:rsidR="00FB4908" w:rsidRPr="00DF00EA">
        <w:rPr>
          <w:rFonts w:cs="Times New Roman"/>
          <w:kern w:val="22"/>
          <w:sz w:val="22"/>
          <w:lang w:val="fr-FR"/>
        </w:rPr>
        <w:t>U</w:t>
      </w:r>
      <w:r w:rsidR="0017354A">
        <w:rPr>
          <w:rFonts w:cs="Times New Roman"/>
          <w:kern w:val="22"/>
          <w:sz w:val="22"/>
          <w:lang w:val="fr-FR"/>
        </w:rPr>
        <w:t>E</w:t>
      </w:r>
      <w:r w:rsidR="00FB4908" w:rsidRPr="00DF00EA">
        <w:rPr>
          <w:rFonts w:cs="Times New Roman"/>
          <w:kern w:val="22"/>
          <w:sz w:val="22"/>
          <w:lang w:val="fr-FR"/>
        </w:rPr>
        <w:t>) No 511/2014</w:t>
      </w:r>
      <w:r w:rsidR="007E16DB" w:rsidRPr="00DF00EA">
        <w:rPr>
          <w:rFonts w:cs="Times New Roman"/>
          <w:kern w:val="22"/>
          <w:sz w:val="22"/>
          <w:lang w:val="fr-FR"/>
        </w:rPr>
        <w:t>.</w:t>
      </w:r>
      <w:r w:rsidR="007E16DB" w:rsidRPr="002364AB">
        <w:rPr>
          <w:rStyle w:val="FootnoteReference"/>
          <w:noProof/>
          <w:kern w:val="22"/>
          <w:sz w:val="22"/>
          <w:lang w:val="en-GB"/>
        </w:rPr>
        <w:footnoteReference w:id="99"/>
      </w:r>
      <w:r w:rsidR="0017354A" w:rsidRPr="0017354A">
        <w:rPr>
          <w:rFonts w:cs="Times New Roman"/>
          <w:kern w:val="22"/>
          <w:sz w:val="22"/>
          <w:lang w:val="fr-FR"/>
        </w:rPr>
        <w:t xml:space="preserve"> Les </w:t>
      </w:r>
      <w:r w:rsidR="00F44FCA" w:rsidRPr="0017354A">
        <w:rPr>
          <w:noProof/>
          <w:kern w:val="22"/>
          <w:sz w:val="22"/>
          <w:lang w:val="fr-FR"/>
        </w:rPr>
        <w:t>institutions</w:t>
      </w:r>
      <w:r w:rsidR="0017354A" w:rsidRPr="0017354A">
        <w:rPr>
          <w:noProof/>
          <w:kern w:val="22"/>
          <w:sz w:val="22"/>
          <w:lang w:val="fr-FR"/>
        </w:rPr>
        <w:t xml:space="preserve"> membres du CETAF</w:t>
      </w:r>
      <w:r w:rsidR="00F44FCA" w:rsidRPr="0017354A">
        <w:rPr>
          <w:noProof/>
          <w:kern w:val="22"/>
          <w:sz w:val="22"/>
          <w:lang w:val="fr-FR"/>
        </w:rPr>
        <w:t xml:space="preserve"> </w:t>
      </w:r>
      <w:r w:rsidR="0017354A">
        <w:rPr>
          <w:noProof/>
          <w:kern w:val="22"/>
          <w:sz w:val="22"/>
          <w:lang w:val="fr-FR"/>
        </w:rPr>
        <w:t xml:space="preserve">ont </w:t>
      </w:r>
      <w:r w:rsidR="00F44FCA" w:rsidRPr="0017354A">
        <w:rPr>
          <w:noProof/>
          <w:kern w:val="22"/>
          <w:sz w:val="22"/>
          <w:lang w:val="fr-FR"/>
        </w:rPr>
        <w:t>appro</w:t>
      </w:r>
      <w:r w:rsidR="00B07D6E">
        <w:rPr>
          <w:noProof/>
          <w:kern w:val="22"/>
          <w:sz w:val="22"/>
          <w:lang w:val="fr-FR"/>
        </w:rPr>
        <w:t>uvé un</w:t>
      </w:r>
      <w:r w:rsidR="0017354A">
        <w:rPr>
          <w:noProof/>
          <w:kern w:val="22"/>
          <w:sz w:val="22"/>
          <w:lang w:val="fr-FR"/>
        </w:rPr>
        <w:t xml:space="preserve"> </w:t>
      </w:r>
      <w:r w:rsidR="00C36AB3" w:rsidRPr="0017354A">
        <w:rPr>
          <w:noProof/>
          <w:kern w:val="22"/>
          <w:sz w:val="22"/>
          <w:lang w:val="fr-FR"/>
        </w:rPr>
        <w:t>Code de conduite</w:t>
      </w:r>
      <w:r w:rsidR="009244E6">
        <w:rPr>
          <w:noProof/>
          <w:kern w:val="22"/>
          <w:sz w:val="22"/>
          <w:lang w:val="fr-FR"/>
        </w:rPr>
        <w:t xml:space="preserve"> applicable</w:t>
      </w:r>
      <w:r w:rsidR="00715818">
        <w:rPr>
          <w:noProof/>
          <w:kern w:val="22"/>
          <w:sz w:val="22"/>
          <w:lang w:val="fr-FR"/>
        </w:rPr>
        <w:t>, autant qu’il est raisonnablement possible de le faire, au matériel biologique contenu dans</w:t>
      </w:r>
      <w:r w:rsidR="0050280F" w:rsidRPr="0017354A">
        <w:rPr>
          <w:noProof/>
          <w:kern w:val="22"/>
          <w:sz w:val="22"/>
          <w:lang w:val="fr-FR"/>
        </w:rPr>
        <w:t xml:space="preserve"> leurs </w:t>
      </w:r>
      <w:r w:rsidR="00100087" w:rsidRPr="0017354A">
        <w:rPr>
          <w:noProof/>
          <w:kern w:val="22"/>
          <w:sz w:val="22"/>
          <w:lang w:val="fr-FR"/>
        </w:rPr>
        <w:t>collections.</w:t>
      </w:r>
      <w:r w:rsidR="00100087" w:rsidRPr="002364AB">
        <w:rPr>
          <w:rStyle w:val="FootnoteReference"/>
          <w:noProof/>
          <w:kern w:val="22"/>
          <w:sz w:val="22"/>
          <w:lang w:val="en-GB"/>
        </w:rPr>
        <w:footnoteReference w:id="100"/>
      </w:r>
      <w:r w:rsidR="00100087" w:rsidRPr="0017354A">
        <w:rPr>
          <w:noProof/>
          <w:kern w:val="22"/>
          <w:sz w:val="22"/>
          <w:lang w:val="fr-FR"/>
        </w:rPr>
        <w:t xml:space="preserve"> </w:t>
      </w:r>
    </w:p>
    <w:p w14:paraId="2EE3E90C" w14:textId="174CB54E" w:rsidR="00100087" w:rsidRPr="00715818" w:rsidRDefault="00715818" w:rsidP="00100087">
      <w:pPr>
        <w:rPr>
          <w:noProof/>
          <w:kern w:val="22"/>
          <w:sz w:val="22"/>
          <w:lang w:val="fr-FR"/>
        </w:rPr>
      </w:pPr>
      <w:r>
        <w:rPr>
          <w:noProof/>
          <w:kern w:val="22"/>
          <w:sz w:val="22"/>
          <w:lang w:val="fr-FR"/>
        </w:rPr>
        <w:t>Lorsqu’elles acquièrent</w:t>
      </w:r>
      <w:r w:rsidR="0028742E" w:rsidRPr="00715818">
        <w:rPr>
          <w:noProof/>
          <w:kern w:val="22"/>
          <w:sz w:val="22"/>
          <w:lang w:val="fr-FR"/>
        </w:rPr>
        <w:t xml:space="preserve"> ou </w:t>
      </w:r>
      <w:r>
        <w:rPr>
          <w:noProof/>
          <w:kern w:val="22"/>
          <w:sz w:val="22"/>
          <w:lang w:val="fr-FR"/>
        </w:rPr>
        <w:t>reçoivent du</w:t>
      </w:r>
      <w:r w:rsidR="00100087" w:rsidRPr="00715818">
        <w:rPr>
          <w:noProof/>
          <w:kern w:val="22"/>
          <w:sz w:val="22"/>
          <w:lang w:val="fr-FR"/>
        </w:rPr>
        <w:t xml:space="preserve"> </w:t>
      </w:r>
      <w:r w:rsidRPr="00715818">
        <w:rPr>
          <w:noProof/>
          <w:kern w:val="22"/>
          <w:sz w:val="22"/>
          <w:lang w:val="fr-FR"/>
        </w:rPr>
        <w:t>matériel biologique</w:t>
      </w:r>
      <w:r>
        <w:rPr>
          <w:noProof/>
          <w:kern w:val="22"/>
          <w:sz w:val="22"/>
          <w:lang w:val="fr-FR"/>
        </w:rPr>
        <w:t xml:space="preserve"> provenant de sources </w:t>
      </w:r>
      <w:r w:rsidRPr="00715818">
        <w:rPr>
          <w:i/>
          <w:noProof/>
          <w:kern w:val="22"/>
          <w:sz w:val="22"/>
          <w:lang w:val="fr-FR"/>
        </w:rPr>
        <w:t>ex situ</w:t>
      </w:r>
      <w:r w:rsidR="00100087" w:rsidRPr="00715818">
        <w:rPr>
          <w:noProof/>
          <w:kern w:val="22"/>
          <w:sz w:val="22"/>
          <w:lang w:val="fr-FR"/>
        </w:rPr>
        <w:t xml:space="preserve"> </w:t>
      </w:r>
      <w:r w:rsidR="00184AC8">
        <w:rPr>
          <w:noProof/>
          <w:kern w:val="22"/>
          <w:sz w:val="22"/>
          <w:lang w:val="fr-FR"/>
        </w:rPr>
        <w:t>à des</w:t>
      </w:r>
      <w:r>
        <w:rPr>
          <w:noProof/>
          <w:kern w:val="22"/>
          <w:sz w:val="22"/>
          <w:lang w:val="fr-FR"/>
        </w:rPr>
        <w:t xml:space="preserve"> fins </w:t>
      </w:r>
      <w:r w:rsidR="00184AC8">
        <w:rPr>
          <w:noProof/>
          <w:kern w:val="22"/>
          <w:sz w:val="22"/>
          <w:lang w:val="fr-FR"/>
        </w:rPr>
        <w:t xml:space="preserve">autres </w:t>
      </w:r>
      <w:r>
        <w:rPr>
          <w:noProof/>
          <w:kern w:val="22"/>
          <w:sz w:val="22"/>
          <w:lang w:val="fr-FR"/>
        </w:rPr>
        <w:t>qu’une</w:t>
      </w:r>
      <w:r w:rsidR="00100087" w:rsidRPr="00715818">
        <w:rPr>
          <w:noProof/>
          <w:kern w:val="22"/>
          <w:sz w:val="22"/>
          <w:lang w:val="fr-FR"/>
        </w:rPr>
        <w:t xml:space="preserve"> </w:t>
      </w:r>
      <w:r w:rsidR="008627A9" w:rsidRPr="00715818">
        <w:rPr>
          <w:noProof/>
          <w:kern w:val="22"/>
          <w:sz w:val="22"/>
          <w:lang w:val="fr-FR"/>
        </w:rPr>
        <w:t>utilisation</w:t>
      </w:r>
      <w:r w:rsidR="00F1524C" w:rsidRPr="002364AB">
        <w:rPr>
          <w:rStyle w:val="FootnoteReference"/>
          <w:noProof/>
          <w:kern w:val="22"/>
          <w:sz w:val="22"/>
          <w:lang w:val="en-GB"/>
        </w:rPr>
        <w:footnoteReference w:id="101"/>
      </w:r>
      <w:r>
        <w:rPr>
          <w:noProof/>
          <w:kern w:val="22"/>
          <w:sz w:val="22"/>
          <w:lang w:val="fr-FR"/>
        </w:rPr>
        <w:t xml:space="preserve">, les </w:t>
      </w:r>
      <w:r w:rsidR="00100087" w:rsidRPr="00715818">
        <w:rPr>
          <w:noProof/>
          <w:kern w:val="22"/>
          <w:sz w:val="22"/>
          <w:lang w:val="fr-FR"/>
        </w:rPr>
        <w:t xml:space="preserve">institutions </w:t>
      </w:r>
      <w:r>
        <w:rPr>
          <w:noProof/>
          <w:kern w:val="22"/>
          <w:sz w:val="22"/>
          <w:lang w:val="fr-FR"/>
        </w:rPr>
        <w:t xml:space="preserve">du </w:t>
      </w:r>
      <w:r w:rsidRPr="0017354A">
        <w:rPr>
          <w:noProof/>
          <w:kern w:val="22"/>
          <w:sz w:val="22"/>
          <w:lang w:val="fr-FR"/>
        </w:rPr>
        <w:t>CETAF</w:t>
      </w:r>
      <w:r w:rsidR="00E46DF1">
        <w:rPr>
          <w:noProof/>
          <w:kern w:val="22"/>
          <w:sz w:val="22"/>
          <w:lang w:val="fr-FR"/>
        </w:rPr>
        <w:t xml:space="preserve"> </w:t>
      </w:r>
      <w:r w:rsidR="00184AC8">
        <w:rPr>
          <w:noProof/>
          <w:kern w:val="22"/>
          <w:sz w:val="22"/>
          <w:lang w:val="fr-FR"/>
        </w:rPr>
        <w:t>détermine</w:t>
      </w:r>
      <w:r w:rsidR="00E46DF1">
        <w:rPr>
          <w:noProof/>
          <w:kern w:val="22"/>
          <w:sz w:val="22"/>
          <w:lang w:val="fr-FR"/>
        </w:rPr>
        <w:t>n</w:t>
      </w:r>
      <w:r>
        <w:rPr>
          <w:noProof/>
          <w:kern w:val="22"/>
          <w:sz w:val="22"/>
          <w:lang w:val="fr-FR"/>
        </w:rPr>
        <w:t>t la provenance du</w:t>
      </w:r>
      <w:r w:rsidR="00100087" w:rsidRPr="00715818">
        <w:rPr>
          <w:noProof/>
          <w:kern w:val="22"/>
          <w:sz w:val="22"/>
          <w:lang w:val="fr-FR"/>
        </w:rPr>
        <w:t xml:space="preserve"> </w:t>
      </w:r>
      <w:r w:rsidR="003474B6" w:rsidRPr="00715818">
        <w:rPr>
          <w:noProof/>
          <w:kern w:val="22"/>
          <w:sz w:val="22"/>
          <w:lang w:val="fr-FR"/>
        </w:rPr>
        <w:t>matériel</w:t>
      </w:r>
      <w:r w:rsidR="00E3674F" w:rsidRPr="00715818">
        <w:rPr>
          <w:noProof/>
          <w:kern w:val="22"/>
          <w:sz w:val="22"/>
          <w:lang w:val="fr-FR"/>
        </w:rPr>
        <w:t xml:space="preserve"> et </w:t>
      </w:r>
      <w:r>
        <w:rPr>
          <w:noProof/>
          <w:kern w:val="22"/>
          <w:sz w:val="22"/>
          <w:lang w:val="fr-FR"/>
        </w:rPr>
        <w:t>la</w:t>
      </w:r>
      <w:r w:rsidR="00100087" w:rsidRPr="00715818">
        <w:rPr>
          <w:noProof/>
          <w:kern w:val="22"/>
          <w:sz w:val="22"/>
          <w:lang w:val="fr-FR"/>
        </w:rPr>
        <w:t xml:space="preserve"> documentation</w:t>
      </w:r>
      <w:r>
        <w:rPr>
          <w:noProof/>
          <w:kern w:val="22"/>
          <w:sz w:val="22"/>
          <w:lang w:val="fr-FR"/>
        </w:rPr>
        <w:t xml:space="preserve"> disponible</w:t>
      </w:r>
      <w:r w:rsidR="00100087" w:rsidRPr="00715818">
        <w:rPr>
          <w:noProof/>
          <w:kern w:val="22"/>
          <w:sz w:val="22"/>
          <w:lang w:val="fr-FR"/>
        </w:rPr>
        <w:t xml:space="preserve">, </w:t>
      </w:r>
      <w:r w:rsidR="00184AC8">
        <w:rPr>
          <w:noProof/>
          <w:kern w:val="22"/>
          <w:sz w:val="22"/>
          <w:lang w:val="fr-FR"/>
        </w:rPr>
        <w:t>pour s’assurer que ce matériel a été acquis dans le respect de la réglementation en vigueur</w:t>
      </w:r>
      <w:r>
        <w:rPr>
          <w:noProof/>
          <w:kern w:val="22"/>
          <w:sz w:val="22"/>
          <w:lang w:val="fr-FR"/>
        </w:rPr>
        <w:t>, et que son statut juridique est connu</w:t>
      </w:r>
      <w:r w:rsidR="00100087" w:rsidRPr="00715818">
        <w:rPr>
          <w:noProof/>
          <w:kern w:val="22"/>
          <w:sz w:val="22"/>
          <w:lang w:val="fr-FR"/>
        </w:rPr>
        <w:t>.</w:t>
      </w:r>
      <w:r w:rsidR="00100087" w:rsidRPr="002364AB">
        <w:rPr>
          <w:rStyle w:val="FootnoteReference"/>
          <w:noProof/>
          <w:kern w:val="22"/>
          <w:sz w:val="22"/>
          <w:lang w:val="en-GB"/>
        </w:rPr>
        <w:footnoteReference w:id="102"/>
      </w:r>
      <w:r w:rsidR="00100087" w:rsidRPr="00715818">
        <w:rPr>
          <w:noProof/>
          <w:kern w:val="22"/>
          <w:sz w:val="22"/>
          <w:lang w:val="fr-FR"/>
        </w:rPr>
        <w:t xml:space="preserve"> </w:t>
      </w:r>
      <w:r w:rsidRPr="00715818">
        <w:rPr>
          <w:noProof/>
          <w:kern w:val="22"/>
          <w:sz w:val="22"/>
          <w:lang w:val="fr-FR"/>
        </w:rPr>
        <w:t>Dans les</w:t>
      </w:r>
      <w:r w:rsidR="00100087" w:rsidRPr="00715818">
        <w:rPr>
          <w:noProof/>
          <w:kern w:val="22"/>
          <w:sz w:val="22"/>
          <w:lang w:val="fr-FR"/>
        </w:rPr>
        <w:t xml:space="preserve"> </w:t>
      </w:r>
      <w:r w:rsidR="00D04EC6" w:rsidRPr="00715818">
        <w:rPr>
          <w:noProof/>
          <w:kern w:val="22"/>
          <w:sz w:val="22"/>
          <w:lang w:val="fr-FR"/>
        </w:rPr>
        <w:t>cas</w:t>
      </w:r>
      <w:r>
        <w:rPr>
          <w:noProof/>
          <w:kern w:val="22"/>
          <w:sz w:val="22"/>
          <w:lang w:val="fr-FR"/>
        </w:rPr>
        <w:t xml:space="preserve"> où le</w:t>
      </w:r>
      <w:r w:rsidR="00100087" w:rsidRPr="00715818">
        <w:rPr>
          <w:noProof/>
          <w:kern w:val="22"/>
          <w:sz w:val="22"/>
          <w:lang w:val="fr-FR"/>
        </w:rPr>
        <w:t xml:space="preserve"> </w:t>
      </w:r>
      <w:r w:rsidR="003474B6" w:rsidRPr="00715818">
        <w:rPr>
          <w:noProof/>
          <w:kern w:val="22"/>
          <w:sz w:val="22"/>
          <w:lang w:val="fr-FR"/>
        </w:rPr>
        <w:t>matériel</w:t>
      </w:r>
      <w:r>
        <w:rPr>
          <w:noProof/>
          <w:kern w:val="22"/>
          <w:sz w:val="22"/>
          <w:lang w:val="fr-FR"/>
        </w:rPr>
        <w:t xml:space="preserve"> biologique est</w:t>
      </w:r>
      <w:r w:rsidR="00100087" w:rsidRPr="00715818">
        <w:rPr>
          <w:noProof/>
          <w:kern w:val="22"/>
          <w:sz w:val="22"/>
          <w:lang w:val="fr-FR"/>
        </w:rPr>
        <w:t xml:space="preserve"> </w:t>
      </w:r>
      <w:r w:rsidR="00184AC8">
        <w:rPr>
          <w:noProof/>
          <w:kern w:val="22"/>
          <w:sz w:val="22"/>
          <w:lang w:val="fr-FR"/>
        </w:rPr>
        <w:t>acquis</w:t>
      </w:r>
      <w:r>
        <w:rPr>
          <w:noProof/>
          <w:kern w:val="22"/>
          <w:sz w:val="22"/>
          <w:lang w:val="fr-FR"/>
        </w:rPr>
        <w:t xml:space="preserve"> à des fins d’</w:t>
      </w:r>
      <w:r w:rsidR="008627A9" w:rsidRPr="00715818">
        <w:rPr>
          <w:noProof/>
          <w:kern w:val="22"/>
          <w:sz w:val="22"/>
          <w:lang w:val="fr-FR"/>
        </w:rPr>
        <w:t>utilisation</w:t>
      </w:r>
      <w:r>
        <w:rPr>
          <w:noProof/>
          <w:kern w:val="22"/>
          <w:sz w:val="22"/>
          <w:lang w:val="fr-FR"/>
        </w:rPr>
        <w:t>, les</w:t>
      </w:r>
      <w:r w:rsidR="00100087" w:rsidRPr="00715818">
        <w:rPr>
          <w:noProof/>
          <w:kern w:val="22"/>
          <w:sz w:val="22"/>
          <w:lang w:val="fr-FR"/>
        </w:rPr>
        <w:t xml:space="preserve"> institutions</w:t>
      </w:r>
      <w:r>
        <w:rPr>
          <w:noProof/>
          <w:kern w:val="22"/>
          <w:sz w:val="22"/>
          <w:lang w:val="fr-FR"/>
        </w:rPr>
        <w:t xml:space="preserve"> du</w:t>
      </w:r>
      <w:r w:rsidR="00100087" w:rsidRPr="00715818">
        <w:rPr>
          <w:noProof/>
          <w:kern w:val="22"/>
          <w:sz w:val="22"/>
          <w:lang w:val="fr-FR"/>
        </w:rPr>
        <w:t xml:space="preserve"> </w:t>
      </w:r>
      <w:r w:rsidRPr="0017354A">
        <w:rPr>
          <w:noProof/>
          <w:kern w:val="22"/>
          <w:sz w:val="22"/>
          <w:lang w:val="fr-FR"/>
        </w:rPr>
        <w:t>CETAF</w:t>
      </w:r>
      <w:r w:rsidR="00184AC8">
        <w:rPr>
          <w:noProof/>
          <w:kern w:val="22"/>
          <w:sz w:val="22"/>
          <w:lang w:val="fr-FR"/>
        </w:rPr>
        <w:t xml:space="preserve"> déterminent</w:t>
      </w:r>
      <w:r>
        <w:rPr>
          <w:noProof/>
          <w:kern w:val="22"/>
          <w:sz w:val="22"/>
          <w:lang w:val="fr-FR"/>
        </w:rPr>
        <w:t xml:space="preserve"> sa</w:t>
      </w:r>
      <w:r w:rsidR="00100087" w:rsidRPr="00715818">
        <w:rPr>
          <w:noProof/>
          <w:kern w:val="22"/>
          <w:sz w:val="22"/>
          <w:lang w:val="fr-FR"/>
        </w:rPr>
        <w:t xml:space="preserve"> provenance</w:t>
      </w:r>
      <w:r w:rsidR="00184AC8">
        <w:rPr>
          <w:noProof/>
          <w:kern w:val="22"/>
          <w:sz w:val="22"/>
          <w:lang w:val="fr-FR"/>
        </w:rPr>
        <w:t xml:space="preserve"> et</w:t>
      </w:r>
      <w:r w:rsidR="00E3674F" w:rsidRPr="00715818">
        <w:rPr>
          <w:noProof/>
          <w:kern w:val="22"/>
          <w:sz w:val="22"/>
          <w:lang w:val="fr-FR"/>
        </w:rPr>
        <w:t xml:space="preserve"> </w:t>
      </w:r>
      <w:r>
        <w:rPr>
          <w:noProof/>
          <w:kern w:val="22"/>
          <w:sz w:val="22"/>
          <w:lang w:val="fr-FR"/>
        </w:rPr>
        <w:t>la documentation disponible et,</w:t>
      </w:r>
      <w:r w:rsidR="00184AC8">
        <w:rPr>
          <w:noProof/>
          <w:kern w:val="22"/>
          <w:sz w:val="22"/>
          <w:lang w:val="fr-FR"/>
        </w:rPr>
        <w:t xml:space="preserve"> selon que de besoin, prennent d</w:t>
      </w:r>
      <w:r>
        <w:rPr>
          <w:noProof/>
          <w:kern w:val="22"/>
          <w:sz w:val="22"/>
          <w:lang w:val="fr-FR"/>
        </w:rPr>
        <w:t>es mesures appropriées pour fa</w:t>
      </w:r>
      <w:r w:rsidR="00184AC8">
        <w:rPr>
          <w:noProof/>
          <w:kern w:val="22"/>
          <w:sz w:val="22"/>
          <w:lang w:val="fr-FR"/>
        </w:rPr>
        <w:t xml:space="preserve">ire en sorte que ce matériel soit acquis légalement, et qu’il puisse donc être </w:t>
      </w:r>
      <w:r>
        <w:rPr>
          <w:noProof/>
          <w:kern w:val="22"/>
          <w:sz w:val="22"/>
          <w:lang w:val="fr-FR"/>
        </w:rPr>
        <w:t>utilisé légalement</w:t>
      </w:r>
      <w:r w:rsidR="00100087" w:rsidRPr="00715818">
        <w:rPr>
          <w:noProof/>
          <w:kern w:val="22"/>
          <w:sz w:val="22"/>
          <w:lang w:val="fr-FR"/>
        </w:rPr>
        <w:t>.</w:t>
      </w:r>
      <w:r w:rsidR="00100087" w:rsidRPr="002364AB">
        <w:rPr>
          <w:rStyle w:val="FootnoteReference"/>
          <w:noProof/>
          <w:kern w:val="22"/>
          <w:sz w:val="22"/>
          <w:lang w:val="en-GB"/>
        </w:rPr>
        <w:footnoteReference w:id="103"/>
      </w:r>
      <w:r>
        <w:rPr>
          <w:noProof/>
          <w:kern w:val="22"/>
          <w:sz w:val="22"/>
          <w:lang w:val="fr-FR"/>
        </w:rPr>
        <w:t xml:space="preserve"> </w:t>
      </w:r>
      <w:r w:rsidRPr="00715818">
        <w:rPr>
          <w:noProof/>
          <w:kern w:val="22"/>
          <w:sz w:val="22"/>
          <w:lang w:val="fr-FR"/>
        </w:rPr>
        <w:t>Les</w:t>
      </w:r>
      <w:r w:rsidR="00100087" w:rsidRPr="00715818">
        <w:rPr>
          <w:noProof/>
          <w:kern w:val="22"/>
          <w:sz w:val="22"/>
          <w:lang w:val="fr-FR"/>
        </w:rPr>
        <w:t xml:space="preserve"> institutions</w:t>
      </w:r>
      <w:r w:rsidRPr="00715818">
        <w:rPr>
          <w:noProof/>
          <w:kern w:val="22"/>
          <w:sz w:val="22"/>
          <w:lang w:val="fr-FR"/>
        </w:rPr>
        <w:t xml:space="preserve"> membres</w:t>
      </w:r>
      <w:r w:rsidR="00184AC8">
        <w:rPr>
          <w:noProof/>
          <w:kern w:val="22"/>
          <w:sz w:val="22"/>
          <w:lang w:val="fr-FR"/>
        </w:rPr>
        <w:t xml:space="preserve"> du CETAF</w:t>
      </w:r>
      <w:r w:rsidRPr="00715818">
        <w:rPr>
          <w:noProof/>
          <w:kern w:val="22"/>
          <w:sz w:val="22"/>
          <w:lang w:val="fr-FR"/>
        </w:rPr>
        <w:t xml:space="preserve"> s’efforcent également de </w:t>
      </w:r>
      <w:r w:rsidRPr="00715818">
        <w:rPr>
          <w:noProof/>
          <w:kern w:val="22"/>
          <w:sz w:val="22"/>
          <w:lang w:val="fr-FR"/>
        </w:rPr>
        <w:lastRenderedPageBreak/>
        <w:t>partager les</w:t>
      </w:r>
      <w:r w:rsidR="00100087" w:rsidRPr="00715818">
        <w:rPr>
          <w:noProof/>
          <w:kern w:val="22"/>
          <w:sz w:val="22"/>
          <w:lang w:val="fr-FR"/>
        </w:rPr>
        <w:t xml:space="preserve"> </w:t>
      </w:r>
      <w:r w:rsidR="007D7761">
        <w:rPr>
          <w:noProof/>
          <w:kern w:val="22"/>
          <w:sz w:val="22"/>
          <w:lang w:val="fr-FR"/>
        </w:rPr>
        <w:t>avantages résultant</w:t>
      </w:r>
      <w:r>
        <w:rPr>
          <w:noProof/>
          <w:kern w:val="22"/>
          <w:sz w:val="22"/>
          <w:lang w:val="fr-FR"/>
        </w:rPr>
        <w:t xml:space="preserve"> d’une</w:t>
      </w:r>
      <w:r w:rsidR="00100087" w:rsidRPr="00715818">
        <w:rPr>
          <w:noProof/>
          <w:kern w:val="22"/>
          <w:sz w:val="22"/>
          <w:lang w:val="fr-FR"/>
        </w:rPr>
        <w:t xml:space="preserve"> </w:t>
      </w:r>
      <w:r w:rsidR="00367430" w:rsidRPr="00715818">
        <w:rPr>
          <w:noProof/>
          <w:kern w:val="22"/>
          <w:sz w:val="22"/>
          <w:lang w:val="fr-FR"/>
        </w:rPr>
        <w:t>nouvelle utilisation</w:t>
      </w:r>
      <w:r w:rsidR="00100087" w:rsidRPr="00715818">
        <w:rPr>
          <w:noProof/>
          <w:kern w:val="22"/>
          <w:sz w:val="22"/>
          <w:lang w:val="fr-FR"/>
        </w:rPr>
        <w:t xml:space="preserve"> </w:t>
      </w:r>
      <w:r w:rsidR="00D6232E" w:rsidRPr="00715818">
        <w:rPr>
          <w:noProof/>
          <w:kern w:val="22"/>
          <w:sz w:val="22"/>
          <w:lang w:val="fr-FR"/>
        </w:rPr>
        <w:t>de ressources</w:t>
      </w:r>
      <w:r w:rsidR="00E3674F" w:rsidRPr="00715818">
        <w:rPr>
          <w:noProof/>
          <w:kern w:val="22"/>
          <w:sz w:val="22"/>
          <w:lang w:val="fr-FR"/>
        </w:rPr>
        <w:t xml:space="preserve"> génétiques</w:t>
      </w:r>
      <w:r w:rsidR="00184AC8">
        <w:rPr>
          <w:noProof/>
          <w:kern w:val="22"/>
          <w:sz w:val="22"/>
          <w:lang w:val="fr-FR"/>
        </w:rPr>
        <w:t xml:space="preserve"> qui ont été acquises ou obtenues d’une </w:t>
      </w:r>
      <w:r>
        <w:rPr>
          <w:noProof/>
          <w:kern w:val="22"/>
          <w:sz w:val="22"/>
          <w:lang w:val="fr-FR"/>
        </w:rPr>
        <w:t>autre façon</w:t>
      </w:r>
      <w:r w:rsidR="00100087" w:rsidRPr="00715818">
        <w:rPr>
          <w:noProof/>
          <w:kern w:val="22"/>
          <w:sz w:val="22"/>
          <w:lang w:val="fr-FR"/>
        </w:rPr>
        <w:t xml:space="preserve"> </w:t>
      </w:r>
      <w:r w:rsidR="00CA644E" w:rsidRPr="00715818">
        <w:rPr>
          <w:noProof/>
          <w:kern w:val="22"/>
          <w:sz w:val="22"/>
          <w:lang w:val="fr-FR"/>
        </w:rPr>
        <w:t>avant</w:t>
      </w:r>
      <w:r w:rsidR="00100087" w:rsidRPr="00715818">
        <w:rPr>
          <w:noProof/>
          <w:kern w:val="22"/>
          <w:sz w:val="22"/>
          <w:lang w:val="fr-FR"/>
        </w:rPr>
        <w:t xml:space="preserve"> </w:t>
      </w:r>
      <w:r w:rsidR="00202126" w:rsidRPr="00715818">
        <w:rPr>
          <w:noProof/>
          <w:kern w:val="22"/>
          <w:sz w:val="22"/>
          <w:lang w:val="fr-FR"/>
        </w:rPr>
        <w:t>l’entrée en vigueur</w:t>
      </w:r>
      <w:r w:rsidR="00100087" w:rsidRPr="00715818">
        <w:rPr>
          <w:noProof/>
          <w:kern w:val="22"/>
          <w:sz w:val="22"/>
          <w:lang w:val="fr-FR"/>
        </w:rPr>
        <w:t xml:space="preserve"> </w:t>
      </w:r>
      <w:r w:rsidR="00770AB8" w:rsidRPr="00715818">
        <w:rPr>
          <w:noProof/>
          <w:kern w:val="22"/>
          <w:sz w:val="22"/>
          <w:lang w:val="fr-FR"/>
        </w:rPr>
        <w:t>du Pro</w:t>
      </w:r>
      <w:r w:rsidR="00E3674F" w:rsidRPr="00715818">
        <w:rPr>
          <w:noProof/>
          <w:kern w:val="22"/>
          <w:sz w:val="22"/>
          <w:lang w:val="fr-FR"/>
        </w:rPr>
        <w:t>tocole de Nagoya</w:t>
      </w:r>
      <w:r w:rsidR="00100087" w:rsidRPr="00715818">
        <w:rPr>
          <w:noProof/>
          <w:kern w:val="22"/>
          <w:sz w:val="22"/>
          <w:lang w:val="fr-FR"/>
        </w:rPr>
        <w:t xml:space="preserve">, </w:t>
      </w:r>
      <w:r w:rsidR="00184AC8">
        <w:rPr>
          <w:noProof/>
          <w:kern w:val="22"/>
          <w:sz w:val="22"/>
          <w:lang w:val="fr-FR"/>
        </w:rPr>
        <w:t>autant que faire se peut,</w:t>
      </w:r>
      <w:r w:rsidR="00E55FA3">
        <w:rPr>
          <w:noProof/>
          <w:kern w:val="22"/>
          <w:sz w:val="22"/>
          <w:lang w:val="fr-FR"/>
        </w:rPr>
        <w:t xml:space="preserve"> comme c’est déjà le cas</w:t>
      </w:r>
      <w:r w:rsidR="00184AC8">
        <w:rPr>
          <w:noProof/>
          <w:kern w:val="22"/>
          <w:sz w:val="22"/>
          <w:lang w:val="fr-FR"/>
        </w:rPr>
        <w:t xml:space="preserve"> </w:t>
      </w:r>
      <w:r>
        <w:rPr>
          <w:noProof/>
          <w:kern w:val="22"/>
          <w:sz w:val="22"/>
          <w:lang w:val="fr-FR"/>
        </w:rPr>
        <w:t xml:space="preserve">pour les ressources </w:t>
      </w:r>
      <w:r w:rsidR="00184AC8">
        <w:rPr>
          <w:noProof/>
          <w:kern w:val="22"/>
          <w:sz w:val="22"/>
          <w:lang w:val="fr-FR"/>
        </w:rPr>
        <w:t xml:space="preserve">génétiques </w:t>
      </w:r>
      <w:r>
        <w:rPr>
          <w:noProof/>
          <w:kern w:val="22"/>
          <w:sz w:val="22"/>
          <w:lang w:val="fr-FR"/>
        </w:rPr>
        <w:t xml:space="preserve">acquises après l’entrée en vigueur du Protocole </w:t>
      </w:r>
      <w:r w:rsidR="00100087" w:rsidRPr="00715818">
        <w:rPr>
          <w:noProof/>
          <w:kern w:val="22"/>
          <w:sz w:val="22"/>
          <w:lang w:val="fr-FR"/>
        </w:rPr>
        <w:t xml:space="preserve">– </w:t>
      </w:r>
      <w:r w:rsidR="00E55FA3">
        <w:rPr>
          <w:noProof/>
          <w:kern w:val="22"/>
          <w:sz w:val="22"/>
          <w:lang w:val="fr-FR"/>
        </w:rPr>
        <w:t>tout en n’acceptant auc</w:t>
      </w:r>
      <w:r w:rsidR="00184AC8">
        <w:rPr>
          <w:noProof/>
          <w:kern w:val="22"/>
          <w:sz w:val="22"/>
          <w:lang w:val="fr-FR"/>
        </w:rPr>
        <w:t xml:space="preserve">une </w:t>
      </w:r>
      <w:r>
        <w:rPr>
          <w:noProof/>
          <w:kern w:val="22"/>
          <w:sz w:val="22"/>
          <w:lang w:val="fr-FR"/>
        </w:rPr>
        <w:t>responsabilité pour des demandes rétroactives de partage des avantages</w:t>
      </w:r>
      <w:r w:rsidR="00100087" w:rsidRPr="00715818">
        <w:rPr>
          <w:noProof/>
          <w:kern w:val="22"/>
          <w:sz w:val="22"/>
          <w:lang w:val="fr-FR"/>
        </w:rPr>
        <w:t>.</w:t>
      </w:r>
      <w:r w:rsidR="00100087" w:rsidRPr="002364AB">
        <w:rPr>
          <w:rStyle w:val="FootnoteReference"/>
          <w:noProof/>
          <w:kern w:val="22"/>
          <w:sz w:val="22"/>
          <w:lang w:val="en-GB"/>
        </w:rPr>
        <w:footnoteReference w:id="104"/>
      </w:r>
    </w:p>
    <w:p w14:paraId="78702D73" w14:textId="3F320102" w:rsidR="00100087" w:rsidRPr="002320C1" w:rsidRDefault="00931FA2" w:rsidP="00100087">
      <w:pPr>
        <w:rPr>
          <w:rFonts w:eastAsia="Times New Roman" w:cs="Times New Roman"/>
          <w:kern w:val="22"/>
          <w:sz w:val="22"/>
          <w:lang w:val="fr-FR"/>
        </w:rPr>
      </w:pPr>
      <w:r w:rsidRPr="003B13A3">
        <w:rPr>
          <w:noProof/>
          <w:kern w:val="22"/>
          <w:sz w:val="22"/>
          <w:lang w:val="fr-FR"/>
        </w:rPr>
        <w:t>L</w:t>
      </w:r>
      <w:r w:rsidR="00100087" w:rsidRPr="003B13A3">
        <w:rPr>
          <w:noProof/>
          <w:kern w:val="22"/>
          <w:sz w:val="22"/>
          <w:lang w:val="fr-FR"/>
        </w:rPr>
        <w:t xml:space="preserve">e </w:t>
      </w:r>
      <w:r w:rsidR="00184AC8">
        <w:rPr>
          <w:kern w:val="22"/>
          <w:sz w:val="22"/>
          <w:lang w:val="fr-FR"/>
        </w:rPr>
        <w:t>Muséum na</w:t>
      </w:r>
      <w:r w:rsidR="00100087" w:rsidRPr="003B13A3">
        <w:rPr>
          <w:kern w:val="22"/>
          <w:sz w:val="22"/>
          <w:lang w:val="fr-FR"/>
        </w:rPr>
        <w:t>tional</w:t>
      </w:r>
      <w:r w:rsidR="00184AC8">
        <w:rPr>
          <w:kern w:val="22"/>
          <w:sz w:val="22"/>
          <w:lang w:val="fr-FR"/>
        </w:rPr>
        <w:t xml:space="preserve"> d’histoire naturelle (MNHN), un membre</w:t>
      </w:r>
      <w:r w:rsidR="003B13A3" w:rsidRPr="003B13A3">
        <w:rPr>
          <w:kern w:val="22"/>
          <w:sz w:val="22"/>
          <w:lang w:val="fr-FR"/>
        </w:rPr>
        <w:t xml:space="preserve"> du CETAF</w:t>
      </w:r>
      <w:r w:rsidR="00100087" w:rsidRPr="003B13A3">
        <w:rPr>
          <w:kern w:val="22"/>
          <w:sz w:val="22"/>
          <w:lang w:val="fr-FR"/>
        </w:rPr>
        <w:t xml:space="preserve">, </w:t>
      </w:r>
      <w:r w:rsidR="003B13A3" w:rsidRPr="003B13A3">
        <w:rPr>
          <w:kern w:val="22"/>
          <w:sz w:val="22"/>
          <w:lang w:val="fr-FR"/>
        </w:rPr>
        <w:t>rencontre actuelleme</w:t>
      </w:r>
      <w:r w:rsidR="00184AC8">
        <w:rPr>
          <w:kern w:val="22"/>
          <w:sz w:val="22"/>
          <w:lang w:val="fr-FR"/>
        </w:rPr>
        <w:t xml:space="preserve">nt des </w:t>
      </w:r>
      <w:r w:rsidR="00F40ECB">
        <w:rPr>
          <w:kern w:val="22"/>
          <w:sz w:val="22"/>
          <w:lang w:val="fr-FR"/>
        </w:rPr>
        <w:t>difficultés en matière d’</w:t>
      </w:r>
      <w:r w:rsidR="003B13A3" w:rsidRPr="003B13A3">
        <w:rPr>
          <w:kern w:val="22"/>
          <w:sz w:val="22"/>
          <w:lang w:val="fr-FR"/>
        </w:rPr>
        <w:t>accès à ses</w:t>
      </w:r>
      <w:r w:rsidR="00100087" w:rsidRPr="003B13A3">
        <w:rPr>
          <w:kern w:val="22"/>
          <w:sz w:val="22"/>
          <w:lang w:val="fr-FR"/>
        </w:rPr>
        <w:t xml:space="preserve"> collections. </w:t>
      </w:r>
      <w:r w:rsidR="003B13A3" w:rsidRPr="003B13A3">
        <w:rPr>
          <w:kern w:val="22"/>
          <w:sz w:val="22"/>
          <w:lang w:val="fr-FR"/>
        </w:rPr>
        <w:t xml:space="preserve">Le </w:t>
      </w:r>
      <w:r w:rsidR="00100087" w:rsidRPr="003B13A3">
        <w:rPr>
          <w:kern w:val="22"/>
          <w:sz w:val="22"/>
          <w:lang w:val="fr-FR"/>
        </w:rPr>
        <w:t xml:space="preserve">MNHN </w:t>
      </w:r>
      <w:r w:rsidR="00184AC8">
        <w:rPr>
          <w:kern w:val="22"/>
          <w:sz w:val="22"/>
          <w:lang w:val="fr-FR"/>
        </w:rPr>
        <w:t>remplit une fonction double, à savoir, la</w:t>
      </w:r>
      <w:r w:rsidR="003B13A3" w:rsidRPr="003B13A3">
        <w:rPr>
          <w:kern w:val="22"/>
          <w:sz w:val="22"/>
          <w:lang w:val="fr-FR"/>
        </w:rPr>
        <w:t xml:space="preserve"> </w:t>
      </w:r>
      <w:r w:rsidR="003B13A3">
        <w:rPr>
          <w:kern w:val="22"/>
          <w:sz w:val="22"/>
          <w:lang w:val="fr-FR"/>
        </w:rPr>
        <w:t>pré</w:t>
      </w:r>
      <w:r w:rsidR="00184AC8">
        <w:rPr>
          <w:kern w:val="22"/>
          <w:sz w:val="22"/>
          <w:lang w:val="fr-FR"/>
        </w:rPr>
        <w:t>servation</w:t>
      </w:r>
      <w:r w:rsidR="003B13A3" w:rsidRPr="003B13A3">
        <w:rPr>
          <w:kern w:val="22"/>
          <w:sz w:val="22"/>
          <w:lang w:val="fr-FR"/>
        </w:rPr>
        <w:t xml:space="preserve"> </w:t>
      </w:r>
      <w:r w:rsidR="003B13A3">
        <w:rPr>
          <w:kern w:val="22"/>
          <w:sz w:val="22"/>
          <w:lang w:val="fr-FR"/>
        </w:rPr>
        <w:t>des</w:t>
      </w:r>
      <w:r w:rsidR="00100087" w:rsidRPr="003B13A3">
        <w:rPr>
          <w:rFonts w:eastAsia="Times New Roman" w:cs="Times New Roman"/>
          <w:kern w:val="22"/>
          <w:sz w:val="22"/>
          <w:lang w:val="fr-FR"/>
        </w:rPr>
        <w:t xml:space="preserve"> collections</w:t>
      </w:r>
      <w:r w:rsidR="00184AC8">
        <w:rPr>
          <w:rFonts w:eastAsia="Times New Roman" w:cs="Times New Roman"/>
          <w:kern w:val="22"/>
          <w:sz w:val="22"/>
          <w:lang w:val="fr-FR"/>
        </w:rPr>
        <w:t xml:space="preserve"> et l’accueil</w:t>
      </w:r>
      <w:r w:rsidR="003B13A3">
        <w:rPr>
          <w:rFonts w:eastAsia="Times New Roman" w:cs="Times New Roman"/>
          <w:kern w:val="22"/>
          <w:sz w:val="22"/>
          <w:lang w:val="fr-FR"/>
        </w:rPr>
        <w:t xml:space="preserve"> des</w:t>
      </w:r>
      <w:r w:rsidR="00100087" w:rsidRPr="003B13A3">
        <w:rPr>
          <w:rFonts w:eastAsia="Times New Roman" w:cs="Times New Roman"/>
          <w:kern w:val="22"/>
          <w:sz w:val="22"/>
          <w:lang w:val="fr-FR"/>
        </w:rPr>
        <w:t xml:space="preserve"> </w:t>
      </w:r>
      <w:r w:rsidR="008A362D" w:rsidRPr="003B13A3">
        <w:rPr>
          <w:rFonts w:eastAsia="Times New Roman" w:cs="Times New Roman"/>
          <w:kern w:val="22"/>
          <w:sz w:val="22"/>
          <w:lang w:val="fr-FR"/>
        </w:rPr>
        <w:t>chercheurs</w:t>
      </w:r>
      <w:r w:rsidR="00100087" w:rsidRPr="003B13A3">
        <w:rPr>
          <w:rFonts w:eastAsia="Times New Roman" w:cs="Times New Roman"/>
          <w:kern w:val="22"/>
          <w:sz w:val="22"/>
          <w:lang w:val="fr-FR"/>
        </w:rPr>
        <w:t xml:space="preserve">. </w:t>
      </w:r>
      <w:r w:rsidR="00184AC8">
        <w:rPr>
          <w:rFonts w:eastAsia="Times New Roman" w:cs="Times New Roman"/>
          <w:kern w:val="22"/>
          <w:sz w:val="22"/>
          <w:lang w:val="fr-FR"/>
        </w:rPr>
        <w:t>I</w:t>
      </w:r>
      <w:r w:rsidR="003B13A3" w:rsidRPr="003B13A3">
        <w:rPr>
          <w:rFonts w:eastAsia="Times New Roman" w:cs="Times New Roman"/>
          <w:kern w:val="22"/>
          <w:sz w:val="22"/>
          <w:lang w:val="fr-FR"/>
        </w:rPr>
        <w:t xml:space="preserve">l est </w:t>
      </w:r>
      <w:r w:rsidR="00184AC8">
        <w:rPr>
          <w:rFonts w:eastAsia="Times New Roman" w:cs="Times New Roman"/>
          <w:kern w:val="22"/>
          <w:sz w:val="22"/>
          <w:lang w:val="fr-FR"/>
        </w:rPr>
        <w:t xml:space="preserve">ainsi </w:t>
      </w:r>
      <w:r w:rsidR="003B13A3" w:rsidRPr="003B13A3">
        <w:rPr>
          <w:rFonts w:eastAsia="Times New Roman" w:cs="Times New Roman"/>
          <w:kern w:val="22"/>
          <w:sz w:val="22"/>
          <w:lang w:val="fr-FR"/>
        </w:rPr>
        <w:t>un fournisseur de</w:t>
      </w:r>
      <w:r w:rsidR="00100087" w:rsidRPr="003B13A3">
        <w:rPr>
          <w:rFonts w:eastAsia="Times New Roman" w:cs="Times New Roman"/>
          <w:kern w:val="22"/>
          <w:sz w:val="22"/>
          <w:lang w:val="fr-FR"/>
        </w:rPr>
        <w:t xml:space="preserve"> </w:t>
      </w:r>
      <w:r w:rsidR="00E3674F" w:rsidRPr="003B13A3">
        <w:rPr>
          <w:rFonts w:eastAsia="Times New Roman" w:cs="Times New Roman"/>
          <w:kern w:val="22"/>
          <w:sz w:val="22"/>
          <w:lang w:val="fr-FR"/>
        </w:rPr>
        <w:t>ressources génétiques</w:t>
      </w:r>
      <w:r w:rsidR="00100087" w:rsidRPr="003B13A3">
        <w:rPr>
          <w:rFonts w:eastAsia="Times New Roman" w:cs="Times New Roman"/>
          <w:kern w:val="22"/>
          <w:sz w:val="22"/>
          <w:lang w:val="fr-FR"/>
        </w:rPr>
        <w:t xml:space="preserve"> </w:t>
      </w:r>
      <w:r w:rsidR="003B13A3" w:rsidRPr="003B13A3">
        <w:rPr>
          <w:rFonts w:eastAsia="Times New Roman" w:cs="Times New Roman"/>
          <w:i/>
          <w:iCs/>
          <w:kern w:val="22"/>
          <w:sz w:val="22"/>
          <w:lang w:val="fr-FR"/>
        </w:rPr>
        <w:t>ex situ</w:t>
      </w:r>
      <w:r w:rsidR="003B13A3" w:rsidRPr="003B13A3">
        <w:rPr>
          <w:rFonts w:eastAsia="Times New Roman" w:cs="Times New Roman"/>
          <w:kern w:val="22"/>
          <w:sz w:val="22"/>
          <w:lang w:val="fr-FR"/>
        </w:rPr>
        <w:t xml:space="preserve"> </w:t>
      </w:r>
      <w:r w:rsidR="00F40ECB">
        <w:rPr>
          <w:rFonts w:eastAsia="Times New Roman" w:cs="Times New Roman"/>
          <w:kern w:val="22"/>
          <w:sz w:val="22"/>
          <w:lang w:val="fr-FR"/>
        </w:rPr>
        <w:t>auxquelles il est tenu d’autoriser</w:t>
      </w:r>
      <w:r w:rsidR="003B13A3">
        <w:rPr>
          <w:rFonts w:eastAsia="Times New Roman" w:cs="Times New Roman"/>
          <w:kern w:val="22"/>
          <w:sz w:val="22"/>
          <w:lang w:val="fr-FR"/>
        </w:rPr>
        <w:t xml:space="preserve"> un </w:t>
      </w:r>
      <w:r w:rsidR="009620A7" w:rsidRPr="003B13A3">
        <w:rPr>
          <w:rFonts w:eastAsia="Times New Roman" w:cs="Times New Roman"/>
          <w:kern w:val="22"/>
          <w:sz w:val="22"/>
          <w:lang w:val="fr-FR"/>
        </w:rPr>
        <w:t xml:space="preserve">accès </w:t>
      </w:r>
      <w:r w:rsidR="003B13A3">
        <w:rPr>
          <w:rFonts w:eastAsia="Times New Roman" w:cs="Times New Roman"/>
          <w:kern w:val="22"/>
          <w:sz w:val="22"/>
          <w:lang w:val="fr-FR"/>
        </w:rPr>
        <w:t>à diffé</w:t>
      </w:r>
      <w:r w:rsidR="00100087" w:rsidRPr="003B13A3">
        <w:rPr>
          <w:rFonts w:eastAsia="Times New Roman" w:cs="Times New Roman"/>
          <w:kern w:val="22"/>
          <w:sz w:val="22"/>
          <w:lang w:val="fr-FR"/>
        </w:rPr>
        <w:t>rent</w:t>
      </w:r>
      <w:r w:rsidR="003B13A3">
        <w:rPr>
          <w:rFonts w:eastAsia="Times New Roman" w:cs="Times New Roman"/>
          <w:kern w:val="22"/>
          <w:sz w:val="22"/>
          <w:lang w:val="fr-FR"/>
        </w:rPr>
        <w:t>s</w:t>
      </w:r>
      <w:r w:rsidR="00100087" w:rsidRPr="003B13A3">
        <w:rPr>
          <w:rFonts w:eastAsia="Times New Roman" w:cs="Times New Roman"/>
          <w:kern w:val="22"/>
          <w:sz w:val="22"/>
          <w:lang w:val="fr-FR"/>
        </w:rPr>
        <w:t xml:space="preserve"> group</w:t>
      </w:r>
      <w:r w:rsidR="003B13A3">
        <w:rPr>
          <w:rFonts w:eastAsia="Times New Roman" w:cs="Times New Roman"/>
          <w:kern w:val="22"/>
          <w:sz w:val="22"/>
          <w:lang w:val="fr-FR"/>
        </w:rPr>
        <w:t>es de</w:t>
      </w:r>
      <w:r w:rsidR="00100087" w:rsidRPr="003B13A3">
        <w:rPr>
          <w:rFonts w:eastAsia="Times New Roman" w:cs="Times New Roman"/>
          <w:kern w:val="22"/>
          <w:sz w:val="22"/>
          <w:lang w:val="fr-FR"/>
        </w:rPr>
        <w:t xml:space="preserve"> </w:t>
      </w:r>
      <w:r w:rsidR="008A362D" w:rsidRPr="003B13A3">
        <w:rPr>
          <w:rFonts w:eastAsia="Times New Roman" w:cs="Times New Roman"/>
          <w:kern w:val="22"/>
          <w:sz w:val="22"/>
          <w:lang w:val="fr-FR"/>
        </w:rPr>
        <w:t>chercheurs</w:t>
      </w:r>
      <w:r w:rsidR="00F40ECB">
        <w:rPr>
          <w:rFonts w:eastAsia="Times New Roman" w:cs="Times New Roman"/>
          <w:kern w:val="22"/>
          <w:sz w:val="22"/>
          <w:lang w:val="fr-FR"/>
        </w:rPr>
        <w:t>, à savoir :</w:t>
      </w:r>
      <w:r w:rsidR="00100087" w:rsidRPr="003B13A3">
        <w:rPr>
          <w:rFonts w:eastAsia="Times New Roman" w:cs="Times New Roman"/>
          <w:kern w:val="22"/>
          <w:sz w:val="22"/>
          <w:lang w:val="fr-FR"/>
        </w:rPr>
        <w:t xml:space="preserve"> </w:t>
      </w:r>
      <w:r w:rsidR="003B13A3">
        <w:rPr>
          <w:rFonts w:eastAsia="Times New Roman" w:cs="Times New Roman"/>
          <w:kern w:val="22"/>
          <w:sz w:val="22"/>
          <w:lang w:val="fr-FR"/>
        </w:rPr>
        <w:t xml:space="preserve">le personnel du </w:t>
      </w:r>
      <w:r w:rsidR="00100087" w:rsidRPr="003B13A3">
        <w:rPr>
          <w:rFonts w:eastAsia="Times New Roman" w:cs="Times New Roman"/>
          <w:kern w:val="22"/>
          <w:sz w:val="22"/>
          <w:lang w:val="fr-FR"/>
        </w:rPr>
        <w:t xml:space="preserve">MNHN </w:t>
      </w:r>
      <w:r w:rsidR="003B13A3">
        <w:rPr>
          <w:rFonts w:eastAsia="Times New Roman" w:cs="Times New Roman"/>
          <w:kern w:val="22"/>
          <w:sz w:val="22"/>
          <w:lang w:val="fr-FR"/>
        </w:rPr>
        <w:t xml:space="preserve">qui mène des </w:t>
      </w:r>
      <w:r w:rsidR="00121FCD" w:rsidRPr="003B13A3">
        <w:rPr>
          <w:rFonts w:eastAsia="Times New Roman" w:cs="Times New Roman"/>
          <w:kern w:val="22"/>
          <w:sz w:val="22"/>
          <w:lang w:val="fr-FR"/>
        </w:rPr>
        <w:t>recherche</w:t>
      </w:r>
      <w:r w:rsidR="003B13A3">
        <w:rPr>
          <w:rFonts w:eastAsia="Times New Roman" w:cs="Times New Roman"/>
          <w:kern w:val="22"/>
          <w:sz w:val="22"/>
          <w:lang w:val="fr-FR"/>
        </w:rPr>
        <w:t>s sur les</w:t>
      </w:r>
      <w:r w:rsidR="00100087" w:rsidRPr="003B13A3">
        <w:rPr>
          <w:rFonts w:eastAsia="Times New Roman" w:cs="Times New Roman"/>
          <w:kern w:val="22"/>
          <w:sz w:val="22"/>
          <w:lang w:val="fr-FR"/>
        </w:rPr>
        <w:t xml:space="preserve"> collections,</w:t>
      </w:r>
      <w:r w:rsidR="00F40ECB">
        <w:rPr>
          <w:rFonts w:eastAsia="Times New Roman" w:cs="Times New Roman"/>
          <w:kern w:val="22"/>
          <w:sz w:val="22"/>
          <w:lang w:val="fr-FR"/>
        </w:rPr>
        <w:t xml:space="preserve"> ainsi que</w:t>
      </w:r>
      <w:r w:rsidR="00E3674F" w:rsidRPr="003B13A3">
        <w:rPr>
          <w:rFonts w:eastAsia="Times New Roman" w:cs="Times New Roman"/>
          <w:kern w:val="22"/>
          <w:sz w:val="22"/>
          <w:lang w:val="fr-FR"/>
        </w:rPr>
        <w:t xml:space="preserve"> </w:t>
      </w:r>
      <w:r w:rsidR="00F40ECB">
        <w:rPr>
          <w:rFonts w:eastAsia="Times New Roman" w:cs="Times New Roman"/>
          <w:kern w:val="22"/>
          <w:sz w:val="22"/>
          <w:lang w:val="fr-FR"/>
        </w:rPr>
        <w:t xml:space="preserve">des chercheurs extérieurs </w:t>
      </w:r>
      <w:r w:rsidR="003B13A3">
        <w:rPr>
          <w:rFonts w:eastAsia="Times New Roman" w:cs="Times New Roman"/>
          <w:kern w:val="22"/>
          <w:sz w:val="22"/>
          <w:lang w:val="fr-FR"/>
        </w:rPr>
        <w:t>venant du monde ent</w:t>
      </w:r>
      <w:r w:rsidR="00BC5F0A">
        <w:rPr>
          <w:rFonts w:eastAsia="Times New Roman" w:cs="Times New Roman"/>
          <w:kern w:val="22"/>
          <w:sz w:val="22"/>
          <w:lang w:val="fr-FR"/>
        </w:rPr>
        <w:t xml:space="preserve">ier qui sont accueillis </w:t>
      </w:r>
      <w:r w:rsidR="003B13A3">
        <w:rPr>
          <w:rFonts w:eastAsia="Times New Roman" w:cs="Times New Roman"/>
          <w:kern w:val="22"/>
          <w:sz w:val="22"/>
          <w:lang w:val="fr-FR"/>
        </w:rPr>
        <w:t>temporaire</w:t>
      </w:r>
      <w:r w:rsidR="00BC5F0A">
        <w:rPr>
          <w:rFonts w:eastAsia="Times New Roman" w:cs="Times New Roman"/>
          <w:kern w:val="22"/>
          <w:sz w:val="22"/>
          <w:lang w:val="fr-FR"/>
        </w:rPr>
        <w:t>ment</w:t>
      </w:r>
      <w:r w:rsidR="003B13A3">
        <w:rPr>
          <w:rFonts w:eastAsia="Times New Roman" w:cs="Times New Roman"/>
          <w:kern w:val="22"/>
          <w:sz w:val="22"/>
          <w:lang w:val="fr-FR"/>
        </w:rPr>
        <w:t xml:space="preserve"> pour étudier des</w:t>
      </w:r>
      <w:r w:rsidR="00100087" w:rsidRPr="003B13A3">
        <w:rPr>
          <w:rFonts w:eastAsia="Times New Roman" w:cs="Times New Roman"/>
          <w:kern w:val="22"/>
          <w:sz w:val="22"/>
          <w:lang w:val="fr-FR"/>
        </w:rPr>
        <w:t xml:space="preserve"> collections. </w:t>
      </w:r>
      <w:r w:rsidR="003B13A3">
        <w:rPr>
          <w:rFonts w:eastAsia="Times New Roman" w:cs="Times New Roman"/>
          <w:kern w:val="22"/>
          <w:sz w:val="22"/>
          <w:lang w:val="fr-FR"/>
        </w:rPr>
        <w:t xml:space="preserve">Les chercheurs du </w:t>
      </w:r>
      <w:r w:rsidR="00100087" w:rsidRPr="00121FCD">
        <w:rPr>
          <w:rFonts w:eastAsia="Times New Roman" w:cs="Times New Roman"/>
          <w:kern w:val="22"/>
          <w:sz w:val="22"/>
          <w:lang w:val="fr-FR"/>
        </w:rPr>
        <w:t xml:space="preserve">MNHN </w:t>
      </w:r>
      <w:r w:rsidR="00E55FA3">
        <w:rPr>
          <w:rFonts w:eastAsia="Times New Roman" w:cs="Times New Roman"/>
          <w:kern w:val="22"/>
          <w:sz w:val="22"/>
          <w:lang w:val="fr-FR"/>
        </w:rPr>
        <w:t xml:space="preserve">prêtent </w:t>
      </w:r>
      <w:r w:rsidR="003B13A3">
        <w:rPr>
          <w:rFonts w:eastAsia="Times New Roman" w:cs="Times New Roman"/>
          <w:kern w:val="22"/>
          <w:sz w:val="22"/>
          <w:lang w:val="fr-FR"/>
        </w:rPr>
        <w:t xml:space="preserve">souvent </w:t>
      </w:r>
      <w:r w:rsidR="00E55FA3">
        <w:rPr>
          <w:rFonts w:eastAsia="Times New Roman" w:cs="Times New Roman"/>
          <w:kern w:val="22"/>
          <w:sz w:val="22"/>
          <w:lang w:val="fr-FR"/>
        </w:rPr>
        <w:t xml:space="preserve">également </w:t>
      </w:r>
      <w:r w:rsidR="003B13A3">
        <w:rPr>
          <w:rFonts w:eastAsia="Times New Roman" w:cs="Times New Roman"/>
          <w:kern w:val="22"/>
          <w:sz w:val="22"/>
          <w:lang w:val="fr-FR"/>
        </w:rPr>
        <w:t xml:space="preserve">des </w:t>
      </w:r>
      <w:r w:rsidR="00D6232E" w:rsidRPr="00121FCD">
        <w:rPr>
          <w:rFonts w:eastAsia="Times New Roman" w:cs="Times New Roman"/>
          <w:kern w:val="22"/>
          <w:sz w:val="22"/>
          <w:lang w:val="fr-FR"/>
        </w:rPr>
        <w:t>spécimen</w:t>
      </w:r>
      <w:r w:rsidR="003B13A3">
        <w:rPr>
          <w:rFonts w:eastAsia="Times New Roman" w:cs="Times New Roman"/>
          <w:kern w:val="22"/>
          <w:sz w:val="22"/>
          <w:lang w:val="fr-FR"/>
        </w:rPr>
        <w:t>s à</w:t>
      </w:r>
      <w:r w:rsidR="002518EB" w:rsidRPr="00121FCD">
        <w:rPr>
          <w:rFonts w:eastAsia="Times New Roman" w:cs="Times New Roman"/>
          <w:kern w:val="22"/>
          <w:sz w:val="22"/>
          <w:lang w:val="fr-FR"/>
        </w:rPr>
        <w:t xml:space="preserve"> d’autres </w:t>
      </w:r>
      <w:r w:rsidR="003B13A3">
        <w:rPr>
          <w:rFonts w:eastAsia="Times New Roman" w:cs="Times New Roman"/>
          <w:kern w:val="22"/>
          <w:sz w:val="22"/>
          <w:lang w:val="fr-FR"/>
        </w:rPr>
        <w:t>musé</w:t>
      </w:r>
      <w:r w:rsidR="00100087" w:rsidRPr="00121FCD">
        <w:rPr>
          <w:rFonts w:eastAsia="Times New Roman" w:cs="Times New Roman"/>
          <w:kern w:val="22"/>
          <w:sz w:val="22"/>
          <w:lang w:val="fr-FR"/>
        </w:rPr>
        <w:t>ums</w:t>
      </w:r>
      <w:r w:rsidR="00E3674F" w:rsidRPr="00121FCD">
        <w:rPr>
          <w:rFonts w:eastAsia="Times New Roman" w:cs="Times New Roman"/>
          <w:kern w:val="22"/>
          <w:sz w:val="22"/>
          <w:lang w:val="fr-FR"/>
        </w:rPr>
        <w:t xml:space="preserve"> </w:t>
      </w:r>
      <w:r w:rsidR="003B13A3">
        <w:rPr>
          <w:rFonts w:eastAsia="Times New Roman" w:cs="Times New Roman"/>
          <w:kern w:val="22"/>
          <w:sz w:val="22"/>
          <w:lang w:val="fr-FR"/>
        </w:rPr>
        <w:t xml:space="preserve">scientifiques </w:t>
      </w:r>
      <w:r w:rsidR="00E3674F" w:rsidRPr="00121FCD">
        <w:rPr>
          <w:rFonts w:eastAsia="Times New Roman" w:cs="Times New Roman"/>
          <w:kern w:val="22"/>
          <w:sz w:val="22"/>
          <w:lang w:val="fr-FR"/>
        </w:rPr>
        <w:t xml:space="preserve">et </w:t>
      </w:r>
      <w:r w:rsidR="003B13A3">
        <w:rPr>
          <w:rFonts w:eastAsia="Times New Roman" w:cs="Times New Roman"/>
          <w:kern w:val="22"/>
          <w:sz w:val="22"/>
          <w:lang w:val="fr-FR"/>
        </w:rPr>
        <w:t xml:space="preserve">centres de </w:t>
      </w:r>
      <w:r w:rsidR="00121FCD" w:rsidRPr="00121FCD">
        <w:rPr>
          <w:rFonts w:eastAsia="Times New Roman" w:cs="Times New Roman"/>
          <w:kern w:val="22"/>
          <w:sz w:val="22"/>
          <w:lang w:val="fr-FR"/>
        </w:rPr>
        <w:t>recherche</w:t>
      </w:r>
      <w:r w:rsidR="00100087" w:rsidRPr="00121FCD">
        <w:rPr>
          <w:rFonts w:eastAsia="Times New Roman" w:cs="Times New Roman"/>
          <w:kern w:val="22"/>
          <w:sz w:val="22"/>
          <w:lang w:val="fr-FR"/>
        </w:rPr>
        <w:t xml:space="preserve">. </w:t>
      </w:r>
      <w:r w:rsidR="00E55FA3">
        <w:rPr>
          <w:rFonts w:eastAsia="Times New Roman" w:cs="Times New Roman"/>
          <w:kern w:val="22"/>
          <w:sz w:val="22"/>
          <w:lang w:val="fr-FR"/>
        </w:rPr>
        <w:t xml:space="preserve">Le MNHN </w:t>
      </w:r>
      <w:r w:rsidR="003B13A3">
        <w:rPr>
          <w:rFonts w:eastAsia="Times New Roman" w:cs="Times New Roman"/>
          <w:kern w:val="22"/>
          <w:sz w:val="22"/>
          <w:lang w:val="fr-FR"/>
        </w:rPr>
        <w:t xml:space="preserve">procède actuellement à une régularisation de ses </w:t>
      </w:r>
      <w:r w:rsidR="00DF00EA">
        <w:rPr>
          <w:rFonts w:eastAsia="Times New Roman" w:cs="Times New Roman"/>
          <w:kern w:val="22"/>
          <w:sz w:val="22"/>
          <w:lang w:val="fr-FR"/>
        </w:rPr>
        <w:t>pratiques</w:t>
      </w:r>
      <w:r w:rsidR="003B13A3">
        <w:rPr>
          <w:rFonts w:eastAsia="Times New Roman" w:cs="Times New Roman"/>
          <w:kern w:val="22"/>
          <w:sz w:val="22"/>
          <w:lang w:val="fr-FR"/>
        </w:rPr>
        <w:t xml:space="preserve">, conformément aux </w:t>
      </w:r>
      <w:r w:rsidR="00BC5F0A">
        <w:rPr>
          <w:rFonts w:eastAsia="Times New Roman" w:cs="Times New Roman"/>
          <w:kern w:val="22"/>
          <w:sz w:val="22"/>
          <w:lang w:val="fr-FR"/>
        </w:rPr>
        <w:t>exigences prescrites dans le</w:t>
      </w:r>
      <w:r w:rsidR="00E3674F" w:rsidRPr="00FB5AF9">
        <w:rPr>
          <w:rFonts w:eastAsia="Times New Roman" w:cs="Times New Roman"/>
          <w:kern w:val="22"/>
          <w:sz w:val="22"/>
          <w:lang w:val="fr-FR"/>
        </w:rPr>
        <w:t xml:space="preserve"> Protocole de Nagoya</w:t>
      </w:r>
      <w:r w:rsidR="003B13A3">
        <w:rPr>
          <w:rFonts w:eastAsia="Times New Roman" w:cs="Times New Roman"/>
          <w:kern w:val="22"/>
          <w:sz w:val="22"/>
          <w:lang w:val="fr-FR"/>
        </w:rPr>
        <w:t>, en mettant au point des outils numériques p</w:t>
      </w:r>
      <w:r w:rsidR="00E55FA3">
        <w:rPr>
          <w:rFonts w:eastAsia="Times New Roman" w:cs="Times New Roman"/>
          <w:kern w:val="22"/>
          <w:sz w:val="22"/>
          <w:lang w:val="fr-FR"/>
        </w:rPr>
        <w:t>our assurer une</w:t>
      </w:r>
      <w:r w:rsidR="00100087" w:rsidRPr="00FB5AF9">
        <w:rPr>
          <w:rFonts w:eastAsia="Times New Roman" w:cs="Times New Roman"/>
          <w:kern w:val="22"/>
          <w:sz w:val="22"/>
          <w:lang w:val="fr-FR"/>
        </w:rPr>
        <w:t xml:space="preserve"> </w:t>
      </w:r>
      <w:r w:rsidR="00A72FFF">
        <w:rPr>
          <w:rFonts w:eastAsia="Times New Roman" w:cs="Times New Roman"/>
          <w:kern w:val="22"/>
          <w:sz w:val="22"/>
          <w:lang w:val="fr-FR"/>
        </w:rPr>
        <w:t>traçabilité</w:t>
      </w:r>
      <w:r w:rsidR="003B13A3">
        <w:rPr>
          <w:rFonts w:eastAsia="Times New Roman" w:cs="Times New Roman"/>
          <w:kern w:val="22"/>
          <w:sz w:val="22"/>
          <w:lang w:val="fr-FR"/>
        </w:rPr>
        <w:t>, en enregistrant tous les documents</w:t>
      </w:r>
      <w:r w:rsidR="00100087" w:rsidRPr="00FB5AF9">
        <w:rPr>
          <w:rFonts w:eastAsia="Times New Roman" w:cs="Times New Roman"/>
          <w:kern w:val="22"/>
          <w:sz w:val="22"/>
          <w:lang w:val="fr-FR"/>
        </w:rPr>
        <w:t xml:space="preserve"> </w:t>
      </w:r>
      <w:r w:rsidR="0022044D" w:rsidRPr="00FB5AF9">
        <w:rPr>
          <w:rFonts w:eastAsia="Times New Roman" w:cs="Times New Roman"/>
          <w:kern w:val="22"/>
          <w:sz w:val="22"/>
          <w:lang w:val="fr-FR"/>
        </w:rPr>
        <w:t>juridiques</w:t>
      </w:r>
      <w:r w:rsidR="00E55FA3">
        <w:rPr>
          <w:rFonts w:eastAsia="Times New Roman" w:cs="Times New Roman"/>
          <w:kern w:val="22"/>
          <w:sz w:val="22"/>
          <w:lang w:val="fr-FR"/>
        </w:rPr>
        <w:t xml:space="preserve">, ainsi que les obligations relatives à l’accès et </w:t>
      </w:r>
      <w:r w:rsidR="007732EE" w:rsidRPr="00FB5AF9">
        <w:rPr>
          <w:rFonts w:eastAsia="Times New Roman" w:cs="Times New Roman"/>
          <w:kern w:val="22"/>
          <w:sz w:val="22"/>
          <w:lang w:val="fr-FR"/>
        </w:rPr>
        <w:t>au partage des avantages</w:t>
      </w:r>
      <w:r w:rsidR="00BC5F0A">
        <w:rPr>
          <w:rFonts w:eastAsia="Times New Roman" w:cs="Times New Roman"/>
          <w:kern w:val="22"/>
          <w:sz w:val="22"/>
          <w:lang w:val="fr-FR"/>
        </w:rPr>
        <w:t xml:space="preserve"> liées aux </w:t>
      </w:r>
      <w:r w:rsidR="00046703" w:rsidRPr="00FB5AF9">
        <w:rPr>
          <w:rFonts w:eastAsia="Times New Roman" w:cs="Times New Roman"/>
          <w:kern w:val="22"/>
          <w:sz w:val="22"/>
          <w:lang w:val="fr-FR"/>
        </w:rPr>
        <w:t>bases de données</w:t>
      </w:r>
      <w:r w:rsidR="002320C1">
        <w:rPr>
          <w:rFonts w:eastAsia="Times New Roman" w:cs="Times New Roman"/>
          <w:kern w:val="22"/>
          <w:sz w:val="22"/>
          <w:lang w:val="fr-FR"/>
        </w:rPr>
        <w:t xml:space="preserve"> des collections</w:t>
      </w:r>
      <w:r w:rsidR="00100087" w:rsidRPr="00FB5AF9">
        <w:rPr>
          <w:rFonts w:eastAsia="Times New Roman" w:cs="Times New Roman"/>
          <w:kern w:val="22"/>
          <w:sz w:val="22"/>
          <w:lang w:val="fr-FR"/>
        </w:rPr>
        <w:t xml:space="preserve">. </w:t>
      </w:r>
      <w:r w:rsidR="002320C1">
        <w:rPr>
          <w:rFonts w:eastAsia="Times New Roman" w:cs="Times New Roman"/>
          <w:kern w:val="22"/>
          <w:sz w:val="22"/>
          <w:lang w:val="fr-FR"/>
        </w:rPr>
        <w:t xml:space="preserve">Ceci inclut une </w:t>
      </w:r>
      <w:r w:rsidR="002320C1" w:rsidRPr="002320C1">
        <w:rPr>
          <w:rFonts w:eastAsia="Times New Roman" w:cs="Times New Roman"/>
          <w:kern w:val="22"/>
          <w:sz w:val="22"/>
          <w:lang w:val="fr-FR"/>
        </w:rPr>
        <w:t>‘</w:t>
      </w:r>
      <w:r w:rsidR="00046703" w:rsidRPr="002320C1">
        <w:rPr>
          <w:rFonts w:eastAsia="Times New Roman" w:cs="Times New Roman"/>
          <w:kern w:val="22"/>
          <w:sz w:val="22"/>
          <w:lang w:val="fr-FR"/>
        </w:rPr>
        <w:t>base de données</w:t>
      </w:r>
      <w:r w:rsidR="002320C1" w:rsidRPr="002320C1">
        <w:rPr>
          <w:rFonts w:eastAsia="Times New Roman" w:cs="Times New Roman"/>
          <w:kern w:val="22"/>
          <w:sz w:val="22"/>
          <w:lang w:val="fr-FR"/>
        </w:rPr>
        <w:t xml:space="preserve"> Nagoya</w:t>
      </w:r>
      <w:r w:rsidR="00100087" w:rsidRPr="002320C1">
        <w:rPr>
          <w:rFonts w:eastAsia="Times New Roman" w:cs="Times New Roman"/>
          <w:kern w:val="22"/>
          <w:sz w:val="22"/>
          <w:lang w:val="fr-FR"/>
        </w:rPr>
        <w:t>’</w:t>
      </w:r>
      <w:r w:rsidR="002320C1" w:rsidRPr="002320C1">
        <w:rPr>
          <w:rFonts w:eastAsia="Times New Roman" w:cs="Times New Roman"/>
          <w:kern w:val="22"/>
          <w:sz w:val="22"/>
          <w:lang w:val="fr-FR"/>
        </w:rPr>
        <w:t xml:space="preserve"> </w:t>
      </w:r>
      <w:r w:rsidR="006011EF" w:rsidRPr="002320C1">
        <w:rPr>
          <w:rFonts w:eastAsia="Times New Roman" w:cs="Times New Roman"/>
          <w:kern w:val="22"/>
          <w:sz w:val="22"/>
          <w:lang w:val="fr-FR"/>
        </w:rPr>
        <w:t>d</w:t>
      </w:r>
      <w:r w:rsidR="006011EF">
        <w:rPr>
          <w:rFonts w:eastAsia="Times New Roman" w:cs="Times New Roman"/>
          <w:kern w:val="22"/>
          <w:sz w:val="22"/>
          <w:lang w:val="fr-FR"/>
        </w:rPr>
        <w:t>istincte</w:t>
      </w:r>
      <w:r w:rsidR="002320C1">
        <w:rPr>
          <w:rFonts w:eastAsia="Times New Roman" w:cs="Times New Roman"/>
          <w:kern w:val="22"/>
          <w:sz w:val="22"/>
          <w:lang w:val="fr-FR"/>
        </w:rPr>
        <w:t xml:space="preserve"> mais complémentaire des</w:t>
      </w:r>
      <w:r w:rsidR="00100087" w:rsidRPr="002320C1">
        <w:rPr>
          <w:rFonts w:eastAsia="Times New Roman" w:cs="Times New Roman"/>
          <w:kern w:val="22"/>
          <w:sz w:val="22"/>
          <w:lang w:val="fr-FR"/>
        </w:rPr>
        <w:t xml:space="preserve"> </w:t>
      </w:r>
      <w:r w:rsidR="00E55FA3">
        <w:rPr>
          <w:rFonts w:eastAsia="Times New Roman" w:cs="Times New Roman"/>
          <w:kern w:val="22"/>
          <w:sz w:val="22"/>
          <w:lang w:val="fr-FR"/>
        </w:rPr>
        <w:t>bases de données de</w:t>
      </w:r>
      <w:r w:rsidR="002320C1">
        <w:rPr>
          <w:rFonts w:eastAsia="Times New Roman" w:cs="Times New Roman"/>
          <w:kern w:val="22"/>
          <w:sz w:val="22"/>
          <w:lang w:val="fr-FR"/>
        </w:rPr>
        <w:t>s collections, qui permettra aux gestionnaires de connaître les droits et les restrictions éventuelles en matière d’</w:t>
      </w:r>
      <w:r w:rsidR="00424B6E" w:rsidRPr="002320C1">
        <w:rPr>
          <w:rFonts w:eastAsia="Times New Roman" w:cs="Times New Roman"/>
          <w:kern w:val="22"/>
          <w:sz w:val="22"/>
          <w:lang w:val="fr-FR"/>
        </w:rPr>
        <w:t xml:space="preserve">utilisation </w:t>
      </w:r>
      <w:r w:rsidR="002320C1">
        <w:rPr>
          <w:rFonts w:eastAsia="Times New Roman" w:cs="Times New Roman"/>
          <w:kern w:val="22"/>
          <w:sz w:val="22"/>
          <w:lang w:val="fr-FR"/>
        </w:rPr>
        <w:t>des</w:t>
      </w:r>
      <w:r w:rsidR="00100087" w:rsidRPr="002320C1">
        <w:rPr>
          <w:rFonts w:eastAsia="Times New Roman" w:cs="Times New Roman"/>
          <w:kern w:val="22"/>
          <w:sz w:val="22"/>
          <w:lang w:val="fr-FR"/>
        </w:rPr>
        <w:t xml:space="preserve"> </w:t>
      </w:r>
      <w:r w:rsidR="00D6232E" w:rsidRPr="002320C1">
        <w:rPr>
          <w:rFonts w:eastAsia="Times New Roman" w:cs="Times New Roman"/>
          <w:kern w:val="22"/>
          <w:sz w:val="22"/>
          <w:lang w:val="fr-FR"/>
        </w:rPr>
        <w:t>spécimen</w:t>
      </w:r>
      <w:r w:rsidR="00100087" w:rsidRPr="002320C1">
        <w:rPr>
          <w:rFonts w:eastAsia="Times New Roman" w:cs="Times New Roman"/>
          <w:kern w:val="22"/>
          <w:sz w:val="22"/>
          <w:lang w:val="fr-FR"/>
        </w:rPr>
        <w:t xml:space="preserve">s </w:t>
      </w:r>
      <w:r w:rsidR="00770AB8" w:rsidRPr="002320C1">
        <w:rPr>
          <w:rFonts w:eastAsia="Times New Roman" w:cs="Times New Roman"/>
          <w:kern w:val="22"/>
          <w:sz w:val="22"/>
          <w:lang w:val="fr-FR"/>
        </w:rPr>
        <w:t>demandé</w:t>
      </w:r>
      <w:r w:rsidR="002320C1">
        <w:rPr>
          <w:rFonts w:eastAsia="Times New Roman" w:cs="Times New Roman"/>
          <w:kern w:val="22"/>
          <w:sz w:val="22"/>
          <w:lang w:val="fr-FR"/>
        </w:rPr>
        <w:t xml:space="preserve">s pour un prêt, un échantillon ou une </w:t>
      </w:r>
      <w:r w:rsidR="00E3674F" w:rsidRPr="002320C1">
        <w:rPr>
          <w:rFonts w:eastAsia="Times New Roman" w:cs="Times New Roman"/>
          <w:kern w:val="22"/>
          <w:sz w:val="22"/>
          <w:lang w:val="fr-FR"/>
        </w:rPr>
        <w:t>étude</w:t>
      </w:r>
      <w:r w:rsidR="00100087" w:rsidRPr="002320C1">
        <w:rPr>
          <w:rFonts w:eastAsia="Times New Roman" w:cs="Times New Roman"/>
          <w:kern w:val="22"/>
          <w:sz w:val="22"/>
          <w:lang w:val="fr-FR"/>
        </w:rPr>
        <w:t xml:space="preserve">. </w:t>
      </w:r>
    </w:p>
    <w:p w14:paraId="645F0866" w14:textId="63B9BED9" w:rsidR="00100087" w:rsidRPr="00814E28" w:rsidRDefault="00BE6788" w:rsidP="00D67C7E">
      <w:pPr>
        <w:rPr>
          <w:rFonts w:cs="Times New Roman"/>
          <w:kern w:val="22"/>
          <w:sz w:val="22"/>
          <w:lang w:val="fr-FR"/>
        </w:rPr>
      </w:pPr>
      <w:r w:rsidRPr="00BE6788">
        <w:rPr>
          <w:rFonts w:eastAsia="Times New Roman" w:cs="Times New Roman"/>
          <w:kern w:val="22"/>
          <w:sz w:val="22"/>
          <w:lang w:val="fr-FR"/>
        </w:rPr>
        <w:t>L</w:t>
      </w:r>
      <w:r>
        <w:rPr>
          <w:rFonts w:eastAsia="Times New Roman" w:cs="Times New Roman"/>
          <w:kern w:val="22"/>
          <w:sz w:val="22"/>
          <w:lang w:val="fr-FR"/>
        </w:rPr>
        <w:t>a loi</w:t>
      </w:r>
      <w:r w:rsidRPr="00BE6788">
        <w:rPr>
          <w:rFonts w:eastAsia="Times New Roman" w:cs="Times New Roman"/>
          <w:kern w:val="22"/>
          <w:sz w:val="22"/>
          <w:lang w:val="fr-FR"/>
        </w:rPr>
        <w:t xml:space="preserve"> français</w:t>
      </w:r>
      <w:r>
        <w:rPr>
          <w:rFonts w:eastAsia="Times New Roman" w:cs="Times New Roman"/>
          <w:kern w:val="22"/>
          <w:sz w:val="22"/>
          <w:lang w:val="fr-FR"/>
        </w:rPr>
        <w:t>e</w:t>
      </w:r>
      <w:r w:rsidR="00931FA2">
        <w:rPr>
          <w:kern w:val="22"/>
          <w:sz w:val="22"/>
          <w:lang w:val="fr-FR"/>
        </w:rPr>
        <w:t xml:space="preserve"> transposant</w:t>
      </w:r>
      <w:r>
        <w:rPr>
          <w:kern w:val="22"/>
          <w:sz w:val="22"/>
          <w:lang w:val="fr-FR"/>
        </w:rPr>
        <w:t xml:space="preserve"> le </w:t>
      </w:r>
      <w:r w:rsidR="00E3674F" w:rsidRPr="00BE6788">
        <w:rPr>
          <w:kern w:val="22"/>
          <w:sz w:val="22"/>
          <w:lang w:val="fr-FR"/>
        </w:rPr>
        <w:t>Protocole de Nagoya</w:t>
      </w:r>
      <w:r w:rsidR="00A10F90" w:rsidRPr="00BE6788">
        <w:rPr>
          <w:kern w:val="22"/>
          <w:sz w:val="22"/>
          <w:lang w:val="fr-FR"/>
        </w:rPr>
        <w:t xml:space="preserve"> </w:t>
      </w:r>
      <w:r w:rsidR="00E55FA3">
        <w:rPr>
          <w:kern w:val="22"/>
          <w:sz w:val="22"/>
          <w:lang w:val="fr-FR"/>
        </w:rPr>
        <w:t>dispose que toute</w:t>
      </w:r>
      <w:r>
        <w:rPr>
          <w:kern w:val="22"/>
          <w:sz w:val="22"/>
          <w:lang w:val="fr-FR"/>
        </w:rPr>
        <w:t xml:space="preserve"> ‘nouvelle</w:t>
      </w:r>
      <w:r w:rsidR="00100087" w:rsidRPr="00BE6788">
        <w:rPr>
          <w:kern w:val="22"/>
          <w:sz w:val="22"/>
          <w:lang w:val="fr-FR"/>
        </w:rPr>
        <w:t xml:space="preserve"> </w:t>
      </w:r>
      <w:r w:rsidR="008627A9" w:rsidRPr="00BE6788">
        <w:rPr>
          <w:kern w:val="22"/>
          <w:sz w:val="22"/>
          <w:lang w:val="fr-FR"/>
        </w:rPr>
        <w:t>utilisation</w:t>
      </w:r>
      <w:r w:rsidR="00100087" w:rsidRPr="00BE6788">
        <w:rPr>
          <w:kern w:val="22"/>
          <w:sz w:val="22"/>
          <w:lang w:val="fr-FR"/>
        </w:rPr>
        <w:t xml:space="preserve">’ </w:t>
      </w:r>
      <w:r w:rsidR="00E55FA3">
        <w:rPr>
          <w:kern w:val="22"/>
          <w:sz w:val="22"/>
          <w:lang w:val="fr-FR"/>
        </w:rPr>
        <w:t>d’une ressource génétique est sujette</w:t>
      </w:r>
      <w:r>
        <w:rPr>
          <w:kern w:val="22"/>
          <w:sz w:val="22"/>
          <w:lang w:val="fr-FR"/>
        </w:rPr>
        <w:t xml:space="preserve"> aux obligations relatives à l’</w:t>
      </w:r>
      <w:r w:rsidR="00A70F9B" w:rsidRPr="00BE6788">
        <w:rPr>
          <w:kern w:val="22"/>
          <w:sz w:val="22"/>
          <w:lang w:val="fr-FR"/>
        </w:rPr>
        <w:t xml:space="preserve">accès et </w:t>
      </w:r>
      <w:r>
        <w:rPr>
          <w:kern w:val="22"/>
          <w:sz w:val="22"/>
          <w:lang w:val="fr-FR"/>
        </w:rPr>
        <w:t xml:space="preserve">au </w:t>
      </w:r>
      <w:r w:rsidR="00A70F9B" w:rsidRPr="00BE6788">
        <w:rPr>
          <w:kern w:val="22"/>
          <w:sz w:val="22"/>
          <w:lang w:val="fr-FR"/>
        </w:rPr>
        <w:t>partage des avantages</w:t>
      </w:r>
      <w:r>
        <w:rPr>
          <w:kern w:val="22"/>
          <w:sz w:val="22"/>
          <w:lang w:val="fr-FR"/>
        </w:rPr>
        <w:t xml:space="preserve"> lorsqu’il existe une intention de commercialisation</w:t>
      </w:r>
      <w:r w:rsidR="004733EB" w:rsidRPr="00BE6788">
        <w:rPr>
          <w:kern w:val="22"/>
          <w:sz w:val="22"/>
          <w:lang w:val="fr-FR"/>
        </w:rPr>
        <w:t>.</w:t>
      </w:r>
      <w:r w:rsidR="00100087" w:rsidRPr="002364AB">
        <w:rPr>
          <w:rStyle w:val="FootnoteReference"/>
          <w:kern w:val="22"/>
          <w:sz w:val="22"/>
          <w:lang w:val="en-GB"/>
        </w:rPr>
        <w:footnoteReference w:id="105"/>
      </w:r>
      <w:r w:rsidR="00100087" w:rsidRPr="00BE6788">
        <w:rPr>
          <w:kern w:val="22"/>
          <w:sz w:val="22"/>
          <w:lang w:val="fr-FR"/>
        </w:rPr>
        <w:t xml:space="preserve"> </w:t>
      </w:r>
      <w:r w:rsidR="00814E28">
        <w:rPr>
          <w:kern w:val="22"/>
          <w:sz w:val="22"/>
          <w:lang w:val="fr-FR"/>
        </w:rPr>
        <w:t>Ceci implique – au</w:t>
      </w:r>
      <w:r w:rsidR="00543A23" w:rsidRPr="00BE6788">
        <w:rPr>
          <w:kern w:val="22"/>
          <w:sz w:val="22"/>
          <w:lang w:val="fr-FR"/>
        </w:rPr>
        <w:t xml:space="preserve"> </w:t>
      </w:r>
      <w:r w:rsidR="00100087" w:rsidRPr="00BE6788">
        <w:rPr>
          <w:kern w:val="22"/>
          <w:sz w:val="22"/>
          <w:lang w:val="fr-FR"/>
        </w:rPr>
        <w:t xml:space="preserve">minimum – </w:t>
      </w:r>
      <w:r w:rsidR="00814E28">
        <w:rPr>
          <w:kern w:val="22"/>
          <w:sz w:val="22"/>
          <w:lang w:val="fr-FR"/>
        </w:rPr>
        <w:t xml:space="preserve">que le </w:t>
      </w:r>
      <w:r w:rsidR="00715818">
        <w:rPr>
          <w:kern w:val="22"/>
          <w:sz w:val="22"/>
          <w:lang w:val="fr-FR"/>
        </w:rPr>
        <w:t>matériel biologique</w:t>
      </w:r>
      <w:r w:rsidR="00E3674F" w:rsidRPr="00BE6788">
        <w:rPr>
          <w:kern w:val="22"/>
          <w:sz w:val="22"/>
          <w:lang w:val="fr-FR"/>
        </w:rPr>
        <w:t xml:space="preserve"> et </w:t>
      </w:r>
      <w:r w:rsidR="00814E28">
        <w:rPr>
          <w:kern w:val="22"/>
          <w:sz w:val="22"/>
          <w:lang w:val="fr-FR"/>
        </w:rPr>
        <w:t xml:space="preserve">les </w:t>
      </w:r>
      <w:r w:rsidR="00830BE4" w:rsidRPr="00BE6788">
        <w:rPr>
          <w:kern w:val="22"/>
          <w:sz w:val="22"/>
          <w:lang w:val="fr-FR"/>
        </w:rPr>
        <w:t>connaissances traditionnelles connexes</w:t>
      </w:r>
      <w:r w:rsidR="00E55FA3">
        <w:rPr>
          <w:kern w:val="22"/>
          <w:sz w:val="22"/>
          <w:lang w:val="fr-FR"/>
        </w:rPr>
        <w:t xml:space="preserve"> obtenus</w:t>
      </w:r>
      <w:r w:rsidR="00814E28">
        <w:rPr>
          <w:kern w:val="22"/>
          <w:sz w:val="22"/>
          <w:lang w:val="fr-FR"/>
        </w:rPr>
        <w:t xml:space="preserve"> après </w:t>
      </w:r>
      <w:r w:rsidR="00202126" w:rsidRPr="00BE6788">
        <w:rPr>
          <w:kern w:val="22"/>
          <w:sz w:val="22"/>
          <w:lang w:val="fr-FR"/>
        </w:rPr>
        <w:t>l’entrée en vigueur</w:t>
      </w:r>
      <w:r w:rsidR="00100087" w:rsidRPr="00BE6788">
        <w:rPr>
          <w:kern w:val="22"/>
          <w:sz w:val="22"/>
          <w:lang w:val="fr-FR"/>
        </w:rPr>
        <w:t xml:space="preserve"> </w:t>
      </w:r>
      <w:r w:rsidR="004F1D8A">
        <w:rPr>
          <w:kern w:val="22"/>
          <w:sz w:val="22"/>
          <w:lang w:val="fr-FR"/>
        </w:rPr>
        <w:t xml:space="preserve">de la </w:t>
      </w:r>
      <w:r w:rsidR="007347F7">
        <w:rPr>
          <w:kern w:val="22"/>
          <w:sz w:val="22"/>
          <w:lang w:val="fr-FR"/>
        </w:rPr>
        <w:t>Convention</w:t>
      </w:r>
      <w:r w:rsidR="00100087" w:rsidRPr="00BE6788">
        <w:rPr>
          <w:kern w:val="22"/>
          <w:sz w:val="22"/>
          <w:lang w:val="fr-FR"/>
        </w:rPr>
        <w:t xml:space="preserve"> </w:t>
      </w:r>
      <w:r w:rsidR="00814E28">
        <w:rPr>
          <w:kern w:val="22"/>
          <w:sz w:val="22"/>
          <w:lang w:val="fr-FR"/>
        </w:rPr>
        <w:t xml:space="preserve">entrent </w:t>
      </w:r>
      <w:r w:rsidR="00934A20" w:rsidRPr="00BE6788">
        <w:rPr>
          <w:kern w:val="22"/>
          <w:sz w:val="22"/>
          <w:lang w:val="fr-FR"/>
        </w:rPr>
        <w:t>dans le champ d’application</w:t>
      </w:r>
      <w:r w:rsidR="004733EB" w:rsidRPr="00BE6788">
        <w:rPr>
          <w:kern w:val="22"/>
          <w:sz w:val="22"/>
          <w:lang w:val="fr-FR"/>
        </w:rPr>
        <w:t xml:space="preserve"> </w:t>
      </w:r>
      <w:r w:rsidR="0020703A" w:rsidRPr="00BE6788">
        <w:rPr>
          <w:kern w:val="22"/>
          <w:sz w:val="22"/>
          <w:lang w:val="fr-FR"/>
        </w:rPr>
        <w:t xml:space="preserve">de </w:t>
      </w:r>
      <w:r w:rsidR="00814E28">
        <w:rPr>
          <w:kern w:val="22"/>
          <w:sz w:val="22"/>
          <w:lang w:val="fr-FR"/>
        </w:rPr>
        <w:t xml:space="preserve">la loi française, mais aussi, potentiellement, </w:t>
      </w:r>
      <w:r w:rsidR="00E55FA3">
        <w:rPr>
          <w:kern w:val="22"/>
          <w:sz w:val="22"/>
          <w:lang w:val="fr-FR"/>
        </w:rPr>
        <w:t>qu’</w:t>
      </w:r>
      <w:r w:rsidR="00BC5F0A">
        <w:rPr>
          <w:kern w:val="22"/>
          <w:sz w:val="22"/>
          <w:lang w:val="fr-FR"/>
        </w:rPr>
        <w:t>il en va</w:t>
      </w:r>
      <w:r w:rsidR="00E55FA3">
        <w:rPr>
          <w:kern w:val="22"/>
          <w:sz w:val="22"/>
          <w:lang w:val="fr-FR"/>
        </w:rPr>
        <w:t xml:space="preserve"> de même pour </w:t>
      </w:r>
      <w:r w:rsidR="00814E28">
        <w:rPr>
          <w:kern w:val="22"/>
          <w:sz w:val="22"/>
          <w:lang w:val="fr-FR"/>
        </w:rPr>
        <w:t xml:space="preserve">le </w:t>
      </w:r>
      <w:r w:rsidR="003474B6">
        <w:rPr>
          <w:kern w:val="22"/>
          <w:sz w:val="22"/>
          <w:lang w:val="fr-FR"/>
        </w:rPr>
        <w:t>matériel</w:t>
      </w:r>
      <w:r w:rsidR="00814E28">
        <w:rPr>
          <w:kern w:val="22"/>
          <w:sz w:val="22"/>
          <w:lang w:val="fr-FR"/>
        </w:rPr>
        <w:t xml:space="preserve"> biologique</w:t>
      </w:r>
      <w:r w:rsidR="00E3674F" w:rsidRPr="00BE6788">
        <w:rPr>
          <w:kern w:val="22"/>
          <w:sz w:val="22"/>
          <w:lang w:val="fr-FR"/>
        </w:rPr>
        <w:t xml:space="preserve"> et </w:t>
      </w:r>
      <w:r w:rsidR="00814E28">
        <w:rPr>
          <w:kern w:val="22"/>
          <w:sz w:val="22"/>
          <w:lang w:val="fr-FR"/>
        </w:rPr>
        <w:t xml:space="preserve">les </w:t>
      </w:r>
      <w:r w:rsidR="00830BE4" w:rsidRPr="00BE6788">
        <w:rPr>
          <w:kern w:val="22"/>
          <w:sz w:val="22"/>
          <w:lang w:val="fr-FR"/>
        </w:rPr>
        <w:t>connaissances traditionnelles connexes</w:t>
      </w:r>
      <w:r w:rsidR="00100087" w:rsidRPr="00BE6788">
        <w:rPr>
          <w:kern w:val="22"/>
          <w:sz w:val="22"/>
          <w:lang w:val="fr-FR"/>
        </w:rPr>
        <w:t xml:space="preserve"> </w:t>
      </w:r>
      <w:r w:rsidR="00E55FA3">
        <w:rPr>
          <w:kern w:val="22"/>
          <w:sz w:val="22"/>
          <w:lang w:val="fr-FR"/>
        </w:rPr>
        <w:t>acqui</w:t>
      </w:r>
      <w:r w:rsidR="00814E28">
        <w:rPr>
          <w:kern w:val="22"/>
          <w:sz w:val="22"/>
          <w:lang w:val="fr-FR"/>
        </w:rPr>
        <w:t xml:space="preserve">s avant l’entrée en vigueur de la </w:t>
      </w:r>
      <w:r w:rsidR="00E55FA3">
        <w:rPr>
          <w:kern w:val="22"/>
          <w:sz w:val="22"/>
          <w:lang w:val="fr-FR"/>
        </w:rPr>
        <w:t>Convention</w:t>
      </w:r>
      <w:r w:rsidR="00100087" w:rsidRPr="00BE6788">
        <w:rPr>
          <w:kern w:val="22"/>
          <w:sz w:val="22"/>
          <w:lang w:val="fr-FR"/>
        </w:rPr>
        <w:t xml:space="preserve">. </w:t>
      </w:r>
      <w:r w:rsidR="00BC5F0A">
        <w:rPr>
          <w:kern w:val="22"/>
          <w:sz w:val="22"/>
          <w:lang w:val="fr-FR"/>
        </w:rPr>
        <w:t xml:space="preserve">Ceci aboutit à </w:t>
      </w:r>
      <w:r w:rsidR="00E55FA3">
        <w:rPr>
          <w:kern w:val="22"/>
          <w:sz w:val="22"/>
          <w:lang w:val="fr-FR"/>
        </w:rPr>
        <w:t>une nouvelle ré</w:t>
      </w:r>
      <w:r w:rsidR="00814E28" w:rsidRPr="00814E28">
        <w:rPr>
          <w:kern w:val="22"/>
          <w:sz w:val="22"/>
          <w:lang w:val="fr-FR"/>
        </w:rPr>
        <w:t xml:space="preserve">flexion sur </w:t>
      </w:r>
      <w:r w:rsidR="00934A20" w:rsidRPr="00814E28">
        <w:rPr>
          <w:kern w:val="22"/>
          <w:sz w:val="22"/>
          <w:lang w:val="fr-FR"/>
        </w:rPr>
        <w:t>l’accès aux</w:t>
      </w:r>
      <w:r w:rsidR="00814E28">
        <w:rPr>
          <w:kern w:val="22"/>
          <w:sz w:val="22"/>
          <w:lang w:val="fr-FR"/>
        </w:rPr>
        <w:t xml:space="preserve"> collections botaniques du</w:t>
      </w:r>
      <w:r w:rsidR="00100087" w:rsidRPr="00814E28">
        <w:rPr>
          <w:kern w:val="22"/>
          <w:sz w:val="22"/>
          <w:lang w:val="fr-FR"/>
        </w:rPr>
        <w:t xml:space="preserve"> MNHN</w:t>
      </w:r>
      <w:r w:rsidR="00E55FA3">
        <w:rPr>
          <w:kern w:val="22"/>
          <w:sz w:val="22"/>
          <w:lang w:val="fr-FR"/>
        </w:rPr>
        <w:t xml:space="preserve"> acquises </w:t>
      </w:r>
      <w:r w:rsidR="00814E28">
        <w:rPr>
          <w:kern w:val="22"/>
          <w:sz w:val="22"/>
          <w:lang w:val="fr-FR"/>
        </w:rPr>
        <w:t>av</w:t>
      </w:r>
      <w:r w:rsidR="00E55FA3">
        <w:rPr>
          <w:kern w:val="22"/>
          <w:sz w:val="22"/>
          <w:lang w:val="fr-FR"/>
        </w:rPr>
        <w:t>a</w:t>
      </w:r>
      <w:r w:rsidR="00814E28">
        <w:rPr>
          <w:kern w:val="22"/>
          <w:sz w:val="22"/>
          <w:lang w:val="fr-FR"/>
        </w:rPr>
        <w:t>nt l’entrée en vigueur du Protocole de Nagoya</w:t>
      </w:r>
      <w:r w:rsidR="00BC5F0A">
        <w:rPr>
          <w:kern w:val="22"/>
          <w:sz w:val="22"/>
          <w:lang w:val="fr-FR"/>
        </w:rPr>
        <w:t>,</w:t>
      </w:r>
      <w:r w:rsidR="00E55FA3">
        <w:rPr>
          <w:kern w:val="22"/>
          <w:sz w:val="22"/>
          <w:lang w:val="fr-FR"/>
        </w:rPr>
        <w:t xml:space="preserve"> à des fins d’utilisation</w:t>
      </w:r>
      <w:r w:rsidR="00100087" w:rsidRPr="002364AB">
        <w:rPr>
          <w:rStyle w:val="FootnoteReference"/>
          <w:kern w:val="22"/>
          <w:sz w:val="22"/>
          <w:lang w:val="en-GB"/>
        </w:rPr>
        <w:footnoteReference w:id="106"/>
      </w:r>
      <w:r w:rsidR="00E55FA3">
        <w:rPr>
          <w:kern w:val="22"/>
          <w:sz w:val="22"/>
          <w:lang w:val="fr-FR"/>
        </w:rPr>
        <w:t>.</w:t>
      </w:r>
      <w:r w:rsidR="00BC5F0A">
        <w:rPr>
          <w:kern w:val="22"/>
          <w:sz w:val="22"/>
          <w:lang w:val="fr-FR"/>
        </w:rPr>
        <w:t xml:space="preserve"> Ceci peut représenter un nouveau défi également </w:t>
      </w:r>
      <w:r w:rsidR="00E55FA3">
        <w:rPr>
          <w:kern w:val="22"/>
          <w:sz w:val="22"/>
          <w:lang w:val="fr-FR"/>
        </w:rPr>
        <w:t>pour l</w:t>
      </w:r>
      <w:r w:rsidR="00814E28">
        <w:rPr>
          <w:kern w:val="22"/>
          <w:sz w:val="22"/>
          <w:lang w:val="fr-FR"/>
        </w:rPr>
        <w:t xml:space="preserve">es </w:t>
      </w:r>
      <w:r w:rsidRPr="00814E28">
        <w:rPr>
          <w:kern w:val="22"/>
          <w:sz w:val="22"/>
          <w:lang w:val="fr-FR"/>
        </w:rPr>
        <w:t>herbiers</w:t>
      </w:r>
      <w:r w:rsidR="00E3674F" w:rsidRPr="00814E28">
        <w:rPr>
          <w:kern w:val="22"/>
          <w:sz w:val="22"/>
          <w:lang w:val="fr-FR"/>
        </w:rPr>
        <w:t xml:space="preserve"> et</w:t>
      </w:r>
      <w:r w:rsidR="00E55FA3">
        <w:rPr>
          <w:kern w:val="22"/>
          <w:sz w:val="22"/>
          <w:lang w:val="fr-FR"/>
        </w:rPr>
        <w:t xml:space="preserve"> d’autres types de</w:t>
      </w:r>
      <w:r w:rsidR="00C24E0F" w:rsidRPr="00E55FA3">
        <w:rPr>
          <w:kern w:val="22"/>
          <w:sz w:val="22"/>
          <w:lang w:val="fr-FR"/>
        </w:rPr>
        <w:t xml:space="preserve"> </w:t>
      </w:r>
      <w:r w:rsidR="00FC7EA5" w:rsidRPr="00E55FA3">
        <w:rPr>
          <w:iCs/>
          <w:kern w:val="22"/>
          <w:sz w:val="22"/>
          <w:lang w:val="fr-FR"/>
        </w:rPr>
        <w:t>collections</w:t>
      </w:r>
      <w:r w:rsidR="00FC7EA5" w:rsidRPr="00814E28">
        <w:rPr>
          <w:i/>
          <w:iCs/>
          <w:kern w:val="22"/>
          <w:sz w:val="22"/>
          <w:lang w:val="fr-FR"/>
        </w:rPr>
        <w:t xml:space="preserve"> ex situ</w:t>
      </w:r>
      <w:r w:rsidR="00100087" w:rsidRPr="00814E28">
        <w:rPr>
          <w:kern w:val="22"/>
          <w:sz w:val="22"/>
          <w:lang w:val="fr-FR"/>
        </w:rPr>
        <w:t xml:space="preserve"> </w:t>
      </w:r>
      <w:r w:rsidR="00E55FA3">
        <w:rPr>
          <w:kern w:val="22"/>
          <w:sz w:val="22"/>
          <w:lang w:val="fr-FR"/>
        </w:rPr>
        <w:t>s</w:t>
      </w:r>
      <w:r w:rsidR="00814E28">
        <w:rPr>
          <w:kern w:val="22"/>
          <w:sz w:val="22"/>
          <w:lang w:val="fr-FR"/>
        </w:rPr>
        <w:t xml:space="preserve">itués dans </w:t>
      </w:r>
      <w:r w:rsidR="002518EB" w:rsidRPr="00814E28">
        <w:rPr>
          <w:kern w:val="22"/>
          <w:sz w:val="22"/>
          <w:lang w:val="fr-FR"/>
        </w:rPr>
        <w:t xml:space="preserve">d’autres </w:t>
      </w:r>
      <w:r w:rsidR="00E40444" w:rsidRPr="00814E28">
        <w:rPr>
          <w:kern w:val="22"/>
          <w:sz w:val="22"/>
          <w:lang w:val="fr-FR"/>
        </w:rPr>
        <w:t>pays</w:t>
      </w:r>
      <w:r w:rsidR="00D6232E" w:rsidRPr="00814E28">
        <w:rPr>
          <w:kern w:val="22"/>
          <w:sz w:val="22"/>
          <w:lang w:val="fr-FR"/>
        </w:rPr>
        <w:t xml:space="preserve"> </w:t>
      </w:r>
      <w:r w:rsidR="00E55FA3">
        <w:rPr>
          <w:kern w:val="22"/>
          <w:sz w:val="22"/>
          <w:lang w:val="fr-FR"/>
        </w:rPr>
        <w:t>qui imposent des obligations relatives à</w:t>
      </w:r>
      <w:r w:rsidR="00814E28">
        <w:rPr>
          <w:kern w:val="22"/>
          <w:sz w:val="22"/>
          <w:lang w:val="fr-FR"/>
        </w:rPr>
        <w:t xml:space="preserve"> l’</w:t>
      </w:r>
      <w:r w:rsidR="00A70F9B" w:rsidRPr="00814E28">
        <w:rPr>
          <w:kern w:val="22"/>
          <w:sz w:val="22"/>
          <w:lang w:val="fr-FR"/>
        </w:rPr>
        <w:t xml:space="preserve">accès et </w:t>
      </w:r>
      <w:r w:rsidR="007732EE" w:rsidRPr="00814E28">
        <w:rPr>
          <w:kern w:val="22"/>
          <w:sz w:val="22"/>
          <w:lang w:val="fr-FR"/>
        </w:rPr>
        <w:t>au partage des avantages</w:t>
      </w:r>
      <w:r w:rsidR="00E55FA3">
        <w:rPr>
          <w:kern w:val="22"/>
          <w:sz w:val="22"/>
          <w:lang w:val="fr-FR"/>
        </w:rPr>
        <w:t xml:space="preserve"> en cas d’acquisition</w:t>
      </w:r>
      <w:r w:rsidR="00814E28">
        <w:rPr>
          <w:kern w:val="22"/>
          <w:sz w:val="22"/>
          <w:lang w:val="fr-FR"/>
        </w:rPr>
        <w:t xml:space="preserve"> de matériel biologique à des fins d’utilisation</w:t>
      </w:r>
      <w:r w:rsidR="00100087" w:rsidRPr="00814E28">
        <w:rPr>
          <w:kern w:val="22"/>
          <w:sz w:val="22"/>
          <w:lang w:val="fr-FR"/>
        </w:rPr>
        <w:t>.</w:t>
      </w:r>
    </w:p>
    <w:p w14:paraId="2CD20AF9" w14:textId="74D93CED" w:rsidR="00100087" w:rsidRPr="00E40444" w:rsidRDefault="008627A9" w:rsidP="00100087">
      <w:pPr>
        <w:pStyle w:val="Heading2"/>
        <w:rPr>
          <w:kern w:val="22"/>
          <w:sz w:val="22"/>
          <w:szCs w:val="22"/>
          <w:lang w:val="fr-FR"/>
        </w:rPr>
      </w:pPr>
      <w:bookmarkStart w:id="134" w:name="_Toc48914799"/>
      <w:r w:rsidRPr="00E40444">
        <w:rPr>
          <w:kern w:val="22"/>
          <w:sz w:val="22"/>
          <w:szCs w:val="22"/>
          <w:lang w:val="fr-FR"/>
        </w:rPr>
        <w:t>Utilisation</w:t>
      </w:r>
      <w:r w:rsidR="00E3674F" w:rsidRPr="00E40444">
        <w:rPr>
          <w:kern w:val="22"/>
          <w:sz w:val="22"/>
          <w:szCs w:val="22"/>
          <w:lang w:val="fr-FR"/>
        </w:rPr>
        <w:t xml:space="preserve"> et </w:t>
      </w:r>
      <w:r w:rsidR="00BE6788">
        <w:rPr>
          <w:kern w:val="22"/>
          <w:sz w:val="22"/>
          <w:szCs w:val="22"/>
          <w:lang w:val="fr-FR"/>
        </w:rPr>
        <w:t>sélection d’é</w:t>
      </w:r>
      <w:r w:rsidR="00E40444" w:rsidRPr="00E40444">
        <w:rPr>
          <w:kern w:val="22"/>
          <w:sz w:val="22"/>
          <w:szCs w:val="22"/>
          <w:lang w:val="fr-FR"/>
        </w:rPr>
        <w:t>chantillons</w:t>
      </w:r>
      <w:r w:rsidR="007F218A" w:rsidRPr="00E40444">
        <w:rPr>
          <w:kern w:val="22"/>
          <w:sz w:val="22"/>
          <w:szCs w:val="22"/>
          <w:lang w:val="fr-FR"/>
        </w:rPr>
        <w:t xml:space="preserve"> </w:t>
      </w:r>
      <w:r w:rsidR="000F20E1">
        <w:rPr>
          <w:kern w:val="22"/>
          <w:sz w:val="22"/>
          <w:szCs w:val="22"/>
          <w:lang w:val="fr-FR"/>
        </w:rPr>
        <w:t>différents géographiquement</w:t>
      </w:r>
      <w:r w:rsidR="00BC5F0A">
        <w:rPr>
          <w:kern w:val="22"/>
          <w:sz w:val="22"/>
          <w:szCs w:val="22"/>
          <w:lang w:val="fr-FR"/>
        </w:rPr>
        <w:t xml:space="preserve"> </w:t>
      </w:r>
      <w:r w:rsidR="000F20E1">
        <w:rPr>
          <w:kern w:val="22"/>
          <w:sz w:val="22"/>
          <w:szCs w:val="22"/>
          <w:lang w:val="fr-FR"/>
        </w:rPr>
        <w:t>provenant de différentes régions et pays</w:t>
      </w:r>
      <w:bookmarkEnd w:id="134"/>
    </w:p>
    <w:p w14:paraId="10FBBBBD" w14:textId="76401569" w:rsidR="00100087" w:rsidRPr="005645F7" w:rsidRDefault="008A362D" w:rsidP="00100087">
      <w:pPr>
        <w:spacing w:after="120"/>
        <w:rPr>
          <w:rFonts w:cs="Times New Roman"/>
          <w:kern w:val="22"/>
          <w:sz w:val="22"/>
          <w:lang w:val="fr-FR"/>
        </w:rPr>
      </w:pPr>
      <w:r w:rsidRPr="008A362D">
        <w:rPr>
          <w:rFonts w:cs="Times New Roman"/>
          <w:kern w:val="22"/>
          <w:sz w:val="22"/>
          <w:lang w:val="fr-FR"/>
        </w:rPr>
        <w:t>Dans</w:t>
      </w:r>
      <w:r w:rsidR="00CF5BFD" w:rsidRPr="008A362D">
        <w:rPr>
          <w:rFonts w:cs="Times New Roman"/>
          <w:kern w:val="22"/>
          <w:sz w:val="22"/>
          <w:lang w:val="fr-FR"/>
        </w:rPr>
        <w:t xml:space="preserve"> </w:t>
      </w:r>
      <w:r w:rsidRPr="008A362D">
        <w:rPr>
          <w:rFonts w:cs="Times New Roman"/>
          <w:kern w:val="22"/>
          <w:sz w:val="22"/>
          <w:lang w:val="fr-FR"/>
        </w:rPr>
        <w:t>la recherche et développement</w:t>
      </w:r>
      <w:r w:rsidR="00F87A64" w:rsidRPr="008A362D">
        <w:rPr>
          <w:rFonts w:cs="Times New Roman"/>
          <w:kern w:val="22"/>
          <w:sz w:val="22"/>
          <w:lang w:val="fr-FR"/>
        </w:rPr>
        <w:t xml:space="preserve">, </w:t>
      </w:r>
      <w:r w:rsidR="007746C2">
        <w:rPr>
          <w:rFonts w:cs="Times New Roman"/>
          <w:kern w:val="22"/>
          <w:sz w:val="22"/>
          <w:lang w:val="fr-FR"/>
        </w:rPr>
        <w:t>il n’est pas inhabituel que les</w:t>
      </w:r>
      <w:r w:rsidR="00100087" w:rsidRPr="008A362D" w:rsidDel="005E16DD">
        <w:rPr>
          <w:rFonts w:cs="Times New Roman"/>
          <w:kern w:val="22"/>
          <w:sz w:val="22"/>
          <w:lang w:val="fr-FR"/>
        </w:rPr>
        <w:t xml:space="preserve"> </w:t>
      </w:r>
      <w:r>
        <w:rPr>
          <w:rFonts w:cs="Times New Roman"/>
          <w:kern w:val="22"/>
          <w:sz w:val="22"/>
          <w:lang w:val="fr-FR"/>
        </w:rPr>
        <w:t>chercheurs</w:t>
      </w:r>
      <w:r w:rsidR="00100087" w:rsidRPr="008A362D" w:rsidDel="005E16DD">
        <w:rPr>
          <w:rFonts w:cs="Times New Roman"/>
          <w:kern w:val="22"/>
          <w:sz w:val="22"/>
          <w:lang w:val="fr-FR"/>
        </w:rPr>
        <w:t xml:space="preserve"> </w:t>
      </w:r>
      <w:r w:rsidR="007746C2">
        <w:rPr>
          <w:rFonts w:cs="Times New Roman"/>
          <w:kern w:val="22"/>
          <w:sz w:val="22"/>
          <w:lang w:val="fr-FR"/>
        </w:rPr>
        <w:t>utilisent</w:t>
      </w:r>
      <w:r>
        <w:rPr>
          <w:rFonts w:cs="Times New Roman"/>
          <w:kern w:val="22"/>
          <w:sz w:val="22"/>
          <w:lang w:val="fr-FR"/>
        </w:rPr>
        <w:t xml:space="preserve"> un grand </w:t>
      </w:r>
      <w:r w:rsidR="00D6232E" w:rsidRPr="008A362D">
        <w:rPr>
          <w:rFonts w:cs="Times New Roman"/>
          <w:kern w:val="22"/>
          <w:sz w:val="22"/>
          <w:lang w:val="fr-FR"/>
        </w:rPr>
        <w:t>nombre</w:t>
      </w:r>
      <w:r>
        <w:rPr>
          <w:rFonts w:cs="Times New Roman"/>
          <w:kern w:val="22"/>
          <w:sz w:val="22"/>
          <w:lang w:val="fr-FR"/>
        </w:rPr>
        <w:t xml:space="preserve"> d’</w:t>
      </w:r>
      <w:r w:rsidR="00E40444" w:rsidRPr="008A362D">
        <w:rPr>
          <w:rFonts w:cs="Times New Roman"/>
          <w:kern w:val="22"/>
          <w:sz w:val="22"/>
          <w:lang w:val="fr-FR"/>
        </w:rPr>
        <w:t>échantillons</w:t>
      </w:r>
      <w:r w:rsidR="00100087" w:rsidRPr="008A362D">
        <w:rPr>
          <w:rFonts w:cs="Times New Roman"/>
          <w:kern w:val="22"/>
          <w:sz w:val="22"/>
          <w:lang w:val="fr-FR"/>
        </w:rPr>
        <w:t xml:space="preserve"> </w:t>
      </w:r>
      <w:r w:rsidR="00DD6515">
        <w:rPr>
          <w:rFonts w:cs="Times New Roman"/>
          <w:kern w:val="22"/>
          <w:sz w:val="22"/>
          <w:lang w:val="fr-FR"/>
        </w:rPr>
        <w:t>physiques pour d</w:t>
      </w:r>
      <w:r w:rsidR="00814E28">
        <w:rPr>
          <w:rFonts w:cs="Times New Roman"/>
          <w:kern w:val="22"/>
          <w:sz w:val="22"/>
          <w:lang w:val="fr-FR"/>
        </w:rPr>
        <w:t>es projets de sé</w:t>
      </w:r>
      <w:r w:rsidR="00DD6515">
        <w:rPr>
          <w:rFonts w:cs="Times New Roman"/>
          <w:kern w:val="22"/>
          <w:sz w:val="22"/>
          <w:lang w:val="fr-FR"/>
        </w:rPr>
        <w:t>lection</w:t>
      </w:r>
      <w:r w:rsidR="007746C2">
        <w:rPr>
          <w:rFonts w:cs="Times New Roman"/>
          <w:kern w:val="22"/>
          <w:sz w:val="22"/>
          <w:lang w:val="fr-FR"/>
        </w:rPr>
        <w:t xml:space="preserve"> et développement afin de, entre autres, </w:t>
      </w:r>
      <w:r w:rsidR="00E3674F" w:rsidRPr="008A362D">
        <w:rPr>
          <w:rFonts w:cs="Times New Roman"/>
          <w:kern w:val="22"/>
          <w:sz w:val="22"/>
          <w:lang w:val="fr-FR"/>
        </w:rPr>
        <w:t>identifier</w:t>
      </w:r>
      <w:r w:rsidR="00100087" w:rsidRPr="008A362D">
        <w:rPr>
          <w:rFonts w:cs="Times New Roman"/>
          <w:kern w:val="22"/>
          <w:sz w:val="22"/>
          <w:lang w:val="fr-FR"/>
        </w:rPr>
        <w:t xml:space="preserve"> </w:t>
      </w:r>
      <w:r w:rsidR="00814E28">
        <w:rPr>
          <w:rFonts w:cs="Times New Roman"/>
          <w:kern w:val="22"/>
          <w:sz w:val="22"/>
          <w:lang w:val="fr-FR"/>
        </w:rPr>
        <w:t xml:space="preserve">des débouchés </w:t>
      </w:r>
      <w:r w:rsidR="007746C2">
        <w:rPr>
          <w:rFonts w:cs="Times New Roman"/>
          <w:kern w:val="22"/>
          <w:sz w:val="22"/>
          <w:lang w:val="fr-FR"/>
        </w:rPr>
        <w:t xml:space="preserve">potentiels pour un </w:t>
      </w:r>
      <w:r w:rsidR="00012185">
        <w:rPr>
          <w:rFonts w:cs="Times New Roman"/>
          <w:kern w:val="22"/>
          <w:sz w:val="22"/>
          <w:lang w:val="fr-FR"/>
        </w:rPr>
        <w:t>examen plus approfondi</w:t>
      </w:r>
      <w:r w:rsidR="00DD6515">
        <w:rPr>
          <w:rFonts w:cs="Times New Roman"/>
          <w:kern w:val="22"/>
          <w:sz w:val="22"/>
          <w:lang w:val="fr-FR"/>
        </w:rPr>
        <w:t xml:space="preserve"> </w:t>
      </w:r>
      <w:r w:rsidR="00814E28">
        <w:rPr>
          <w:rFonts w:cs="Times New Roman"/>
          <w:kern w:val="22"/>
          <w:sz w:val="22"/>
          <w:lang w:val="fr-FR"/>
        </w:rPr>
        <w:t>dans de nombreux domaines importants sur le plan commercial</w:t>
      </w:r>
      <w:r w:rsidR="00100087" w:rsidRPr="008A362D">
        <w:rPr>
          <w:rFonts w:cs="Times New Roman"/>
          <w:kern w:val="22"/>
          <w:sz w:val="22"/>
          <w:lang w:val="fr-FR"/>
        </w:rPr>
        <w:t xml:space="preserve">. </w:t>
      </w:r>
      <w:r w:rsidR="007746C2">
        <w:rPr>
          <w:rFonts w:cs="Times New Roman"/>
          <w:kern w:val="22"/>
          <w:sz w:val="22"/>
          <w:lang w:val="fr-FR"/>
        </w:rPr>
        <w:t xml:space="preserve">Le cas décrit </w:t>
      </w:r>
      <w:r w:rsidR="00814E28">
        <w:rPr>
          <w:rFonts w:cs="Times New Roman"/>
          <w:kern w:val="22"/>
          <w:sz w:val="22"/>
          <w:lang w:val="fr-FR"/>
        </w:rPr>
        <w:t xml:space="preserve">ci-dessous est un exemple d’une telle </w:t>
      </w:r>
      <w:r w:rsidR="007746C2">
        <w:rPr>
          <w:rFonts w:cs="Times New Roman"/>
          <w:kern w:val="22"/>
          <w:sz w:val="22"/>
          <w:lang w:val="fr-FR"/>
        </w:rPr>
        <w:t xml:space="preserve">sélection, sans que les auteurs prennent </w:t>
      </w:r>
      <w:r w:rsidR="00814E28">
        <w:rPr>
          <w:rFonts w:cs="Times New Roman"/>
          <w:kern w:val="22"/>
          <w:sz w:val="22"/>
          <w:lang w:val="fr-FR"/>
        </w:rPr>
        <w:lastRenderedPageBreak/>
        <w:t xml:space="preserve">position </w:t>
      </w:r>
      <w:r w:rsidR="007746C2">
        <w:rPr>
          <w:rFonts w:cs="Times New Roman"/>
          <w:kern w:val="22"/>
          <w:sz w:val="22"/>
          <w:lang w:val="fr-FR"/>
        </w:rPr>
        <w:t xml:space="preserve">en aucune manière </w:t>
      </w:r>
      <w:r w:rsidR="00814E28">
        <w:rPr>
          <w:rFonts w:cs="Times New Roman"/>
          <w:kern w:val="22"/>
          <w:sz w:val="22"/>
          <w:lang w:val="fr-FR"/>
        </w:rPr>
        <w:t xml:space="preserve">sur le point de savoir si les semences agricoles entrent ou non </w:t>
      </w:r>
      <w:r w:rsidR="00934A20" w:rsidRPr="005645F7">
        <w:rPr>
          <w:rFonts w:cs="Times New Roman"/>
          <w:kern w:val="22"/>
          <w:sz w:val="22"/>
          <w:lang w:val="fr-FR"/>
        </w:rPr>
        <w:t>dans le champ d’application</w:t>
      </w:r>
      <w:r w:rsidR="00100087" w:rsidRPr="005645F7">
        <w:rPr>
          <w:rFonts w:cs="Times New Roman"/>
          <w:kern w:val="22"/>
          <w:sz w:val="22"/>
          <w:lang w:val="fr-FR"/>
        </w:rPr>
        <w:t xml:space="preserve"> </w:t>
      </w:r>
      <w:r w:rsidR="00770AB8" w:rsidRPr="005645F7">
        <w:rPr>
          <w:rFonts w:cs="Times New Roman"/>
          <w:kern w:val="22"/>
          <w:sz w:val="22"/>
          <w:lang w:val="fr-FR"/>
        </w:rPr>
        <w:t>du Pro</w:t>
      </w:r>
      <w:r w:rsidR="00E3674F" w:rsidRPr="005645F7">
        <w:rPr>
          <w:rFonts w:cs="Times New Roman"/>
          <w:kern w:val="22"/>
          <w:sz w:val="22"/>
          <w:lang w:val="fr-FR"/>
        </w:rPr>
        <w:t>tocole de Nagoya</w:t>
      </w:r>
      <w:r w:rsidR="00100087" w:rsidRPr="005645F7">
        <w:rPr>
          <w:rFonts w:cs="Times New Roman"/>
          <w:kern w:val="22"/>
          <w:sz w:val="22"/>
          <w:lang w:val="fr-FR"/>
        </w:rPr>
        <w:t>.</w:t>
      </w:r>
      <w:r w:rsidR="00100087" w:rsidRPr="002364AB">
        <w:rPr>
          <w:rStyle w:val="FootnoteReference"/>
          <w:rFonts w:cs="Times New Roman"/>
          <w:kern w:val="22"/>
          <w:sz w:val="22"/>
          <w:lang w:val="en-GB"/>
        </w:rPr>
        <w:footnoteReference w:id="107"/>
      </w:r>
      <w:r w:rsidR="00100087" w:rsidRPr="005645F7">
        <w:rPr>
          <w:rFonts w:cs="Times New Roman"/>
          <w:kern w:val="22"/>
          <w:sz w:val="22"/>
          <w:lang w:val="fr-FR"/>
        </w:rPr>
        <w:t xml:space="preserve">    </w:t>
      </w:r>
    </w:p>
    <w:p w14:paraId="39ED3C7E" w14:textId="274B88DB" w:rsidR="005938C7" w:rsidRPr="00AB5CE8" w:rsidRDefault="00BB5C3F" w:rsidP="00100087">
      <w:pPr>
        <w:spacing w:after="120"/>
        <w:rPr>
          <w:rFonts w:cs="Times New Roman"/>
          <w:kern w:val="22"/>
          <w:sz w:val="22"/>
          <w:lang w:val="fr-FR"/>
        </w:rPr>
      </w:pPr>
      <w:r w:rsidRPr="00BB5C3F">
        <w:rPr>
          <w:rFonts w:cs="Times New Roman"/>
          <w:kern w:val="22"/>
          <w:sz w:val="22"/>
          <w:lang w:val="fr-FR"/>
        </w:rPr>
        <w:t>E</w:t>
      </w:r>
      <w:r w:rsidR="00100087" w:rsidRPr="00BB5C3F">
        <w:rPr>
          <w:rFonts w:cs="Times New Roman"/>
          <w:kern w:val="22"/>
          <w:sz w:val="22"/>
          <w:lang w:val="fr-FR"/>
        </w:rPr>
        <w:t>n 2014</w:t>
      </w:r>
      <w:r w:rsidRPr="00BB5C3F">
        <w:rPr>
          <w:rFonts w:cs="Times New Roman"/>
          <w:kern w:val="22"/>
          <w:sz w:val="22"/>
          <w:lang w:val="fr-FR"/>
        </w:rPr>
        <w:t>, la</w:t>
      </w:r>
      <w:r w:rsidR="007746C2">
        <w:rPr>
          <w:rFonts w:cs="Times New Roman"/>
          <w:kern w:val="22"/>
          <w:sz w:val="22"/>
          <w:lang w:val="fr-FR"/>
        </w:rPr>
        <w:t xml:space="preserve"> coalition “No Patents on Seeds</w:t>
      </w:r>
      <w:r w:rsidR="00100087" w:rsidRPr="00BB5C3F">
        <w:rPr>
          <w:rFonts w:cs="Times New Roman"/>
          <w:kern w:val="22"/>
          <w:sz w:val="22"/>
          <w:lang w:val="fr-FR"/>
        </w:rPr>
        <w:t>”</w:t>
      </w:r>
      <w:r w:rsidR="00100087" w:rsidRPr="002364AB">
        <w:rPr>
          <w:rStyle w:val="FootnoteReference"/>
          <w:kern w:val="22"/>
          <w:sz w:val="22"/>
          <w:lang w:val="en-GB"/>
        </w:rPr>
        <w:footnoteReference w:id="108"/>
      </w:r>
      <w:r w:rsidR="00100087" w:rsidRPr="00BB5C3F">
        <w:rPr>
          <w:rFonts w:cs="Times New Roman"/>
          <w:kern w:val="22"/>
          <w:sz w:val="22"/>
          <w:lang w:val="fr-FR"/>
        </w:rPr>
        <w:t xml:space="preserve"> </w:t>
      </w:r>
      <w:r w:rsidR="007746C2">
        <w:rPr>
          <w:rFonts w:cs="Times New Roman"/>
          <w:kern w:val="22"/>
          <w:sz w:val="22"/>
          <w:lang w:val="fr-FR"/>
        </w:rPr>
        <w:t>a contesté</w:t>
      </w:r>
      <w:r>
        <w:rPr>
          <w:rFonts w:cs="Times New Roman"/>
          <w:kern w:val="22"/>
          <w:sz w:val="22"/>
          <w:lang w:val="fr-FR"/>
        </w:rPr>
        <w:t xml:space="preserve"> une demande de brevet de Monsanto</w:t>
      </w:r>
      <w:r w:rsidR="00100087" w:rsidRPr="002364AB">
        <w:rPr>
          <w:rStyle w:val="FootnoteReference"/>
          <w:kern w:val="22"/>
          <w:sz w:val="22"/>
          <w:lang w:val="en-GB"/>
        </w:rPr>
        <w:footnoteReference w:id="109"/>
      </w:r>
      <w:r w:rsidR="00125C0E">
        <w:rPr>
          <w:rFonts w:cs="Times New Roman"/>
          <w:kern w:val="22"/>
          <w:sz w:val="22"/>
          <w:lang w:val="fr-FR"/>
        </w:rPr>
        <w:t>devant l’Office européen des brevets</w:t>
      </w:r>
      <w:r>
        <w:rPr>
          <w:rFonts w:cs="Times New Roman"/>
          <w:kern w:val="22"/>
          <w:sz w:val="22"/>
          <w:lang w:val="fr-FR"/>
        </w:rPr>
        <w:t xml:space="preserve"> </w:t>
      </w:r>
      <w:r w:rsidR="00125C0E">
        <w:rPr>
          <w:rFonts w:cs="Times New Roman"/>
          <w:kern w:val="22"/>
          <w:sz w:val="22"/>
          <w:lang w:val="fr-FR"/>
        </w:rPr>
        <w:t xml:space="preserve"> (</w:t>
      </w:r>
      <w:r w:rsidR="00100087" w:rsidRPr="00BB5C3F">
        <w:rPr>
          <w:rFonts w:cs="Times New Roman"/>
          <w:kern w:val="22"/>
          <w:sz w:val="22"/>
          <w:lang w:val="fr-FR"/>
        </w:rPr>
        <w:t>O</w:t>
      </w:r>
      <w:r w:rsidR="00125C0E">
        <w:rPr>
          <w:rFonts w:cs="Times New Roman"/>
          <w:kern w:val="22"/>
          <w:sz w:val="22"/>
          <w:lang w:val="fr-FR"/>
        </w:rPr>
        <w:t>EB</w:t>
      </w:r>
      <w:r w:rsidR="00100087" w:rsidRPr="00BB5C3F">
        <w:rPr>
          <w:rFonts w:cs="Times New Roman"/>
          <w:kern w:val="22"/>
          <w:sz w:val="22"/>
          <w:lang w:val="fr-FR"/>
        </w:rPr>
        <w:t>)</w:t>
      </w:r>
      <w:r w:rsidR="007746C2">
        <w:rPr>
          <w:rFonts w:cs="Times New Roman"/>
          <w:kern w:val="22"/>
          <w:sz w:val="22"/>
          <w:lang w:val="fr-FR"/>
        </w:rPr>
        <w:t> ; la demande de brevet concernait des</w:t>
      </w:r>
      <w:r w:rsidR="000240BF">
        <w:rPr>
          <w:rFonts w:cs="Times New Roman"/>
          <w:kern w:val="22"/>
          <w:sz w:val="22"/>
          <w:lang w:val="fr-FR"/>
        </w:rPr>
        <w:t xml:space="preserve"> mé</w:t>
      </w:r>
      <w:r w:rsidR="00100087" w:rsidRPr="00BB5C3F">
        <w:rPr>
          <w:rFonts w:cs="Times New Roman"/>
          <w:kern w:val="22"/>
          <w:sz w:val="22"/>
          <w:lang w:val="fr-FR"/>
        </w:rPr>
        <w:t>thod</w:t>
      </w:r>
      <w:r w:rsidR="000240BF">
        <w:rPr>
          <w:rFonts w:cs="Times New Roman"/>
          <w:kern w:val="22"/>
          <w:sz w:val="22"/>
          <w:lang w:val="fr-FR"/>
        </w:rPr>
        <w:t>e</w:t>
      </w:r>
      <w:r w:rsidR="00100087" w:rsidRPr="00BB5C3F">
        <w:rPr>
          <w:rFonts w:cs="Times New Roman"/>
          <w:kern w:val="22"/>
          <w:sz w:val="22"/>
          <w:lang w:val="fr-FR"/>
        </w:rPr>
        <w:t>s</w:t>
      </w:r>
      <w:r w:rsidR="007746C2">
        <w:rPr>
          <w:rFonts w:cs="Times New Roman"/>
          <w:kern w:val="22"/>
          <w:sz w:val="22"/>
          <w:lang w:val="fr-FR"/>
        </w:rPr>
        <w:t xml:space="preserve"> de filtrage et sélection de</w:t>
      </w:r>
      <w:r w:rsidR="000240BF">
        <w:rPr>
          <w:rFonts w:cs="Times New Roman"/>
          <w:kern w:val="22"/>
          <w:sz w:val="22"/>
          <w:lang w:val="fr-FR"/>
        </w:rPr>
        <w:t xml:space="preserve"> plan</w:t>
      </w:r>
      <w:r w:rsidR="00986166">
        <w:rPr>
          <w:rFonts w:cs="Times New Roman"/>
          <w:kern w:val="22"/>
          <w:sz w:val="22"/>
          <w:lang w:val="fr-FR"/>
        </w:rPr>
        <w:t xml:space="preserve">tes et semences de soja pour effectuer des </w:t>
      </w:r>
      <w:r w:rsidR="000240BF">
        <w:rPr>
          <w:rFonts w:cs="Times New Roman"/>
          <w:kern w:val="22"/>
          <w:sz w:val="22"/>
          <w:lang w:val="fr-FR"/>
        </w:rPr>
        <w:t>grou</w:t>
      </w:r>
      <w:r w:rsidR="00986166">
        <w:rPr>
          <w:rFonts w:cs="Times New Roman"/>
          <w:kern w:val="22"/>
          <w:sz w:val="22"/>
          <w:lang w:val="fr-FR"/>
        </w:rPr>
        <w:t xml:space="preserve">pements liés à </w:t>
      </w:r>
      <w:r w:rsidR="000240BF">
        <w:rPr>
          <w:rFonts w:cs="Times New Roman"/>
          <w:kern w:val="22"/>
          <w:sz w:val="22"/>
          <w:lang w:val="fr-FR"/>
        </w:rPr>
        <w:t>la maturité et la croissance végétales, en utilisant des</w:t>
      </w:r>
      <w:r w:rsidR="00100087" w:rsidRPr="00BB5C3F">
        <w:rPr>
          <w:rFonts w:cs="Times New Roman"/>
          <w:kern w:val="22"/>
          <w:sz w:val="22"/>
          <w:lang w:val="fr-FR"/>
        </w:rPr>
        <w:t xml:space="preserve"> polymorphism</w:t>
      </w:r>
      <w:r w:rsidR="000240BF">
        <w:rPr>
          <w:rFonts w:cs="Times New Roman"/>
          <w:kern w:val="22"/>
          <w:sz w:val="22"/>
          <w:lang w:val="fr-FR"/>
        </w:rPr>
        <w:t>e</w:t>
      </w:r>
      <w:r w:rsidR="00100087" w:rsidRPr="00BB5C3F">
        <w:rPr>
          <w:rFonts w:cs="Times New Roman"/>
          <w:kern w:val="22"/>
          <w:sz w:val="22"/>
          <w:lang w:val="fr-FR"/>
        </w:rPr>
        <w:t>s</w:t>
      </w:r>
      <w:r w:rsidR="000240BF">
        <w:rPr>
          <w:rFonts w:cs="Times New Roman"/>
          <w:kern w:val="22"/>
          <w:sz w:val="22"/>
          <w:lang w:val="fr-FR"/>
        </w:rPr>
        <w:t xml:space="preserve"> </w:t>
      </w:r>
      <w:r w:rsidR="00986166">
        <w:rPr>
          <w:rFonts w:cs="Times New Roman"/>
          <w:kern w:val="22"/>
          <w:sz w:val="22"/>
          <w:lang w:val="fr-FR"/>
        </w:rPr>
        <w:t>de nucléotides simples</w:t>
      </w:r>
      <w:r w:rsidR="00100087" w:rsidRPr="00BB5C3F">
        <w:rPr>
          <w:rFonts w:cs="Times New Roman"/>
          <w:kern w:val="22"/>
          <w:sz w:val="22"/>
          <w:lang w:val="fr-FR"/>
        </w:rPr>
        <w:t xml:space="preserve">. </w:t>
      </w:r>
      <w:r w:rsidR="000240BF" w:rsidRPr="000240BF">
        <w:rPr>
          <w:rFonts w:cs="Times New Roman"/>
          <w:kern w:val="22"/>
          <w:sz w:val="22"/>
          <w:lang w:val="fr-FR"/>
        </w:rPr>
        <w:t>L</w:t>
      </w:r>
      <w:r w:rsidR="000240BF">
        <w:rPr>
          <w:rFonts w:cs="Times New Roman"/>
          <w:kern w:val="22"/>
          <w:sz w:val="22"/>
          <w:lang w:val="fr-FR"/>
        </w:rPr>
        <w:t xml:space="preserve">es </w:t>
      </w:r>
      <w:r w:rsidR="00986166">
        <w:rPr>
          <w:rFonts w:cs="Times New Roman"/>
          <w:kern w:val="22"/>
          <w:sz w:val="22"/>
          <w:lang w:val="fr-FR"/>
        </w:rPr>
        <w:t>opposants</w:t>
      </w:r>
      <w:r w:rsidR="000240BF" w:rsidRPr="000240BF">
        <w:rPr>
          <w:rFonts w:cs="Times New Roman"/>
          <w:kern w:val="22"/>
          <w:sz w:val="22"/>
          <w:lang w:val="fr-FR"/>
        </w:rPr>
        <w:t xml:space="preserve"> </w:t>
      </w:r>
      <w:r w:rsidR="000240BF">
        <w:rPr>
          <w:rFonts w:cs="Times New Roman"/>
          <w:kern w:val="22"/>
          <w:sz w:val="22"/>
          <w:lang w:val="fr-FR"/>
        </w:rPr>
        <w:t>c</w:t>
      </w:r>
      <w:r w:rsidR="007746C2">
        <w:rPr>
          <w:rFonts w:cs="Times New Roman"/>
          <w:kern w:val="22"/>
          <w:sz w:val="22"/>
          <w:lang w:val="fr-FR"/>
        </w:rPr>
        <w:t>itèrent</w:t>
      </w:r>
      <w:r w:rsidR="000240BF">
        <w:rPr>
          <w:rFonts w:cs="Times New Roman"/>
          <w:kern w:val="22"/>
          <w:sz w:val="22"/>
          <w:lang w:val="fr-FR"/>
        </w:rPr>
        <w:t xml:space="preserve"> </w:t>
      </w:r>
      <w:r w:rsidR="007746C2">
        <w:rPr>
          <w:rFonts w:cs="Times New Roman"/>
          <w:kern w:val="22"/>
          <w:sz w:val="22"/>
          <w:lang w:val="fr-FR"/>
        </w:rPr>
        <w:t>la déclaration</w:t>
      </w:r>
      <w:r w:rsidR="000240BF" w:rsidRPr="000240BF">
        <w:rPr>
          <w:rFonts w:cs="Times New Roman"/>
          <w:kern w:val="22"/>
          <w:sz w:val="22"/>
          <w:lang w:val="fr-FR"/>
        </w:rPr>
        <w:t xml:space="preserve"> </w:t>
      </w:r>
      <w:r w:rsidR="000240BF">
        <w:rPr>
          <w:rFonts w:cs="Times New Roman"/>
          <w:kern w:val="22"/>
          <w:sz w:val="22"/>
          <w:lang w:val="fr-FR"/>
        </w:rPr>
        <w:t>faite dans la demande de brevet, que “plus de</w:t>
      </w:r>
      <w:r w:rsidR="00100087" w:rsidRPr="000240BF">
        <w:rPr>
          <w:rFonts w:cs="Times New Roman"/>
          <w:kern w:val="22"/>
          <w:sz w:val="22"/>
          <w:lang w:val="fr-FR"/>
        </w:rPr>
        <w:t xml:space="preserve"> 250 </w:t>
      </w:r>
      <w:r w:rsidR="001B2CC8" w:rsidRPr="000240BF">
        <w:rPr>
          <w:rFonts w:cs="Times New Roman"/>
          <w:kern w:val="22"/>
          <w:sz w:val="22"/>
          <w:lang w:val="fr-FR"/>
        </w:rPr>
        <w:t>plantes</w:t>
      </w:r>
      <w:r w:rsidR="00100087" w:rsidRPr="000240BF">
        <w:rPr>
          <w:rFonts w:cs="Times New Roman"/>
          <w:kern w:val="22"/>
          <w:sz w:val="22"/>
          <w:lang w:val="fr-FR"/>
        </w:rPr>
        <w:t xml:space="preserve"> </w:t>
      </w:r>
      <w:r w:rsidR="000240BF">
        <w:rPr>
          <w:rFonts w:cs="Times New Roman"/>
          <w:kern w:val="22"/>
          <w:sz w:val="22"/>
          <w:lang w:val="fr-FR"/>
        </w:rPr>
        <w:t>provenant d’espèces ‘exotiques</w:t>
      </w:r>
      <w:r w:rsidR="00100087" w:rsidRPr="000240BF">
        <w:rPr>
          <w:rFonts w:cs="Times New Roman"/>
          <w:kern w:val="22"/>
          <w:sz w:val="22"/>
          <w:lang w:val="fr-FR"/>
        </w:rPr>
        <w:t xml:space="preserve">’ </w:t>
      </w:r>
      <w:r w:rsidR="000240BF">
        <w:rPr>
          <w:rFonts w:cs="Times New Roman"/>
          <w:kern w:val="22"/>
          <w:sz w:val="22"/>
          <w:lang w:val="fr-FR"/>
        </w:rPr>
        <w:t>ont été</w:t>
      </w:r>
      <w:r w:rsidR="00100087" w:rsidRPr="000240BF">
        <w:rPr>
          <w:rFonts w:cs="Times New Roman"/>
          <w:kern w:val="22"/>
          <w:sz w:val="22"/>
          <w:lang w:val="fr-FR"/>
        </w:rPr>
        <w:t xml:space="preserve"> </w:t>
      </w:r>
      <w:r w:rsidR="000240BF">
        <w:rPr>
          <w:rFonts w:cs="Times New Roman"/>
          <w:kern w:val="22"/>
          <w:sz w:val="22"/>
          <w:lang w:val="fr-FR"/>
        </w:rPr>
        <w:t xml:space="preserve">sélectionnées pour leurs différences d’adaptation au changement climatique dans la </w:t>
      </w:r>
      <w:r w:rsidR="00100087" w:rsidRPr="000240BF">
        <w:rPr>
          <w:rFonts w:cs="Times New Roman"/>
          <w:kern w:val="22"/>
          <w:sz w:val="22"/>
          <w:lang w:val="fr-FR"/>
        </w:rPr>
        <w:t xml:space="preserve"> </w:t>
      </w:r>
      <w:r w:rsidR="000240BF">
        <w:rPr>
          <w:rFonts w:cs="Times New Roman"/>
          <w:kern w:val="22"/>
          <w:sz w:val="22"/>
          <w:lang w:val="fr-FR"/>
        </w:rPr>
        <w:t>pé</w:t>
      </w:r>
      <w:r w:rsidR="00100087" w:rsidRPr="000240BF">
        <w:rPr>
          <w:rFonts w:cs="Times New Roman"/>
          <w:kern w:val="22"/>
          <w:sz w:val="22"/>
          <w:lang w:val="fr-FR"/>
        </w:rPr>
        <w:t>riod</w:t>
      </w:r>
      <w:r w:rsidR="00986166">
        <w:rPr>
          <w:rFonts w:cs="Times New Roman"/>
          <w:kern w:val="22"/>
          <w:sz w:val="22"/>
          <w:lang w:val="fr-FR"/>
        </w:rPr>
        <w:t>e de temps écoulée</w:t>
      </w:r>
      <w:r w:rsidR="000240BF">
        <w:rPr>
          <w:rFonts w:cs="Times New Roman"/>
          <w:kern w:val="22"/>
          <w:sz w:val="22"/>
          <w:lang w:val="fr-FR"/>
        </w:rPr>
        <w:t xml:space="preserve"> jusqu’à la maturité et la récolte des plantes</w:t>
      </w:r>
      <w:r w:rsidR="00100087" w:rsidRPr="000240BF">
        <w:rPr>
          <w:rFonts w:cs="Times New Roman"/>
          <w:kern w:val="22"/>
          <w:sz w:val="22"/>
          <w:lang w:val="fr-FR"/>
        </w:rPr>
        <w:t>.”</w:t>
      </w:r>
      <w:r w:rsidR="00100087" w:rsidRPr="002364AB">
        <w:rPr>
          <w:rStyle w:val="FootnoteReference"/>
          <w:rFonts w:cs="Times New Roman"/>
          <w:kern w:val="22"/>
          <w:sz w:val="22"/>
          <w:lang w:val="en-GB"/>
        </w:rPr>
        <w:footnoteReference w:id="110"/>
      </w:r>
      <w:r w:rsidR="00100087" w:rsidRPr="000240BF">
        <w:rPr>
          <w:rFonts w:cs="Times New Roman"/>
          <w:kern w:val="22"/>
          <w:sz w:val="22"/>
          <w:lang w:val="fr-FR"/>
        </w:rPr>
        <w:t xml:space="preserve"> </w:t>
      </w:r>
      <w:r w:rsidR="000240BF" w:rsidRPr="000240BF">
        <w:rPr>
          <w:rFonts w:cs="Times New Roman"/>
          <w:kern w:val="22"/>
          <w:sz w:val="22"/>
          <w:lang w:val="fr-FR"/>
        </w:rPr>
        <w:t xml:space="preserve">Les opposants ont indiqué que des </w:t>
      </w:r>
      <w:r w:rsidR="00A77BB8" w:rsidRPr="000240BF">
        <w:rPr>
          <w:rFonts w:cs="Times New Roman"/>
          <w:kern w:val="22"/>
          <w:sz w:val="22"/>
          <w:lang w:val="fr-FR"/>
        </w:rPr>
        <w:t>espèces sauvages et cultivées</w:t>
      </w:r>
      <w:r w:rsidR="00986166">
        <w:rPr>
          <w:rFonts w:cs="Times New Roman"/>
          <w:kern w:val="22"/>
          <w:sz w:val="22"/>
          <w:lang w:val="fr-FR"/>
        </w:rPr>
        <w:t xml:space="preserve"> </w:t>
      </w:r>
      <w:r w:rsidR="000240BF" w:rsidRPr="000240BF">
        <w:rPr>
          <w:rFonts w:cs="Times New Roman"/>
          <w:kern w:val="22"/>
          <w:sz w:val="22"/>
          <w:lang w:val="fr-FR"/>
        </w:rPr>
        <w:t>venant d’</w:t>
      </w:r>
      <w:r w:rsidR="006011EF" w:rsidRPr="000240BF">
        <w:rPr>
          <w:rFonts w:cs="Times New Roman"/>
          <w:kern w:val="22"/>
          <w:sz w:val="22"/>
          <w:lang w:val="fr-FR"/>
        </w:rPr>
        <w:t>Australie</w:t>
      </w:r>
      <w:r w:rsidR="00E3674F" w:rsidRPr="000240BF">
        <w:rPr>
          <w:rFonts w:cs="Times New Roman"/>
          <w:kern w:val="22"/>
          <w:sz w:val="22"/>
          <w:lang w:val="fr-FR"/>
        </w:rPr>
        <w:t xml:space="preserve"> et </w:t>
      </w:r>
      <w:r w:rsidR="007746C2">
        <w:rPr>
          <w:rFonts w:cs="Times New Roman"/>
          <w:kern w:val="22"/>
          <w:sz w:val="22"/>
          <w:lang w:val="fr-FR"/>
        </w:rPr>
        <w:t>d’Asie avaient</w:t>
      </w:r>
      <w:r w:rsidR="00986166">
        <w:rPr>
          <w:rFonts w:cs="Times New Roman"/>
          <w:kern w:val="22"/>
          <w:sz w:val="22"/>
          <w:lang w:val="fr-FR"/>
        </w:rPr>
        <w:t xml:space="preserve"> été identifiées comme étant </w:t>
      </w:r>
      <w:r w:rsidR="000240BF">
        <w:rPr>
          <w:rFonts w:cs="Times New Roman"/>
          <w:kern w:val="22"/>
          <w:sz w:val="22"/>
          <w:lang w:val="fr-FR"/>
        </w:rPr>
        <w:t>c</w:t>
      </w:r>
      <w:r w:rsidR="007746C2">
        <w:rPr>
          <w:rFonts w:cs="Times New Roman"/>
          <w:kern w:val="22"/>
          <w:sz w:val="22"/>
          <w:lang w:val="fr-FR"/>
        </w:rPr>
        <w:t>elles sélectionnées, et que ces espèces avaien</w:t>
      </w:r>
      <w:r w:rsidR="000240BF">
        <w:rPr>
          <w:rFonts w:cs="Times New Roman"/>
          <w:kern w:val="22"/>
          <w:sz w:val="22"/>
          <w:lang w:val="fr-FR"/>
        </w:rPr>
        <w:t xml:space="preserve">t été choisies pour élargir la base génétique « étroite » des lignées de soja </w:t>
      </w:r>
      <w:r w:rsidR="00986166">
        <w:rPr>
          <w:rFonts w:cs="Times New Roman"/>
          <w:kern w:val="22"/>
          <w:sz w:val="22"/>
          <w:lang w:val="fr-FR"/>
        </w:rPr>
        <w:t>des</w:t>
      </w:r>
      <w:r w:rsidR="007746C2">
        <w:rPr>
          <w:rFonts w:cs="Times New Roman"/>
          <w:kern w:val="22"/>
          <w:sz w:val="22"/>
          <w:lang w:val="fr-FR"/>
        </w:rPr>
        <w:t xml:space="preserve"> </w:t>
      </w:r>
      <w:r w:rsidR="000240BF">
        <w:rPr>
          <w:rFonts w:cs="Times New Roman"/>
          <w:kern w:val="22"/>
          <w:sz w:val="22"/>
          <w:lang w:val="fr-FR"/>
        </w:rPr>
        <w:t xml:space="preserve">Etats-Unis. </w:t>
      </w:r>
      <w:r w:rsidR="000240BF" w:rsidRPr="00AB5CE8">
        <w:rPr>
          <w:rFonts w:cs="Times New Roman"/>
          <w:kern w:val="22"/>
          <w:sz w:val="22"/>
          <w:lang w:val="fr-FR"/>
        </w:rPr>
        <w:t>La demande de brevet</w:t>
      </w:r>
      <w:r w:rsidR="00E3674F" w:rsidRPr="00AB5CE8">
        <w:rPr>
          <w:rFonts w:cs="Times New Roman"/>
          <w:kern w:val="22"/>
          <w:sz w:val="22"/>
          <w:lang w:val="fr-FR"/>
        </w:rPr>
        <w:t xml:space="preserve"> </w:t>
      </w:r>
      <w:r w:rsidR="007746C2">
        <w:rPr>
          <w:rFonts w:cs="Times New Roman"/>
          <w:kern w:val="22"/>
          <w:sz w:val="22"/>
          <w:lang w:val="fr-FR"/>
        </w:rPr>
        <w:t>indiquait en outre</w:t>
      </w:r>
      <w:r w:rsidR="00AB5CE8" w:rsidRPr="00AB5CE8">
        <w:rPr>
          <w:rFonts w:cs="Times New Roman"/>
          <w:kern w:val="22"/>
          <w:sz w:val="22"/>
          <w:lang w:val="fr-FR"/>
        </w:rPr>
        <w:t xml:space="preserve"> qu’un tel élargissement utilisant des “</w:t>
      </w:r>
      <w:r w:rsidR="00651FB0" w:rsidRPr="00AB5CE8">
        <w:rPr>
          <w:rFonts w:cs="Times New Roman"/>
          <w:kern w:val="22"/>
          <w:sz w:val="22"/>
          <w:lang w:val="fr-FR"/>
        </w:rPr>
        <w:t>espèces</w:t>
      </w:r>
      <w:r w:rsidR="00AB5CE8" w:rsidRPr="00AB5CE8">
        <w:rPr>
          <w:rFonts w:cs="Times New Roman"/>
          <w:kern w:val="22"/>
          <w:sz w:val="22"/>
          <w:lang w:val="fr-FR"/>
        </w:rPr>
        <w:t xml:space="preserve"> exotiques</w:t>
      </w:r>
      <w:r w:rsidR="00100087" w:rsidRPr="00AB5CE8">
        <w:rPr>
          <w:rFonts w:cs="Times New Roman"/>
          <w:kern w:val="22"/>
          <w:sz w:val="22"/>
          <w:lang w:val="fr-FR"/>
        </w:rPr>
        <w:t>”</w:t>
      </w:r>
      <w:r w:rsidR="00986166">
        <w:rPr>
          <w:rFonts w:cs="Times New Roman"/>
          <w:kern w:val="22"/>
          <w:sz w:val="22"/>
          <w:lang w:val="fr-FR"/>
        </w:rPr>
        <w:t xml:space="preserve"> pouvait aboutir à des</w:t>
      </w:r>
      <w:r w:rsidR="00100087" w:rsidRPr="00AB5CE8">
        <w:rPr>
          <w:rFonts w:cs="Times New Roman"/>
          <w:kern w:val="22"/>
          <w:sz w:val="22"/>
          <w:lang w:val="fr-FR"/>
        </w:rPr>
        <w:t xml:space="preserve"> germ</w:t>
      </w:r>
      <w:r w:rsidR="00AB5CE8" w:rsidRPr="00AB5CE8">
        <w:rPr>
          <w:rFonts w:cs="Times New Roman"/>
          <w:kern w:val="22"/>
          <w:sz w:val="22"/>
          <w:lang w:val="fr-FR"/>
        </w:rPr>
        <w:t>o</w:t>
      </w:r>
      <w:r w:rsidR="00100087" w:rsidRPr="00AB5CE8">
        <w:rPr>
          <w:rFonts w:cs="Times New Roman"/>
          <w:kern w:val="22"/>
          <w:sz w:val="22"/>
          <w:lang w:val="fr-FR"/>
        </w:rPr>
        <w:t>plasm</w:t>
      </w:r>
      <w:r w:rsidR="00AB5CE8">
        <w:rPr>
          <w:rFonts w:cs="Times New Roman"/>
          <w:kern w:val="22"/>
          <w:sz w:val="22"/>
          <w:lang w:val="fr-FR"/>
        </w:rPr>
        <w:t>es</w:t>
      </w:r>
      <w:r w:rsidR="007746C2">
        <w:rPr>
          <w:rFonts w:cs="Times New Roman"/>
          <w:kern w:val="22"/>
          <w:sz w:val="22"/>
          <w:lang w:val="fr-FR"/>
        </w:rPr>
        <w:t xml:space="preserve"> davantage</w:t>
      </w:r>
      <w:r w:rsidR="00AB5CE8">
        <w:rPr>
          <w:rFonts w:cs="Times New Roman"/>
          <w:kern w:val="22"/>
          <w:sz w:val="22"/>
          <w:lang w:val="fr-FR"/>
        </w:rPr>
        <w:t xml:space="preserve"> capables de tolérer différents facteurs de stress environnemental et </w:t>
      </w:r>
      <w:r w:rsidR="007746C2">
        <w:rPr>
          <w:rFonts w:cs="Times New Roman"/>
          <w:kern w:val="22"/>
          <w:sz w:val="22"/>
          <w:lang w:val="fr-FR"/>
        </w:rPr>
        <w:t xml:space="preserve">de </w:t>
      </w:r>
      <w:r w:rsidR="00AB5CE8">
        <w:rPr>
          <w:rFonts w:cs="Times New Roman"/>
          <w:kern w:val="22"/>
          <w:sz w:val="22"/>
          <w:lang w:val="fr-FR"/>
        </w:rPr>
        <w:t>mieux résister aux mala</w:t>
      </w:r>
      <w:r w:rsidR="00986166">
        <w:rPr>
          <w:rFonts w:cs="Times New Roman"/>
          <w:kern w:val="22"/>
          <w:sz w:val="22"/>
          <w:lang w:val="fr-FR"/>
        </w:rPr>
        <w:t>dies, insectes et nématodes</w:t>
      </w:r>
      <w:r w:rsidR="00100087" w:rsidRPr="00AB5CE8">
        <w:rPr>
          <w:rFonts w:cs="Times New Roman"/>
          <w:kern w:val="22"/>
          <w:sz w:val="22"/>
          <w:lang w:val="fr-FR"/>
        </w:rPr>
        <w:t>.</w:t>
      </w:r>
      <w:r w:rsidR="00100087" w:rsidRPr="002364AB">
        <w:rPr>
          <w:rStyle w:val="FootnoteReference"/>
          <w:kern w:val="22"/>
          <w:sz w:val="22"/>
          <w:lang w:val="en-GB"/>
        </w:rPr>
        <w:footnoteReference w:id="111"/>
      </w:r>
      <w:r w:rsidR="00100087" w:rsidRPr="00AB5CE8">
        <w:rPr>
          <w:rFonts w:cs="Times New Roman"/>
          <w:kern w:val="22"/>
          <w:sz w:val="22"/>
          <w:lang w:val="fr-FR"/>
        </w:rPr>
        <w:t xml:space="preserve"> </w:t>
      </w:r>
    </w:p>
    <w:p w14:paraId="245E0DDD" w14:textId="698F6F62" w:rsidR="00100087" w:rsidRPr="00F07C60" w:rsidRDefault="00986166" w:rsidP="00100087">
      <w:pPr>
        <w:spacing w:after="120"/>
        <w:rPr>
          <w:rFonts w:cs="Times New Roman"/>
          <w:kern w:val="22"/>
          <w:sz w:val="22"/>
          <w:lang w:val="fr-FR"/>
        </w:rPr>
      </w:pPr>
      <w:r>
        <w:rPr>
          <w:rFonts w:cs="Times New Roman"/>
          <w:kern w:val="22"/>
          <w:sz w:val="22"/>
          <w:lang w:val="fr-FR"/>
        </w:rPr>
        <w:t xml:space="preserve">Il est probable qu’une </w:t>
      </w:r>
      <w:r w:rsidR="00F07C60" w:rsidRPr="00F07C60">
        <w:rPr>
          <w:rFonts w:cs="Times New Roman"/>
          <w:kern w:val="22"/>
          <w:sz w:val="22"/>
          <w:lang w:val="fr-FR"/>
        </w:rPr>
        <w:t>exigence d’</w:t>
      </w:r>
      <w:r w:rsidR="00E15AC0" w:rsidRPr="00F07C60">
        <w:rPr>
          <w:rFonts w:cs="Times New Roman"/>
          <w:kern w:val="22"/>
          <w:sz w:val="22"/>
          <w:lang w:val="fr-FR"/>
        </w:rPr>
        <w:t>accord</w:t>
      </w:r>
      <w:r w:rsidR="00100087" w:rsidRPr="00F07C60">
        <w:rPr>
          <w:rFonts w:cs="Times New Roman"/>
          <w:kern w:val="22"/>
          <w:sz w:val="22"/>
          <w:lang w:val="fr-FR"/>
        </w:rPr>
        <w:t>s</w:t>
      </w:r>
      <w:r>
        <w:rPr>
          <w:rFonts w:cs="Times New Roman"/>
          <w:kern w:val="22"/>
          <w:sz w:val="22"/>
          <w:lang w:val="fr-FR"/>
        </w:rPr>
        <w:t xml:space="preserve"> bilatéraux distincts, négociés</w:t>
      </w:r>
      <w:r w:rsidR="00CF3D56">
        <w:rPr>
          <w:rFonts w:cs="Times New Roman"/>
          <w:kern w:val="22"/>
          <w:sz w:val="22"/>
          <w:lang w:val="fr-FR"/>
        </w:rPr>
        <w:t xml:space="preserve"> pour n’importe quel pourcentage des </w:t>
      </w:r>
      <w:r w:rsidR="00100087" w:rsidRPr="00F07C60">
        <w:rPr>
          <w:rFonts w:cs="Times New Roman"/>
          <w:kern w:val="22"/>
          <w:sz w:val="22"/>
          <w:lang w:val="fr-FR"/>
        </w:rPr>
        <w:t>258</w:t>
      </w:r>
      <w:r w:rsidR="00F07C60">
        <w:rPr>
          <w:rFonts w:cs="Times New Roman"/>
          <w:kern w:val="22"/>
          <w:sz w:val="22"/>
          <w:lang w:val="fr-FR"/>
        </w:rPr>
        <w:t xml:space="preserve"> lignées de plantes exotiques</w:t>
      </w:r>
      <w:r w:rsidR="00100087" w:rsidRPr="002364AB">
        <w:rPr>
          <w:rStyle w:val="FootnoteReference"/>
          <w:rFonts w:cs="Times New Roman"/>
          <w:kern w:val="22"/>
          <w:sz w:val="22"/>
          <w:lang w:val="en-GB"/>
        </w:rPr>
        <w:footnoteReference w:id="112"/>
      </w:r>
      <w:r w:rsidR="00CF3D56">
        <w:rPr>
          <w:rFonts w:cs="Times New Roman"/>
          <w:kern w:val="22"/>
          <w:sz w:val="22"/>
          <w:lang w:val="fr-FR"/>
        </w:rPr>
        <w:t xml:space="preserve"> qui serait conditionné </w:t>
      </w:r>
      <w:r>
        <w:rPr>
          <w:rFonts w:cs="Times New Roman"/>
          <w:kern w:val="22"/>
          <w:sz w:val="22"/>
          <w:lang w:val="fr-FR"/>
        </w:rPr>
        <w:t>au respect d’</w:t>
      </w:r>
      <w:r w:rsidR="00C94EE5">
        <w:rPr>
          <w:rFonts w:cs="Times New Roman"/>
          <w:kern w:val="22"/>
          <w:sz w:val="22"/>
          <w:lang w:val="fr-FR"/>
        </w:rPr>
        <w:t xml:space="preserve">obligations </w:t>
      </w:r>
      <w:r>
        <w:rPr>
          <w:rFonts w:cs="Times New Roman"/>
          <w:kern w:val="22"/>
          <w:sz w:val="22"/>
          <w:lang w:val="fr-FR"/>
        </w:rPr>
        <w:t xml:space="preserve">en </w:t>
      </w:r>
      <w:r w:rsidR="00C94EE5">
        <w:rPr>
          <w:rFonts w:cs="Times New Roman"/>
          <w:kern w:val="22"/>
          <w:sz w:val="22"/>
          <w:lang w:val="fr-FR"/>
        </w:rPr>
        <w:t xml:space="preserve">matière de </w:t>
      </w:r>
      <w:r w:rsidR="00DF00EA" w:rsidRPr="00F07C60">
        <w:rPr>
          <w:rFonts w:cs="Times New Roman"/>
          <w:kern w:val="22"/>
          <w:sz w:val="22"/>
          <w:lang w:val="fr-FR"/>
        </w:rPr>
        <w:t>partage des avantages</w:t>
      </w:r>
      <w:r>
        <w:rPr>
          <w:rFonts w:cs="Times New Roman"/>
          <w:kern w:val="22"/>
          <w:sz w:val="22"/>
          <w:lang w:val="fr-FR"/>
        </w:rPr>
        <w:t>, soit</w:t>
      </w:r>
      <w:r w:rsidR="00C94EE5">
        <w:rPr>
          <w:rFonts w:cs="Times New Roman"/>
          <w:kern w:val="22"/>
          <w:sz w:val="22"/>
          <w:lang w:val="fr-FR"/>
        </w:rPr>
        <w:t xml:space="preserve"> concrètement </w:t>
      </w:r>
      <w:r w:rsidR="00217388" w:rsidRPr="00F07C60">
        <w:rPr>
          <w:rFonts w:cs="Times New Roman"/>
          <w:kern w:val="22"/>
          <w:sz w:val="22"/>
          <w:lang w:val="fr-FR"/>
        </w:rPr>
        <w:t>impossible</w:t>
      </w:r>
      <w:r w:rsidR="00C94EE5">
        <w:rPr>
          <w:rFonts w:cs="Times New Roman"/>
          <w:kern w:val="22"/>
          <w:sz w:val="22"/>
          <w:lang w:val="fr-FR"/>
        </w:rPr>
        <w:t>, en raison du temps et du</w:t>
      </w:r>
      <w:r w:rsidR="00CF3D56">
        <w:rPr>
          <w:rFonts w:cs="Times New Roman"/>
          <w:kern w:val="22"/>
          <w:sz w:val="22"/>
          <w:lang w:val="fr-FR"/>
        </w:rPr>
        <w:t xml:space="preserve"> coût nécessaire</w:t>
      </w:r>
      <w:r w:rsidR="00C94EE5">
        <w:rPr>
          <w:rFonts w:cs="Times New Roman"/>
          <w:kern w:val="22"/>
          <w:sz w:val="22"/>
          <w:lang w:val="fr-FR"/>
        </w:rPr>
        <w:t xml:space="preserve">, </w:t>
      </w:r>
      <w:r w:rsidR="00CF3D56">
        <w:rPr>
          <w:rFonts w:cs="Times New Roman"/>
          <w:kern w:val="22"/>
          <w:sz w:val="22"/>
          <w:lang w:val="fr-FR"/>
        </w:rPr>
        <w:t xml:space="preserve">et ce même lorsque </w:t>
      </w:r>
      <w:r w:rsidR="00C94EE5">
        <w:rPr>
          <w:rFonts w:cs="Times New Roman"/>
          <w:kern w:val="22"/>
          <w:sz w:val="22"/>
          <w:lang w:val="fr-FR"/>
        </w:rPr>
        <w:t>le</w:t>
      </w:r>
      <w:r w:rsidR="00100087" w:rsidRPr="00F07C60">
        <w:rPr>
          <w:rFonts w:cs="Times New Roman"/>
          <w:kern w:val="22"/>
          <w:sz w:val="22"/>
          <w:lang w:val="fr-FR"/>
        </w:rPr>
        <w:t xml:space="preserve"> </w:t>
      </w:r>
      <w:r w:rsidR="00D70471" w:rsidRPr="00F07C60">
        <w:rPr>
          <w:rFonts w:cs="Times New Roman"/>
          <w:kern w:val="22"/>
          <w:sz w:val="22"/>
          <w:lang w:val="fr-FR"/>
        </w:rPr>
        <w:t>pays fournisseur</w:t>
      </w:r>
      <w:r w:rsidR="00100087" w:rsidRPr="00F07C60">
        <w:rPr>
          <w:rFonts w:cs="Times New Roman"/>
          <w:kern w:val="22"/>
          <w:sz w:val="22"/>
          <w:lang w:val="fr-FR"/>
        </w:rPr>
        <w:t xml:space="preserve"> </w:t>
      </w:r>
      <w:r w:rsidR="00C94EE5">
        <w:rPr>
          <w:rFonts w:cs="Times New Roman"/>
          <w:kern w:val="22"/>
          <w:sz w:val="22"/>
          <w:lang w:val="fr-FR"/>
        </w:rPr>
        <w:t>de chaque échantillon</w:t>
      </w:r>
      <w:r w:rsidR="00100087" w:rsidRPr="00F07C60">
        <w:rPr>
          <w:rFonts w:cs="Times New Roman"/>
          <w:kern w:val="22"/>
          <w:sz w:val="22"/>
          <w:lang w:val="fr-FR"/>
        </w:rPr>
        <w:t xml:space="preserve"> </w:t>
      </w:r>
      <w:r w:rsidR="00CF3D56">
        <w:rPr>
          <w:rFonts w:cs="Times New Roman"/>
          <w:kern w:val="22"/>
          <w:sz w:val="22"/>
          <w:lang w:val="fr-FR"/>
        </w:rPr>
        <w:t>est</w:t>
      </w:r>
      <w:r w:rsidR="00C94EE5">
        <w:rPr>
          <w:rFonts w:cs="Times New Roman"/>
          <w:kern w:val="22"/>
          <w:sz w:val="22"/>
          <w:lang w:val="fr-FR"/>
        </w:rPr>
        <w:t xml:space="preserve"> co</w:t>
      </w:r>
      <w:r w:rsidR="00CF3D56">
        <w:rPr>
          <w:rFonts w:cs="Times New Roman"/>
          <w:kern w:val="22"/>
          <w:sz w:val="22"/>
          <w:lang w:val="fr-FR"/>
        </w:rPr>
        <w:t xml:space="preserve">nnu, ce qui n’est pas toujours </w:t>
      </w:r>
      <w:r w:rsidR="00C94EE5">
        <w:rPr>
          <w:rFonts w:cs="Times New Roman"/>
          <w:kern w:val="22"/>
          <w:sz w:val="22"/>
          <w:lang w:val="fr-FR"/>
        </w:rPr>
        <w:t>le cas</w:t>
      </w:r>
      <w:r w:rsidR="00100087" w:rsidRPr="00F07C60">
        <w:rPr>
          <w:rFonts w:cs="Times New Roman"/>
          <w:kern w:val="22"/>
          <w:sz w:val="22"/>
          <w:lang w:val="fr-FR"/>
        </w:rPr>
        <w:t>.</w:t>
      </w:r>
    </w:p>
    <w:p w14:paraId="431E3B13" w14:textId="00AA2112" w:rsidR="00FC5588" w:rsidRPr="007A0B5B" w:rsidRDefault="00BC5F0A" w:rsidP="00527AA2">
      <w:pPr>
        <w:pStyle w:val="Heading2"/>
        <w:spacing w:before="0"/>
        <w:rPr>
          <w:kern w:val="22"/>
          <w:sz w:val="22"/>
          <w:szCs w:val="22"/>
          <w:lang w:val="fr-FR"/>
        </w:rPr>
      </w:pPr>
      <w:bookmarkStart w:id="135" w:name="_Toc31040295"/>
      <w:bookmarkStart w:id="136" w:name="_Toc31056863"/>
      <w:bookmarkStart w:id="137" w:name="_Toc32490879"/>
      <w:bookmarkStart w:id="138" w:name="_Toc34249590"/>
      <w:bookmarkStart w:id="139" w:name="_Toc39580431"/>
      <w:bookmarkStart w:id="140" w:name="_Toc48914800"/>
      <w:r>
        <w:rPr>
          <w:kern w:val="22"/>
          <w:sz w:val="22"/>
          <w:szCs w:val="22"/>
          <w:lang w:val="fr-FR"/>
        </w:rPr>
        <w:t>Information</w:t>
      </w:r>
      <w:r w:rsidR="00516613">
        <w:rPr>
          <w:kern w:val="22"/>
          <w:sz w:val="22"/>
          <w:szCs w:val="22"/>
          <w:lang w:val="fr-FR"/>
        </w:rPr>
        <w:t xml:space="preserve"> de séquençage</w:t>
      </w:r>
      <w:r w:rsidR="00142D5A">
        <w:rPr>
          <w:kern w:val="22"/>
          <w:sz w:val="22"/>
          <w:szCs w:val="22"/>
          <w:lang w:val="fr-FR"/>
        </w:rPr>
        <w:t xml:space="preserve"> numérique</w:t>
      </w:r>
      <w:r w:rsidR="16208E17" w:rsidRPr="007A0B5B">
        <w:rPr>
          <w:kern w:val="22"/>
          <w:sz w:val="22"/>
          <w:szCs w:val="22"/>
          <w:lang w:val="fr-FR"/>
        </w:rPr>
        <w:t xml:space="preserve"> (DSI)</w:t>
      </w:r>
      <w:bookmarkEnd w:id="135"/>
      <w:bookmarkEnd w:id="136"/>
      <w:bookmarkEnd w:id="137"/>
      <w:bookmarkEnd w:id="138"/>
      <w:bookmarkEnd w:id="139"/>
      <w:bookmarkEnd w:id="140"/>
    </w:p>
    <w:p w14:paraId="36F2CD80" w14:textId="2D7561AC" w:rsidR="008F7315" w:rsidRPr="003F6B4A" w:rsidRDefault="003F6B4A" w:rsidP="006E752A">
      <w:pPr>
        <w:spacing w:after="120"/>
        <w:rPr>
          <w:rFonts w:cs="Times New Roman"/>
          <w:kern w:val="22"/>
          <w:sz w:val="22"/>
          <w:lang w:val="fr-FR"/>
        </w:rPr>
      </w:pPr>
      <w:r w:rsidRPr="003F6B4A">
        <w:rPr>
          <w:rFonts w:cs="Times New Roman"/>
          <w:kern w:val="22"/>
          <w:sz w:val="22"/>
          <w:lang w:val="fr-FR"/>
        </w:rPr>
        <w:t>La d</w:t>
      </w:r>
      <w:r w:rsidR="00E3674F" w:rsidRPr="003F6B4A">
        <w:rPr>
          <w:rFonts w:cs="Times New Roman"/>
          <w:kern w:val="22"/>
          <w:sz w:val="22"/>
          <w:lang w:val="fr-FR"/>
        </w:rPr>
        <w:t>écision</w:t>
      </w:r>
      <w:r w:rsidR="006E752A" w:rsidRPr="003F6B4A">
        <w:rPr>
          <w:rFonts w:cs="Times New Roman"/>
          <w:kern w:val="22"/>
          <w:sz w:val="22"/>
          <w:lang w:val="fr-FR"/>
        </w:rPr>
        <w:t xml:space="preserve"> 14/20 </w:t>
      </w:r>
      <w:r w:rsidR="0020703A" w:rsidRPr="003F6B4A">
        <w:rPr>
          <w:rFonts w:cs="Times New Roman"/>
          <w:kern w:val="22"/>
          <w:sz w:val="22"/>
          <w:lang w:val="fr-FR"/>
        </w:rPr>
        <w:t>de la</w:t>
      </w:r>
      <w:r w:rsidR="00E3674F" w:rsidRPr="003F6B4A">
        <w:rPr>
          <w:rFonts w:cs="Times New Roman"/>
          <w:kern w:val="22"/>
          <w:sz w:val="22"/>
          <w:lang w:val="fr-FR"/>
        </w:rPr>
        <w:t xml:space="preserve"> Conférence des Parties</w:t>
      </w:r>
      <w:r w:rsidR="006E752A" w:rsidRPr="003F6B4A">
        <w:rPr>
          <w:rFonts w:cs="Times New Roman"/>
          <w:kern w:val="22"/>
          <w:sz w:val="22"/>
          <w:lang w:val="fr-FR"/>
        </w:rPr>
        <w:t xml:space="preserve"> </w:t>
      </w:r>
      <w:r>
        <w:rPr>
          <w:rFonts w:cs="Times New Roman"/>
          <w:kern w:val="22"/>
          <w:sz w:val="22"/>
          <w:lang w:val="fr-FR"/>
        </w:rPr>
        <w:t>a indiqué que l’expression</w:t>
      </w:r>
      <w:r w:rsidR="006E752A" w:rsidRPr="003F6B4A">
        <w:rPr>
          <w:rFonts w:cs="Times New Roman"/>
          <w:kern w:val="22"/>
          <w:sz w:val="22"/>
          <w:lang w:val="fr-FR"/>
        </w:rPr>
        <w:t xml:space="preserve"> “</w:t>
      </w:r>
      <w:r w:rsidR="00BC5F0A">
        <w:rPr>
          <w:rFonts w:cs="Times New Roman"/>
          <w:kern w:val="22"/>
          <w:sz w:val="22"/>
          <w:lang w:val="fr-FR"/>
        </w:rPr>
        <w:t>information</w:t>
      </w:r>
      <w:r w:rsidR="00516613">
        <w:rPr>
          <w:rFonts w:cs="Times New Roman"/>
          <w:kern w:val="22"/>
          <w:sz w:val="22"/>
          <w:lang w:val="fr-FR"/>
        </w:rPr>
        <w:t xml:space="preserve"> de séquençage</w:t>
      </w:r>
      <w:r w:rsidR="00142D5A">
        <w:rPr>
          <w:rFonts w:cs="Times New Roman"/>
          <w:kern w:val="22"/>
          <w:sz w:val="22"/>
          <w:lang w:val="fr-FR"/>
        </w:rPr>
        <w:t xml:space="preserve"> numérique</w:t>
      </w:r>
      <w:r w:rsidR="006E752A" w:rsidRPr="003F6B4A">
        <w:rPr>
          <w:rFonts w:cs="Times New Roman"/>
          <w:kern w:val="22"/>
          <w:sz w:val="22"/>
          <w:lang w:val="fr-FR"/>
        </w:rPr>
        <w:t xml:space="preserve">” </w:t>
      </w:r>
      <w:r>
        <w:rPr>
          <w:rFonts w:cs="Times New Roman"/>
          <w:kern w:val="22"/>
          <w:sz w:val="22"/>
          <w:lang w:val="fr-FR"/>
        </w:rPr>
        <w:t>n’est peut-être pas le terme le plu</w:t>
      </w:r>
      <w:r w:rsidR="00CE47AA">
        <w:rPr>
          <w:rFonts w:cs="Times New Roman"/>
          <w:kern w:val="22"/>
          <w:sz w:val="22"/>
          <w:lang w:val="fr-FR"/>
        </w:rPr>
        <w:t>s adéquat, et qu’il est utilisé</w:t>
      </w:r>
      <w:r w:rsidR="00CF3D56">
        <w:rPr>
          <w:rFonts w:cs="Times New Roman"/>
          <w:kern w:val="22"/>
          <w:sz w:val="22"/>
          <w:lang w:val="fr-FR"/>
        </w:rPr>
        <w:t xml:space="preserve"> à titre temporaire,</w:t>
      </w:r>
      <w:r w:rsidR="00CE47AA">
        <w:rPr>
          <w:rFonts w:cs="Times New Roman"/>
          <w:kern w:val="22"/>
          <w:sz w:val="22"/>
          <w:lang w:val="fr-FR"/>
        </w:rPr>
        <w:t xml:space="preserve"> jusqu’à ce qu’un terme définitif soit retenu. La réunion de 2020 du</w:t>
      </w:r>
      <w:r w:rsidR="00CE47AA" w:rsidRPr="00CE47AA">
        <w:rPr>
          <w:rFonts w:cs="Times New Roman"/>
          <w:kern w:val="22"/>
          <w:sz w:val="22"/>
          <w:lang w:val="fr-FR"/>
        </w:rPr>
        <w:t xml:space="preserve"> </w:t>
      </w:r>
      <w:r w:rsidR="00B46D70" w:rsidRPr="003F6B4A">
        <w:rPr>
          <w:rFonts w:cs="Times New Roman"/>
          <w:kern w:val="22"/>
          <w:sz w:val="22"/>
          <w:lang w:val="fr-FR"/>
        </w:rPr>
        <w:t>Groupe spécial d’experts techniques</w:t>
      </w:r>
      <w:r w:rsidR="00CE47AA">
        <w:rPr>
          <w:rFonts w:cs="Times New Roman"/>
          <w:kern w:val="22"/>
          <w:sz w:val="22"/>
          <w:lang w:val="fr-FR"/>
        </w:rPr>
        <w:t xml:space="preserve"> sur </w:t>
      </w:r>
      <w:r w:rsidR="00BC5F0A">
        <w:rPr>
          <w:rFonts w:cs="Times New Roman"/>
          <w:kern w:val="22"/>
          <w:sz w:val="22"/>
          <w:lang w:val="fr-FR"/>
        </w:rPr>
        <w:t>l’information</w:t>
      </w:r>
      <w:r w:rsidR="00516613">
        <w:rPr>
          <w:rFonts w:cs="Times New Roman"/>
          <w:kern w:val="22"/>
          <w:sz w:val="22"/>
          <w:lang w:val="fr-FR"/>
        </w:rPr>
        <w:t xml:space="preserve"> de séquençage</w:t>
      </w:r>
      <w:r w:rsidR="00142D5A">
        <w:rPr>
          <w:rFonts w:cs="Times New Roman"/>
          <w:kern w:val="22"/>
          <w:sz w:val="22"/>
          <w:lang w:val="fr-FR"/>
        </w:rPr>
        <w:t xml:space="preserve"> numérique</w:t>
      </w:r>
      <w:r w:rsidR="00CE47AA">
        <w:rPr>
          <w:rFonts w:cs="Times New Roman"/>
          <w:kern w:val="22"/>
          <w:sz w:val="22"/>
          <w:lang w:val="fr-FR"/>
        </w:rPr>
        <w:t xml:space="preserve"> </w:t>
      </w:r>
      <w:r w:rsidR="00CF3D56">
        <w:rPr>
          <w:rFonts w:cs="Times New Roman"/>
          <w:kern w:val="22"/>
          <w:sz w:val="22"/>
          <w:lang w:val="fr-FR"/>
        </w:rPr>
        <w:t>concernant l</w:t>
      </w:r>
      <w:r w:rsidRPr="003F6B4A">
        <w:rPr>
          <w:rFonts w:cs="Times New Roman"/>
          <w:kern w:val="22"/>
          <w:sz w:val="22"/>
          <w:lang w:val="fr-FR"/>
        </w:rPr>
        <w:t>es r</w:t>
      </w:r>
      <w:r w:rsidR="00E3674F" w:rsidRPr="003F6B4A">
        <w:rPr>
          <w:rFonts w:cs="Times New Roman"/>
          <w:kern w:val="22"/>
          <w:sz w:val="22"/>
          <w:lang w:val="fr-FR"/>
        </w:rPr>
        <w:t>essources génétiques</w:t>
      </w:r>
      <w:r w:rsidR="00B53ED9" w:rsidRPr="003F6B4A">
        <w:rPr>
          <w:rFonts w:cs="Times New Roman"/>
          <w:kern w:val="22"/>
          <w:sz w:val="22"/>
          <w:lang w:val="fr-FR"/>
        </w:rPr>
        <w:t xml:space="preserve"> </w:t>
      </w:r>
      <w:r w:rsidR="00CE47AA">
        <w:rPr>
          <w:rFonts w:cs="Times New Roman"/>
          <w:kern w:val="22"/>
          <w:sz w:val="22"/>
          <w:lang w:val="fr-FR"/>
        </w:rPr>
        <w:t>a convenu que les g</w:t>
      </w:r>
      <w:r w:rsidR="008F7315" w:rsidRPr="003F6B4A">
        <w:rPr>
          <w:rFonts w:cs="Times New Roman"/>
          <w:kern w:val="22"/>
          <w:sz w:val="22"/>
          <w:lang w:val="fr-FR"/>
        </w:rPr>
        <w:t>roup</w:t>
      </w:r>
      <w:r w:rsidR="00CE47AA">
        <w:rPr>
          <w:rFonts w:cs="Times New Roman"/>
          <w:kern w:val="22"/>
          <w:sz w:val="22"/>
          <w:lang w:val="fr-FR"/>
        </w:rPr>
        <w:t>es 1 à 3 du</w:t>
      </w:r>
      <w:r w:rsidR="00770AB8" w:rsidRPr="003F6B4A">
        <w:rPr>
          <w:rFonts w:cs="Times New Roman"/>
          <w:kern w:val="22"/>
          <w:sz w:val="22"/>
          <w:lang w:val="fr-FR"/>
        </w:rPr>
        <w:t xml:space="preserve"> tableau </w:t>
      </w:r>
      <w:r w:rsidR="000F7A81" w:rsidRPr="003F6B4A">
        <w:rPr>
          <w:rFonts w:cs="Times New Roman"/>
          <w:kern w:val="22"/>
          <w:sz w:val="22"/>
          <w:lang w:val="fr-FR"/>
        </w:rPr>
        <w:t>2</w:t>
      </w:r>
      <w:r w:rsidR="008F7315" w:rsidRPr="002364AB">
        <w:rPr>
          <w:rStyle w:val="FootnoteReference"/>
          <w:rFonts w:cs="Times New Roman"/>
          <w:kern w:val="22"/>
          <w:sz w:val="22"/>
          <w:lang w:val="en-GB"/>
        </w:rPr>
        <w:footnoteReference w:id="113"/>
      </w:r>
      <w:r w:rsidR="008F7315" w:rsidRPr="003F6B4A">
        <w:rPr>
          <w:rFonts w:cs="Times New Roman"/>
          <w:kern w:val="22"/>
          <w:sz w:val="22"/>
          <w:lang w:val="fr-FR"/>
        </w:rPr>
        <w:t xml:space="preserve"> </w:t>
      </w:r>
      <w:r w:rsidR="00CD1466">
        <w:rPr>
          <w:rFonts w:cs="Times New Roman"/>
          <w:kern w:val="22"/>
          <w:sz w:val="22"/>
          <w:lang w:val="fr-FR"/>
        </w:rPr>
        <w:t>ci-dessous</w:t>
      </w:r>
      <w:r w:rsidR="00CE47AA">
        <w:rPr>
          <w:rFonts w:cs="Times New Roman"/>
          <w:kern w:val="22"/>
          <w:sz w:val="22"/>
          <w:lang w:val="fr-FR"/>
        </w:rPr>
        <w:t xml:space="preserve"> pour</w:t>
      </w:r>
      <w:r w:rsidR="002F47C3">
        <w:rPr>
          <w:rFonts w:cs="Times New Roman"/>
          <w:kern w:val="22"/>
          <w:sz w:val="22"/>
          <w:lang w:val="fr-FR"/>
        </w:rPr>
        <w:t>r</w:t>
      </w:r>
      <w:r w:rsidR="00CF3D56">
        <w:rPr>
          <w:rFonts w:cs="Times New Roman"/>
          <w:kern w:val="22"/>
          <w:sz w:val="22"/>
          <w:lang w:val="fr-FR"/>
        </w:rPr>
        <w:t>aient être examinés en tant qu’</w:t>
      </w:r>
      <w:r w:rsidR="00BC5F0A">
        <w:rPr>
          <w:rFonts w:cs="Times New Roman"/>
          <w:kern w:val="22"/>
          <w:sz w:val="22"/>
          <w:lang w:val="fr-FR"/>
        </w:rPr>
        <w:t>information</w:t>
      </w:r>
      <w:r w:rsidR="00516613">
        <w:rPr>
          <w:rFonts w:cs="Times New Roman"/>
          <w:kern w:val="22"/>
          <w:sz w:val="22"/>
          <w:lang w:val="fr-FR"/>
        </w:rPr>
        <w:t xml:space="preserve"> de séquençage</w:t>
      </w:r>
      <w:r w:rsidR="00142D5A">
        <w:rPr>
          <w:rFonts w:cs="Times New Roman"/>
          <w:kern w:val="22"/>
          <w:sz w:val="22"/>
          <w:lang w:val="fr-FR"/>
        </w:rPr>
        <w:t xml:space="preserve"> numérique</w:t>
      </w:r>
      <w:r w:rsidR="008F7315" w:rsidRPr="003F6B4A">
        <w:rPr>
          <w:rFonts w:cs="Times New Roman"/>
          <w:kern w:val="22"/>
          <w:sz w:val="22"/>
          <w:lang w:val="fr-FR"/>
        </w:rPr>
        <w:t>.</w:t>
      </w:r>
    </w:p>
    <w:p w14:paraId="56D5BA30" w14:textId="77777777" w:rsidR="0017771C" w:rsidRPr="003F6B4A" w:rsidRDefault="0017771C" w:rsidP="006E752A">
      <w:pPr>
        <w:spacing w:after="120"/>
        <w:rPr>
          <w:rFonts w:cs="Times New Roman"/>
          <w:kern w:val="22"/>
          <w:sz w:val="22"/>
          <w:lang w:val="fr-FR"/>
        </w:rPr>
      </w:pPr>
    </w:p>
    <w:p w14:paraId="2B8C6B4C" w14:textId="6543ED68" w:rsidR="00BB786E" w:rsidRPr="007A0B5B" w:rsidRDefault="00770AB8" w:rsidP="0046328B">
      <w:pPr>
        <w:spacing w:after="120"/>
        <w:ind w:left="993" w:hanging="993"/>
        <w:rPr>
          <w:rFonts w:cs="Times New Roman"/>
          <w:kern w:val="22"/>
          <w:sz w:val="22"/>
          <w:lang w:val="fr-FR"/>
        </w:rPr>
      </w:pPr>
      <w:r w:rsidRPr="003F6B4A">
        <w:rPr>
          <w:rFonts w:cs="Times New Roman"/>
          <w:kern w:val="22"/>
          <w:sz w:val="22"/>
          <w:lang w:val="fr-FR"/>
        </w:rPr>
        <w:t xml:space="preserve"> </w:t>
      </w:r>
      <w:r w:rsidR="00BE6788">
        <w:rPr>
          <w:rFonts w:cs="Times New Roman"/>
          <w:kern w:val="22"/>
          <w:sz w:val="22"/>
          <w:lang w:val="fr-FR"/>
        </w:rPr>
        <w:t>T</w:t>
      </w:r>
      <w:r>
        <w:rPr>
          <w:rFonts w:cs="Times New Roman"/>
          <w:kern w:val="22"/>
          <w:sz w:val="22"/>
          <w:lang w:val="fr-FR"/>
        </w:rPr>
        <w:t xml:space="preserve">ableau </w:t>
      </w:r>
      <w:r w:rsidR="000F7A81" w:rsidRPr="007A0B5B">
        <w:rPr>
          <w:rFonts w:cs="Times New Roman"/>
          <w:kern w:val="22"/>
          <w:sz w:val="22"/>
          <w:lang w:val="fr-FR"/>
        </w:rPr>
        <w:t xml:space="preserve">2: </w:t>
      </w:r>
      <w:r w:rsidR="0058634A">
        <w:rPr>
          <w:rFonts w:cs="Times New Roman"/>
          <w:kern w:val="22"/>
          <w:sz w:val="22"/>
          <w:lang w:val="fr-FR"/>
        </w:rPr>
        <w:t>R</w:t>
      </w:r>
      <w:r w:rsidR="00CE47AA">
        <w:rPr>
          <w:rFonts w:cs="Times New Roman"/>
          <w:kern w:val="22"/>
          <w:sz w:val="22"/>
          <w:lang w:val="fr-FR"/>
        </w:rPr>
        <w:t xml:space="preserve">éunion </w:t>
      </w:r>
      <w:r w:rsidR="00BC5F0A">
        <w:rPr>
          <w:rFonts w:cs="Times New Roman"/>
          <w:kern w:val="22"/>
          <w:sz w:val="22"/>
          <w:lang w:val="fr-FR"/>
        </w:rPr>
        <w:t xml:space="preserve">de </w:t>
      </w:r>
      <w:r w:rsidR="00EF60B7" w:rsidRPr="007A0B5B">
        <w:rPr>
          <w:rFonts w:cs="Times New Roman"/>
          <w:kern w:val="22"/>
          <w:sz w:val="22"/>
          <w:lang w:val="fr-FR"/>
        </w:rPr>
        <w:t xml:space="preserve">2020 </w:t>
      </w:r>
      <w:r w:rsidR="00B70996">
        <w:rPr>
          <w:rFonts w:cs="Times New Roman"/>
          <w:kern w:val="22"/>
          <w:sz w:val="22"/>
          <w:lang w:val="fr-FR"/>
        </w:rPr>
        <w:t xml:space="preserve">du </w:t>
      </w:r>
      <w:r w:rsidR="00B70996" w:rsidRPr="003F6B4A">
        <w:rPr>
          <w:rFonts w:cs="Times New Roman"/>
          <w:kern w:val="22"/>
          <w:sz w:val="22"/>
          <w:lang w:val="fr-FR"/>
        </w:rPr>
        <w:t>Groupe spécial d’experts techniques</w:t>
      </w:r>
      <w:r w:rsidR="00EF60B7" w:rsidRPr="007A0B5B">
        <w:rPr>
          <w:rFonts w:cs="Times New Roman"/>
          <w:kern w:val="22"/>
          <w:sz w:val="22"/>
          <w:lang w:val="fr-FR"/>
        </w:rPr>
        <w:t xml:space="preserve"> </w:t>
      </w:r>
      <w:r w:rsidR="00BE6788">
        <w:rPr>
          <w:rFonts w:cs="Times New Roman"/>
          <w:kern w:val="22"/>
          <w:sz w:val="22"/>
          <w:lang w:val="fr-FR"/>
        </w:rPr>
        <w:t>–</w:t>
      </w:r>
      <w:r w:rsidR="00EF60B7" w:rsidRPr="007A0B5B">
        <w:rPr>
          <w:rFonts w:cs="Times New Roman"/>
          <w:kern w:val="22"/>
          <w:sz w:val="22"/>
          <w:lang w:val="fr-FR"/>
        </w:rPr>
        <w:t xml:space="preserve"> </w:t>
      </w:r>
      <w:r w:rsidR="00BC5F0A">
        <w:rPr>
          <w:rFonts w:cs="Times New Roman"/>
          <w:kern w:val="22"/>
          <w:sz w:val="22"/>
          <w:lang w:val="fr-FR"/>
        </w:rPr>
        <w:t>p</w:t>
      </w:r>
      <w:r w:rsidR="00CE47AA">
        <w:rPr>
          <w:rFonts w:cs="Times New Roman"/>
          <w:kern w:val="22"/>
          <w:sz w:val="22"/>
          <w:lang w:val="fr-FR"/>
        </w:rPr>
        <w:t>récisions sur</w:t>
      </w:r>
      <w:r w:rsidR="00BE6788">
        <w:rPr>
          <w:rFonts w:cs="Times New Roman"/>
          <w:kern w:val="22"/>
          <w:sz w:val="22"/>
          <w:lang w:val="fr-FR"/>
        </w:rPr>
        <w:t xml:space="preserve"> le</w:t>
      </w:r>
      <w:r w:rsidR="00FE34BB" w:rsidRPr="007A0B5B">
        <w:rPr>
          <w:rFonts w:cs="Times New Roman"/>
          <w:kern w:val="22"/>
          <w:sz w:val="22"/>
          <w:lang w:val="fr-FR"/>
        </w:rPr>
        <w:t xml:space="preserve"> </w:t>
      </w:r>
      <w:r w:rsidR="008F38B0">
        <w:rPr>
          <w:rFonts w:cs="Times New Roman"/>
          <w:kern w:val="22"/>
          <w:sz w:val="22"/>
          <w:lang w:val="fr-FR"/>
        </w:rPr>
        <w:t>champ d’application</w:t>
      </w:r>
      <w:r w:rsidR="00FE34BB" w:rsidRPr="007A0B5B">
        <w:rPr>
          <w:rFonts w:cs="Times New Roman"/>
          <w:kern w:val="22"/>
          <w:sz w:val="22"/>
          <w:lang w:val="fr-FR"/>
        </w:rPr>
        <w:t xml:space="preserve"> </w:t>
      </w:r>
      <w:r w:rsidR="00BE6788">
        <w:rPr>
          <w:rFonts w:cs="Times New Roman"/>
          <w:kern w:val="22"/>
          <w:sz w:val="22"/>
          <w:lang w:val="fr-FR"/>
        </w:rPr>
        <w:t xml:space="preserve">de </w:t>
      </w:r>
      <w:r w:rsidR="00BC5F0A">
        <w:rPr>
          <w:rFonts w:cs="Times New Roman"/>
          <w:kern w:val="22"/>
          <w:sz w:val="22"/>
          <w:lang w:val="fr-FR"/>
        </w:rPr>
        <w:t>l’information</w:t>
      </w:r>
      <w:r w:rsidR="00516613">
        <w:rPr>
          <w:rFonts w:cs="Times New Roman"/>
          <w:kern w:val="22"/>
          <w:sz w:val="22"/>
          <w:lang w:val="fr-FR"/>
        </w:rPr>
        <w:t xml:space="preserve"> de séquençage</w:t>
      </w:r>
      <w:r w:rsidR="00142D5A">
        <w:rPr>
          <w:rFonts w:cs="Times New Roman"/>
          <w:kern w:val="22"/>
          <w:sz w:val="22"/>
          <w:lang w:val="fr-FR"/>
        </w:rPr>
        <w:t xml:space="preserve"> numérique</w:t>
      </w:r>
      <w:r w:rsidR="00BC5F0A">
        <w:rPr>
          <w:rFonts w:cs="Times New Roman"/>
          <w:kern w:val="22"/>
          <w:sz w:val="22"/>
          <w:lang w:val="fr-FR"/>
        </w:rPr>
        <w:t xml:space="preserve"> concernant</w:t>
      </w:r>
      <w:r w:rsidR="00BE6788">
        <w:rPr>
          <w:rFonts w:cs="Times New Roman"/>
          <w:kern w:val="22"/>
          <w:sz w:val="22"/>
          <w:lang w:val="fr-FR"/>
        </w:rPr>
        <w:t xml:space="preserve"> les</w:t>
      </w:r>
      <w:r w:rsidR="00EF60B7" w:rsidRPr="007A0B5B">
        <w:rPr>
          <w:rFonts w:cs="Times New Roman"/>
          <w:kern w:val="22"/>
          <w:sz w:val="22"/>
          <w:lang w:val="fr-FR"/>
        </w:rPr>
        <w:t xml:space="preserve"> </w:t>
      </w:r>
      <w:r w:rsidR="00E3674F" w:rsidRPr="007A0B5B">
        <w:rPr>
          <w:rFonts w:cs="Times New Roman"/>
          <w:kern w:val="22"/>
          <w:sz w:val="22"/>
          <w:lang w:val="fr-FR"/>
        </w:rPr>
        <w:t>ressources génétiques</w:t>
      </w:r>
    </w:p>
    <w:tbl>
      <w:tblPr>
        <w:tblStyle w:val="TableGrid"/>
        <w:tblW w:w="0" w:type="auto"/>
        <w:jc w:val="center"/>
        <w:tblLook w:val="04A0" w:firstRow="1" w:lastRow="0" w:firstColumn="1" w:lastColumn="0" w:noHBand="0" w:noVBand="1"/>
      </w:tblPr>
      <w:tblGrid>
        <w:gridCol w:w="1271"/>
        <w:gridCol w:w="1985"/>
        <w:gridCol w:w="1984"/>
        <w:gridCol w:w="2126"/>
        <w:gridCol w:w="1984"/>
      </w:tblGrid>
      <w:tr w:rsidR="00BB786E" w:rsidRPr="00E709D5" w14:paraId="7EEA0137" w14:textId="77777777" w:rsidTr="00BB786E">
        <w:trPr>
          <w:cantSplit/>
          <w:jc w:val="center"/>
        </w:trPr>
        <w:tc>
          <w:tcPr>
            <w:tcW w:w="1271" w:type="dxa"/>
            <w:vMerge w:val="restart"/>
            <w:tcBorders>
              <w:top w:val="single" w:sz="4" w:space="0" w:color="auto"/>
              <w:left w:val="single" w:sz="4" w:space="0" w:color="auto"/>
              <w:bottom w:val="single" w:sz="4" w:space="0" w:color="auto"/>
              <w:right w:val="single" w:sz="4" w:space="0" w:color="auto"/>
            </w:tcBorders>
          </w:tcPr>
          <w:p w14:paraId="4CE35371" w14:textId="77777777" w:rsidR="00BB786E" w:rsidRPr="007A0B5B" w:rsidRDefault="00BB786E">
            <w:pPr>
              <w:suppressLineNumbers/>
              <w:suppressAutoHyphens/>
              <w:rPr>
                <w:kern w:val="22"/>
                <w:sz w:val="20"/>
                <w:szCs w:val="20"/>
                <w:lang w:val="fr-FR"/>
              </w:rPr>
            </w:pPr>
          </w:p>
        </w:tc>
        <w:tc>
          <w:tcPr>
            <w:tcW w:w="80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04E5A0" w14:textId="1D442ECD" w:rsidR="00BB786E" w:rsidRPr="00F27467" w:rsidRDefault="00BE6788">
            <w:pPr>
              <w:suppressLineNumbers/>
              <w:suppressAutoHyphens/>
              <w:jc w:val="center"/>
              <w:rPr>
                <w:b/>
                <w:bCs/>
                <w:kern w:val="22"/>
                <w:sz w:val="20"/>
                <w:szCs w:val="20"/>
                <w:lang w:val="fr-FR"/>
              </w:rPr>
            </w:pPr>
            <w:r>
              <w:rPr>
                <w:b/>
                <w:bCs/>
                <w:kern w:val="22"/>
                <w:sz w:val="20"/>
                <w:szCs w:val="20"/>
                <w:lang w:val="fr-FR"/>
              </w:rPr>
              <w:t>Informations relatives à une</w:t>
            </w:r>
            <w:r w:rsidR="00BB786E" w:rsidRPr="00F27467">
              <w:rPr>
                <w:b/>
                <w:bCs/>
                <w:kern w:val="22"/>
                <w:sz w:val="20"/>
                <w:szCs w:val="20"/>
                <w:lang w:val="fr-FR"/>
              </w:rPr>
              <w:t xml:space="preserve"> </w:t>
            </w:r>
            <w:r w:rsidR="00F27467" w:rsidRPr="00F27467">
              <w:rPr>
                <w:b/>
                <w:bCs/>
                <w:kern w:val="22"/>
                <w:sz w:val="20"/>
                <w:szCs w:val="20"/>
                <w:lang w:val="fr-FR"/>
              </w:rPr>
              <w:t>ressource génétique</w:t>
            </w:r>
          </w:p>
        </w:tc>
      </w:tr>
      <w:tr w:rsidR="00BB786E" w:rsidRPr="002364AB" w14:paraId="5C5A8CC5" w14:textId="77777777" w:rsidTr="00BB786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D8FDE" w14:textId="77777777" w:rsidR="00BB786E" w:rsidRPr="00F27467" w:rsidRDefault="00BB786E">
            <w:pPr>
              <w:rPr>
                <w:rFonts w:eastAsia="Times New Roman" w:cs="Times New Roman"/>
                <w:kern w:val="22"/>
                <w:sz w:val="20"/>
                <w:szCs w:val="20"/>
                <w:lang w:val="fr-FR"/>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51F46" w14:textId="5EB8797C" w:rsidR="00BB786E" w:rsidRPr="002364AB" w:rsidRDefault="002F47C3">
            <w:pPr>
              <w:suppressLineNumbers/>
              <w:suppressAutoHyphens/>
              <w:jc w:val="center"/>
              <w:rPr>
                <w:b/>
                <w:bCs/>
                <w:kern w:val="22"/>
                <w:sz w:val="20"/>
                <w:szCs w:val="20"/>
                <w:lang w:val="en-GB"/>
              </w:rPr>
            </w:pPr>
            <w:r>
              <w:rPr>
                <w:b/>
                <w:bCs/>
                <w:kern w:val="22"/>
                <w:sz w:val="20"/>
                <w:szCs w:val="20"/>
                <w:lang w:val="en-GB"/>
              </w:rPr>
              <w:t>Données</w:t>
            </w:r>
            <w:r w:rsidR="00BE6788">
              <w:rPr>
                <w:b/>
                <w:bCs/>
                <w:kern w:val="22"/>
                <w:sz w:val="20"/>
                <w:szCs w:val="20"/>
                <w:lang w:val="en-GB"/>
              </w:rPr>
              <w:t xml:space="preserve"> génétique</w:t>
            </w:r>
            <w:r>
              <w:rPr>
                <w:b/>
                <w:bCs/>
                <w:kern w:val="22"/>
                <w:sz w:val="20"/>
                <w:szCs w:val="20"/>
                <w:lang w:val="en-GB"/>
              </w:rPr>
              <w:t>s</w:t>
            </w:r>
            <w:r w:rsidR="00BE6788">
              <w:rPr>
                <w:b/>
                <w:bCs/>
                <w:kern w:val="22"/>
                <w:sz w:val="20"/>
                <w:szCs w:val="20"/>
                <w:lang w:val="en-GB"/>
              </w:rPr>
              <w:t xml:space="preserve"> et biochimique</w:t>
            </w:r>
            <w:r>
              <w:rPr>
                <w:b/>
                <w:bCs/>
                <w:kern w:val="22"/>
                <w:sz w:val="20"/>
                <w:szCs w:val="20"/>
                <w:lang w:val="en-GB"/>
              </w:rPr>
              <w:t>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DA25D" w14:textId="0313239E" w:rsidR="00BB786E" w:rsidRPr="002364AB" w:rsidRDefault="00D6074A">
            <w:pPr>
              <w:suppressLineNumbers/>
              <w:suppressAutoHyphens/>
              <w:jc w:val="center"/>
              <w:rPr>
                <w:b/>
                <w:bCs/>
                <w:kern w:val="22"/>
                <w:sz w:val="20"/>
                <w:szCs w:val="20"/>
                <w:lang w:val="en-GB"/>
              </w:rPr>
            </w:pPr>
            <w:r>
              <w:rPr>
                <w:b/>
                <w:bCs/>
                <w:kern w:val="22"/>
                <w:sz w:val="20"/>
                <w:szCs w:val="20"/>
                <w:lang w:val="en-GB"/>
              </w:rPr>
              <w:t>I</w:t>
            </w:r>
            <w:r w:rsidR="00BB786E" w:rsidRPr="002364AB">
              <w:rPr>
                <w:b/>
                <w:bCs/>
                <w:kern w:val="22"/>
                <w:sz w:val="20"/>
                <w:szCs w:val="20"/>
                <w:lang w:val="en-GB"/>
              </w:rPr>
              <w:t>nformation</w:t>
            </w:r>
            <w:r w:rsidR="0058634A">
              <w:rPr>
                <w:b/>
                <w:bCs/>
                <w:kern w:val="22"/>
                <w:sz w:val="20"/>
                <w:szCs w:val="20"/>
                <w:lang w:val="en-GB"/>
              </w:rPr>
              <w:t>s</w:t>
            </w:r>
            <w:r>
              <w:rPr>
                <w:b/>
                <w:bCs/>
                <w:kern w:val="22"/>
                <w:sz w:val="20"/>
                <w:szCs w:val="20"/>
                <w:lang w:val="en-GB"/>
              </w:rPr>
              <w:t xml:space="preserve"> connexe</w:t>
            </w:r>
            <w:r w:rsidR="0058634A">
              <w:rPr>
                <w:b/>
                <w:bCs/>
                <w:kern w:val="22"/>
                <w:sz w:val="20"/>
                <w:szCs w:val="20"/>
                <w:lang w:val="en-GB"/>
              </w:rPr>
              <w:t>s</w:t>
            </w:r>
          </w:p>
        </w:tc>
      </w:tr>
      <w:tr w:rsidR="00BB786E" w:rsidRPr="002364AB" w14:paraId="340613C3" w14:textId="77777777" w:rsidTr="00BB786E">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18D74A3E" w14:textId="6AB2C3C9" w:rsidR="00BB786E" w:rsidRPr="002364AB" w:rsidRDefault="00CF3D56" w:rsidP="00CF3D56">
            <w:pPr>
              <w:suppressLineNumbers/>
              <w:suppressAutoHyphens/>
              <w:jc w:val="left"/>
              <w:rPr>
                <w:b/>
                <w:bCs/>
                <w:kern w:val="22"/>
                <w:sz w:val="20"/>
                <w:szCs w:val="20"/>
                <w:lang w:val="en-GB"/>
              </w:rPr>
            </w:pPr>
            <w:r>
              <w:rPr>
                <w:b/>
                <w:bCs/>
                <w:kern w:val="22"/>
                <w:sz w:val="20"/>
                <w:szCs w:val="20"/>
                <w:lang w:val="en-GB"/>
              </w:rPr>
              <w:t>Numéro de</w:t>
            </w:r>
            <w:r w:rsidR="00D6074A">
              <w:rPr>
                <w:b/>
                <w:bCs/>
                <w:kern w:val="22"/>
                <w:sz w:val="20"/>
                <w:szCs w:val="20"/>
                <w:lang w:val="en-GB"/>
              </w:rPr>
              <w:t xml:space="preserve"> groupe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47FCD9" w14:textId="47D7EE1F" w:rsidR="00BB786E" w:rsidRPr="002364AB" w:rsidRDefault="00BB786E">
            <w:pPr>
              <w:suppressLineNumbers/>
              <w:suppressAutoHyphens/>
              <w:jc w:val="center"/>
              <w:rPr>
                <w:i/>
                <w:iCs/>
                <w:kern w:val="22"/>
                <w:sz w:val="20"/>
                <w:szCs w:val="20"/>
                <w:lang w:val="en-GB"/>
              </w:rPr>
            </w:pPr>
            <w:r w:rsidRPr="002364AB">
              <w:rPr>
                <w:i/>
                <w:iCs/>
                <w:kern w:val="22"/>
                <w:sz w:val="20"/>
                <w:szCs w:val="20"/>
                <w:lang w:val="en-GB"/>
              </w:rPr>
              <w:t>Group</w:t>
            </w:r>
            <w:r w:rsidR="00BE6788">
              <w:rPr>
                <w:i/>
                <w:iCs/>
                <w:kern w:val="22"/>
                <w:sz w:val="20"/>
                <w:szCs w:val="20"/>
                <w:lang w:val="en-GB"/>
              </w:rPr>
              <w:t>e</w:t>
            </w:r>
            <w:r w:rsidRPr="002364AB">
              <w:rPr>
                <w:i/>
                <w:iCs/>
                <w:kern w:val="22"/>
                <w:sz w:val="20"/>
                <w:szCs w:val="20"/>
                <w:lang w:val="en-GB"/>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BBDFE1" w14:textId="41D6F267" w:rsidR="00BB786E" w:rsidRPr="002364AB" w:rsidRDefault="00BB786E">
            <w:pPr>
              <w:suppressLineNumbers/>
              <w:suppressAutoHyphens/>
              <w:jc w:val="center"/>
              <w:rPr>
                <w:i/>
                <w:iCs/>
                <w:kern w:val="22"/>
                <w:sz w:val="20"/>
                <w:szCs w:val="20"/>
                <w:lang w:val="en-GB"/>
              </w:rPr>
            </w:pPr>
            <w:r w:rsidRPr="002364AB">
              <w:rPr>
                <w:i/>
                <w:iCs/>
                <w:kern w:val="22"/>
                <w:sz w:val="20"/>
                <w:szCs w:val="20"/>
                <w:lang w:val="en-GB"/>
              </w:rPr>
              <w:t>Group</w:t>
            </w:r>
            <w:r w:rsidR="00BE6788">
              <w:rPr>
                <w:i/>
                <w:iCs/>
                <w:kern w:val="22"/>
                <w:sz w:val="20"/>
                <w:szCs w:val="20"/>
                <w:lang w:val="en-GB"/>
              </w:rPr>
              <w:t>e</w:t>
            </w:r>
            <w:r w:rsidRPr="002364AB">
              <w:rPr>
                <w:i/>
                <w:iCs/>
                <w:kern w:val="22"/>
                <w:sz w:val="20"/>
                <w:szCs w:val="20"/>
                <w:lang w:val="en-GB"/>
              </w:rPr>
              <w:t xml:space="preserve"> 2</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88ACC7" w14:textId="6E1E3CC5" w:rsidR="00BB786E" w:rsidRPr="002364AB" w:rsidRDefault="00BB786E">
            <w:pPr>
              <w:suppressLineNumbers/>
              <w:suppressAutoHyphens/>
              <w:jc w:val="center"/>
              <w:rPr>
                <w:i/>
                <w:iCs/>
                <w:kern w:val="22"/>
                <w:sz w:val="20"/>
                <w:szCs w:val="20"/>
                <w:lang w:val="en-GB"/>
              </w:rPr>
            </w:pPr>
            <w:r w:rsidRPr="002364AB">
              <w:rPr>
                <w:i/>
                <w:iCs/>
                <w:kern w:val="22"/>
                <w:sz w:val="20"/>
                <w:szCs w:val="20"/>
                <w:lang w:val="en-GB"/>
              </w:rPr>
              <w:t>Group</w:t>
            </w:r>
            <w:r w:rsidR="00BE6788">
              <w:rPr>
                <w:i/>
                <w:iCs/>
                <w:kern w:val="22"/>
                <w:sz w:val="20"/>
                <w:szCs w:val="20"/>
                <w:lang w:val="en-GB"/>
              </w:rPr>
              <w:t>e</w:t>
            </w:r>
            <w:r w:rsidRPr="002364AB">
              <w:rPr>
                <w:i/>
                <w:iCs/>
                <w:kern w:val="22"/>
                <w:sz w:val="20"/>
                <w:szCs w:val="20"/>
                <w:lang w:val="en-GB"/>
              </w:rPr>
              <w:t xml:space="preserve">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939AB" w14:textId="77777777" w:rsidR="00BB786E" w:rsidRPr="002364AB" w:rsidRDefault="00BB786E">
            <w:pPr>
              <w:rPr>
                <w:rFonts w:eastAsia="Times New Roman" w:cs="Times New Roman"/>
                <w:b/>
                <w:bCs/>
                <w:kern w:val="22"/>
                <w:sz w:val="20"/>
                <w:szCs w:val="20"/>
                <w:lang w:val="en-GB"/>
              </w:rPr>
            </w:pPr>
          </w:p>
        </w:tc>
      </w:tr>
      <w:tr w:rsidR="00BB786E" w:rsidRPr="00E709D5" w14:paraId="20D94C7C" w14:textId="77777777" w:rsidTr="00BB786E">
        <w:trPr>
          <w:trHeight w:val="744"/>
          <w:jc w:val="center"/>
        </w:trPr>
        <w:tc>
          <w:tcPr>
            <w:tcW w:w="1271" w:type="dxa"/>
            <w:tcBorders>
              <w:top w:val="single" w:sz="4" w:space="0" w:color="auto"/>
              <w:left w:val="single" w:sz="4" w:space="0" w:color="auto"/>
              <w:bottom w:val="single" w:sz="4" w:space="0" w:color="auto"/>
              <w:right w:val="single" w:sz="4" w:space="0" w:color="auto"/>
            </w:tcBorders>
            <w:hideMark/>
          </w:tcPr>
          <w:p w14:paraId="6830F3FC" w14:textId="30EF3563" w:rsidR="00BB786E" w:rsidRPr="00D6074A" w:rsidRDefault="00D6074A" w:rsidP="00CF3D56">
            <w:pPr>
              <w:suppressLineNumbers/>
              <w:suppressAutoHyphens/>
              <w:jc w:val="left"/>
              <w:rPr>
                <w:b/>
                <w:bCs/>
                <w:kern w:val="22"/>
                <w:sz w:val="20"/>
                <w:szCs w:val="20"/>
                <w:lang w:val="fr-FR"/>
              </w:rPr>
            </w:pPr>
            <w:r w:rsidRPr="00D6074A">
              <w:rPr>
                <w:b/>
                <w:bCs/>
                <w:kern w:val="22"/>
                <w:sz w:val="20"/>
                <w:szCs w:val="20"/>
                <w:lang w:val="fr-FR"/>
              </w:rPr>
              <w:lastRenderedPageBreak/>
              <w:t>D</w:t>
            </w:r>
            <w:r w:rsidR="00BB786E" w:rsidRPr="00D6074A">
              <w:rPr>
                <w:b/>
                <w:bCs/>
                <w:kern w:val="22"/>
                <w:sz w:val="20"/>
                <w:szCs w:val="20"/>
                <w:lang w:val="fr-FR"/>
              </w:rPr>
              <w:t>escription</w:t>
            </w:r>
            <w:r w:rsidR="00CF3D56">
              <w:rPr>
                <w:b/>
                <w:bCs/>
                <w:kern w:val="22"/>
                <w:sz w:val="20"/>
                <w:szCs w:val="20"/>
                <w:lang w:val="fr-FR"/>
              </w:rPr>
              <w:t xml:space="preserve"> générale </w:t>
            </w:r>
            <w:r w:rsidRPr="00D6074A">
              <w:rPr>
                <w:b/>
                <w:bCs/>
                <w:kern w:val="22"/>
                <w:sz w:val="20"/>
                <w:szCs w:val="20"/>
                <w:lang w:val="fr-FR"/>
              </w:rPr>
              <w:t xml:space="preserve">de chaque </w:t>
            </w:r>
            <w:r w:rsidR="00BB786E" w:rsidRPr="00D6074A">
              <w:rPr>
                <w:b/>
                <w:bCs/>
                <w:kern w:val="22"/>
                <w:sz w:val="20"/>
                <w:szCs w:val="20"/>
                <w:lang w:val="fr-FR"/>
              </w:rPr>
              <w:t>group</w:t>
            </w:r>
            <w:r w:rsidRPr="00D6074A">
              <w:rPr>
                <w:b/>
                <w:bCs/>
                <w:kern w:val="22"/>
                <w:sz w:val="20"/>
                <w:szCs w:val="20"/>
                <w:lang w:val="fr-FR"/>
              </w:rPr>
              <w:t>e</w:t>
            </w:r>
          </w:p>
        </w:tc>
        <w:tc>
          <w:tcPr>
            <w:tcW w:w="1985" w:type="dxa"/>
            <w:tcBorders>
              <w:top w:val="single" w:sz="4" w:space="0" w:color="auto"/>
              <w:left w:val="single" w:sz="4" w:space="0" w:color="auto"/>
              <w:bottom w:val="single" w:sz="4" w:space="0" w:color="auto"/>
              <w:right w:val="single" w:sz="4" w:space="0" w:color="auto"/>
            </w:tcBorders>
            <w:hideMark/>
          </w:tcPr>
          <w:p w14:paraId="390CFAB7" w14:textId="5EA074AE" w:rsidR="00BB786E" w:rsidRPr="002364AB" w:rsidRDefault="00BB786E">
            <w:pPr>
              <w:suppressLineNumbers/>
              <w:suppressAutoHyphens/>
              <w:rPr>
                <w:kern w:val="22"/>
                <w:sz w:val="20"/>
                <w:szCs w:val="20"/>
                <w:lang w:val="en-GB"/>
              </w:rPr>
            </w:pPr>
            <w:r w:rsidRPr="00D6074A">
              <w:rPr>
                <w:kern w:val="22"/>
                <w:sz w:val="20"/>
                <w:szCs w:val="20"/>
                <w:lang w:val="fr-FR"/>
              </w:rPr>
              <w:t xml:space="preserve"> </w:t>
            </w:r>
            <w:r w:rsidR="00974B88">
              <w:rPr>
                <w:kern w:val="22"/>
                <w:sz w:val="20"/>
                <w:szCs w:val="20"/>
                <w:lang w:val="en-GB"/>
              </w:rPr>
              <w:t>ADN</w:t>
            </w:r>
            <w:r w:rsidR="00E3674F">
              <w:rPr>
                <w:kern w:val="22"/>
                <w:sz w:val="20"/>
                <w:szCs w:val="20"/>
                <w:lang w:val="en-GB"/>
              </w:rPr>
              <w:t xml:space="preserve"> et </w:t>
            </w:r>
            <w:r w:rsidR="002C0A2A">
              <w:rPr>
                <w:kern w:val="22"/>
                <w:sz w:val="20"/>
                <w:szCs w:val="20"/>
                <w:lang w:val="en-GB"/>
              </w:rPr>
              <w:t>ARN</w:t>
            </w:r>
          </w:p>
        </w:tc>
        <w:tc>
          <w:tcPr>
            <w:tcW w:w="1984" w:type="dxa"/>
            <w:tcBorders>
              <w:top w:val="single" w:sz="4" w:space="0" w:color="auto"/>
              <w:left w:val="single" w:sz="4" w:space="0" w:color="auto"/>
              <w:bottom w:val="single" w:sz="4" w:space="0" w:color="auto"/>
              <w:right w:val="single" w:sz="4" w:space="0" w:color="auto"/>
            </w:tcBorders>
            <w:hideMark/>
          </w:tcPr>
          <w:p w14:paraId="41FB1519" w14:textId="1AE9D998" w:rsidR="00BB786E" w:rsidRPr="002364AB" w:rsidRDefault="00BB786E" w:rsidP="00D6074A">
            <w:pPr>
              <w:suppressLineNumbers/>
              <w:suppressAutoHyphens/>
              <w:jc w:val="left"/>
              <w:rPr>
                <w:kern w:val="22"/>
                <w:sz w:val="20"/>
                <w:szCs w:val="20"/>
                <w:lang w:val="en-GB"/>
              </w:rPr>
            </w:pPr>
            <w:r w:rsidRPr="002364AB">
              <w:rPr>
                <w:kern w:val="22"/>
                <w:sz w:val="20"/>
                <w:szCs w:val="20"/>
                <w:lang w:val="en-GB"/>
              </w:rPr>
              <w:t>Group</w:t>
            </w:r>
            <w:r w:rsidR="00D6074A">
              <w:rPr>
                <w:kern w:val="22"/>
                <w:sz w:val="20"/>
                <w:szCs w:val="20"/>
                <w:lang w:val="en-GB"/>
              </w:rPr>
              <w:t>e 1 + proté</w:t>
            </w:r>
            <w:r w:rsidRPr="002364AB">
              <w:rPr>
                <w:kern w:val="22"/>
                <w:sz w:val="20"/>
                <w:szCs w:val="20"/>
                <w:lang w:val="en-GB"/>
              </w:rPr>
              <w:t>in</w:t>
            </w:r>
            <w:r w:rsidR="00D6074A">
              <w:rPr>
                <w:kern w:val="22"/>
                <w:sz w:val="20"/>
                <w:szCs w:val="20"/>
                <w:lang w:val="en-GB"/>
              </w:rPr>
              <w:t>e</w:t>
            </w:r>
            <w:r w:rsidR="00974B88">
              <w:rPr>
                <w:kern w:val="22"/>
                <w:sz w:val="20"/>
                <w:szCs w:val="20"/>
                <w:lang w:val="en-GB"/>
              </w:rPr>
              <w:t>s +</w:t>
            </w:r>
            <w:r w:rsidRPr="002364AB">
              <w:rPr>
                <w:kern w:val="22"/>
                <w:sz w:val="20"/>
                <w:szCs w:val="20"/>
                <w:lang w:val="en-GB"/>
              </w:rPr>
              <w:t xml:space="preserve"> modifications</w:t>
            </w:r>
            <w:r w:rsidR="00974B88">
              <w:rPr>
                <w:kern w:val="22"/>
                <w:sz w:val="20"/>
                <w:szCs w:val="20"/>
                <w:lang w:val="en-GB"/>
              </w:rPr>
              <w:t xml:space="preserve"> épigénétiques</w:t>
            </w:r>
          </w:p>
        </w:tc>
        <w:tc>
          <w:tcPr>
            <w:tcW w:w="2126" w:type="dxa"/>
            <w:tcBorders>
              <w:top w:val="single" w:sz="4" w:space="0" w:color="auto"/>
              <w:left w:val="single" w:sz="4" w:space="0" w:color="auto"/>
              <w:bottom w:val="single" w:sz="4" w:space="0" w:color="auto"/>
              <w:right w:val="single" w:sz="4" w:space="0" w:color="auto"/>
            </w:tcBorders>
            <w:hideMark/>
          </w:tcPr>
          <w:p w14:paraId="58653905" w14:textId="70DE81A3" w:rsidR="00BB786E" w:rsidRPr="002518EB" w:rsidRDefault="00D6074A" w:rsidP="00D6074A">
            <w:pPr>
              <w:suppressLineNumbers/>
              <w:suppressAutoHyphens/>
              <w:jc w:val="left"/>
              <w:rPr>
                <w:kern w:val="22"/>
                <w:sz w:val="20"/>
                <w:szCs w:val="20"/>
                <w:lang w:val="fr-FR"/>
              </w:rPr>
            </w:pPr>
            <w:r>
              <w:rPr>
                <w:kern w:val="22"/>
                <w:sz w:val="20"/>
                <w:szCs w:val="20"/>
                <w:lang w:val="fr-FR"/>
              </w:rPr>
              <w:t>Group</w:t>
            </w:r>
            <w:r w:rsidR="00974B88">
              <w:rPr>
                <w:kern w:val="22"/>
                <w:sz w:val="20"/>
                <w:szCs w:val="20"/>
                <w:lang w:val="fr-FR"/>
              </w:rPr>
              <w:t>e</w:t>
            </w:r>
            <w:r>
              <w:rPr>
                <w:kern w:val="22"/>
                <w:sz w:val="20"/>
                <w:szCs w:val="20"/>
                <w:lang w:val="fr-FR"/>
              </w:rPr>
              <w:t xml:space="preserve"> 2 + mé</w:t>
            </w:r>
            <w:r w:rsidR="00BB786E" w:rsidRPr="002518EB">
              <w:rPr>
                <w:kern w:val="22"/>
                <w:sz w:val="20"/>
                <w:szCs w:val="20"/>
                <w:lang w:val="fr-FR"/>
              </w:rPr>
              <w:t>tabolites</w:t>
            </w:r>
            <w:r w:rsidR="00E3674F" w:rsidRPr="002518EB">
              <w:rPr>
                <w:kern w:val="22"/>
                <w:sz w:val="20"/>
                <w:szCs w:val="20"/>
                <w:lang w:val="fr-FR"/>
              </w:rPr>
              <w:t xml:space="preserve"> et</w:t>
            </w:r>
            <w:r>
              <w:rPr>
                <w:kern w:val="22"/>
                <w:sz w:val="20"/>
                <w:szCs w:val="20"/>
                <w:lang w:val="fr-FR"/>
              </w:rPr>
              <w:t xml:space="preserve"> </w:t>
            </w:r>
            <w:r w:rsidR="002518EB" w:rsidRPr="002518EB">
              <w:rPr>
                <w:kern w:val="22"/>
                <w:sz w:val="20"/>
                <w:szCs w:val="20"/>
                <w:lang w:val="fr-FR"/>
              </w:rPr>
              <w:t xml:space="preserve">autres </w:t>
            </w:r>
            <w:r>
              <w:rPr>
                <w:kern w:val="22"/>
                <w:sz w:val="20"/>
                <w:szCs w:val="20"/>
                <w:lang w:val="fr-FR"/>
              </w:rPr>
              <w:t>macromolé</w:t>
            </w:r>
            <w:r w:rsidR="00BB786E" w:rsidRPr="002518EB">
              <w:rPr>
                <w:kern w:val="22"/>
                <w:sz w:val="20"/>
                <w:szCs w:val="20"/>
                <w:lang w:val="fr-FR"/>
              </w:rPr>
              <w:t>cules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965F5" w14:textId="77777777" w:rsidR="00BB786E" w:rsidRPr="002518EB" w:rsidRDefault="00BB786E">
            <w:pPr>
              <w:rPr>
                <w:rFonts w:eastAsia="Times New Roman" w:cs="Times New Roman"/>
                <w:b/>
                <w:bCs/>
                <w:kern w:val="22"/>
                <w:sz w:val="20"/>
                <w:szCs w:val="20"/>
                <w:lang w:val="fr-FR"/>
              </w:rPr>
            </w:pPr>
          </w:p>
        </w:tc>
      </w:tr>
      <w:tr w:rsidR="00BB786E" w:rsidRPr="00E709D5" w14:paraId="3B2E63FF" w14:textId="77777777" w:rsidTr="000402AC">
        <w:trPr>
          <w:trHeight w:val="1833"/>
          <w:jc w:val="center"/>
        </w:trPr>
        <w:tc>
          <w:tcPr>
            <w:tcW w:w="1271" w:type="dxa"/>
            <w:tcBorders>
              <w:top w:val="single" w:sz="4" w:space="0" w:color="auto"/>
              <w:left w:val="single" w:sz="4" w:space="0" w:color="auto"/>
              <w:bottom w:val="single" w:sz="4" w:space="0" w:color="auto"/>
              <w:right w:val="single" w:sz="4" w:space="0" w:color="auto"/>
            </w:tcBorders>
            <w:hideMark/>
          </w:tcPr>
          <w:p w14:paraId="4B57FAC7" w14:textId="44DD49F3" w:rsidR="00BB786E" w:rsidRPr="002C0A2A" w:rsidRDefault="009D43F1" w:rsidP="00CF3D56">
            <w:pPr>
              <w:suppressLineNumbers/>
              <w:suppressAutoHyphens/>
              <w:jc w:val="left"/>
              <w:rPr>
                <w:b/>
                <w:bCs/>
                <w:kern w:val="22"/>
                <w:sz w:val="20"/>
                <w:szCs w:val="20"/>
                <w:lang w:val="fr-FR"/>
              </w:rPr>
            </w:pPr>
            <w:r w:rsidRPr="002C0A2A">
              <w:rPr>
                <w:b/>
                <w:bCs/>
                <w:kern w:val="22"/>
                <w:sz w:val="20"/>
                <w:szCs w:val="20"/>
                <w:lang w:val="fr-FR"/>
              </w:rPr>
              <w:t>Exemple</w:t>
            </w:r>
            <w:r w:rsidR="00CF3D56">
              <w:rPr>
                <w:b/>
                <w:bCs/>
                <w:kern w:val="22"/>
                <w:sz w:val="20"/>
                <w:szCs w:val="20"/>
                <w:lang w:val="fr-FR"/>
              </w:rPr>
              <w:t>s de thèmes plus pointus</w:t>
            </w:r>
          </w:p>
        </w:tc>
        <w:tc>
          <w:tcPr>
            <w:tcW w:w="1985" w:type="dxa"/>
            <w:tcBorders>
              <w:top w:val="single" w:sz="4" w:space="0" w:color="auto"/>
              <w:left w:val="single" w:sz="4" w:space="0" w:color="auto"/>
              <w:bottom w:val="single" w:sz="4" w:space="0" w:color="auto"/>
              <w:right w:val="single" w:sz="4" w:space="0" w:color="auto"/>
            </w:tcBorders>
            <w:hideMark/>
          </w:tcPr>
          <w:p w14:paraId="093C73F2" w14:textId="2BC83DA4" w:rsidR="00BB786E" w:rsidRPr="002C0A2A" w:rsidRDefault="00E3788A" w:rsidP="00BB786E">
            <w:pPr>
              <w:pStyle w:val="ListParagraph"/>
              <w:numPr>
                <w:ilvl w:val="0"/>
                <w:numId w:val="32"/>
              </w:numPr>
              <w:suppressLineNumbers/>
              <w:suppressAutoHyphens/>
              <w:ind w:left="196" w:hanging="147"/>
              <w:jc w:val="left"/>
              <w:rPr>
                <w:rFonts w:cs="Times New Roman"/>
                <w:kern w:val="22"/>
                <w:sz w:val="20"/>
                <w:szCs w:val="20"/>
                <w:lang w:val="fr-FR"/>
              </w:rPr>
            </w:pPr>
            <w:r>
              <w:rPr>
                <w:rFonts w:cs="Times New Roman"/>
                <w:kern w:val="22"/>
                <w:sz w:val="20"/>
                <w:szCs w:val="20"/>
                <w:lang w:val="fr-FR"/>
              </w:rPr>
              <w:t>Lecture</w:t>
            </w:r>
            <w:r w:rsidR="002C0A2A" w:rsidRPr="002C0A2A">
              <w:rPr>
                <w:rFonts w:cs="Times New Roman"/>
                <w:kern w:val="22"/>
                <w:sz w:val="20"/>
                <w:szCs w:val="20"/>
                <w:lang w:val="fr-FR"/>
              </w:rPr>
              <w:t xml:space="preserve"> de</w:t>
            </w:r>
            <w:r>
              <w:rPr>
                <w:rFonts w:cs="Times New Roman"/>
                <w:kern w:val="22"/>
                <w:sz w:val="20"/>
                <w:szCs w:val="20"/>
                <w:lang w:val="fr-FR"/>
              </w:rPr>
              <w:t>s</w:t>
            </w:r>
            <w:r w:rsidR="002C0A2A" w:rsidRPr="002C0A2A">
              <w:rPr>
                <w:rFonts w:cs="Times New Roman"/>
                <w:kern w:val="22"/>
                <w:sz w:val="20"/>
                <w:szCs w:val="20"/>
                <w:lang w:val="fr-FR"/>
              </w:rPr>
              <w:t xml:space="preserve"> </w:t>
            </w:r>
            <w:r w:rsidR="00974B88" w:rsidRPr="002C0A2A">
              <w:rPr>
                <w:rFonts w:cs="Times New Roman"/>
                <w:kern w:val="22"/>
                <w:sz w:val="20"/>
                <w:szCs w:val="20"/>
                <w:lang w:val="fr-FR"/>
              </w:rPr>
              <w:t>séquence</w:t>
            </w:r>
            <w:r>
              <w:rPr>
                <w:rFonts w:cs="Times New Roman"/>
                <w:kern w:val="22"/>
                <w:sz w:val="20"/>
                <w:szCs w:val="20"/>
                <w:lang w:val="fr-FR"/>
              </w:rPr>
              <w:t>s d’acide nucléique</w:t>
            </w:r>
            <w:r w:rsidR="00BB786E" w:rsidRPr="002C0A2A">
              <w:rPr>
                <w:rFonts w:cs="Times New Roman"/>
                <w:kern w:val="22"/>
                <w:sz w:val="20"/>
                <w:szCs w:val="20"/>
                <w:lang w:val="fr-FR"/>
              </w:rPr>
              <w:t>;</w:t>
            </w:r>
          </w:p>
          <w:p w14:paraId="6F38C19C" w14:textId="56E74FED" w:rsidR="00BB786E" w:rsidRPr="002C0A2A" w:rsidRDefault="002C0A2A" w:rsidP="00BB786E">
            <w:pPr>
              <w:pStyle w:val="ListParagraph"/>
              <w:numPr>
                <w:ilvl w:val="0"/>
                <w:numId w:val="32"/>
              </w:numPr>
              <w:suppressLineNumbers/>
              <w:suppressAutoHyphens/>
              <w:ind w:left="196" w:hanging="147"/>
              <w:jc w:val="left"/>
              <w:rPr>
                <w:rFonts w:cs="Times New Roman"/>
                <w:kern w:val="22"/>
                <w:sz w:val="20"/>
                <w:szCs w:val="20"/>
                <w:lang w:val="fr-FR"/>
              </w:rPr>
            </w:pPr>
            <w:r w:rsidRPr="002C0A2A">
              <w:rPr>
                <w:rFonts w:cs="Times New Roman"/>
                <w:kern w:val="22"/>
                <w:sz w:val="20"/>
                <w:szCs w:val="20"/>
                <w:lang w:val="fr-FR"/>
              </w:rPr>
              <w:t>Donn</w:t>
            </w:r>
            <w:r w:rsidR="00E3788A">
              <w:rPr>
                <w:rFonts w:cs="Times New Roman"/>
                <w:kern w:val="22"/>
                <w:sz w:val="20"/>
                <w:szCs w:val="20"/>
                <w:lang w:val="fr-FR"/>
              </w:rPr>
              <w:t xml:space="preserve">ées associées à une lecture </w:t>
            </w:r>
            <w:r w:rsidRPr="002C0A2A">
              <w:rPr>
                <w:rFonts w:cs="Times New Roman"/>
                <w:kern w:val="22"/>
                <w:sz w:val="20"/>
                <w:szCs w:val="20"/>
                <w:lang w:val="fr-FR"/>
              </w:rPr>
              <w:t>de</w:t>
            </w:r>
            <w:r w:rsidR="00E3788A">
              <w:rPr>
                <w:rFonts w:cs="Times New Roman"/>
                <w:kern w:val="22"/>
                <w:sz w:val="20"/>
                <w:szCs w:val="20"/>
                <w:lang w:val="fr-FR"/>
              </w:rPr>
              <w:t>s sé</w:t>
            </w:r>
            <w:r w:rsidRPr="002C0A2A">
              <w:rPr>
                <w:rFonts w:cs="Times New Roman"/>
                <w:kern w:val="22"/>
                <w:sz w:val="20"/>
                <w:szCs w:val="20"/>
                <w:lang w:val="fr-FR"/>
              </w:rPr>
              <w:t xml:space="preserve">quences d’acide nucléique </w:t>
            </w:r>
            <w:r w:rsidR="00BB786E" w:rsidRPr="002C0A2A">
              <w:rPr>
                <w:rFonts w:cs="Times New Roman"/>
                <w:kern w:val="22"/>
                <w:sz w:val="20"/>
                <w:szCs w:val="20"/>
                <w:lang w:val="fr-FR"/>
              </w:rPr>
              <w:t>;</w:t>
            </w:r>
          </w:p>
          <w:p w14:paraId="6F686E70" w14:textId="20386787" w:rsidR="00BB786E" w:rsidRPr="002C0A2A" w:rsidRDefault="002C0A2A" w:rsidP="00BB786E">
            <w:pPr>
              <w:pStyle w:val="ListParagraph"/>
              <w:numPr>
                <w:ilvl w:val="0"/>
                <w:numId w:val="32"/>
              </w:numPr>
              <w:suppressLineNumbers/>
              <w:suppressAutoHyphens/>
              <w:ind w:left="196" w:hanging="147"/>
              <w:jc w:val="left"/>
              <w:rPr>
                <w:rFonts w:cs="Times New Roman"/>
                <w:kern w:val="22"/>
                <w:sz w:val="20"/>
                <w:szCs w:val="20"/>
                <w:lang w:val="fr-FR"/>
              </w:rPr>
            </w:pPr>
            <w:r>
              <w:rPr>
                <w:rFonts w:cs="Times New Roman"/>
                <w:kern w:val="22"/>
                <w:sz w:val="20"/>
                <w:szCs w:val="20"/>
                <w:lang w:val="fr-FR"/>
              </w:rPr>
              <w:t>S</w:t>
            </w:r>
            <w:r w:rsidR="00C40879">
              <w:rPr>
                <w:rFonts w:cs="Times New Roman"/>
                <w:kern w:val="22"/>
                <w:sz w:val="20"/>
                <w:szCs w:val="20"/>
                <w:lang w:val="fr-FR"/>
              </w:rPr>
              <w:t>équences d’acide nucléique non codantes</w:t>
            </w:r>
            <w:r>
              <w:rPr>
                <w:rFonts w:cs="Times New Roman"/>
                <w:kern w:val="22"/>
                <w:sz w:val="20"/>
                <w:szCs w:val="20"/>
                <w:lang w:val="fr-FR"/>
              </w:rPr>
              <w:t xml:space="preserve"> </w:t>
            </w:r>
            <w:r w:rsidR="00BB786E" w:rsidRPr="002C0A2A">
              <w:rPr>
                <w:rFonts w:cs="Times New Roman"/>
                <w:kern w:val="22"/>
                <w:sz w:val="20"/>
                <w:szCs w:val="20"/>
                <w:lang w:val="fr-FR"/>
              </w:rPr>
              <w:t>;</w:t>
            </w:r>
          </w:p>
          <w:p w14:paraId="1461A6C4" w14:textId="48FE7A60" w:rsidR="00BB786E" w:rsidRPr="008A5BE1" w:rsidRDefault="00C40879" w:rsidP="00BB786E">
            <w:pPr>
              <w:pStyle w:val="ListParagraph"/>
              <w:numPr>
                <w:ilvl w:val="0"/>
                <w:numId w:val="32"/>
              </w:numPr>
              <w:suppressLineNumbers/>
              <w:suppressAutoHyphens/>
              <w:ind w:left="196" w:hanging="147"/>
              <w:jc w:val="left"/>
              <w:rPr>
                <w:rFonts w:cs="Times New Roman"/>
                <w:kern w:val="22"/>
                <w:sz w:val="20"/>
                <w:szCs w:val="20"/>
                <w:lang w:val="fr-FR"/>
              </w:rPr>
            </w:pPr>
            <w:r>
              <w:rPr>
                <w:rFonts w:cs="Times New Roman"/>
                <w:kern w:val="22"/>
                <w:sz w:val="20"/>
                <w:szCs w:val="20"/>
                <w:lang w:val="fr-FR"/>
              </w:rPr>
              <w:t>Configuration</w:t>
            </w:r>
            <w:r w:rsidR="002C0A2A">
              <w:rPr>
                <w:rFonts w:cs="Times New Roman"/>
                <w:kern w:val="22"/>
                <w:sz w:val="20"/>
                <w:szCs w:val="20"/>
                <w:lang w:val="fr-FR"/>
              </w:rPr>
              <w:t xml:space="preserve"> génétique</w:t>
            </w:r>
            <w:r w:rsidR="00BB786E" w:rsidRPr="008A5BE1">
              <w:rPr>
                <w:rFonts w:cs="Times New Roman"/>
                <w:kern w:val="22"/>
                <w:sz w:val="20"/>
                <w:szCs w:val="20"/>
                <w:lang w:val="fr-FR"/>
              </w:rPr>
              <w:t xml:space="preserve"> (</w:t>
            </w:r>
            <w:r w:rsidR="002C0A2A">
              <w:rPr>
                <w:rFonts w:cs="Times New Roman"/>
                <w:kern w:val="22"/>
                <w:sz w:val="20"/>
                <w:szCs w:val="20"/>
                <w:lang w:val="fr-FR"/>
              </w:rPr>
              <w:t xml:space="preserve">par </w:t>
            </w:r>
            <w:r w:rsidR="008A5BE1" w:rsidRPr="008A5BE1">
              <w:rPr>
                <w:rFonts w:cs="Times New Roman"/>
                <w:kern w:val="22"/>
                <w:sz w:val="20"/>
                <w:szCs w:val="20"/>
                <w:lang w:val="fr-FR"/>
              </w:rPr>
              <w:t>exemple</w:t>
            </w:r>
            <w:r>
              <w:rPr>
                <w:rFonts w:cs="Times New Roman"/>
                <w:kern w:val="22"/>
                <w:sz w:val="20"/>
                <w:szCs w:val="20"/>
                <w:lang w:val="fr-FR"/>
              </w:rPr>
              <w:t>, génotypage</w:t>
            </w:r>
            <w:r w:rsidR="00BB786E" w:rsidRPr="008A5BE1">
              <w:rPr>
                <w:rFonts w:cs="Times New Roman"/>
                <w:kern w:val="22"/>
                <w:sz w:val="20"/>
                <w:szCs w:val="20"/>
                <w:lang w:val="fr-FR"/>
              </w:rPr>
              <w:t xml:space="preserve">, </w:t>
            </w:r>
            <w:r>
              <w:rPr>
                <w:rFonts w:cs="Times New Roman"/>
                <w:kern w:val="22"/>
                <w:sz w:val="20"/>
                <w:szCs w:val="20"/>
                <w:lang w:val="fr-FR"/>
              </w:rPr>
              <w:t>analyse</w:t>
            </w:r>
            <w:r w:rsidR="002C0A2A">
              <w:rPr>
                <w:rFonts w:cs="Times New Roman"/>
                <w:kern w:val="22"/>
                <w:sz w:val="20"/>
                <w:szCs w:val="20"/>
                <w:lang w:val="fr-FR"/>
              </w:rPr>
              <w:t xml:space="preserve"> microsatellite</w:t>
            </w:r>
            <w:r>
              <w:rPr>
                <w:rFonts w:cs="Times New Roman"/>
                <w:kern w:val="22"/>
                <w:sz w:val="20"/>
                <w:szCs w:val="20"/>
                <w:lang w:val="fr-FR"/>
              </w:rPr>
              <w:t>, polymorphismes de nucléotides simples</w:t>
            </w:r>
            <w:r w:rsidR="00BB786E" w:rsidRPr="008A5BE1">
              <w:rPr>
                <w:rFonts w:cs="Times New Roman"/>
                <w:kern w:val="22"/>
                <w:sz w:val="20"/>
                <w:szCs w:val="20"/>
                <w:lang w:val="fr-FR"/>
              </w:rPr>
              <w:t>, etc.);</w:t>
            </w:r>
          </w:p>
          <w:p w14:paraId="01476C39" w14:textId="52DA3AA1" w:rsidR="00BB786E" w:rsidRPr="002364AB" w:rsidRDefault="002C0A2A" w:rsidP="00BB786E">
            <w:pPr>
              <w:pStyle w:val="ListParagraph"/>
              <w:numPr>
                <w:ilvl w:val="0"/>
                <w:numId w:val="32"/>
              </w:numPr>
              <w:suppressLineNumbers/>
              <w:suppressAutoHyphens/>
              <w:ind w:left="196" w:hanging="147"/>
              <w:jc w:val="left"/>
              <w:rPr>
                <w:rFonts w:cs="Times New Roman"/>
                <w:kern w:val="22"/>
                <w:sz w:val="20"/>
                <w:szCs w:val="20"/>
                <w:lang w:val="en-GB"/>
              </w:rPr>
            </w:pPr>
            <w:r>
              <w:rPr>
                <w:rFonts w:cs="Times New Roman"/>
                <w:kern w:val="22"/>
                <w:sz w:val="20"/>
                <w:szCs w:val="20"/>
                <w:lang w:val="en-GB"/>
              </w:rPr>
              <w:t>A</w:t>
            </w:r>
            <w:r w:rsidR="00BB786E" w:rsidRPr="002364AB">
              <w:rPr>
                <w:rFonts w:cs="Times New Roman"/>
                <w:kern w:val="22"/>
                <w:sz w:val="20"/>
                <w:szCs w:val="20"/>
                <w:lang w:val="en-GB"/>
              </w:rPr>
              <w:t>nnotation</w:t>
            </w:r>
            <w:r w:rsidR="006011EF">
              <w:rPr>
                <w:rFonts w:cs="Times New Roman"/>
                <w:kern w:val="22"/>
                <w:sz w:val="20"/>
                <w:szCs w:val="20"/>
                <w:lang w:val="en-GB"/>
              </w:rPr>
              <w:t>s</w:t>
            </w:r>
            <w:r>
              <w:rPr>
                <w:rFonts w:cs="Times New Roman"/>
                <w:kern w:val="22"/>
                <w:sz w:val="20"/>
                <w:szCs w:val="20"/>
                <w:lang w:val="en-GB"/>
              </w:rPr>
              <w:t xml:space="preserve"> structurelle</w:t>
            </w:r>
            <w:r w:rsidR="006011EF">
              <w:rPr>
                <w:rFonts w:cs="Times New Roman"/>
                <w:kern w:val="22"/>
                <w:sz w:val="20"/>
                <w:szCs w:val="20"/>
                <w:lang w:val="en-GB"/>
              </w:rPr>
              <w:t>s</w:t>
            </w:r>
            <w:r w:rsidR="00BB786E" w:rsidRPr="002364AB">
              <w:rPr>
                <w:rFonts w:cs="Times New Roman"/>
                <w:kern w:val="22"/>
                <w:sz w:val="20"/>
                <w:szCs w:val="20"/>
                <w:lang w:val="en-GB"/>
              </w:rPr>
              <w:t>.</w:t>
            </w:r>
          </w:p>
        </w:tc>
        <w:tc>
          <w:tcPr>
            <w:tcW w:w="1984" w:type="dxa"/>
            <w:tcBorders>
              <w:top w:val="single" w:sz="4" w:space="0" w:color="auto"/>
              <w:left w:val="single" w:sz="4" w:space="0" w:color="auto"/>
              <w:bottom w:val="single" w:sz="4" w:space="0" w:color="auto"/>
              <w:right w:val="single" w:sz="4" w:space="0" w:color="auto"/>
            </w:tcBorders>
            <w:hideMark/>
          </w:tcPr>
          <w:p w14:paraId="2C0F70F8" w14:textId="33E785A0" w:rsidR="00BB786E" w:rsidRPr="002364AB" w:rsidRDefault="002C0A2A" w:rsidP="00BB786E">
            <w:pPr>
              <w:pStyle w:val="ListParagraph"/>
              <w:numPr>
                <w:ilvl w:val="0"/>
                <w:numId w:val="32"/>
              </w:numPr>
              <w:suppressLineNumbers/>
              <w:suppressAutoHyphens/>
              <w:ind w:left="196" w:hanging="147"/>
              <w:jc w:val="left"/>
              <w:rPr>
                <w:rFonts w:cs="Times New Roman"/>
                <w:kern w:val="22"/>
                <w:sz w:val="20"/>
                <w:szCs w:val="20"/>
                <w:lang w:val="en-GB"/>
              </w:rPr>
            </w:pPr>
            <w:r>
              <w:rPr>
                <w:rFonts w:cs="Times New Roman"/>
                <w:kern w:val="22"/>
                <w:sz w:val="20"/>
                <w:szCs w:val="20"/>
                <w:lang w:val="en-GB"/>
              </w:rPr>
              <w:t>S</w:t>
            </w:r>
            <w:r w:rsidR="00974B88">
              <w:rPr>
                <w:rFonts w:cs="Times New Roman"/>
                <w:kern w:val="22"/>
                <w:sz w:val="20"/>
                <w:szCs w:val="20"/>
                <w:lang w:val="en-GB"/>
              </w:rPr>
              <w:t>équence</w:t>
            </w:r>
            <w:r w:rsidR="00BB786E" w:rsidRPr="002364AB">
              <w:rPr>
                <w:rFonts w:cs="Times New Roman"/>
                <w:kern w:val="22"/>
                <w:sz w:val="20"/>
                <w:szCs w:val="20"/>
                <w:lang w:val="en-GB"/>
              </w:rPr>
              <w:t>s</w:t>
            </w:r>
            <w:r>
              <w:rPr>
                <w:rFonts w:cs="Times New Roman"/>
                <w:kern w:val="22"/>
                <w:sz w:val="20"/>
                <w:szCs w:val="20"/>
                <w:lang w:val="en-GB"/>
              </w:rPr>
              <w:t xml:space="preserve"> d’acides aminés</w:t>
            </w:r>
            <w:r w:rsidR="00BB786E" w:rsidRPr="002364AB">
              <w:rPr>
                <w:rFonts w:cs="Times New Roman"/>
                <w:kern w:val="22"/>
                <w:sz w:val="20"/>
                <w:szCs w:val="20"/>
                <w:lang w:val="en-GB"/>
              </w:rPr>
              <w:t>;</w:t>
            </w:r>
          </w:p>
          <w:p w14:paraId="676D9EA7" w14:textId="43080C76" w:rsidR="00BB786E" w:rsidRPr="002C0A2A" w:rsidRDefault="002C0A2A" w:rsidP="00BB786E">
            <w:pPr>
              <w:pStyle w:val="ListParagraph"/>
              <w:numPr>
                <w:ilvl w:val="0"/>
                <w:numId w:val="32"/>
              </w:numPr>
              <w:suppressLineNumbers/>
              <w:suppressAutoHyphens/>
              <w:ind w:left="196" w:hanging="147"/>
              <w:jc w:val="left"/>
              <w:rPr>
                <w:rFonts w:cs="Times New Roman"/>
                <w:kern w:val="22"/>
                <w:sz w:val="20"/>
                <w:szCs w:val="20"/>
                <w:lang w:val="fr-FR"/>
              </w:rPr>
            </w:pPr>
            <w:r w:rsidRPr="002C0A2A">
              <w:rPr>
                <w:rFonts w:cs="Times New Roman"/>
                <w:kern w:val="22"/>
                <w:sz w:val="20"/>
                <w:szCs w:val="20"/>
                <w:lang w:val="fr-FR"/>
              </w:rPr>
              <w:t>Information sur l’</w:t>
            </w:r>
            <w:r w:rsidR="00BB786E" w:rsidRPr="002C0A2A">
              <w:rPr>
                <w:rFonts w:cs="Times New Roman"/>
                <w:kern w:val="22"/>
                <w:sz w:val="20"/>
                <w:szCs w:val="20"/>
                <w:lang w:val="fr-FR"/>
              </w:rPr>
              <w:t>expression</w:t>
            </w:r>
            <w:r w:rsidRPr="002C0A2A">
              <w:rPr>
                <w:rFonts w:cs="Times New Roman"/>
                <w:kern w:val="22"/>
                <w:sz w:val="20"/>
                <w:szCs w:val="20"/>
                <w:lang w:val="fr-FR"/>
              </w:rPr>
              <w:t xml:space="preserve"> des gènes</w:t>
            </w:r>
            <w:r w:rsidR="00BB786E" w:rsidRPr="002C0A2A">
              <w:rPr>
                <w:rFonts w:cs="Times New Roman"/>
                <w:kern w:val="22"/>
                <w:sz w:val="20"/>
                <w:szCs w:val="20"/>
                <w:lang w:val="fr-FR"/>
              </w:rPr>
              <w:t>;</w:t>
            </w:r>
          </w:p>
          <w:p w14:paraId="736C59B9" w14:textId="66437360" w:rsidR="00BB786E" w:rsidRPr="002364AB" w:rsidRDefault="002C0A2A" w:rsidP="00BB786E">
            <w:pPr>
              <w:pStyle w:val="ListParagraph"/>
              <w:numPr>
                <w:ilvl w:val="0"/>
                <w:numId w:val="32"/>
              </w:numPr>
              <w:suppressLineNumbers/>
              <w:suppressAutoHyphens/>
              <w:ind w:left="196" w:hanging="147"/>
              <w:jc w:val="left"/>
              <w:rPr>
                <w:rFonts w:cs="Times New Roman"/>
                <w:kern w:val="22"/>
                <w:sz w:val="20"/>
                <w:szCs w:val="20"/>
                <w:lang w:val="en-GB"/>
              </w:rPr>
            </w:pPr>
            <w:r>
              <w:rPr>
                <w:rFonts w:cs="Times New Roman"/>
                <w:kern w:val="22"/>
                <w:sz w:val="20"/>
                <w:szCs w:val="20"/>
                <w:lang w:val="en-GB"/>
              </w:rPr>
              <w:t>A</w:t>
            </w:r>
            <w:r w:rsidR="00BB786E" w:rsidRPr="002364AB">
              <w:rPr>
                <w:rFonts w:cs="Times New Roman"/>
                <w:kern w:val="22"/>
                <w:sz w:val="20"/>
                <w:szCs w:val="20"/>
                <w:lang w:val="en-GB"/>
              </w:rPr>
              <w:t>nnotation</w:t>
            </w:r>
            <w:r w:rsidR="006011EF">
              <w:rPr>
                <w:rFonts w:cs="Times New Roman"/>
                <w:kern w:val="22"/>
                <w:sz w:val="20"/>
                <w:szCs w:val="20"/>
                <w:lang w:val="en-GB"/>
              </w:rPr>
              <w:t>s</w:t>
            </w:r>
            <w:r>
              <w:rPr>
                <w:rFonts w:cs="Times New Roman"/>
                <w:kern w:val="22"/>
                <w:sz w:val="20"/>
                <w:szCs w:val="20"/>
                <w:lang w:val="en-GB"/>
              </w:rPr>
              <w:t xml:space="preserve"> fonctionnelle</w:t>
            </w:r>
            <w:r w:rsidR="006011EF">
              <w:rPr>
                <w:rFonts w:cs="Times New Roman"/>
                <w:kern w:val="22"/>
                <w:sz w:val="20"/>
                <w:szCs w:val="20"/>
                <w:lang w:val="en-GB"/>
              </w:rPr>
              <w:t>s</w:t>
            </w:r>
            <w:r w:rsidR="00BB786E" w:rsidRPr="002364AB">
              <w:rPr>
                <w:rFonts w:cs="Times New Roman"/>
                <w:kern w:val="22"/>
                <w:sz w:val="20"/>
                <w:szCs w:val="20"/>
                <w:lang w:val="en-GB"/>
              </w:rPr>
              <w:t>;</w:t>
            </w:r>
          </w:p>
          <w:p w14:paraId="1EBB09B1" w14:textId="58534011" w:rsidR="00BB786E" w:rsidRPr="008A5BE1" w:rsidRDefault="00974B88" w:rsidP="00BB786E">
            <w:pPr>
              <w:pStyle w:val="ListParagraph"/>
              <w:numPr>
                <w:ilvl w:val="0"/>
                <w:numId w:val="32"/>
              </w:numPr>
              <w:suppressLineNumbers/>
              <w:suppressAutoHyphens/>
              <w:ind w:left="196" w:hanging="147"/>
              <w:jc w:val="left"/>
              <w:rPr>
                <w:rFonts w:cs="Times New Roman"/>
                <w:kern w:val="22"/>
                <w:sz w:val="20"/>
                <w:szCs w:val="20"/>
                <w:lang w:val="fr-FR"/>
              </w:rPr>
            </w:pPr>
            <w:r>
              <w:rPr>
                <w:rFonts w:cs="Times New Roman"/>
                <w:kern w:val="22"/>
                <w:sz w:val="20"/>
                <w:szCs w:val="20"/>
                <w:lang w:val="fr-FR"/>
              </w:rPr>
              <w:t>Modifications épigénétiques</w:t>
            </w:r>
            <w:r w:rsidR="00BB786E" w:rsidRPr="008A5BE1">
              <w:rPr>
                <w:rFonts w:cs="Times New Roman"/>
                <w:kern w:val="22"/>
                <w:sz w:val="20"/>
                <w:szCs w:val="20"/>
                <w:lang w:val="fr-FR"/>
              </w:rPr>
              <w:t xml:space="preserve"> (</w:t>
            </w:r>
            <w:r w:rsidR="002C0A2A">
              <w:rPr>
                <w:rFonts w:cs="Times New Roman"/>
                <w:kern w:val="22"/>
                <w:sz w:val="20"/>
                <w:szCs w:val="20"/>
                <w:lang w:val="fr-FR"/>
              </w:rPr>
              <w:t xml:space="preserve">par </w:t>
            </w:r>
            <w:r w:rsidR="008A5BE1" w:rsidRPr="008A5BE1">
              <w:rPr>
                <w:rFonts w:cs="Times New Roman"/>
                <w:kern w:val="22"/>
                <w:sz w:val="20"/>
                <w:szCs w:val="20"/>
                <w:lang w:val="fr-FR"/>
              </w:rPr>
              <w:t>exemple</w:t>
            </w:r>
            <w:r w:rsidR="00BB786E" w:rsidRPr="008A5BE1">
              <w:rPr>
                <w:rFonts w:cs="Times New Roman"/>
                <w:kern w:val="22"/>
                <w:sz w:val="20"/>
                <w:szCs w:val="20"/>
                <w:lang w:val="fr-FR"/>
              </w:rPr>
              <w:t xml:space="preserve">, </w:t>
            </w:r>
            <w:r w:rsidR="002C0A2A">
              <w:rPr>
                <w:rFonts w:cs="Times New Roman"/>
                <w:kern w:val="22"/>
                <w:sz w:val="20"/>
                <w:szCs w:val="20"/>
                <w:lang w:val="fr-FR"/>
              </w:rPr>
              <w:t>modes de méthylation</w:t>
            </w:r>
            <w:r w:rsidR="00E3674F" w:rsidRPr="008A5BE1">
              <w:rPr>
                <w:rFonts w:cs="Times New Roman"/>
                <w:kern w:val="22"/>
                <w:sz w:val="20"/>
                <w:szCs w:val="20"/>
                <w:lang w:val="fr-FR"/>
              </w:rPr>
              <w:t xml:space="preserve"> et </w:t>
            </w:r>
            <w:r w:rsidR="002C0A2A">
              <w:rPr>
                <w:rFonts w:cs="Times New Roman"/>
                <w:kern w:val="22"/>
                <w:sz w:val="20"/>
                <w:szCs w:val="20"/>
                <w:lang w:val="fr-FR"/>
              </w:rPr>
              <w:t>acé</w:t>
            </w:r>
            <w:r w:rsidR="00BB786E" w:rsidRPr="008A5BE1">
              <w:rPr>
                <w:rFonts w:cs="Times New Roman"/>
                <w:kern w:val="22"/>
                <w:sz w:val="20"/>
                <w:szCs w:val="20"/>
                <w:lang w:val="fr-FR"/>
              </w:rPr>
              <w:t>tylation);</w:t>
            </w:r>
          </w:p>
          <w:p w14:paraId="086F8BF8" w14:textId="0A6854D7" w:rsidR="00BB786E" w:rsidRPr="002364AB" w:rsidRDefault="002C0A2A" w:rsidP="00BB786E">
            <w:pPr>
              <w:pStyle w:val="ListParagraph"/>
              <w:numPr>
                <w:ilvl w:val="0"/>
                <w:numId w:val="32"/>
              </w:numPr>
              <w:suppressLineNumbers/>
              <w:suppressAutoHyphens/>
              <w:ind w:left="196" w:hanging="147"/>
              <w:jc w:val="left"/>
              <w:rPr>
                <w:rFonts w:cs="Times New Roman"/>
                <w:kern w:val="22"/>
                <w:sz w:val="20"/>
                <w:szCs w:val="20"/>
                <w:lang w:val="en-GB"/>
              </w:rPr>
            </w:pPr>
            <w:r>
              <w:rPr>
                <w:rFonts w:cs="Times New Roman"/>
                <w:kern w:val="22"/>
                <w:sz w:val="20"/>
                <w:szCs w:val="20"/>
                <w:lang w:val="en-GB"/>
              </w:rPr>
              <w:t>Structures moléculaires de</w:t>
            </w:r>
            <w:r w:rsidR="00E3788A">
              <w:rPr>
                <w:rFonts w:cs="Times New Roman"/>
                <w:kern w:val="22"/>
                <w:sz w:val="20"/>
                <w:szCs w:val="20"/>
                <w:lang w:val="en-GB"/>
              </w:rPr>
              <w:t>s</w:t>
            </w:r>
            <w:r>
              <w:rPr>
                <w:rFonts w:cs="Times New Roman"/>
                <w:kern w:val="22"/>
                <w:sz w:val="20"/>
                <w:szCs w:val="20"/>
                <w:lang w:val="en-GB"/>
              </w:rPr>
              <w:t xml:space="preserve"> proté</w:t>
            </w:r>
            <w:r w:rsidR="00BB786E" w:rsidRPr="002364AB">
              <w:rPr>
                <w:rFonts w:cs="Times New Roman"/>
                <w:kern w:val="22"/>
                <w:sz w:val="20"/>
                <w:szCs w:val="20"/>
                <w:lang w:val="en-GB"/>
              </w:rPr>
              <w:t>in</w:t>
            </w:r>
            <w:r>
              <w:rPr>
                <w:rFonts w:cs="Times New Roman"/>
                <w:kern w:val="22"/>
                <w:sz w:val="20"/>
                <w:szCs w:val="20"/>
                <w:lang w:val="en-GB"/>
              </w:rPr>
              <w:t>e</w:t>
            </w:r>
            <w:r w:rsidR="00BB786E" w:rsidRPr="002364AB">
              <w:rPr>
                <w:rFonts w:cs="Times New Roman"/>
                <w:kern w:val="22"/>
                <w:sz w:val="20"/>
                <w:szCs w:val="20"/>
                <w:lang w:val="en-GB"/>
              </w:rPr>
              <w:t xml:space="preserve">s; </w:t>
            </w:r>
          </w:p>
          <w:p w14:paraId="3A595334" w14:textId="5F8B7CC4" w:rsidR="00BB786E" w:rsidRPr="002364AB" w:rsidRDefault="002C0A2A" w:rsidP="00BB786E">
            <w:pPr>
              <w:pStyle w:val="ListParagraph"/>
              <w:numPr>
                <w:ilvl w:val="0"/>
                <w:numId w:val="32"/>
              </w:numPr>
              <w:suppressLineNumbers/>
              <w:suppressAutoHyphens/>
              <w:ind w:left="196" w:hanging="147"/>
              <w:jc w:val="left"/>
              <w:rPr>
                <w:rFonts w:cs="Times New Roman"/>
                <w:kern w:val="22"/>
                <w:sz w:val="20"/>
                <w:szCs w:val="20"/>
                <w:lang w:val="en-GB"/>
              </w:rPr>
            </w:pPr>
            <w:r>
              <w:rPr>
                <w:rFonts w:cs="Times New Roman"/>
                <w:kern w:val="22"/>
                <w:sz w:val="20"/>
                <w:szCs w:val="20"/>
                <w:lang w:val="en-GB"/>
              </w:rPr>
              <w:t>Réseaux d’interaction</w:t>
            </w:r>
            <w:r w:rsidR="00E3788A">
              <w:rPr>
                <w:rFonts w:cs="Times New Roman"/>
                <w:kern w:val="22"/>
                <w:sz w:val="20"/>
                <w:szCs w:val="20"/>
                <w:lang w:val="en-GB"/>
              </w:rPr>
              <w:t>s</w:t>
            </w:r>
            <w:r>
              <w:rPr>
                <w:rFonts w:cs="Times New Roman"/>
                <w:kern w:val="22"/>
                <w:sz w:val="20"/>
                <w:szCs w:val="20"/>
                <w:lang w:val="en-GB"/>
              </w:rPr>
              <w:t xml:space="preserve"> moléculaire</w:t>
            </w:r>
            <w:r w:rsidR="00BB786E" w:rsidRPr="002364AB">
              <w:rPr>
                <w:rFonts w:cs="Times New Roman"/>
                <w:kern w:val="22"/>
                <w:sz w:val="20"/>
                <w:szCs w:val="20"/>
                <w:lang w:val="en-GB"/>
              </w:rPr>
              <w:t>s.</w:t>
            </w:r>
          </w:p>
        </w:tc>
        <w:tc>
          <w:tcPr>
            <w:tcW w:w="2126" w:type="dxa"/>
            <w:tcBorders>
              <w:top w:val="single" w:sz="4" w:space="0" w:color="auto"/>
              <w:left w:val="single" w:sz="4" w:space="0" w:color="auto"/>
              <w:bottom w:val="single" w:sz="4" w:space="0" w:color="auto"/>
              <w:right w:val="single" w:sz="4" w:space="0" w:color="auto"/>
            </w:tcBorders>
            <w:hideMark/>
          </w:tcPr>
          <w:p w14:paraId="0FD9CEE1" w14:textId="330ED80F" w:rsidR="00BB786E" w:rsidRPr="002C0A2A" w:rsidRDefault="002C0A2A" w:rsidP="00BB786E">
            <w:pPr>
              <w:pStyle w:val="ListParagraph"/>
              <w:numPr>
                <w:ilvl w:val="0"/>
                <w:numId w:val="32"/>
              </w:numPr>
              <w:suppressLineNumbers/>
              <w:suppressAutoHyphens/>
              <w:ind w:left="196" w:hanging="147"/>
              <w:jc w:val="left"/>
              <w:rPr>
                <w:rFonts w:cs="Times New Roman"/>
                <w:kern w:val="22"/>
                <w:sz w:val="20"/>
                <w:szCs w:val="20"/>
                <w:lang w:val="fr-FR"/>
              </w:rPr>
            </w:pPr>
            <w:r w:rsidRPr="002C0A2A">
              <w:rPr>
                <w:rFonts w:cs="Times New Roman"/>
                <w:kern w:val="22"/>
                <w:sz w:val="20"/>
                <w:szCs w:val="20"/>
                <w:lang w:val="fr-FR"/>
              </w:rPr>
              <w:t xml:space="preserve">Information sur la </w:t>
            </w:r>
            <w:r w:rsidR="00BB786E" w:rsidRPr="002C0A2A">
              <w:rPr>
                <w:rFonts w:cs="Times New Roman"/>
                <w:kern w:val="22"/>
                <w:sz w:val="20"/>
                <w:szCs w:val="20"/>
                <w:lang w:val="fr-FR"/>
              </w:rPr>
              <w:t>composition</w:t>
            </w:r>
            <w:r w:rsidRPr="002C0A2A">
              <w:rPr>
                <w:rFonts w:cs="Times New Roman"/>
                <w:kern w:val="22"/>
                <w:sz w:val="20"/>
                <w:szCs w:val="20"/>
                <w:lang w:val="fr-FR"/>
              </w:rPr>
              <w:t xml:space="preserve"> biochimique</w:t>
            </w:r>
            <w:r>
              <w:rPr>
                <w:rFonts w:cs="Times New Roman"/>
                <w:kern w:val="22"/>
                <w:sz w:val="20"/>
                <w:szCs w:val="20"/>
                <w:lang w:val="fr-FR"/>
              </w:rPr>
              <w:t xml:space="preserve"> d’une</w:t>
            </w:r>
            <w:r w:rsidR="00BB786E" w:rsidRPr="002C0A2A">
              <w:rPr>
                <w:rFonts w:cs="Times New Roman"/>
                <w:kern w:val="22"/>
                <w:sz w:val="20"/>
                <w:szCs w:val="20"/>
                <w:lang w:val="fr-FR"/>
              </w:rPr>
              <w:t xml:space="preserve"> </w:t>
            </w:r>
            <w:r w:rsidR="00F27467" w:rsidRPr="002C0A2A">
              <w:rPr>
                <w:rFonts w:cs="Times New Roman"/>
                <w:kern w:val="22"/>
                <w:sz w:val="20"/>
                <w:szCs w:val="20"/>
                <w:lang w:val="fr-FR"/>
              </w:rPr>
              <w:t>ressource génétique</w:t>
            </w:r>
            <w:r w:rsidR="00BB786E" w:rsidRPr="002C0A2A">
              <w:rPr>
                <w:rFonts w:cs="Times New Roman"/>
                <w:kern w:val="22"/>
                <w:sz w:val="20"/>
                <w:szCs w:val="20"/>
                <w:lang w:val="fr-FR"/>
              </w:rPr>
              <w:t>;</w:t>
            </w:r>
          </w:p>
          <w:p w14:paraId="31E2512D" w14:textId="11865D48" w:rsidR="00BB786E" w:rsidRPr="002C0A2A" w:rsidRDefault="00974B88" w:rsidP="00BB786E">
            <w:pPr>
              <w:pStyle w:val="ListParagraph"/>
              <w:numPr>
                <w:ilvl w:val="0"/>
                <w:numId w:val="32"/>
              </w:numPr>
              <w:suppressLineNumbers/>
              <w:suppressAutoHyphens/>
              <w:ind w:left="196" w:hanging="147"/>
              <w:jc w:val="left"/>
              <w:rPr>
                <w:rFonts w:cs="Times New Roman"/>
                <w:kern w:val="22"/>
                <w:sz w:val="20"/>
                <w:szCs w:val="20"/>
                <w:lang w:val="fr-FR"/>
              </w:rPr>
            </w:pPr>
            <w:r w:rsidRPr="002C0A2A">
              <w:rPr>
                <w:rFonts w:cs="Times New Roman"/>
                <w:kern w:val="22"/>
                <w:sz w:val="20"/>
                <w:szCs w:val="20"/>
                <w:lang w:val="fr-FR"/>
              </w:rPr>
              <w:t>Macromolécules</w:t>
            </w:r>
            <w:r w:rsidR="002C0A2A" w:rsidRPr="002C0A2A">
              <w:rPr>
                <w:rFonts w:cs="Times New Roman"/>
                <w:kern w:val="22"/>
                <w:sz w:val="20"/>
                <w:szCs w:val="20"/>
                <w:lang w:val="fr-FR"/>
              </w:rPr>
              <w:t xml:space="preserve"> (autres que l’</w:t>
            </w:r>
            <w:r w:rsidRPr="002C0A2A">
              <w:rPr>
                <w:rFonts w:cs="Times New Roman"/>
                <w:kern w:val="22"/>
                <w:sz w:val="20"/>
                <w:szCs w:val="20"/>
                <w:lang w:val="fr-FR"/>
              </w:rPr>
              <w:t>ADN</w:t>
            </w:r>
            <w:r w:rsidR="00BB786E" w:rsidRPr="002C0A2A">
              <w:rPr>
                <w:rFonts w:cs="Times New Roman"/>
                <w:kern w:val="22"/>
                <w:sz w:val="20"/>
                <w:szCs w:val="20"/>
                <w:lang w:val="fr-FR"/>
              </w:rPr>
              <w:t xml:space="preserve">, </w:t>
            </w:r>
            <w:r w:rsidR="002C0A2A">
              <w:rPr>
                <w:rFonts w:cs="Times New Roman"/>
                <w:kern w:val="22"/>
                <w:sz w:val="20"/>
                <w:szCs w:val="20"/>
                <w:lang w:val="fr-FR"/>
              </w:rPr>
              <w:t>ARN</w:t>
            </w:r>
            <w:r w:rsidR="00E3674F" w:rsidRPr="002C0A2A">
              <w:rPr>
                <w:rFonts w:cs="Times New Roman"/>
                <w:kern w:val="22"/>
                <w:sz w:val="20"/>
                <w:szCs w:val="20"/>
                <w:lang w:val="fr-FR"/>
              </w:rPr>
              <w:t xml:space="preserve"> et </w:t>
            </w:r>
            <w:r w:rsidR="002C0A2A" w:rsidRPr="002C0A2A">
              <w:rPr>
                <w:rFonts w:cs="Times New Roman"/>
                <w:kern w:val="22"/>
                <w:sz w:val="20"/>
                <w:szCs w:val="20"/>
                <w:lang w:val="fr-FR"/>
              </w:rPr>
              <w:t>proté</w:t>
            </w:r>
            <w:r w:rsidR="00BB786E" w:rsidRPr="002C0A2A">
              <w:rPr>
                <w:rFonts w:cs="Times New Roman"/>
                <w:kern w:val="22"/>
                <w:sz w:val="20"/>
                <w:szCs w:val="20"/>
                <w:lang w:val="fr-FR"/>
              </w:rPr>
              <w:t>in</w:t>
            </w:r>
            <w:r w:rsidR="002C0A2A" w:rsidRPr="002C0A2A">
              <w:rPr>
                <w:rFonts w:cs="Times New Roman"/>
                <w:kern w:val="22"/>
                <w:sz w:val="20"/>
                <w:szCs w:val="20"/>
                <w:lang w:val="fr-FR"/>
              </w:rPr>
              <w:t>e</w:t>
            </w:r>
            <w:r w:rsidR="00BB786E" w:rsidRPr="002C0A2A">
              <w:rPr>
                <w:rFonts w:cs="Times New Roman"/>
                <w:kern w:val="22"/>
                <w:sz w:val="20"/>
                <w:szCs w:val="20"/>
                <w:lang w:val="fr-FR"/>
              </w:rPr>
              <w:t>s);</w:t>
            </w:r>
          </w:p>
          <w:p w14:paraId="5250F11B" w14:textId="1FB9E732" w:rsidR="00BB786E" w:rsidRPr="002364AB" w:rsidRDefault="002C0A2A" w:rsidP="00BB786E">
            <w:pPr>
              <w:pStyle w:val="ListParagraph"/>
              <w:numPr>
                <w:ilvl w:val="0"/>
                <w:numId w:val="32"/>
              </w:numPr>
              <w:suppressLineNumbers/>
              <w:suppressAutoHyphens/>
              <w:ind w:left="196" w:hanging="147"/>
              <w:jc w:val="left"/>
              <w:rPr>
                <w:rFonts w:cs="Times New Roman"/>
                <w:kern w:val="22"/>
                <w:sz w:val="20"/>
                <w:szCs w:val="20"/>
                <w:lang w:val="en-GB"/>
              </w:rPr>
            </w:pPr>
            <w:r>
              <w:rPr>
                <w:rFonts w:cs="Times New Roman"/>
                <w:kern w:val="22"/>
                <w:sz w:val="20"/>
                <w:szCs w:val="20"/>
                <w:lang w:val="en-GB"/>
              </w:rPr>
              <w:t>Mé</w:t>
            </w:r>
            <w:r w:rsidR="00BB786E" w:rsidRPr="002364AB">
              <w:rPr>
                <w:rFonts w:cs="Times New Roman"/>
                <w:kern w:val="22"/>
                <w:sz w:val="20"/>
                <w:szCs w:val="20"/>
                <w:lang w:val="en-GB"/>
              </w:rPr>
              <w:t>tabolites</w:t>
            </w:r>
            <w:r>
              <w:rPr>
                <w:rFonts w:cs="Times New Roman"/>
                <w:kern w:val="22"/>
                <w:sz w:val="20"/>
                <w:szCs w:val="20"/>
                <w:lang w:val="en-GB"/>
              </w:rPr>
              <w:t xml:space="preserve"> cellulaires</w:t>
            </w:r>
            <w:r w:rsidR="00BB786E" w:rsidRPr="002364AB">
              <w:rPr>
                <w:rFonts w:cs="Times New Roman"/>
                <w:kern w:val="22"/>
                <w:sz w:val="20"/>
                <w:szCs w:val="20"/>
                <w:lang w:val="en-GB"/>
              </w:rPr>
              <w:t xml:space="preserve"> (</w:t>
            </w:r>
            <w:r>
              <w:rPr>
                <w:rFonts w:cs="Times New Roman"/>
                <w:kern w:val="22"/>
                <w:sz w:val="20"/>
                <w:szCs w:val="20"/>
                <w:lang w:val="en-GB"/>
              </w:rPr>
              <w:t>structures moléculaires</w:t>
            </w:r>
            <w:r w:rsidR="00BB786E" w:rsidRPr="002364AB">
              <w:rPr>
                <w:rFonts w:cs="Times New Roman"/>
                <w:kern w:val="22"/>
                <w:sz w:val="20"/>
                <w:szCs w:val="20"/>
                <w:lang w:val="en-GB"/>
              </w:rPr>
              <w:t>).</w:t>
            </w:r>
          </w:p>
        </w:tc>
        <w:tc>
          <w:tcPr>
            <w:tcW w:w="1984" w:type="dxa"/>
            <w:tcBorders>
              <w:top w:val="single" w:sz="4" w:space="0" w:color="auto"/>
              <w:left w:val="single" w:sz="4" w:space="0" w:color="auto"/>
              <w:bottom w:val="single" w:sz="4" w:space="0" w:color="auto"/>
              <w:right w:val="single" w:sz="4" w:space="0" w:color="auto"/>
            </w:tcBorders>
            <w:hideMark/>
          </w:tcPr>
          <w:p w14:paraId="063E76C6" w14:textId="411FFAE8" w:rsidR="00BB786E" w:rsidRPr="00E3674F" w:rsidRDefault="00E3674F" w:rsidP="00BB786E">
            <w:pPr>
              <w:pStyle w:val="ListParagraph"/>
              <w:numPr>
                <w:ilvl w:val="0"/>
                <w:numId w:val="32"/>
              </w:numPr>
              <w:suppressLineNumbers/>
              <w:suppressAutoHyphens/>
              <w:ind w:left="196" w:hanging="147"/>
              <w:jc w:val="left"/>
              <w:rPr>
                <w:rFonts w:cs="Times New Roman"/>
                <w:kern w:val="22"/>
                <w:sz w:val="20"/>
                <w:szCs w:val="20"/>
                <w:lang w:val="fr-FR"/>
              </w:rPr>
            </w:pPr>
            <w:r w:rsidRPr="00E3674F">
              <w:rPr>
                <w:rFonts w:cs="Times New Roman"/>
                <w:kern w:val="22"/>
                <w:sz w:val="20"/>
                <w:szCs w:val="20"/>
                <w:lang w:val="fr-FR"/>
              </w:rPr>
              <w:t>Connaissances traditionnelles</w:t>
            </w:r>
            <w:r w:rsidR="00BB786E" w:rsidRPr="00E3674F">
              <w:rPr>
                <w:rFonts w:cs="Times New Roman"/>
                <w:kern w:val="22"/>
                <w:sz w:val="20"/>
                <w:szCs w:val="20"/>
                <w:lang w:val="fr-FR"/>
              </w:rPr>
              <w:t xml:space="preserve"> </w:t>
            </w:r>
            <w:r>
              <w:rPr>
                <w:rFonts w:cs="Times New Roman"/>
                <w:kern w:val="22"/>
                <w:sz w:val="20"/>
                <w:szCs w:val="20"/>
                <w:lang w:val="fr-FR"/>
              </w:rPr>
              <w:t>associées aux</w:t>
            </w:r>
            <w:r w:rsidR="00BB786E" w:rsidRPr="00E3674F">
              <w:rPr>
                <w:rFonts w:cs="Times New Roman"/>
                <w:kern w:val="22"/>
                <w:sz w:val="20"/>
                <w:szCs w:val="20"/>
                <w:lang w:val="fr-FR"/>
              </w:rPr>
              <w:t xml:space="preserve"> </w:t>
            </w:r>
            <w:r w:rsidRPr="00E3674F">
              <w:rPr>
                <w:rFonts w:cs="Times New Roman"/>
                <w:kern w:val="22"/>
                <w:sz w:val="20"/>
                <w:szCs w:val="20"/>
                <w:lang w:val="fr-FR"/>
              </w:rPr>
              <w:t>ressources génétiques</w:t>
            </w:r>
          </w:p>
          <w:p w14:paraId="255F34DE" w14:textId="4C751750" w:rsidR="00BB786E" w:rsidRPr="00E3674F" w:rsidRDefault="000D4759" w:rsidP="00BB786E">
            <w:pPr>
              <w:pStyle w:val="ListParagraph"/>
              <w:numPr>
                <w:ilvl w:val="0"/>
                <w:numId w:val="32"/>
              </w:numPr>
              <w:suppressLineNumbers/>
              <w:suppressAutoHyphens/>
              <w:ind w:left="211" w:hanging="147"/>
              <w:jc w:val="left"/>
              <w:rPr>
                <w:rFonts w:cs="Times New Roman"/>
                <w:kern w:val="22"/>
                <w:sz w:val="20"/>
                <w:szCs w:val="20"/>
                <w:lang w:val="fr-FR"/>
              </w:rPr>
            </w:pPr>
            <w:r>
              <w:rPr>
                <w:rFonts w:cs="Times New Roman"/>
                <w:kern w:val="22"/>
                <w:sz w:val="20"/>
                <w:szCs w:val="20"/>
                <w:lang w:val="fr-FR"/>
              </w:rPr>
              <w:t>Information li</w:t>
            </w:r>
            <w:r w:rsidR="00B53EEB">
              <w:rPr>
                <w:rFonts w:cs="Times New Roman"/>
                <w:kern w:val="22"/>
                <w:sz w:val="20"/>
                <w:szCs w:val="20"/>
                <w:lang w:val="fr-FR"/>
              </w:rPr>
              <w:t xml:space="preserve">ée aux </w:t>
            </w:r>
            <w:r w:rsidR="00BB786E" w:rsidRPr="00E3674F">
              <w:rPr>
                <w:rFonts w:cs="Times New Roman"/>
                <w:kern w:val="22"/>
                <w:sz w:val="20"/>
                <w:szCs w:val="20"/>
                <w:lang w:val="fr-FR"/>
              </w:rPr>
              <w:t>Group</w:t>
            </w:r>
            <w:r w:rsidR="00B53EEB">
              <w:rPr>
                <w:rFonts w:cs="Times New Roman"/>
                <w:kern w:val="22"/>
                <w:sz w:val="20"/>
                <w:szCs w:val="20"/>
                <w:lang w:val="fr-FR"/>
              </w:rPr>
              <w:t>e</w:t>
            </w:r>
            <w:r w:rsidR="00BB786E" w:rsidRPr="00E3674F">
              <w:rPr>
                <w:rFonts w:cs="Times New Roman"/>
                <w:kern w:val="22"/>
                <w:sz w:val="20"/>
                <w:szCs w:val="20"/>
                <w:lang w:val="fr-FR"/>
              </w:rPr>
              <w:t>s 1, 2</w:t>
            </w:r>
            <w:r w:rsidR="00E3674F" w:rsidRPr="00E3674F">
              <w:rPr>
                <w:rFonts w:cs="Times New Roman"/>
                <w:kern w:val="22"/>
                <w:sz w:val="20"/>
                <w:szCs w:val="20"/>
                <w:lang w:val="fr-FR"/>
              </w:rPr>
              <w:t xml:space="preserve"> et </w:t>
            </w:r>
            <w:r w:rsidR="00BB786E" w:rsidRPr="00E3674F">
              <w:rPr>
                <w:rFonts w:cs="Times New Roman"/>
                <w:kern w:val="22"/>
                <w:sz w:val="20"/>
                <w:szCs w:val="20"/>
                <w:lang w:val="fr-FR"/>
              </w:rPr>
              <w:t xml:space="preserve">3 </w:t>
            </w:r>
            <w:r w:rsidR="00BC5F0A">
              <w:rPr>
                <w:rFonts w:cs="Times New Roman"/>
                <w:kern w:val="22"/>
                <w:sz w:val="20"/>
                <w:szCs w:val="20"/>
                <w:lang w:val="fr-FR"/>
              </w:rPr>
              <w:t>de l’information</w:t>
            </w:r>
            <w:r w:rsidR="00516613">
              <w:rPr>
                <w:rFonts w:cs="Times New Roman"/>
                <w:kern w:val="22"/>
                <w:sz w:val="20"/>
                <w:szCs w:val="20"/>
                <w:lang w:val="fr-FR"/>
              </w:rPr>
              <w:t xml:space="preserve"> de séquençage</w:t>
            </w:r>
            <w:r w:rsidR="00142D5A">
              <w:rPr>
                <w:rFonts w:cs="Times New Roman"/>
                <w:kern w:val="22"/>
                <w:sz w:val="20"/>
                <w:szCs w:val="20"/>
                <w:lang w:val="fr-FR"/>
              </w:rPr>
              <w:t xml:space="preserve"> numérique</w:t>
            </w:r>
            <w:r w:rsidR="00B53EEB" w:rsidRPr="00E3674F">
              <w:rPr>
                <w:rFonts w:cs="Times New Roman"/>
                <w:kern w:val="22"/>
                <w:sz w:val="20"/>
                <w:szCs w:val="20"/>
                <w:lang w:val="fr-FR"/>
              </w:rPr>
              <w:t xml:space="preserve"> </w:t>
            </w:r>
            <w:r w:rsidR="00BB786E" w:rsidRPr="00E3674F">
              <w:rPr>
                <w:rFonts w:cs="Times New Roman"/>
                <w:kern w:val="22"/>
                <w:sz w:val="20"/>
                <w:szCs w:val="20"/>
                <w:lang w:val="fr-FR"/>
              </w:rPr>
              <w:t>(</w:t>
            </w:r>
            <w:r w:rsidR="00B53EEB">
              <w:rPr>
                <w:rFonts w:cs="Times New Roman"/>
                <w:kern w:val="22"/>
                <w:sz w:val="20"/>
                <w:szCs w:val="20"/>
                <w:lang w:val="fr-FR"/>
              </w:rPr>
              <w:t xml:space="preserve">par </w:t>
            </w:r>
            <w:r w:rsidR="008A5BE1">
              <w:rPr>
                <w:rFonts w:cs="Times New Roman"/>
                <w:kern w:val="22"/>
                <w:sz w:val="20"/>
                <w:szCs w:val="20"/>
                <w:lang w:val="fr-FR"/>
              </w:rPr>
              <w:t>exemple</w:t>
            </w:r>
            <w:r>
              <w:rPr>
                <w:rFonts w:cs="Times New Roman"/>
                <w:kern w:val="22"/>
                <w:sz w:val="20"/>
                <w:szCs w:val="20"/>
                <w:lang w:val="fr-FR"/>
              </w:rPr>
              <w:t>,</w:t>
            </w:r>
            <w:r w:rsidR="00B53EEB">
              <w:rPr>
                <w:rFonts w:cs="Times New Roman"/>
                <w:kern w:val="22"/>
                <w:sz w:val="20"/>
                <w:szCs w:val="20"/>
                <w:lang w:val="fr-FR"/>
              </w:rPr>
              <w:t xml:space="preserve"> facteurs biotiques</w:t>
            </w:r>
            <w:r w:rsidR="00E3674F" w:rsidRPr="00E3674F">
              <w:rPr>
                <w:rFonts w:cs="Times New Roman"/>
                <w:kern w:val="22"/>
                <w:sz w:val="20"/>
                <w:szCs w:val="20"/>
                <w:lang w:val="fr-FR"/>
              </w:rPr>
              <w:t xml:space="preserve"> et </w:t>
            </w:r>
            <w:r w:rsidR="00B53EEB">
              <w:rPr>
                <w:rFonts w:cs="Times New Roman"/>
                <w:kern w:val="22"/>
                <w:sz w:val="20"/>
                <w:szCs w:val="20"/>
                <w:lang w:val="fr-FR"/>
              </w:rPr>
              <w:t>abiotiques dans l’</w:t>
            </w:r>
            <w:r w:rsidR="00BB786E" w:rsidRPr="00E3674F">
              <w:rPr>
                <w:rFonts w:cs="Times New Roman"/>
                <w:kern w:val="22"/>
                <w:sz w:val="20"/>
                <w:szCs w:val="20"/>
                <w:lang w:val="fr-FR"/>
              </w:rPr>
              <w:t>environ</w:t>
            </w:r>
            <w:r w:rsidR="00B53EEB">
              <w:rPr>
                <w:rFonts w:cs="Times New Roman"/>
                <w:kern w:val="22"/>
                <w:sz w:val="20"/>
                <w:szCs w:val="20"/>
                <w:lang w:val="fr-FR"/>
              </w:rPr>
              <w:t>ne</w:t>
            </w:r>
            <w:r w:rsidR="00BB786E" w:rsidRPr="00E3674F">
              <w:rPr>
                <w:rFonts w:cs="Times New Roman"/>
                <w:kern w:val="22"/>
                <w:sz w:val="20"/>
                <w:szCs w:val="20"/>
                <w:lang w:val="fr-FR"/>
              </w:rPr>
              <w:t>ment</w:t>
            </w:r>
            <w:r w:rsidR="00B53EEB">
              <w:rPr>
                <w:rFonts w:cs="Times New Roman"/>
                <w:kern w:val="22"/>
                <w:sz w:val="20"/>
                <w:szCs w:val="20"/>
                <w:lang w:val="fr-FR"/>
              </w:rPr>
              <w:t xml:space="preserve"> associé</w:t>
            </w:r>
            <w:r w:rsidR="00E3674F" w:rsidRPr="00E3674F">
              <w:rPr>
                <w:rFonts w:cs="Times New Roman"/>
                <w:kern w:val="22"/>
                <w:sz w:val="20"/>
                <w:szCs w:val="20"/>
                <w:lang w:val="fr-FR"/>
              </w:rPr>
              <w:t>s</w:t>
            </w:r>
            <w:r w:rsidR="00B53EEB">
              <w:rPr>
                <w:rFonts w:cs="Times New Roman"/>
                <w:kern w:val="22"/>
                <w:sz w:val="20"/>
                <w:szCs w:val="20"/>
                <w:lang w:val="fr-FR"/>
              </w:rPr>
              <w:t xml:space="preserve"> à l’</w:t>
            </w:r>
            <w:r w:rsidR="00BB786E" w:rsidRPr="00E3674F">
              <w:rPr>
                <w:rFonts w:cs="Times New Roman"/>
                <w:kern w:val="22"/>
                <w:sz w:val="20"/>
                <w:szCs w:val="20"/>
                <w:lang w:val="fr-FR"/>
              </w:rPr>
              <w:t>organism</w:t>
            </w:r>
            <w:r w:rsidR="00B53EEB">
              <w:rPr>
                <w:rFonts w:cs="Times New Roman"/>
                <w:kern w:val="22"/>
                <w:sz w:val="20"/>
                <w:szCs w:val="20"/>
                <w:lang w:val="fr-FR"/>
              </w:rPr>
              <w:t>e concerné</w:t>
            </w:r>
            <w:r w:rsidR="00BB786E" w:rsidRPr="00E3674F">
              <w:rPr>
                <w:rFonts w:cs="Times New Roman"/>
                <w:kern w:val="22"/>
                <w:sz w:val="20"/>
                <w:szCs w:val="20"/>
                <w:lang w:val="fr-FR"/>
              </w:rPr>
              <w:t>)</w:t>
            </w:r>
          </w:p>
          <w:p w14:paraId="507BDF32" w14:textId="36881E19" w:rsidR="00BB786E" w:rsidRPr="00BE4772" w:rsidRDefault="00B53EEB" w:rsidP="00BB786E">
            <w:pPr>
              <w:pStyle w:val="ListParagraph"/>
              <w:numPr>
                <w:ilvl w:val="0"/>
                <w:numId w:val="32"/>
              </w:numPr>
              <w:suppressLineNumbers/>
              <w:suppressAutoHyphens/>
              <w:ind w:left="211" w:hanging="147"/>
              <w:jc w:val="left"/>
              <w:rPr>
                <w:rFonts w:cs="Times New Roman"/>
                <w:kern w:val="22"/>
                <w:sz w:val="20"/>
                <w:szCs w:val="20"/>
                <w:lang w:val="fr-FR"/>
              </w:rPr>
            </w:pPr>
            <w:r>
              <w:rPr>
                <w:rFonts w:cs="Times New Roman"/>
                <w:kern w:val="22"/>
                <w:sz w:val="20"/>
                <w:szCs w:val="20"/>
                <w:lang w:val="fr-FR"/>
              </w:rPr>
              <w:t>Autres types d’information liée à une</w:t>
            </w:r>
            <w:r w:rsidR="00BB786E" w:rsidRPr="00BE4772">
              <w:rPr>
                <w:rFonts w:cs="Times New Roman"/>
                <w:kern w:val="22"/>
                <w:sz w:val="20"/>
                <w:szCs w:val="20"/>
                <w:lang w:val="fr-FR"/>
              </w:rPr>
              <w:t xml:space="preserve"> </w:t>
            </w:r>
            <w:r w:rsidR="00BE4772" w:rsidRPr="00BE4772">
              <w:rPr>
                <w:rFonts w:cs="Times New Roman"/>
                <w:kern w:val="22"/>
                <w:sz w:val="20"/>
                <w:szCs w:val="20"/>
                <w:lang w:val="fr-FR"/>
              </w:rPr>
              <w:t>ressource génétique</w:t>
            </w:r>
            <w:r w:rsidR="0028742E">
              <w:rPr>
                <w:rFonts w:cs="Times New Roman"/>
                <w:kern w:val="22"/>
                <w:sz w:val="20"/>
                <w:szCs w:val="20"/>
                <w:lang w:val="fr-FR"/>
              </w:rPr>
              <w:t xml:space="preserve"> ou </w:t>
            </w:r>
            <w:r>
              <w:rPr>
                <w:rFonts w:cs="Times New Roman"/>
                <w:kern w:val="22"/>
                <w:sz w:val="20"/>
                <w:szCs w:val="20"/>
                <w:lang w:val="fr-FR"/>
              </w:rPr>
              <w:t>à son</w:t>
            </w:r>
            <w:r w:rsidR="00BB786E" w:rsidRPr="00BE4772">
              <w:rPr>
                <w:rFonts w:cs="Times New Roman"/>
                <w:kern w:val="22"/>
                <w:sz w:val="20"/>
                <w:szCs w:val="20"/>
                <w:lang w:val="fr-FR"/>
              </w:rPr>
              <w:t xml:space="preserve"> </w:t>
            </w:r>
            <w:r w:rsidR="008627A9" w:rsidRPr="00BE4772">
              <w:rPr>
                <w:rFonts w:cs="Times New Roman"/>
                <w:kern w:val="22"/>
                <w:sz w:val="20"/>
                <w:szCs w:val="20"/>
                <w:lang w:val="fr-FR"/>
              </w:rPr>
              <w:t>utilisation</w:t>
            </w:r>
            <w:r w:rsidR="00BB786E" w:rsidRPr="00BE4772">
              <w:rPr>
                <w:rFonts w:cs="Times New Roman"/>
                <w:kern w:val="22"/>
                <w:sz w:val="20"/>
                <w:szCs w:val="20"/>
                <w:lang w:val="fr-FR"/>
              </w:rPr>
              <w:t>.</w:t>
            </w:r>
          </w:p>
        </w:tc>
      </w:tr>
    </w:tbl>
    <w:p w14:paraId="430C3B45" w14:textId="77777777" w:rsidR="000D4759" w:rsidRPr="000D4759" w:rsidRDefault="000D4759" w:rsidP="000402AC">
      <w:pPr>
        <w:spacing w:before="240" w:after="120"/>
        <w:rPr>
          <w:rFonts w:cs="Times New Roman"/>
          <w:kern w:val="22"/>
          <w:sz w:val="16"/>
          <w:szCs w:val="16"/>
          <w:lang w:val="fr-FR"/>
        </w:rPr>
      </w:pPr>
    </w:p>
    <w:p w14:paraId="7AA0183A" w14:textId="6DEA41B1" w:rsidR="00E82CFA" w:rsidRPr="00896C4D" w:rsidRDefault="000D4759" w:rsidP="000402AC">
      <w:pPr>
        <w:spacing w:before="240" w:after="120"/>
        <w:rPr>
          <w:rFonts w:cs="Times New Roman"/>
          <w:kern w:val="22"/>
          <w:sz w:val="22"/>
          <w:lang w:val="fr-FR"/>
        </w:rPr>
      </w:pPr>
      <w:r>
        <w:rPr>
          <w:rFonts w:cs="Times New Roman"/>
          <w:kern w:val="22"/>
          <w:sz w:val="22"/>
          <w:lang w:val="fr-FR"/>
        </w:rPr>
        <w:t>Les Parties ont certaines</w:t>
      </w:r>
      <w:r w:rsidR="008A362D">
        <w:rPr>
          <w:rFonts w:cs="Times New Roman"/>
          <w:kern w:val="22"/>
          <w:sz w:val="22"/>
          <w:lang w:val="fr-FR"/>
        </w:rPr>
        <w:t xml:space="preserve"> positions diverg</w:t>
      </w:r>
      <w:r>
        <w:rPr>
          <w:rFonts w:cs="Times New Roman"/>
          <w:kern w:val="22"/>
          <w:sz w:val="22"/>
          <w:lang w:val="fr-FR"/>
        </w:rPr>
        <w:t>entes</w:t>
      </w:r>
      <w:r w:rsidR="00B761FC">
        <w:rPr>
          <w:rFonts w:cs="Times New Roman"/>
          <w:kern w:val="22"/>
          <w:sz w:val="22"/>
          <w:lang w:val="fr-FR"/>
        </w:rPr>
        <w:t xml:space="preserve"> sur la question</w:t>
      </w:r>
      <w:r>
        <w:rPr>
          <w:rFonts w:cs="Times New Roman"/>
          <w:kern w:val="22"/>
          <w:sz w:val="22"/>
          <w:lang w:val="fr-FR"/>
        </w:rPr>
        <w:t xml:space="preserve"> de savoir si</w:t>
      </w:r>
      <w:r w:rsidR="008A362D">
        <w:rPr>
          <w:rFonts w:cs="Times New Roman"/>
          <w:kern w:val="22"/>
          <w:sz w:val="22"/>
          <w:lang w:val="fr-FR"/>
        </w:rPr>
        <w:t xml:space="preserve"> et/ou comment </w:t>
      </w:r>
      <w:r w:rsidR="00BC5F0A">
        <w:rPr>
          <w:rFonts w:cs="Times New Roman"/>
          <w:kern w:val="22"/>
          <w:sz w:val="22"/>
          <w:lang w:val="fr-FR"/>
        </w:rPr>
        <w:t>l’</w:t>
      </w:r>
      <w:r w:rsidR="00516613">
        <w:rPr>
          <w:rFonts w:cs="Times New Roman"/>
          <w:kern w:val="22"/>
          <w:sz w:val="22"/>
          <w:lang w:val="fr-FR"/>
        </w:rPr>
        <w:t>informat</w:t>
      </w:r>
      <w:r w:rsidR="00BC5F0A">
        <w:rPr>
          <w:rFonts w:cs="Times New Roman"/>
          <w:kern w:val="22"/>
          <w:sz w:val="22"/>
          <w:lang w:val="fr-FR"/>
        </w:rPr>
        <w:t>ion</w:t>
      </w:r>
      <w:r w:rsidR="00516613">
        <w:rPr>
          <w:rFonts w:cs="Times New Roman"/>
          <w:kern w:val="22"/>
          <w:sz w:val="22"/>
          <w:lang w:val="fr-FR"/>
        </w:rPr>
        <w:t xml:space="preserve"> de séquençage</w:t>
      </w:r>
      <w:r w:rsidR="00142D5A">
        <w:rPr>
          <w:rFonts w:cs="Times New Roman"/>
          <w:kern w:val="22"/>
          <w:sz w:val="22"/>
          <w:lang w:val="fr-FR"/>
        </w:rPr>
        <w:t xml:space="preserve"> numérique</w:t>
      </w:r>
      <w:r w:rsidR="00AB4AC1" w:rsidRPr="004F1D8A">
        <w:rPr>
          <w:rFonts w:cs="Times New Roman"/>
          <w:kern w:val="22"/>
          <w:sz w:val="22"/>
          <w:lang w:val="fr-FR"/>
        </w:rPr>
        <w:t xml:space="preserve"> </w:t>
      </w:r>
      <w:r w:rsidR="008A362D">
        <w:rPr>
          <w:rFonts w:cs="Times New Roman"/>
          <w:kern w:val="22"/>
          <w:sz w:val="22"/>
          <w:lang w:val="fr-FR"/>
        </w:rPr>
        <w:t>entre dans</w:t>
      </w:r>
      <w:r w:rsidR="00934A20" w:rsidRPr="004F1D8A">
        <w:rPr>
          <w:rFonts w:cs="Times New Roman"/>
          <w:kern w:val="22"/>
          <w:sz w:val="22"/>
          <w:lang w:val="fr-FR"/>
        </w:rPr>
        <w:t xml:space="preserve"> le champ d’application</w:t>
      </w:r>
      <w:r w:rsidR="00AB4AC1" w:rsidRPr="004F1D8A">
        <w:rPr>
          <w:rFonts w:cs="Times New Roman"/>
          <w:kern w:val="22"/>
          <w:sz w:val="22"/>
          <w:lang w:val="fr-FR"/>
        </w:rPr>
        <w:t xml:space="preserve"> </w:t>
      </w:r>
      <w:r w:rsidR="004F1D8A" w:rsidRPr="004F1D8A">
        <w:rPr>
          <w:rFonts w:cs="Times New Roman"/>
          <w:kern w:val="22"/>
          <w:sz w:val="22"/>
          <w:lang w:val="fr-FR"/>
        </w:rPr>
        <w:t xml:space="preserve">de la </w:t>
      </w:r>
      <w:r w:rsidR="007347F7">
        <w:rPr>
          <w:rFonts w:cs="Times New Roman"/>
          <w:kern w:val="22"/>
          <w:sz w:val="22"/>
          <w:lang w:val="fr-FR"/>
        </w:rPr>
        <w:t>Convention</w:t>
      </w:r>
      <w:r w:rsidR="0028742E" w:rsidRPr="004F1D8A">
        <w:rPr>
          <w:rFonts w:cs="Times New Roman"/>
          <w:kern w:val="22"/>
          <w:sz w:val="22"/>
          <w:lang w:val="fr-FR"/>
        </w:rPr>
        <w:t xml:space="preserve"> ou </w:t>
      </w:r>
      <w:r w:rsidR="008A362D">
        <w:rPr>
          <w:rFonts w:cs="Times New Roman"/>
          <w:kern w:val="22"/>
          <w:sz w:val="22"/>
          <w:lang w:val="fr-FR"/>
        </w:rPr>
        <w:t xml:space="preserve">du </w:t>
      </w:r>
      <w:r w:rsidR="00E3674F" w:rsidRPr="004F1D8A">
        <w:rPr>
          <w:rFonts w:cs="Times New Roman"/>
          <w:kern w:val="22"/>
          <w:sz w:val="22"/>
          <w:lang w:val="fr-FR"/>
        </w:rPr>
        <w:t>Protocole de Nagoya</w:t>
      </w:r>
      <w:r w:rsidR="00B53ED9" w:rsidRPr="004F1D8A">
        <w:rPr>
          <w:rFonts w:cs="Times New Roman"/>
          <w:kern w:val="22"/>
          <w:sz w:val="22"/>
          <w:lang w:val="fr-FR"/>
        </w:rPr>
        <w:t>.</w:t>
      </w:r>
      <w:r w:rsidR="00AB4AC1" w:rsidRPr="004F1D8A">
        <w:rPr>
          <w:rFonts w:cs="Times New Roman"/>
          <w:kern w:val="22"/>
          <w:sz w:val="22"/>
          <w:lang w:val="fr-FR"/>
        </w:rPr>
        <w:t xml:space="preserve"> </w:t>
      </w:r>
      <w:r>
        <w:rPr>
          <w:rFonts w:cs="Times New Roman"/>
          <w:kern w:val="22"/>
          <w:sz w:val="22"/>
          <w:lang w:val="fr-FR"/>
        </w:rPr>
        <w:t xml:space="preserve">Ainsi, </w:t>
      </w:r>
      <w:r w:rsidR="00896C4D" w:rsidRPr="00896C4D">
        <w:rPr>
          <w:rFonts w:cs="Times New Roman"/>
          <w:kern w:val="22"/>
          <w:sz w:val="22"/>
          <w:lang w:val="fr-FR"/>
        </w:rPr>
        <w:t xml:space="preserve">comme expliqué </w:t>
      </w:r>
      <w:r w:rsidR="00B761FC">
        <w:rPr>
          <w:rFonts w:cs="Times New Roman"/>
          <w:kern w:val="22"/>
          <w:sz w:val="22"/>
          <w:lang w:val="fr-FR"/>
        </w:rPr>
        <w:t xml:space="preserve">plus haut </w:t>
      </w:r>
      <w:r w:rsidR="00896C4D" w:rsidRPr="00896C4D">
        <w:rPr>
          <w:rFonts w:cs="Times New Roman"/>
          <w:kern w:val="22"/>
          <w:sz w:val="22"/>
          <w:lang w:val="fr-FR"/>
        </w:rPr>
        <w:t>dans la p</w:t>
      </w:r>
      <w:r w:rsidR="00F27467" w:rsidRPr="00896C4D">
        <w:rPr>
          <w:rFonts w:cs="Times New Roman"/>
          <w:kern w:val="22"/>
          <w:sz w:val="22"/>
          <w:lang w:val="fr-FR"/>
        </w:rPr>
        <w:t>artie</w:t>
      </w:r>
      <w:r w:rsidR="00E86BBE" w:rsidRPr="00896C4D">
        <w:rPr>
          <w:rFonts w:cs="Times New Roman"/>
          <w:kern w:val="22"/>
          <w:sz w:val="22"/>
          <w:lang w:val="fr-FR"/>
        </w:rPr>
        <w:t xml:space="preserve"> 1, </w:t>
      </w:r>
      <w:r w:rsidR="00896C4D" w:rsidRPr="00896C4D">
        <w:rPr>
          <w:rFonts w:cs="Times New Roman"/>
          <w:kern w:val="22"/>
          <w:sz w:val="22"/>
          <w:lang w:val="fr-FR"/>
        </w:rPr>
        <w:t>l</w:t>
      </w:r>
      <w:r w:rsidR="0061559A" w:rsidRPr="00896C4D">
        <w:rPr>
          <w:rFonts w:cs="Times New Roman"/>
          <w:kern w:val="22"/>
          <w:sz w:val="22"/>
          <w:lang w:val="fr-FR"/>
        </w:rPr>
        <w:t>e</w:t>
      </w:r>
      <w:r w:rsidR="00896C4D" w:rsidRPr="00896C4D">
        <w:rPr>
          <w:rFonts w:cs="Times New Roman"/>
          <w:kern w:val="22"/>
          <w:sz w:val="22"/>
          <w:lang w:val="fr-FR"/>
        </w:rPr>
        <w:t xml:space="preserve"> caractère pertinent du</w:t>
      </w:r>
      <w:r w:rsidR="0061559A" w:rsidRPr="00896C4D">
        <w:rPr>
          <w:rFonts w:cs="Times New Roman"/>
          <w:kern w:val="22"/>
          <w:sz w:val="22"/>
          <w:lang w:val="fr-FR"/>
        </w:rPr>
        <w:t xml:space="preserve"> </w:t>
      </w:r>
      <w:r w:rsidR="003474B6" w:rsidRPr="00896C4D">
        <w:rPr>
          <w:rFonts w:cs="Times New Roman"/>
          <w:kern w:val="22"/>
          <w:sz w:val="22"/>
          <w:lang w:val="fr-FR"/>
        </w:rPr>
        <w:t>matériel</w:t>
      </w:r>
      <w:r w:rsidR="00896C4D" w:rsidRPr="00896C4D">
        <w:rPr>
          <w:rFonts w:cs="Times New Roman"/>
          <w:kern w:val="22"/>
          <w:sz w:val="22"/>
          <w:lang w:val="fr-FR"/>
        </w:rPr>
        <w:t xml:space="preserve"> </w:t>
      </w:r>
      <w:r>
        <w:rPr>
          <w:rFonts w:cs="Times New Roman"/>
          <w:kern w:val="22"/>
          <w:sz w:val="22"/>
          <w:lang w:val="fr-FR"/>
        </w:rPr>
        <w:t>décrit dans</w:t>
      </w:r>
      <w:r w:rsidR="00896C4D" w:rsidRPr="00896C4D">
        <w:rPr>
          <w:rFonts w:cs="Times New Roman"/>
          <w:kern w:val="22"/>
          <w:sz w:val="22"/>
          <w:lang w:val="fr-FR"/>
        </w:rPr>
        <w:t xml:space="preserve"> cette</w:t>
      </w:r>
      <w:r w:rsidR="0061559A" w:rsidRPr="00896C4D">
        <w:rPr>
          <w:rFonts w:cs="Times New Roman"/>
          <w:kern w:val="22"/>
          <w:sz w:val="22"/>
          <w:lang w:val="fr-FR"/>
        </w:rPr>
        <w:t xml:space="preserve"> </w:t>
      </w:r>
      <w:r w:rsidR="00F27467" w:rsidRPr="00896C4D">
        <w:rPr>
          <w:rFonts w:cs="Times New Roman"/>
          <w:kern w:val="22"/>
          <w:sz w:val="22"/>
          <w:lang w:val="fr-FR"/>
        </w:rPr>
        <w:t>partie</w:t>
      </w:r>
      <w:r w:rsidR="0061559A" w:rsidRPr="00896C4D">
        <w:rPr>
          <w:rFonts w:cs="Times New Roman"/>
          <w:kern w:val="22"/>
          <w:sz w:val="22"/>
          <w:lang w:val="fr-FR"/>
        </w:rPr>
        <w:t xml:space="preserve"> </w:t>
      </w:r>
      <w:r>
        <w:rPr>
          <w:rFonts w:cs="Times New Roman"/>
          <w:kern w:val="22"/>
          <w:sz w:val="22"/>
          <w:lang w:val="fr-FR"/>
        </w:rPr>
        <w:t>pour les débats</w:t>
      </w:r>
      <w:r w:rsidR="00896C4D" w:rsidRPr="00896C4D">
        <w:rPr>
          <w:rFonts w:cs="Times New Roman"/>
          <w:kern w:val="22"/>
          <w:sz w:val="22"/>
          <w:lang w:val="fr-FR"/>
        </w:rPr>
        <w:t xml:space="preserve"> </w:t>
      </w:r>
      <w:r>
        <w:rPr>
          <w:rFonts w:cs="Times New Roman"/>
          <w:kern w:val="22"/>
          <w:sz w:val="22"/>
          <w:lang w:val="fr-FR"/>
        </w:rPr>
        <w:t xml:space="preserve">menés </w:t>
      </w:r>
      <w:r w:rsidR="00896C4D" w:rsidRPr="00896C4D">
        <w:rPr>
          <w:rFonts w:cs="Times New Roman"/>
          <w:kern w:val="22"/>
          <w:sz w:val="22"/>
          <w:lang w:val="fr-FR"/>
        </w:rPr>
        <w:t>sur l</w:t>
      </w:r>
      <w:r w:rsidR="00896C4D">
        <w:rPr>
          <w:rFonts w:cs="Times New Roman"/>
          <w:kern w:val="22"/>
          <w:sz w:val="22"/>
          <w:lang w:val="fr-FR"/>
        </w:rPr>
        <w:t>’</w:t>
      </w:r>
      <w:r w:rsidR="00FD73A5" w:rsidRPr="00896C4D">
        <w:rPr>
          <w:rFonts w:cs="Times New Roman"/>
          <w:kern w:val="22"/>
          <w:sz w:val="22"/>
          <w:lang w:val="fr-FR"/>
        </w:rPr>
        <w:t>article</w:t>
      </w:r>
      <w:r w:rsidR="00896C4D">
        <w:rPr>
          <w:rFonts w:cs="Times New Roman"/>
          <w:kern w:val="22"/>
          <w:sz w:val="22"/>
          <w:lang w:val="fr-FR"/>
        </w:rPr>
        <w:t xml:space="preserve"> </w:t>
      </w:r>
      <w:r w:rsidR="0061559A" w:rsidRPr="00896C4D">
        <w:rPr>
          <w:rFonts w:cs="Times New Roman"/>
          <w:kern w:val="22"/>
          <w:sz w:val="22"/>
          <w:lang w:val="fr-FR"/>
        </w:rPr>
        <w:t xml:space="preserve">10 </w:t>
      </w:r>
      <w:r w:rsidR="00896C4D">
        <w:rPr>
          <w:rFonts w:cs="Times New Roman"/>
          <w:kern w:val="22"/>
          <w:sz w:val="22"/>
          <w:lang w:val="fr-FR"/>
        </w:rPr>
        <w:t>dépe</w:t>
      </w:r>
      <w:r w:rsidR="00836880">
        <w:rPr>
          <w:rFonts w:cs="Times New Roman"/>
          <w:kern w:val="22"/>
          <w:sz w:val="22"/>
          <w:lang w:val="fr-FR"/>
        </w:rPr>
        <w:t>ndra de l’évolution des discussions</w:t>
      </w:r>
      <w:r w:rsidR="00B761FC">
        <w:rPr>
          <w:rFonts w:cs="Times New Roman"/>
          <w:kern w:val="22"/>
          <w:sz w:val="22"/>
          <w:lang w:val="fr-FR"/>
        </w:rPr>
        <w:t xml:space="preserve"> concernant</w:t>
      </w:r>
      <w:r w:rsidR="00896C4D">
        <w:rPr>
          <w:rFonts w:cs="Times New Roman"/>
          <w:kern w:val="22"/>
          <w:sz w:val="22"/>
          <w:lang w:val="fr-FR"/>
        </w:rPr>
        <w:t xml:space="preserve"> </w:t>
      </w:r>
      <w:r w:rsidR="00BC5F0A">
        <w:rPr>
          <w:rFonts w:cs="Times New Roman"/>
          <w:kern w:val="22"/>
          <w:sz w:val="22"/>
          <w:lang w:val="fr-FR"/>
        </w:rPr>
        <w:t>l’information de séquençage</w:t>
      </w:r>
      <w:r w:rsidR="00142D5A">
        <w:rPr>
          <w:rFonts w:cs="Times New Roman"/>
          <w:kern w:val="22"/>
          <w:sz w:val="22"/>
          <w:lang w:val="fr-FR"/>
        </w:rPr>
        <w:t xml:space="preserve"> numérique</w:t>
      </w:r>
      <w:r w:rsidR="00836880">
        <w:rPr>
          <w:rFonts w:cs="Times New Roman"/>
          <w:kern w:val="22"/>
          <w:sz w:val="22"/>
          <w:lang w:val="fr-FR"/>
        </w:rPr>
        <w:t xml:space="preserve"> dans le cadre des </w:t>
      </w:r>
      <w:r w:rsidR="00F4156B" w:rsidRPr="00896C4D">
        <w:rPr>
          <w:rFonts w:cs="Times New Roman"/>
          <w:kern w:val="22"/>
          <w:sz w:val="22"/>
          <w:lang w:val="fr-FR"/>
        </w:rPr>
        <w:t>négociation</w:t>
      </w:r>
      <w:r>
        <w:rPr>
          <w:rFonts w:cs="Times New Roman"/>
          <w:kern w:val="22"/>
          <w:sz w:val="22"/>
          <w:lang w:val="fr-FR"/>
        </w:rPr>
        <w:t>s en cours</w:t>
      </w:r>
      <w:r w:rsidR="00896C4D">
        <w:rPr>
          <w:rFonts w:cs="Times New Roman"/>
          <w:kern w:val="22"/>
          <w:sz w:val="22"/>
          <w:lang w:val="fr-FR"/>
        </w:rPr>
        <w:t xml:space="preserve"> au titre de la </w:t>
      </w:r>
      <w:r w:rsidR="007347F7">
        <w:rPr>
          <w:rFonts w:cs="Times New Roman"/>
          <w:kern w:val="22"/>
          <w:sz w:val="22"/>
          <w:lang w:val="fr-FR"/>
        </w:rPr>
        <w:t>Convention</w:t>
      </w:r>
      <w:r w:rsidR="00896C4D">
        <w:rPr>
          <w:rFonts w:cs="Times New Roman"/>
          <w:kern w:val="22"/>
          <w:sz w:val="22"/>
          <w:lang w:val="fr-FR"/>
        </w:rPr>
        <w:t xml:space="preserve"> et du</w:t>
      </w:r>
      <w:r w:rsidR="00E3674F" w:rsidRPr="00896C4D">
        <w:rPr>
          <w:rFonts w:cs="Times New Roman"/>
          <w:kern w:val="22"/>
          <w:sz w:val="22"/>
          <w:lang w:val="fr-FR"/>
        </w:rPr>
        <w:t xml:space="preserve"> Protocole de Nagoya</w:t>
      </w:r>
      <w:r w:rsidR="0061559A" w:rsidRPr="00896C4D">
        <w:rPr>
          <w:rFonts w:cs="Times New Roman"/>
          <w:kern w:val="22"/>
          <w:sz w:val="22"/>
          <w:lang w:val="fr-FR"/>
        </w:rPr>
        <w:t xml:space="preserve">. </w:t>
      </w:r>
      <w:r w:rsidR="00896C4D" w:rsidRPr="00896C4D">
        <w:rPr>
          <w:rFonts w:cs="Times New Roman"/>
          <w:kern w:val="22"/>
          <w:sz w:val="22"/>
          <w:lang w:val="fr-FR"/>
        </w:rPr>
        <w:t>L</w:t>
      </w:r>
      <w:r w:rsidR="00896C4D">
        <w:rPr>
          <w:rFonts w:cs="Times New Roman"/>
          <w:kern w:val="22"/>
          <w:sz w:val="22"/>
          <w:lang w:val="fr-FR"/>
        </w:rPr>
        <w:t>e</w:t>
      </w:r>
      <w:r w:rsidR="00742011" w:rsidRPr="00896C4D">
        <w:rPr>
          <w:rFonts w:cs="Times New Roman"/>
          <w:kern w:val="22"/>
          <w:sz w:val="22"/>
          <w:lang w:val="fr-FR"/>
        </w:rPr>
        <w:t xml:space="preserve"> </w:t>
      </w:r>
      <w:r w:rsidR="002518EB" w:rsidRPr="00896C4D">
        <w:rPr>
          <w:rFonts w:cs="Times New Roman"/>
          <w:kern w:val="22"/>
          <w:sz w:val="22"/>
          <w:lang w:val="fr-FR"/>
        </w:rPr>
        <w:t>rapport</w:t>
      </w:r>
      <w:r w:rsidR="00896C4D">
        <w:rPr>
          <w:rFonts w:cs="Times New Roman"/>
          <w:kern w:val="22"/>
          <w:sz w:val="22"/>
          <w:lang w:val="fr-FR"/>
        </w:rPr>
        <w:t xml:space="preserve"> de </w:t>
      </w:r>
      <w:r>
        <w:rPr>
          <w:rFonts w:cs="Times New Roman"/>
          <w:kern w:val="22"/>
          <w:sz w:val="22"/>
          <w:lang w:val="fr-FR"/>
        </w:rPr>
        <w:t xml:space="preserve">2020 de </w:t>
      </w:r>
      <w:r w:rsidR="00896C4D">
        <w:rPr>
          <w:rFonts w:cs="Times New Roman"/>
          <w:kern w:val="22"/>
          <w:sz w:val="22"/>
          <w:lang w:val="fr-FR"/>
        </w:rPr>
        <w:t>la réunion du Groupe spéc</w:t>
      </w:r>
      <w:r>
        <w:rPr>
          <w:rFonts w:cs="Times New Roman"/>
          <w:kern w:val="22"/>
          <w:sz w:val="22"/>
          <w:lang w:val="fr-FR"/>
        </w:rPr>
        <w:t>ial d’experts techniques</w:t>
      </w:r>
      <w:r w:rsidR="00896C4D">
        <w:rPr>
          <w:rFonts w:cs="Times New Roman"/>
          <w:kern w:val="22"/>
          <w:sz w:val="22"/>
          <w:lang w:val="fr-FR"/>
        </w:rPr>
        <w:t xml:space="preserve"> sur</w:t>
      </w:r>
      <w:r w:rsidR="00742011" w:rsidRPr="00896C4D">
        <w:rPr>
          <w:rFonts w:cs="Times New Roman"/>
          <w:kern w:val="22"/>
          <w:sz w:val="22"/>
          <w:lang w:val="fr-FR"/>
        </w:rPr>
        <w:t xml:space="preserve"> </w:t>
      </w:r>
      <w:r w:rsidR="00BC5F0A">
        <w:rPr>
          <w:rFonts w:cs="Times New Roman"/>
          <w:kern w:val="22"/>
          <w:sz w:val="22"/>
          <w:lang w:val="fr-FR"/>
        </w:rPr>
        <w:t>l’information de séquençage</w:t>
      </w:r>
      <w:r w:rsidR="00142D5A">
        <w:rPr>
          <w:rFonts w:cs="Times New Roman"/>
          <w:kern w:val="22"/>
          <w:sz w:val="22"/>
          <w:lang w:val="fr-FR"/>
        </w:rPr>
        <w:t xml:space="preserve"> numérique</w:t>
      </w:r>
      <w:r w:rsidR="00742011" w:rsidRPr="00896C4D">
        <w:rPr>
          <w:rFonts w:cs="Times New Roman"/>
          <w:kern w:val="22"/>
          <w:sz w:val="22"/>
          <w:lang w:val="fr-FR"/>
        </w:rPr>
        <w:t xml:space="preserve"> </w:t>
      </w:r>
      <w:r w:rsidR="00896C4D">
        <w:rPr>
          <w:rFonts w:cs="Times New Roman"/>
          <w:kern w:val="22"/>
          <w:sz w:val="22"/>
          <w:lang w:val="fr-FR"/>
        </w:rPr>
        <w:t>indique que</w:t>
      </w:r>
      <w:r w:rsidR="00DD6D27" w:rsidRPr="00896C4D">
        <w:rPr>
          <w:rFonts w:cs="Times New Roman"/>
          <w:kern w:val="22"/>
          <w:sz w:val="22"/>
          <w:lang w:val="fr-FR"/>
        </w:rPr>
        <w:t xml:space="preserve"> </w:t>
      </w:r>
      <w:r w:rsidR="00896C4D">
        <w:rPr>
          <w:rFonts w:cs="Times New Roman"/>
          <w:kern w:val="22"/>
          <w:sz w:val="22"/>
          <w:lang w:val="fr-FR"/>
        </w:rPr>
        <w:t>“l’importance d’une approche</w:t>
      </w:r>
      <w:r w:rsidR="008841E0" w:rsidRPr="00896C4D">
        <w:rPr>
          <w:rFonts w:cs="Times New Roman"/>
          <w:kern w:val="22"/>
          <w:sz w:val="22"/>
          <w:lang w:val="fr-FR"/>
        </w:rPr>
        <w:t xml:space="preserve"> international</w:t>
      </w:r>
      <w:r w:rsidR="00896C4D">
        <w:rPr>
          <w:rFonts w:cs="Times New Roman"/>
          <w:kern w:val="22"/>
          <w:sz w:val="22"/>
          <w:lang w:val="fr-FR"/>
        </w:rPr>
        <w:t>e conc</w:t>
      </w:r>
      <w:r w:rsidR="002F47C3">
        <w:rPr>
          <w:rFonts w:cs="Times New Roman"/>
          <w:kern w:val="22"/>
          <w:sz w:val="22"/>
          <w:lang w:val="fr-FR"/>
        </w:rPr>
        <w:t xml:space="preserve">ertée et abordable en matière </w:t>
      </w:r>
      <w:r>
        <w:rPr>
          <w:rFonts w:cs="Times New Roman"/>
          <w:kern w:val="22"/>
          <w:sz w:val="22"/>
          <w:lang w:val="fr-FR"/>
        </w:rPr>
        <w:t>d’</w:t>
      </w:r>
      <w:r w:rsidR="00BC5F0A">
        <w:rPr>
          <w:rFonts w:cs="Times New Roman"/>
          <w:kern w:val="22"/>
          <w:sz w:val="22"/>
          <w:lang w:val="fr-FR"/>
        </w:rPr>
        <w:t>information de séquençage</w:t>
      </w:r>
      <w:r w:rsidR="00142D5A">
        <w:rPr>
          <w:rFonts w:cs="Times New Roman"/>
          <w:kern w:val="22"/>
          <w:sz w:val="22"/>
          <w:lang w:val="fr-FR"/>
        </w:rPr>
        <w:t xml:space="preserve"> numérique</w:t>
      </w:r>
      <w:r w:rsidR="00896C4D">
        <w:rPr>
          <w:rFonts w:cs="Times New Roman"/>
          <w:kern w:val="22"/>
          <w:sz w:val="22"/>
          <w:lang w:val="fr-FR"/>
        </w:rPr>
        <w:t xml:space="preserve"> sur les</w:t>
      </w:r>
      <w:r w:rsidR="008841E0" w:rsidRPr="00896C4D">
        <w:rPr>
          <w:rFonts w:cs="Times New Roman"/>
          <w:kern w:val="22"/>
          <w:sz w:val="22"/>
          <w:lang w:val="fr-FR"/>
        </w:rPr>
        <w:t xml:space="preserve"> </w:t>
      </w:r>
      <w:r w:rsidR="00E3674F" w:rsidRPr="00896C4D">
        <w:rPr>
          <w:rFonts w:cs="Times New Roman"/>
          <w:kern w:val="22"/>
          <w:sz w:val="22"/>
          <w:lang w:val="fr-FR"/>
        </w:rPr>
        <w:t>ressources génétiques</w:t>
      </w:r>
      <w:r w:rsidR="00896C4D">
        <w:rPr>
          <w:rFonts w:cs="Times New Roman"/>
          <w:kern w:val="22"/>
          <w:sz w:val="22"/>
          <w:lang w:val="fr-FR"/>
        </w:rPr>
        <w:t xml:space="preserve"> a été soulignée, et les </w:t>
      </w:r>
      <w:r w:rsidR="008841E0" w:rsidRPr="00896C4D">
        <w:rPr>
          <w:rFonts w:cs="Times New Roman"/>
          <w:kern w:val="22"/>
          <w:sz w:val="22"/>
          <w:lang w:val="fr-FR"/>
        </w:rPr>
        <w:t xml:space="preserve">experts </w:t>
      </w:r>
      <w:r w:rsidR="00896C4D">
        <w:rPr>
          <w:rFonts w:cs="Times New Roman"/>
          <w:kern w:val="22"/>
          <w:sz w:val="22"/>
          <w:lang w:val="fr-FR"/>
        </w:rPr>
        <w:t xml:space="preserve">ont mentionné des </w:t>
      </w:r>
      <w:r w:rsidR="00AD37E2" w:rsidRPr="00896C4D">
        <w:rPr>
          <w:rFonts w:cs="Times New Roman"/>
          <w:kern w:val="22"/>
          <w:sz w:val="22"/>
          <w:lang w:val="fr-FR"/>
        </w:rPr>
        <w:t>approches</w:t>
      </w:r>
      <w:r w:rsidR="00896C4D">
        <w:rPr>
          <w:rFonts w:cs="Times New Roman"/>
          <w:kern w:val="22"/>
          <w:sz w:val="22"/>
          <w:lang w:val="fr-FR"/>
        </w:rPr>
        <w:t xml:space="preserve"> possibles</w:t>
      </w:r>
      <w:r w:rsidR="008841E0" w:rsidRPr="00896C4D">
        <w:rPr>
          <w:rFonts w:cs="Times New Roman"/>
          <w:kern w:val="22"/>
          <w:sz w:val="22"/>
          <w:lang w:val="fr-FR"/>
        </w:rPr>
        <w:t xml:space="preserve">, </w:t>
      </w:r>
      <w:r w:rsidR="00B43E38" w:rsidRPr="00896C4D">
        <w:rPr>
          <w:rFonts w:cs="Times New Roman"/>
          <w:kern w:val="22"/>
          <w:sz w:val="22"/>
          <w:lang w:val="fr-FR"/>
        </w:rPr>
        <w:t>y compris</w:t>
      </w:r>
      <w:r w:rsidR="00896C4D">
        <w:rPr>
          <w:rFonts w:cs="Times New Roman"/>
          <w:kern w:val="22"/>
          <w:sz w:val="22"/>
          <w:lang w:val="fr-FR"/>
        </w:rPr>
        <w:t>… une</w:t>
      </w:r>
      <w:r w:rsidR="008841E0" w:rsidRPr="00896C4D">
        <w:rPr>
          <w:rFonts w:cs="Times New Roman"/>
          <w:kern w:val="22"/>
          <w:sz w:val="22"/>
          <w:lang w:val="fr-FR"/>
        </w:rPr>
        <w:t xml:space="preserve"> </w:t>
      </w:r>
      <w:r>
        <w:rPr>
          <w:rFonts w:cs="Times New Roman"/>
          <w:kern w:val="22"/>
          <w:sz w:val="22"/>
          <w:lang w:val="fr-FR"/>
        </w:rPr>
        <w:t xml:space="preserve">éventuelle </w:t>
      </w:r>
      <w:r w:rsidR="00896C4D">
        <w:rPr>
          <w:rFonts w:cs="Times New Roman"/>
          <w:kern w:val="22"/>
          <w:sz w:val="22"/>
          <w:lang w:val="fr-FR"/>
        </w:rPr>
        <w:t>approche multilatéral</w:t>
      </w:r>
      <w:r w:rsidR="001A200E" w:rsidRPr="00896C4D">
        <w:rPr>
          <w:rFonts w:cs="Times New Roman"/>
          <w:kern w:val="22"/>
          <w:sz w:val="22"/>
          <w:lang w:val="fr-FR"/>
        </w:rPr>
        <w:t>e</w:t>
      </w:r>
      <w:r w:rsidR="008841E0" w:rsidRPr="00896C4D">
        <w:rPr>
          <w:rFonts w:cs="Times New Roman"/>
          <w:kern w:val="22"/>
          <w:sz w:val="22"/>
          <w:lang w:val="fr-FR"/>
        </w:rPr>
        <w:t>.”</w:t>
      </w:r>
      <w:r w:rsidR="00E13646" w:rsidRPr="002364AB">
        <w:rPr>
          <w:rStyle w:val="FootnoteReference"/>
          <w:rFonts w:cs="Times New Roman"/>
          <w:kern w:val="22"/>
          <w:sz w:val="22"/>
          <w:lang w:val="en-GB"/>
        </w:rPr>
        <w:footnoteReference w:id="114"/>
      </w:r>
    </w:p>
    <w:p w14:paraId="4970ED69" w14:textId="17F8160C" w:rsidR="00AB4AC1" w:rsidRPr="009620A7" w:rsidRDefault="009620A7" w:rsidP="00B53ED9">
      <w:pPr>
        <w:spacing w:after="120"/>
        <w:rPr>
          <w:rFonts w:cs="Times New Roman"/>
          <w:kern w:val="22"/>
          <w:sz w:val="22"/>
          <w:lang w:val="fr-FR"/>
        </w:rPr>
      </w:pPr>
      <w:r w:rsidRPr="009620A7">
        <w:rPr>
          <w:rFonts w:cs="Times New Roman"/>
          <w:kern w:val="22"/>
          <w:sz w:val="22"/>
          <w:lang w:val="fr-FR"/>
        </w:rPr>
        <w:t xml:space="preserve">La plupart des </w:t>
      </w:r>
      <w:r w:rsidR="00E86BBE" w:rsidRPr="009620A7">
        <w:rPr>
          <w:rFonts w:cs="Times New Roman"/>
          <w:kern w:val="22"/>
          <w:sz w:val="22"/>
          <w:lang w:val="fr-FR"/>
        </w:rPr>
        <w:t xml:space="preserve">Parties </w:t>
      </w:r>
      <w:r w:rsidR="00836880">
        <w:rPr>
          <w:rFonts w:cs="Times New Roman"/>
          <w:kern w:val="22"/>
          <w:sz w:val="22"/>
          <w:lang w:val="fr-FR"/>
        </w:rPr>
        <w:t xml:space="preserve">n’ont pas mis en place </w:t>
      </w:r>
      <w:r w:rsidRPr="009620A7">
        <w:rPr>
          <w:rFonts w:cs="Times New Roman"/>
          <w:kern w:val="22"/>
          <w:sz w:val="22"/>
          <w:lang w:val="fr-FR"/>
        </w:rPr>
        <w:t xml:space="preserve">des mesures </w:t>
      </w:r>
      <w:r w:rsidR="00E86BBE" w:rsidRPr="009620A7">
        <w:rPr>
          <w:rFonts w:cs="Times New Roman"/>
          <w:kern w:val="22"/>
          <w:sz w:val="22"/>
          <w:lang w:val="fr-FR"/>
        </w:rPr>
        <w:t>administrative</w:t>
      </w:r>
      <w:r w:rsidRPr="009620A7">
        <w:rPr>
          <w:rFonts w:cs="Times New Roman"/>
          <w:kern w:val="22"/>
          <w:sz w:val="22"/>
          <w:lang w:val="fr-FR"/>
        </w:rPr>
        <w:t xml:space="preserve">s, législatives ou </w:t>
      </w:r>
      <w:r w:rsidR="00836880">
        <w:rPr>
          <w:rFonts w:cs="Times New Roman"/>
          <w:kern w:val="22"/>
          <w:sz w:val="22"/>
          <w:lang w:val="fr-FR"/>
        </w:rPr>
        <w:t>d’</w:t>
      </w:r>
      <w:r w:rsidRPr="009620A7">
        <w:rPr>
          <w:rFonts w:cs="Times New Roman"/>
          <w:kern w:val="22"/>
          <w:sz w:val="22"/>
          <w:lang w:val="fr-FR"/>
        </w:rPr>
        <w:t>autres mesur</w:t>
      </w:r>
      <w:r w:rsidR="00836880">
        <w:rPr>
          <w:rFonts w:cs="Times New Roman"/>
          <w:kern w:val="22"/>
          <w:sz w:val="22"/>
          <w:lang w:val="fr-FR"/>
        </w:rPr>
        <w:t>es nationales réglementant</w:t>
      </w:r>
      <w:r>
        <w:rPr>
          <w:rFonts w:cs="Times New Roman"/>
          <w:kern w:val="22"/>
          <w:sz w:val="22"/>
          <w:lang w:val="fr-FR"/>
        </w:rPr>
        <w:t xml:space="preserve"> l’accès ou le</w:t>
      </w:r>
      <w:r w:rsidR="00E86BBE" w:rsidRPr="009620A7">
        <w:rPr>
          <w:rFonts w:cs="Times New Roman"/>
          <w:kern w:val="22"/>
          <w:sz w:val="22"/>
          <w:lang w:val="fr-FR"/>
        </w:rPr>
        <w:t xml:space="preserve"> </w:t>
      </w:r>
      <w:r w:rsidR="00E3674F" w:rsidRPr="009620A7">
        <w:rPr>
          <w:rFonts w:cs="Times New Roman"/>
          <w:kern w:val="22"/>
          <w:sz w:val="22"/>
          <w:lang w:val="fr-FR"/>
        </w:rPr>
        <w:t>partage des avantages</w:t>
      </w:r>
      <w:r w:rsidR="00836880">
        <w:rPr>
          <w:rFonts w:cs="Times New Roman"/>
          <w:kern w:val="22"/>
          <w:sz w:val="22"/>
          <w:lang w:val="fr-FR"/>
        </w:rPr>
        <w:t xml:space="preserve"> en ce qui concerne</w:t>
      </w:r>
      <w:r w:rsidR="00E86BBE" w:rsidRPr="009620A7">
        <w:rPr>
          <w:rFonts w:cs="Times New Roman"/>
          <w:kern w:val="22"/>
          <w:sz w:val="22"/>
          <w:lang w:val="fr-FR"/>
        </w:rPr>
        <w:t xml:space="preserve"> </w:t>
      </w:r>
      <w:r w:rsidR="00BC5F0A">
        <w:rPr>
          <w:rFonts w:cs="Times New Roman"/>
          <w:kern w:val="22"/>
          <w:sz w:val="22"/>
          <w:lang w:val="fr-FR"/>
        </w:rPr>
        <w:t>l’information de séquençage</w:t>
      </w:r>
      <w:r w:rsidR="00142D5A">
        <w:rPr>
          <w:rFonts w:cs="Times New Roman"/>
          <w:kern w:val="22"/>
          <w:sz w:val="22"/>
          <w:lang w:val="fr-FR"/>
        </w:rPr>
        <w:t xml:space="preserve"> numérique</w:t>
      </w:r>
      <w:r>
        <w:rPr>
          <w:rFonts w:cs="Times New Roman"/>
          <w:kern w:val="22"/>
          <w:sz w:val="22"/>
          <w:lang w:val="fr-FR"/>
        </w:rPr>
        <w:t>,</w:t>
      </w:r>
      <w:r w:rsidR="00E3674F" w:rsidRPr="009620A7">
        <w:rPr>
          <w:rFonts w:cs="Times New Roman"/>
          <w:kern w:val="22"/>
          <w:sz w:val="22"/>
          <w:lang w:val="fr-FR"/>
        </w:rPr>
        <w:t xml:space="preserve"> et </w:t>
      </w:r>
      <w:r>
        <w:rPr>
          <w:rFonts w:cs="Times New Roman"/>
          <w:kern w:val="22"/>
          <w:sz w:val="22"/>
          <w:lang w:val="fr-FR"/>
        </w:rPr>
        <w:t>un grand nombre de Parties n’ont pas l’</w:t>
      </w:r>
      <w:r w:rsidR="00E86BBE" w:rsidRPr="009620A7">
        <w:rPr>
          <w:rFonts w:cs="Times New Roman"/>
          <w:kern w:val="22"/>
          <w:sz w:val="22"/>
          <w:lang w:val="fr-FR"/>
        </w:rPr>
        <w:t xml:space="preserve">intention </w:t>
      </w:r>
      <w:r w:rsidR="00B159B2">
        <w:rPr>
          <w:rFonts w:cs="Times New Roman"/>
          <w:kern w:val="22"/>
          <w:sz w:val="22"/>
          <w:lang w:val="fr-FR"/>
        </w:rPr>
        <w:t>de le faire à</w:t>
      </w:r>
      <w:r>
        <w:rPr>
          <w:rFonts w:cs="Times New Roman"/>
          <w:kern w:val="22"/>
          <w:sz w:val="22"/>
          <w:lang w:val="fr-FR"/>
        </w:rPr>
        <w:t xml:space="preserve"> l’avenir</w:t>
      </w:r>
      <w:r w:rsidR="00E86BBE" w:rsidRPr="009620A7">
        <w:rPr>
          <w:rFonts w:cs="Times New Roman"/>
          <w:kern w:val="22"/>
          <w:sz w:val="22"/>
          <w:lang w:val="fr-FR"/>
        </w:rPr>
        <w:t xml:space="preserve">. </w:t>
      </w:r>
      <w:r w:rsidR="00836880">
        <w:rPr>
          <w:rFonts w:cs="Times New Roman"/>
          <w:kern w:val="22"/>
          <w:sz w:val="22"/>
          <w:lang w:val="fr-FR"/>
        </w:rPr>
        <w:t>Cependant</w:t>
      </w:r>
      <w:r w:rsidR="00AB4AC1" w:rsidRPr="009620A7">
        <w:rPr>
          <w:rFonts w:cs="Times New Roman"/>
          <w:kern w:val="22"/>
          <w:sz w:val="22"/>
          <w:lang w:val="fr-FR"/>
        </w:rPr>
        <w:t xml:space="preserve">, </w:t>
      </w:r>
      <w:r w:rsidR="00836880">
        <w:rPr>
          <w:rFonts w:cs="Times New Roman"/>
          <w:kern w:val="22"/>
          <w:sz w:val="22"/>
          <w:lang w:val="fr-FR"/>
        </w:rPr>
        <w:t>comme indiqué</w:t>
      </w:r>
      <w:r>
        <w:rPr>
          <w:rFonts w:cs="Times New Roman"/>
          <w:kern w:val="22"/>
          <w:sz w:val="22"/>
          <w:lang w:val="fr-FR"/>
        </w:rPr>
        <w:t xml:space="preserve"> dans une </w:t>
      </w:r>
      <w:r w:rsidR="00E3674F" w:rsidRPr="009620A7">
        <w:rPr>
          <w:rFonts w:cs="Times New Roman"/>
          <w:kern w:val="22"/>
          <w:sz w:val="22"/>
          <w:lang w:val="fr-FR"/>
        </w:rPr>
        <w:t>étude</w:t>
      </w:r>
      <w:r w:rsidR="00AB4AC1" w:rsidRPr="009620A7">
        <w:rPr>
          <w:rFonts w:cs="Times New Roman"/>
          <w:kern w:val="22"/>
          <w:sz w:val="22"/>
          <w:lang w:val="fr-FR"/>
        </w:rPr>
        <w:t xml:space="preserve"> </w:t>
      </w:r>
      <w:r>
        <w:rPr>
          <w:rFonts w:cs="Times New Roman"/>
          <w:kern w:val="22"/>
          <w:sz w:val="22"/>
          <w:lang w:val="fr-FR"/>
        </w:rPr>
        <w:t>récente</w:t>
      </w:r>
      <w:r w:rsidR="00FB033A" w:rsidRPr="009620A7">
        <w:rPr>
          <w:rFonts w:cs="Times New Roman"/>
          <w:kern w:val="22"/>
          <w:sz w:val="22"/>
          <w:lang w:val="fr-FR"/>
        </w:rPr>
        <w:t xml:space="preserve"> commandé</w:t>
      </w:r>
      <w:r>
        <w:rPr>
          <w:rFonts w:cs="Times New Roman"/>
          <w:kern w:val="22"/>
          <w:sz w:val="22"/>
          <w:lang w:val="fr-FR"/>
        </w:rPr>
        <w:t xml:space="preserve">e par le </w:t>
      </w:r>
      <w:r w:rsidR="00FB033A" w:rsidRPr="009620A7">
        <w:rPr>
          <w:rFonts w:cs="Times New Roman"/>
          <w:kern w:val="22"/>
          <w:sz w:val="22"/>
          <w:lang w:val="fr-FR"/>
        </w:rPr>
        <w:t>Secrétariat</w:t>
      </w:r>
      <w:r>
        <w:rPr>
          <w:rFonts w:cs="Times New Roman"/>
          <w:kern w:val="22"/>
          <w:sz w:val="22"/>
          <w:lang w:val="fr-FR"/>
        </w:rPr>
        <w:t xml:space="preserve"> de la </w:t>
      </w:r>
      <w:r w:rsidR="007347F7">
        <w:rPr>
          <w:rFonts w:cs="Times New Roman"/>
          <w:kern w:val="22"/>
          <w:sz w:val="22"/>
          <w:lang w:val="fr-FR"/>
        </w:rPr>
        <w:t>Convention</w:t>
      </w:r>
      <w:r w:rsidR="00836880">
        <w:rPr>
          <w:rFonts w:cs="Times New Roman"/>
          <w:kern w:val="22"/>
          <w:sz w:val="22"/>
          <w:lang w:val="fr-FR"/>
        </w:rPr>
        <w:t xml:space="preserve"> sur la diversité biologique,</w:t>
      </w:r>
      <w:r>
        <w:rPr>
          <w:rFonts w:cs="Times New Roman"/>
          <w:kern w:val="22"/>
          <w:sz w:val="22"/>
          <w:lang w:val="fr-FR"/>
        </w:rPr>
        <w:t xml:space="preserve"> en application de la </w:t>
      </w:r>
      <w:r w:rsidR="00E3674F" w:rsidRPr="009620A7">
        <w:rPr>
          <w:rFonts w:cs="Times New Roman"/>
          <w:kern w:val="22"/>
          <w:sz w:val="22"/>
          <w:lang w:val="fr-FR"/>
        </w:rPr>
        <w:t>décision</w:t>
      </w:r>
      <w:r w:rsidR="00AB4AC1" w:rsidRPr="009620A7">
        <w:rPr>
          <w:rFonts w:cs="Times New Roman"/>
          <w:kern w:val="22"/>
          <w:sz w:val="22"/>
          <w:lang w:val="fr-FR"/>
        </w:rPr>
        <w:t xml:space="preserve"> 14/20</w:t>
      </w:r>
      <w:r>
        <w:rPr>
          <w:rFonts w:cs="Times New Roman"/>
          <w:kern w:val="22"/>
          <w:sz w:val="22"/>
          <w:lang w:val="fr-FR"/>
        </w:rPr>
        <w:t xml:space="preserve"> de la Conférence des Parties, au moins</w:t>
      </w:r>
      <w:r w:rsidR="00AB4AC1" w:rsidRPr="009620A7">
        <w:rPr>
          <w:rFonts w:cs="Times New Roman"/>
          <w:kern w:val="22"/>
          <w:sz w:val="22"/>
          <w:lang w:val="fr-FR"/>
        </w:rPr>
        <w:t xml:space="preserve"> 15 </w:t>
      </w:r>
      <w:r w:rsidR="00E40444" w:rsidRPr="009620A7">
        <w:rPr>
          <w:rFonts w:cs="Times New Roman"/>
          <w:kern w:val="22"/>
          <w:sz w:val="22"/>
          <w:lang w:val="fr-FR"/>
        </w:rPr>
        <w:t>pays</w:t>
      </w:r>
      <w:r w:rsidR="00B159B2">
        <w:rPr>
          <w:rFonts w:cs="Times New Roman"/>
          <w:kern w:val="22"/>
          <w:sz w:val="22"/>
          <w:lang w:val="fr-FR"/>
        </w:rPr>
        <w:t xml:space="preserve"> ont mis en place</w:t>
      </w:r>
      <w:r>
        <w:rPr>
          <w:rFonts w:cs="Times New Roman"/>
          <w:kern w:val="22"/>
          <w:sz w:val="22"/>
          <w:lang w:val="fr-FR"/>
        </w:rPr>
        <w:t xml:space="preserve"> des mesures de droit interne sur l’</w:t>
      </w:r>
      <w:r w:rsidR="00A70F9B" w:rsidRPr="009620A7">
        <w:rPr>
          <w:rFonts w:cs="Times New Roman"/>
          <w:kern w:val="22"/>
          <w:sz w:val="22"/>
          <w:lang w:val="fr-FR"/>
        </w:rPr>
        <w:t xml:space="preserve">accès et </w:t>
      </w:r>
      <w:r>
        <w:rPr>
          <w:rFonts w:cs="Times New Roman"/>
          <w:kern w:val="22"/>
          <w:sz w:val="22"/>
          <w:lang w:val="fr-FR"/>
        </w:rPr>
        <w:t xml:space="preserve">le </w:t>
      </w:r>
      <w:r w:rsidR="00A70F9B" w:rsidRPr="009620A7">
        <w:rPr>
          <w:rFonts w:cs="Times New Roman"/>
          <w:kern w:val="22"/>
          <w:sz w:val="22"/>
          <w:lang w:val="fr-FR"/>
        </w:rPr>
        <w:t>partage des avantages</w:t>
      </w:r>
      <w:r w:rsidR="00AB4AC1" w:rsidRPr="009620A7">
        <w:rPr>
          <w:rFonts w:cs="Times New Roman"/>
          <w:kern w:val="22"/>
          <w:sz w:val="22"/>
          <w:lang w:val="fr-FR"/>
        </w:rPr>
        <w:t xml:space="preserve"> </w:t>
      </w:r>
      <w:r w:rsidR="00836880">
        <w:rPr>
          <w:rFonts w:cs="Times New Roman"/>
          <w:kern w:val="22"/>
          <w:sz w:val="22"/>
          <w:lang w:val="fr-FR"/>
        </w:rPr>
        <w:t xml:space="preserve">qui abordent </w:t>
      </w:r>
      <w:r w:rsidR="009D43F1" w:rsidRPr="009620A7">
        <w:rPr>
          <w:rFonts w:cs="Times New Roman"/>
          <w:kern w:val="22"/>
          <w:sz w:val="22"/>
          <w:lang w:val="fr-FR"/>
        </w:rPr>
        <w:t>l’utilisation</w:t>
      </w:r>
      <w:r w:rsidR="00AB4AC1" w:rsidRPr="009620A7">
        <w:rPr>
          <w:rFonts w:cs="Times New Roman"/>
          <w:kern w:val="22"/>
          <w:sz w:val="22"/>
          <w:lang w:val="fr-FR"/>
        </w:rPr>
        <w:t xml:space="preserve"> </w:t>
      </w:r>
      <w:r w:rsidR="00BC5F0A">
        <w:rPr>
          <w:rFonts w:cs="Times New Roman"/>
          <w:kern w:val="22"/>
          <w:sz w:val="22"/>
          <w:lang w:val="fr-FR"/>
        </w:rPr>
        <w:t>de l’information de séquençage</w:t>
      </w:r>
      <w:r w:rsidR="00142D5A">
        <w:rPr>
          <w:rFonts w:cs="Times New Roman"/>
          <w:kern w:val="22"/>
          <w:sz w:val="22"/>
          <w:lang w:val="fr-FR"/>
        </w:rPr>
        <w:t xml:space="preserve"> numérique</w:t>
      </w:r>
      <w:r>
        <w:rPr>
          <w:rFonts w:cs="Times New Roman"/>
          <w:kern w:val="22"/>
          <w:sz w:val="22"/>
          <w:lang w:val="fr-FR"/>
        </w:rPr>
        <w:t>,</w:t>
      </w:r>
      <w:r w:rsidR="00E3674F" w:rsidRPr="009620A7">
        <w:rPr>
          <w:rFonts w:cs="Times New Roman"/>
          <w:kern w:val="22"/>
          <w:sz w:val="22"/>
          <w:lang w:val="fr-FR"/>
        </w:rPr>
        <w:t xml:space="preserve"> et </w:t>
      </w:r>
      <w:r w:rsidR="00AB4AC1" w:rsidRPr="009620A7">
        <w:rPr>
          <w:rFonts w:cs="Times New Roman"/>
          <w:kern w:val="22"/>
          <w:sz w:val="22"/>
          <w:lang w:val="fr-FR"/>
        </w:rPr>
        <w:t>1</w:t>
      </w:r>
      <w:r w:rsidR="0061559A" w:rsidRPr="009620A7">
        <w:rPr>
          <w:rFonts w:cs="Times New Roman"/>
          <w:kern w:val="22"/>
          <w:sz w:val="22"/>
          <w:lang w:val="fr-FR"/>
        </w:rPr>
        <w:t>8</w:t>
      </w:r>
      <w:r>
        <w:rPr>
          <w:rFonts w:cs="Times New Roman"/>
          <w:kern w:val="22"/>
          <w:sz w:val="22"/>
          <w:lang w:val="fr-FR"/>
        </w:rPr>
        <w:t xml:space="preserve"> autres pays </w:t>
      </w:r>
      <w:r w:rsidR="00B159B2">
        <w:rPr>
          <w:rFonts w:cs="Times New Roman"/>
          <w:kern w:val="22"/>
          <w:sz w:val="22"/>
          <w:lang w:val="fr-FR"/>
        </w:rPr>
        <w:t xml:space="preserve">au moins </w:t>
      </w:r>
      <w:r>
        <w:rPr>
          <w:rFonts w:cs="Times New Roman"/>
          <w:kern w:val="22"/>
          <w:sz w:val="22"/>
          <w:lang w:val="fr-FR"/>
        </w:rPr>
        <w:t>élaborent actuellement de telles</w:t>
      </w:r>
      <w:r w:rsidR="00AB4AC1" w:rsidRPr="009620A7">
        <w:rPr>
          <w:rFonts w:cs="Times New Roman"/>
          <w:kern w:val="22"/>
          <w:sz w:val="22"/>
          <w:lang w:val="fr-FR"/>
        </w:rPr>
        <w:t xml:space="preserve"> </w:t>
      </w:r>
      <w:r>
        <w:rPr>
          <w:rFonts w:cs="Times New Roman"/>
          <w:kern w:val="22"/>
          <w:sz w:val="22"/>
          <w:lang w:val="fr-FR"/>
        </w:rPr>
        <w:t>mesure</w:t>
      </w:r>
      <w:r w:rsidR="00AB4AC1" w:rsidRPr="009620A7">
        <w:rPr>
          <w:rFonts w:cs="Times New Roman"/>
          <w:kern w:val="22"/>
          <w:sz w:val="22"/>
          <w:lang w:val="fr-FR"/>
        </w:rPr>
        <w:t>s.</w:t>
      </w:r>
      <w:r w:rsidR="00AB4AC1" w:rsidRPr="002364AB">
        <w:rPr>
          <w:rStyle w:val="FootnoteReference"/>
          <w:kern w:val="22"/>
          <w:sz w:val="22"/>
          <w:lang w:val="en-GB"/>
        </w:rPr>
        <w:footnoteReference w:id="115"/>
      </w:r>
      <w:r w:rsidR="00AB4AC1" w:rsidRPr="009620A7">
        <w:rPr>
          <w:rFonts w:cs="Times New Roman"/>
          <w:kern w:val="22"/>
          <w:sz w:val="22"/>
          <w:lang w:val="fr-FR"/>
        </w:rPr>
        <w:t xml:space="preserve"> </w:t>
      </w:r>
      <w:r w:rsidRPr="009620A7">
        <w:rPr>
          <w:rFonts w:cs="Times New Roman"/>
          <w:kern w:val="22"/>
          <w:sz w:val="22"/>
          <w:lang w:val="fr-FR"/>
        </w:rPr>
        <w:t xml:space="preserve">Il convient </w:t>
      </w:r>
      <w:r w:rsidR="00B159B2">
        <w:rPr>
          <w:rFonts w:cs="Times New Roman"/>
          <w:kern w:val="22"/>
          <w:sz w:val="22"/>
          <w:lang w:val="fr-FR"/>
        </w:rPr>
        <w:t xml:space="preserve">cependant </w:t>
      </w:r>
      <w:r w:rsidRPr="009620A7">
        <w:rPr>
          <w:rFonts w:cs="Times New Roman"/>
          <w:kern w:val="22"/>
          <w:sz w:val="22"/>
          <w:lang w:val="fr-FR"/>
        </w:rPr>
        <w:t>de noter que</w:t>
      </w:r>
      <w:r w:rsidR="00B159B2">
        <w:rPr>
          <w:rFonts w:cs="Times New Roman"/>
          <w:kern w:val="22"/>
          <w:sz w:val="22"/>
          <w:lang w:val="fr-FR"/>
        </w:rPr>
        <w:t>,</w:t>
      </w:r>
      <w:r w:rsidRPr="009620A7">
        <w:rPr>
          <w:rFonts w:cs="Times New Roman"/>
          <w:kern w:val="22"/>
          <w:sz w:val="22"/>
          <w:lang w:val="fr-FR"/>
        </w:rPr>
        <w:t xml:space="preserve"> m</w:t>
      </w:r>
      <w:r w:rsidR="00B159B2">
        <w:rPr>
          <w:rFonts w:cs="Times New Roman"/>
          <w:kern w:val="22"/>
          <w:sz w:val="22"/>
          <w:lang w:val="fr-FR"/>
        </w:rPr>
        <w:t>ême si les Parties décidaient</w:t>
      </w:r>
      <w:r>
        <w:rPr>
          <w:rFonts w:cs="Times New Roman"/>
          <w:kern w:val="22"/>
          <w:sz w:val="22"/>
          <w:lang w:val="fr-FR"/>
        </w:rPr>
        <w:t xml:space="preserve"> que </w:t>
      </w:r>
      <w:r w:rsidR="00BC5F0A">
        <w:rPr>
          <w:rFonts w:cs="Times New Roman"/>
          <w:kern w:val="22"/>
          <w:sz w:val="22"/>
          <w:lang w:val="fr-FR"/>
        </w:rPr>
        <w:t>l’information de séquençage</w:t>
      </w:r>
      <w:r w:rsidR="00142D5A">
        <w:rPr>
          <w:rFonts w:cs="Times New Roman"/>
          <w:kern w:val="22"/>
          <w:sz w:val="22"/>
          <w:lang w:val="fr-FR"/>
        </w:rPr>
        <w:t xml:space="preserve"> numérique</w:t>
      </w:r>
      <w:r>
        <w:rPr>
          <w:rFonts w:cs="Times New Roman"/>
          <w:kern w:val="22"/>
          <w:sz w:val="22"/>
          <w:lang w:val="fr-FR"/>
        </w:rPr>
        <w:t xml:space="preserve"> n’entre pas dans le champ d’application de la</w:t>
      </w:r>
      <w:r w:rsidR="000F0DCC" w:rsidRPr="009620A7">
        <w:rPr>
          <w:rFonts w:cs="Times New Roman"/>
          <w:kern w:val="22"/>
          <w:sz w:val="22"/>
          <w:lang w:val="fr-FR"/>
        </w:rPr>
        <w:t xml:space="preserve"> </w:t>
      </w:r>
      <w:r>
        <w:rPr>
          <w:rFonts w:cs="Times New Roman"/>
          <w:kern w:val="22"/>
          <w:sz w:val="22"/>
          <w:lang w:val="fr-FR"/>
        </w:rPr>
        <w:t>définition des</w:t>
      </w:r>
      <w:r w:rsidR="00EA16E3" w:rsidRPr="009620A7">
        <w:rPr>
          <w:rFonts w:cs="Times New Roman"/>
          <w:kern w:val="22"/>
          <w:sz w:val="22"/>
          <w:lang w:val="fr-FR"/>
        </w:rPr>
        <w:t xml:space="preserve"> </w:t>
      </w:r>
      <w:r w:rsidR="000F0DCC" w:rsidRPr="009620A7">
        <w:rPr>
          <w:rFonts w:cs="Times New Roman"/>
          <w:kern w:val="22"/>
          <w:sz w:val="22"/>
          <w:lang w:val="fr-FR"/>
        </w:rPr>
        <w:t>“</w:t>
      </w:r>
      <w:r w:rsidR="00E3674F" w:rsidRPr="009620A7">
        <w:rPr>
          <w:rFonts w:cs="Times New Roman"/>
          <w:kern w:val="22"/>
          <w:sz w:val="22"/>
          <w:lang w:val="fr-FR"/>
        </w:rPr>
        <w:t>ressources génétiques</w:t>
      </w:r>
      <w:r w:rsidR="000F0DCC" w:rsidRPr="009620A7">
        <w:rPr>
          <w:rFonts w:cs="Times New Roman"/>
          <w:kern w:val="22"/>
          <w:sz w:val="22"/>
          <w:lang w:val="fr-FR"/>
        </w:rPr>
        <w:t>”</w:t>
      </w:r>
      <w:r w:rsidR="00B53ED9" w:rsidRPr="009620A7">
        <w:rPr>
          <w:rFonts w:cs="Times New Roman"/>
          <w:kern w:val="22"/>
          <w:sz w:val="22"/>
          <w:lang w:val="fr-FR"/>
        </w:rPr>
        <w:t xml:space="preserve"> </w:t>
      </w:r>
      <w:r w:rsidR="00B159B2">
        <w:rPr>
          <w:rFonts w:cs="Times New Roman"/>
          <w:kern w:val="22"/>
          <w:sz w:val="22"/>
          <w:lang w:val="fr-FR"/>
        </w:rPr>
        <w:t>au titre</w:t>
      </w:r>
      <w:r>
        <w:rPr>
          <w:rFonts w:cs="Times New Roman"/>
          <w:kern w:val="22"/>
          <w:sz w:val="22"/>
          <w:lang w:val="fr-FR"/>
        </w:rPr>
        <w:t xml:space="preserve"> de la </w:t>
      </w:r>
      <w:r w:rsidR="007347F7">
        <w:rPr>
          <w:rFonts w:cs="Times New Roman"/>
          <w:kern w:val="22"/>
          <w:sz w:val="22"/>
          <w:lang w:val="fr-FR"/>
        </w:rPr>
        <w:t>Convention</w:t>
      </w:r>
      <w:r w:rsidR="00E3674F" w:rsidRPr="009620A7">
        <w:rPr>
          <w:rFonts w:cs="Times New Roman"/>
          <w:kern w:val="22"/>
          <w:sz w:val="22"/>
          <w:lang w:val="fr-FR"/>
        </w:rPr>
        <w:t xml:space="preserve"> et </w:t>
      </w:r>
      <w:r>
        <w:rPr>
          <w:rFonts w:cs="Times New Roman"/>
          <w:kern w:val="22"/>
          <w:sz w:val="22"/>
          <w:lang w:val="fr-FR"/>
        </w:rPr>
        <w:t>du</w:t>
      </w:r>
      <w:r w:rsidR="00E3674F" w:rsidRPr="009620A7">
        <w:rPr>
          <w:rFonts w:cs="Times New Roman"/>
          <w:kern w:val="22"/>
          <w:sz w:val="22"/>
          <w:lang w:val="fr-FR"/>
        </w:rPr>
        <w:t xml:space="preserve"> Protocole de Nagoya</w:t>
      </w:r>
      <w:r w:rsidR="000F0DCC" w:rsidRPr="009620A7">
        <w:rPr>
          <w:rFonts w:cs="Times New Roman"/>
          <w:kern w:val="22"/>
          <w:sz w:val="22"/>
          <w:lang w:val="fr-FR"/>
        </w:rPr>
        <w:t xml:space="preserve">, </w:t>
      </w:r>
      <w:r w:rsidR="00DC30AA">
        <w:rPr>
          <w:rFonts w:cs="Times New Roman"/>
          <w:kern w:val="22"/>
          <w:sz w:val="22"/>
          <w:lang w:val="fr-FR"/>
        </w:rPr>
        <w:t>l’</w:t>
      </w:r>
      <w:r w:rsidR="00BC5F0A">
        <w:rPr>
          <w:rFonts w:cs="Times New Roman"/>
          <w:kern w:val="22"/>
          <w:sz w:val="22"/>
          <w:lang w:val="fr-FR"/>
        </w:rPr>
        <w:t>information de séquençage</w:t>
      </w:r>
      <w:r w:rsidR="00142D5A">
        <w:rPr>
          <w:rFonts w:cs="Times New Roman"/>
          <w:kern w:val="22"/>
          <w:sz w:val="22"/>
          <w:lang w:val="fr-FR"/>
        </w:rPr>
        <w:t xml:space="preserve"> numérique</w:t>
      </w:r>
      <w:r w:rsidR="000F0DCC" w:rsidRPr="009620A7">
        <w:rPr>
          <w:rFonts w:cs="Times New Roman"/>
          <w:kern w:val="22"/>
          <w:sz w:val="22"/>
          <w:lang w:val="fr-FR"/>
        </w:rPr>
        <w:t xml:space="preserve"> </w:t>
      </w:r>
      <w:r w:rsidR="00DC30AA">
        <w:rPr>
          <w:rFonts w:cs="Times New Roman"/>
          <w:kern w:val="22"/>
          <w:sz w:val="22"/>
          <w:lang w:val="fr-FR"/>
        </w:rPr>
        <w:t xml:space="preserve">pourrait néanmoins être subordonnée à une obligation de </w:t>
      </w:r>
      <w:r w:rsidR="00DC30AA" w:rsidRPr="009620A7">
        <w:rPr>
          <w:rFonts w:cs="Times New Roman"/>
          <w:kern w:val="22"/>
          <w:sz w:val="22"/>
          <w:lang w:val="fr-FR"/>
        </w:rPr>
        <w:t>partage des avantages</w:t>
      </w:r>
      <w:r w:rsidR="00DC30AA">
        <w:rPr>
          <w:rFonts w:cs="Times New Roman"/>
          <w:kern w:val="22"/>
          <w:sz w:val="22"/>
          <w:lang w:val="fr-FR"/>
        </w:rPr>
        <w:t xml:space="preserve"> lorsqu’elle résulte de l’</w:t>
      </w:r>
      <w:r w:rsidR="008627A9" w:rsidRPr="009620A7">
        <w:rPr>
          <w:rFonts w:cs="Times New Roman"/>
          <w:kern w:val="22"/>
          <w:sz w:val="22"/>
          <w:lang w:val="fr-FR"/>
        </w:rPr>
        <w:t>utilisation</w:t>
      </w:r>
      <w:r w:rsidR="00842C78">
        <w:rPr>
          <w:rFonts w:cs="Times New Roman"/>
          <w:kern w:val="22"/>
          <w:sz w:val="22"/>
          <w:lang w:val="fr-FR"/>
        </w:rPr>
        <w:t xml:space="preserve"> d’une</w:t>
      </w:r>
      <w:r w:rsidR="000F0DCC" w:rsidRPr="009620A7">
        <w:rPr>
          <w:rFonts w:cs="Times New Roman"/>
          <w:kern w:val="22"/>
          <w:sz w:val="22"/>
          <w:lang w:val="fr-FR"/>
        </w:rPr>
        <w:t xml:space="preserve"> </w:t>
      </w:r>
      <w:r w:rsidR="00BE4772" w:rsidRPr="009620A7">
        <w:rPr>
          <w:rFonts w:cs="Times New Roman"/>
          <w:kern w:val="22"/>
          <w:sz w:val="22"/>
          <w:lang w:val="fr-FR"/>
        </w:rPr>
        <w:t>ressource génétique</w:t>
      </w:r>
      <w:r w:rsidR="00161C5B" w:rsidRPr="009620A7">
        <w:rPr>
          <w:rFonts w:cs="Times New Roman"/>
          <w:kern w:val="22"/>
          <w:sz w:val="22"/>
          <w:lang w:val="fr-FR"/>
        </w:rPr>
        <w:t>.</w:t>
      </w:r>
      <w:r w:rsidR="000F0DCC" w:rsidRPr="009620A7">
        <w:rPr>
          <w:rFonts w:cs="Times New Roman"/>
          <w:kern w:val="22"/>
          <w:sz w:val="22"/>
          <w:lang w:val="fr-FR"/>
        </w:rPr>
        <w:t xml:space="preserve"> </w:t>
      </w:r>
    </w:p>
    <w:p w14:paraId="0C50A745" w14:textId="33BB5843" w:rsidR="00AB4AC1" w:rsidRPr="00142D5A" w:rsidRDefault="00DC30AA" w:rsidP="00AB4AC1">
      <w:pPr>
        <w:spacing w:after="120"/>
        <w:rPr>
          <w:rFonts w:cs="Times New Roman"/>
          <w:kern w:val="22"/>
          <w:sz w:val="22"/>
          <w:lang w:val="fr-FR"/>
        </w:rPr>
      </w:pPr>
      <w:r>
        <w:rPr>
          <w:rFonts w:cs="Times New Roman"/>
          <w:kern w:val="22"/>
          <w:sz w:val="22"/>
          <w:lang w:val="fr-FR"/>
        </w:rPr>
        <w:lastRenderedPageBreak/>
        <w:t>L’approche</w:t>
      </w:r>
      <w:r w:rsidR="00842C78">
        <w:rPr>
          <w:rFonts w:cs="Times New Roman"/>
          <w:kern w:val="22"/>
          <w:sz w:val="22"/>
          <w:lang w:val="fr-FR"/>
        </w:rPr>
        <w:t xml:space="preserve"> bilaté</w:t>
      </w:r>
      <w:r w:rsidR="00AB4AC1" w:rsidRPr="00842C78">
        <w:rPr>
          <w:rFonts w:cs="Times New Roman"/>
          <w:kern w:val="22"/>
          <w:sz w:val="22"/>
          <w:lang w:val="fr-FR"/>
        </w:rPr>
        <w:t>ral</w:t>
      </w:r>
      <w:r>
        <w:rPr>
          <w:rFonts w:cs="Times New Roman"/>
          <w:kern w:val="22"/>
          <w:sz w:val="22"/>
          <w:lang w:val="fr-FR"/>
        </w:rPr>
        <w:t>e en matière</w:t>
      </w:r>
      <w:r w:rsidR="00AB4AC1" w:rsidRPr="00842C78">
        <w:rPr>
          <w:rFonts w:cs="Times New Roman"/>
          <w:kern w:val="22"/>
          <w:sz w:val="22"/>
          <w:lang w:val="fr-FR"/>
        </w:rPr>
        <w:t xml:space="preserve"> </w:t>
      </w:r>
      <w:r w:rsidR="00842C78">
        <w:rPr>
          <w:rFonts w:cs="Times New Roman"/>
          <w:kern w:val="22"/>
          <w:sz w:val="22"/>
          <w:lang w:val="fr-FR"/>
        </w:rPr>
        <w:t>d’</w:t>
      </w:r>
      <w:r w:rsidR="00A70F9B" w:rsidRPr="00842C78">
        <w:rPr>
          <w:rFonts w:cs="Times New Roman"/>
          <w:kern w:val="22"/>
          <w:sz w:val="22"/>
          <w:lang w:val="fr-FR"/>
        </w:rPr>
        <w:t xml:space="preserve">accès et </w:t>
      </w:r>
      <w:r w:rsidR="00842C78">
        <w:rPr>
          <w:rFonts w:cs="Times New Roman"/>
          <w:kern w:val="22"/>
          <w:sz w:val="22"/>
          <w:lang w:val="fr-FR"/>
        </w:rPr>
        <w:t xml:space="preserve">de </w:t>
      </w:r>
      <w:r w:rsidR="00A70F9B" w:rsidRPr="00842C78">
        <w:rPr>
          <w:rFonts w:cs="Times New Roman"/>
          <w:kern w:val="22"/>
          <w:sz w:val="22"/>
          <w:lang w:val="fr-FR"/>
        </w:rPr>
        <w:t>partage des avantages</w:t>
      </w:r>
      <w:r w:rsidR="00AB4AC1" w:rsidRPr="00842C78">
        <w:rPr>
          <w:rFonts w:cs="Times New Roman"/>
          <w:kern w:val="22"/>
          <w:sz w:val="22"/>
          <w:lang w:val="fr-FR"/>
        </w:rPr>
        <w:t xml:space="preserve"> </w:t>
      </w:r>
      <w:r>
        <w:rPr>
          <w:rFonts w:cs="Times New Roman"/>
          <w:kern w:val="22"/>
          <w:sz w:val="22"/>
          <w:lang w:val="fr-FR"/>
        </w:rPr>
        <w:t>pourra s’appliquer</w:t>
      </w:r>
      <w:r w:rsidR="00842C78">
        <w:rPr>
          <w:rFonts w:cs="Times New Roman"/>
          <w:kern w:val="22"/>
          <w:sz w:val="22"/>
          <w:lang w:val="fr-FR"/>
        </w:rPr>
        <w:t xml:space="preserve"> à</w:t>
      </w:r>
      <w:r w:rsidR="00AB4AC1" w:rsidRPr="00842C78">
        <w:rPr>
          <w:rFonts w:cs="Times New Roman"/>
          <w:kern w:val="22"/>
          <w:sz w:val="22"/>
          <w:lang w:val="fr-FR"/>
        </w:rPr>
        <w:t xml:space="preserve"> </w:t>
      </w:r>
      <w:r w:rsidR="00BC5F0A">
        <w:rPr>
          <w:rFonts w:cs="Times New Roman"/>
          <w:kern w:val="22"/>
          <w:sz w:val="22"/>
          <w:lang w:val="fr-FR"/>
        </w:rPr>
        <w:t>l’information de séquençage</w:t>
      </w:r>
      <w:r w:rsidR="00142D5A">
        <w:rPr>
          <w:rFonts w:cs="Times New Roman"/>
          <w:kern w:val="22"/>
          <w:sz w:val="22"/>
          <w:lang w:val="fr-FR"/>
        </w:rPr>
        <w:t xml:space="preserve"> numérique</w:t>
      </w:r>
      <w:r w:rsidR="00842C78">
        <w:rPr>
          <w:rFonts w:cs="Times New Roman"/>
          <w:kern w:val="22"/>
          <w:sz w:val="22"/>
          <w:lang w:val="fr-FR"/>
        </w:rPr>
        <w:t xml:space="preserve"> dans</w:t>
      </w:r>
      <w:r w:rsidR="00AB4AC1" w:rsidRPr="00842C78">
        <w:rPr>
          <w:rFonts w:cs="Times New Roman"/>
          <w:kern w:val="22"/>
          <w:sz w:val="22"/>
          <w:lang w:val="fr-FR"/>
        </w:rPr>
        <w:t xml:space="preserve"> </w:t>
      </w:r>
      <w:r w:rsidR="00EB41E5" w:rsidRPr="00842C78">
        <w:rPr>
          <w:rFonts w:cs="Times New Roman"/>
          <w:kern w:val="22"/>
          <w:sz w:val="22"/>
          <w:lang w:val="fr-FR"/>
        </w:rPr>
        <w:t>certain</w:t>
      </w:r>
      <w:r w:rsidR="00842C78">
        <w:rPr>
          <w:rFonts w:cs="Times New Roman"/>
          <w:kern w:val="22"/>
          <w:sz w:val="22"/>
          <w:lang w:val="fr-FR"/>
        </w:rPr>
        <w:t>es</w:t>
      </w:r>
      <w:r w:rsidR="00EB41E5" w:rsidRPr="00842C78">
        <w:rPr>
          <w:rFonts w:cs="Times New Roman"/>
          <w:kern w:val="22"/>
          <w:sz w:val="22"/>
          <w:lang w:val="fr-FR"/>
        </w:rPr>
        <w:t xml:space="preserve"> </w:t>
      </w:r>
      <w:r w:rsidR="00AB4AC1" w:rsidRPr="00842C78">
        <w:rPr>
          <w:rFonts w:cs="Times New Roman"/>
          <w:kern w:val="22"/>
          <w:sz w:val="22"/>
          <w:lang w:val="fr-FR"/>
        </w:rPr>
        <w:t xml:space="preserve">situations, </w:t>
      </w:r>
      <w:r w:rsidR="00842C78">
        <w:rPr>
          <w:rFonts w:cs="Times New Roman"/>
          <w:kern w:val="22"/>
          <w:sz w:val="22"/>
          <w:lang w:val="fr-FR"/>
        </w:rPr>
        <w:t xml:space="preserve">en particulier dans le cadre des </w:t>
      </w:r>
      <w:r w:rsidR="000B36D3" w:rsidRPr="00842C78">
        <w:rPr>
          <w:rFonts w:cs="Times New Roman"/>
          <w:kern w:val="22"/>
          <w:sz w:val="22"/>
          <w:lang w:val="fr-FR"/>
        </w:rPr>
        <w:t>conditions convenues d’un commun accord</w:t>
      </w:r>
      <w:r w:rsidR="00822BA4" w:rsidRPr="00842C78">
        <w:rPr>
          <w:rFonts w:cs="Times New Roman"/>
          <w:kern w:val="22"/>
          <w:sz w:val="22"/>
          <w:lang w:val="fr-FR"/>
        </w:rPr>
        <w:t xml:space="preserve"> </w:t>
      </w:r>
      <w:r w:rsidR="00842C78">
        <w:rPr>
          <w:rFonts w:cs="Times New Roman"/>
          <w:kern w:val="22"/>
          <w:sz w:val="22"/>
          <w:lang w:val="fr-FR"/>
        </w:rPr>
        <w:t xml:space="preserve">pour </w:t>
      </w:r>
      <w:r w:rsidR="009D43F1" w:rsidRPr="00842C78">
        <w:rPr>
          <w:rFonts w:cs="Times New Roman"/>
          <w:kern w:val="22"/>
          <w:sz w:val="22"/>
          <w:lang w:val="fr-FR"/>
        </w:rPr>
        <w:t>l’utilisation</w:t>
      </w:r>
      <w:r>
        <w:rPr>
          <w:rFonts w:cs="Times New Roman"/>
          <w:kern w:val="22"/>
          <w:sz w:val="22"/>
          <w:lang w:val="fr-FR"/>
        </w:rPr>
        <w:t xml:space="preserve"> d’un</w:t>
      </w:r>
      <w:r w:rsidR="00AB4AC1" w:rsidRPr="00842C78">
        <w:rPr>
          <w:rFonts w:cs="Times New Roman"/>
          <w:kern w:val="22"/>
          <w:sz w:val="22"/>
          <w:lang w:val="fr-FR"/>
        </w:rPr>
        <w:t xml:space="preserve"> </w:t>
      </w:r>
      <w:r w:rsidR="00842C78">
        <w:rPr>
          <w:rFonts w:cs="Times New Roman"/>
          <w:kern w:val="22"/>
          <w:sz w:val="22"/>
          <w:lang w:val="fr-FR"/>
        </w:rPr>
        <w:t>matériel génétique tangible</w:t>
      </w:r>
      <w:r w:rsidR="00EB41E5" w:rsidRPr="00842C78">
        <w:rPr>
          <w:rFonts w:cs="Times New Roman"/>
          <w:kern w:val="22"/>
          <w:sz w:val="22"/>
          <w:lang w:val="fr-FR"/>
        </w:rPr>
        <w:t xml:space="preserve">. </w:t>
      </w:r>
      <w:r>
        <w:rPr>
          <w:rFonts w:cs="Times New Roman"/>
          <w:kern w:val="22"/>
          <w:sz w:val="22"/>
          <w:lang w:val="fr-FR"/>
        </w:rPr>
        <w:t>Cette approche pourra s’appliquer</w:t>
      </w:r>
      <w:r w:rsidR="00896C4D" w:rsidRPr="00896C4D">
        <w:rPr>
          <w:rFonts w:cs="Times New Roman"/>
          <w:kern w:val="22"/>
          <w:sz w:val="22"/>
          <w:lang w:val="fr-FR"/>
        </w:rPr>
        <w:t xml:space="preserve"> également lorsqu’un petit nombre d’accords </w:t>
      </w:r>
      <w:r>
        <w:rPr>
          <w:rFonts w:cs="Times New Roman"/>
          <w:kern w:val="22"/>
          <w:sz w:val="22"/>
          <w:lang w:val="fr-FR"/>
        </w:rPr>
        <w:t>est requis</w:t>
      </w:r>
      <w:r w:rsidR="00AB4AC1" w:rsidRPr="009A35A3" w:rsidDel="00EA16E3">
        <w:rPr>
          <w:rFonts w:cs="Times New Roman"/>
          <w:kern w:val="22"/>
          <w:sz w:val="22"/>
          <w:lang w:val="fr-FR"/>
        </w:rPr>
        <w:t xml:space="preserve">. </w:t>
      </w:r>
      <w:r w:rsidR="00D6232E" w:rsidRPr="009A35A3">
        <w:rPr>
          <w:rFonts w:cs="Times New Roman"/>
          <w:kern w:val="22"/>
          <w:sz w:val="22"/>
          <w:lang w:val="fr-FR"/>
        </w:rPr>
        <w:t>Cependant</w:t>
      </w:r>
      <w:r w:rsidR="00AB4AC1" w:rsidRPr="009A35A3">
        <w:rPr>
          <w:rFonts w:cs="Times New Roman"/>
          <w:kern w:val="22"/>
          <w:sz w:val="22"/>
          <w:lang w:val="fr-FR"/>
        </w:rPr>
        <w:t xml:space="preserve">, </w:t>
      </w:r>
      <w:r w:rsidR="009A35A3" w:rsidRPr="009A35A3">
        <w:rPr>
          <w:rFonts w:cs="Times New Roman"/>
          <w:kern w:val="22"/>
          <w:sz w:val="22"/>
          <w:lang w:val="fr-FR"/>
        </w:rPr>
        <w:t xml:space="preserve">il existe de </w:t>
      </w:r>
      <w:r w:rsidR="00D6232E" w:rsidRPr="009A35A3">
        <w:rPr>
          <w:rFonts w:cs="Times New Roman"/>
          <w:kern w:val="22"/>
          <w:sz w:val="22"/>
          <w:lang w:val="fr-FR"/>
        </w:rPr>
        <w:t>nombre</w:t>
      </w:r>
      <w:r w:rsidR="009A35A3" w:rsidRPr="009A35A3">
        <w:rPr>
          <w:rFonts w:cs="Times New Roman"/>
          <w:kern w:val="22"/>
          <w:sz w:val="22"/>
          <w:lang w:val="fr-FR"/>
        </w:rPr>
        <w:t xml:space="preserve">ux </w:t>
      </w:r>
      <w:r w:rsidR="00E752CB" w:rsidRPr="009A35A3">
        <w:rPr>
          <w:rFonts w:cs="Times New Roman"/>
          <w:kern w:val="22"/>
          <w:sz w:val="22"/>
          <w:lang w:val="fr-FR"/>
        </w:rPr>
        <w:t>scénario</w:t>
      </w:r>
      <w:r>
        <w:rPr>
          <w:rFonts w:cs="Times New Roman"/>
          <w:kern w:val="22"/>
          <w:sz w:val="22"/>
          <w:lang w:val="fr-FR"/>
        </w:rPr>
        <w:t>s pour</w:t>
      </w:r>
      <w:r w:rsidR="009A35A3" w:rsidRPr="009A35A3">
        <w:rPr>
          <w:rFonts w:cs="Times New Roman"/>
          <w:kern w:val="22"/>
          <w:sz w:val="22"/>
          <w:lang w:val="fr-FR"/>
        </w:rPr>
        <w:t xml:space="preserve"> lesquels une </w:t>
      </w:r>
      <w:r w:rsidR="001A200E" w:rsidRPr="009A35A3">
        <w:rPr>
          <w:rFonts w:cs="Times New Roman"/>
          <w:kern w:val="22"/>
          <w:sz w:val="22"/>
          <w:lang w:val="fr-FR"/>
        </w:rPr>
        <w:t>approche bilatérale</w:t>
      </w:r>
      <w:r w:rsidR="009A35A3" w:rsidRPr="009A35A3">
        <w:rPr>
          <w:rFonts w:cs="Times New Roman"/>
          <w:kern w:val="22"/>
          <w:sz w:val="22"/>
          <w:lang w:val="fr-FR"/>
        </w:rPr>
        <w:t xml:space="preserve"> sera impossible</w:t>
      </w:r>
      <w:r>
        <w:rPr>
          <w:rFonts w:cs="Times New Roman"/>
          <w:kern w:val="22"/>
          <w:sz w:val="22"/>
          <w:lang w:val="fr-FR"/>
        </w:rPr>
        <w:t>,</w:t>
      </w:r>
      <w:r w:rsidR="009A35A3" w:rsidRPr="009A35A3">
        <w:rPr>
          <w:rFonts w:cs="Times New Roman"/>
          <w:kern w:val="22"/>
          <w:sz w:val="22"/>
          <w:lang w:val="fr-FR"/>
        </w:rPr>
        <w:t xml:space="preserve"> fonctionnelle</w:t>
      </w:r>
      <w:r>
        <w:rPr>
          <w:rFonts w:cs="Times New Roman"/>
          <w:kern w:val="22"/>
          <w:sz w:val="22"/>
          <w:lang w:val="fr-FR"/>
        </w:rPr>
        <w:t>ment</w:t>
      </w:r>
      <w:r w:rsidR="009A35A3" w:rsidRPr="009A35A3">
        <w:rPr>
          <w:rFonts w:cs="Times New Roman"/>
          <w:kern w:val="22"/>
          <w:sz w:val="22"/>
          <w:lang w:val="fr-FR"/>
        </w:rPr>
        <w:t xml:space="preserve"> ou</w:t>
      </w:r>
      <w:r w:rsidR="007D320F" w:rsidRPr="009A35A3">
        <w:rPr>
          <w:rFonts w:cs="Times New Roman"/>
          <w:kern w:val="22"/>
          <w:sz w:val="22"/>
          <w:lang w:val="fr-FR"/>
        </w:rPr>
        <w:t xml:space="preserve"> </w:t>
      </w:r>
      <w:r w:rsidR="009A35A3" w:rsidRPr="009A35A3">
        <w:rPr>
          <w:rFonts w:cs="Times New Roman"/>
          <w:kern w:val="22"/>
          <w:sz w:val="22"/>
          <w:lang w:val="fr-FR"/>
        </w:rPr>
        <w:t>factuelle</w:t>
      </w:r>
      <w:r>
        <w:rPr>
          <w:rFonts w:cs="Times New Roman"/>
          <w:kern w:val="22"/>
          <w:sz w:val="22"/>
          <w:lang w:val="fr-FR"/>
        </w:rPr>
        <w:t>ment,</w:t>
      </w:r>
      <w:r w:rsidRPr="00DC30AA">
        <w:rPr>
          <w:rFonts w:cs="Times New Roman"/>
          <w:kern w:val="22"/>
          <w:sz w:val="22"/>
          <w:lang w:val="fr-FR"/>
        </w:rPr>
        <w:t xml:space="preserve"> </w:t>
      </w:r>
      <w:r>
        <w:rPr>
          <w:rFonts w:cs="Times New Roman"/>
          <w:kern w:val="22"/>
          <w:sz w:val="22"/>
          <w:lang w:val="fr-FR"/>
        </w:rPr>
        <w:t>lors de l’accès ou l’</w:t>
      </w:r>
      <w:r w:rsidRPr="009A35A3">
        <w:rPr>
          <w:rFonts w:cs="Times New Roman"/>
          <w:kern w:val="22"/>
          <w:sz w:val="22"/>
          <w:lang w:val="fr-FR"/>
        </w:rPr>
        <w:t xml:space="preserve">utilisation </w:t>
      </w:r>
      <w:r>
        <w:rPr>
          <w:rFonts w:cs="Times New Roman"/>
          <w:kern w:val="22"/>
          <w:sz w:val="22"/>
          <w:lang w:val="fr-FR"/>
        </w:rPr>
        <w:t>d’informations de séquençage numérique</w:t>
      </w:r>
      <w:r w:rsidR="00AB4AC1" w:rsidRPr="009A35A3">
        <w:rPr>
          <w:rFonts w:cs="Times New Roman"/>
          <w:kern w:val="22"/>
          <w:sz w:val="22"/>
          <w:lang w:val="fr-FR"/>
        </w:rPr>
        <w:t xml:space="preserve">. </w:t>
      </w:r>
      <w:r w:rsidR="009A35A3" w:rsidRPr="00142D5A">
        <w:rPr>
          <w:rFonts w:cs="Times New Roman"/>
          <w:kern w:val="22"/>
          <w:sz w:val="22"/>
          <w:lang w:val="fr-FR"/>
        </w:rPr>
        <w:t xml:space="preserve">Ces deux </w:t>
      </w:r>
      <w:r w:rsidR="00D8317B" w:rsidRPr="00142D5A">
        <w:rPr>
          <w:rFonts w:cs="Times New Roman"/>
          <w:kern w:val="22"/>
          <w:sz w:val="22"/>
          <w:lang w:val="fr-FR"/>
        </w:rPr>
        <w:t>catégorie</w:t>
      </w:r>
      <w:r w:rsidR="009A35A3" w:rsidRPr="00142D5A">
        <w:rPr>
          <w:rFonts w:cs="Times New Roman"/>
          <w:kern w:val="22"/>
          <w:sz w:val="22"/>
          <w:lang w:val="fr-FR"/>
        </w:rPr>
        <w:t xml:space="preserve">s de </w:t>
      </w:r>
      <w:r w:rsidR="00D04EC6" w:rsidRPr="00142D5A">
        <w:rPr>
          <w:rFonts w:cs="Times New Roman"/>
          <w:kern w:val="22"/>
          <w:sz w:val="22"/>
          <w:lang w:val="fr-FR"/>
        </w:rPr>
        <w:t>cas</w:t>
      </w:r>
      <w:r w:rsidR="00EB41E5" w:rsidRPr="00142D5A">
        <w:rPr>
          <w:rFonts w:cs="Times New Roman"/>
          <w:kern w:val="22"/>
          <w:sz w:val="22"/>
          <w:lang w:val="fr-FR"/>
        </w:rPr>
        <w:t xml:space="preserve"> </w:t>
      </w:r>
      <w:r w:rsidR="009A35A3" w:rsidRPr="00142D5A">
        <w:rPr>
          <w:rFonts w:cs="Times New Roman"/>
          <w:kern w:val="22"/>
          <w:sz w:val="22"/>
          <w:lang w:val="fr-FR"/>
        </w:rPr>
        <w:t>sont examiné</w:t>
      </w:r>
      <w:r>
        <w:rPr>
          <w:rFonts w:cs="Times New Roman"/>
          <w:kern w:val="22"/>
          <w:sz w:val="22"/>
          <w:lang w:val="fr-FR"/>
        </w:rPr>
        <w:t>e</w:t>
      </w:r>
      <w:r w:rsidR="009A35A3" w:rsidRPr="00142D5A">
        <w:rPr>
          <w:rFonts w:cs="Times New Roman"/>
          <w:kern w:val="22"/>
          <w:sz w:val="22"/>
          <w:lang w:val="fr-FR"/>
        </w:rPr>
        <w:t xml:space="preserve">s </w:t>
      </w:r>
      <w:r w:rsidR="00CD1466" w:rsidRPr="00142D5A">
        <w:rPr>
          <w:rFonts w:cs="Times New Roman"/>
          <w:kern w:val="22"/>
          <w:sz w:val="22"/>
          <w:lang w:val="fr-FR"/>
        </w:rPr>
        <w:t>ci-dessous</w:t>
      </w:r>
      <w:r w:rsidR="00EB41E5" w:rsidRPr="00142D5A">
        <w:rPr>
          <w:rFonts w:cs="Times New Roman"/>
          <w:kern w:val="22"/>
          <w:sz w:val="22"/>
          <w:lang w:val="fr-FR"/>
        </w:rPr>
        <w:t>.</w:t>
      </w:r>
    </w:p>
    <w:p w14:paraId="44AECC47" w14:textId="777704C0" w:rsidR="00805085" w:rsidRPr="003F6B4A" w:rsidRDefault="003F6B4A" w:rsidP="00DC30AA">
      <w:pPr>
        <w:pStyle w:val="Heading3"/>
        <w:jc w:val="left"/>
        <w:rPr>
          <w:kern w:val="22"/>
          <w:sz w:val="22"/>
          <w:szCs w:val="22"/>
          <w:lang w:val="fr-FR"/>
        </w:rPr>
      </w:pPr>
      <w:bookmarkStart w:id="141" w:name="_Toc31040296"/>
      <w:bookmarkStart w:id="142" w:name="_Toc31056864"/>
      <w:bookmarkStart w:id="143" w:name="_Toc32490880"/>
      <w:bookmarkStart w:id="144" w:name="_Toc34249591"/>
      <w:bookmarkStart w:id="145" w:name="_Toc39580432"/>
      <w:r w:rsidRPr="00FB5AF9">
        <w:rPr>
          <w:kern w:val="22"/>
          <w:sz w:val="22"/>
          <w:szCs w:val="22"/>
          <w:lang w:val="fr-FR"/>
        </w:rPr>
        <w:t xml:space="preserve"> </w:t>
      </w:r>
      <w:bookmarkStart w:id="146" w:name="_Toc48914801"/>
      <w:r w:rsidR="00DC30AA">
        <w:rPr>
          <w:kern w:val="22"/>
          <w:sz w:val="22"/>
          <w:szCs w:val="22"/>
          <w:lang w:val="fr-FR"/>
        </w:rPr>
        <w:t>Cas dans</w:t>
      </w:r>
      <w:r w:rsidRPr="003F6B4A">
        <w:rPr>
          <w:kern w:val="22"/>
          <w:sz w:val="22"/>
          <w:szCs w:val="22"/>
          <w:lang w:val="fr-FR"/>
        </w:rPr>
        <w:t xml:space="preserve"> lesquels aucun accès physique n’est nécessaire</w:t>
      </w:r>
      <w:r w:rsidR="00F3205A">
        <w:rPr>
          <w:kern w:val="22"/>
          <w:sz w:val="22"/>
          <w:szCs w:val="22"/>
          <w:lang w:val="fr-FR"/>
        </w:rPr>
        <w:t xml:space="preserve"> pour </w:t>
      </w:r>
      <w:r>
        <w:rPr>
          <w:kern w:val="22"/>
          <w:sz w:val="22"/>
          <w:szCs w:val="22"/>
          <w:lang w:val="fr-FR"/>
        </w:rPr>
        <w:t>utiliser l</w:t>
      </w:r>
      <w:r w:rsidR="00A73B5B" w:rsidRPr="003F6B4A">
        <w:rPr>
          <w:kern w:val="22"/>
          <w:sz w:val="22"/>
          <w:szCs w:val="22"/>
          <w:lang w:val="fr-FR"/>
        </w:rPr>
        <w:t>’information génétique</w:t>
      </w:r>
      <w:bookmarkEnd w:id="141"/>
      <w:bookmarkEnd w:id="142"/>
      <w:bookmarkEnd w:id="143"/>
      <w:bookmarkEnd w:id="144"/>
      <w:bookmarkEnd w:id="145"/>
      <w:bookmarkEnd w:id="146"/>
    </w:p>
    <w:p w14:paraId="198B27C7" w14:textId="46EAA418" w:rsidR="00361CB9" w:rsidRPr="0033537F" w:rsidRDefault="00046703" w:rsidP="00361CB9">
      <w:pPr>
        <w:rPr>
          <w:rFonts w:cs="Times New Roman"/>
          <w:kern w:val="22"/>
          <w:sz w:val="22"/>
          <w:lang w:val="fr-FR"/>
        </w:rPr>
      </w:pPr>
      <w:r>
        <w:rPr>
          <w:rFonts w:cs="Times New Roman"/>
          <w:kern w:val="22"/>
          <w:sz w:val="22"/>
          <w:lang w:val="fr-FR"/>
        </w:rPr>
        <w:t>Certaines utilisations</w:t>
      </w:r>
      <w:r w:rsidR="001A0A60" w:rsidRPr="00E752CB">
        <w:rPr>
          <w:rFonts w:cs="Times New Roman"/>
          <w:kern w:val="22"/>
          <w:sz w:val="22"/>
          <w:lang w:val="fr-FR"/>
        </w:rPr>
        <w:t xml:space="preserve"> commercial</w:t>
      </w:r>
      <w:r>
        <w:rPr>
          <w:rFonts w:cs="Times New Roman"/>
          <w:kern w:val="22"/>
          <w:sz w:val="22"/>
          <w:lang w:val="fr-FR"/>
        </w:rPr>
        <w:t>es</w:t>
      </w:r>
      <w:r w:rsidR="00E3674F" w:rsidRPr="00E752CB">
        <w:rPr>
          <w:rFonts w:cs="Times New Roman"/>
          <w:kern w:val="22"/>
          <w:sz w:val="22"/>
          <w:lang w:val="fr-FR"/>
        </w:rPr>
        <w:t xml:space="preserve"> et </w:t>
      </w:r>
      <w:r w:rsidR="004C06F1" w:rsidRPr="00E752CB">
        <w:rPr>
          <w:rFonts w:cs="Times New Roman"/>
          <w:kern w:val="22"/>
          <w:sz w:val="22"/>
          <w:lang w:val="fr-FR"/>
        </w:rPr>
        <w:t>non-commercial</w:t>
      </w:r>
      <w:r>
        <w:rPr>
          <w:rFonts w:cs="Times New Roman"/>
          <w:kern w:val="22"/>
          <w:sz w:val="22"/>
          <w:lang w:val="fr-FR"/>
        </w:rPr>
        <w:t>es</w:t>
      </w:r>
      <w:r w:rsidR="00DC30AA">
        <w:rPr>
          <w:rFonts w:cs="Times New Roman"/>
          <w:kern w:val="22"/>
          <w:sz w:val="22"/>
          <w:lang w:val="fr-FR"/>
        </w:rPr>
        <w:t>,</w:t>
      </w:r>
      <w:r w:rsidR="00053E0E">
        <w:rPr>
          <w:rFonts w:cs="Times New Roman"/>
          <w:kern w:val="22"/>
          <w:sz w:val="22"/>
          <w:lang w:val="fr-FR"/>
        </w:rPr>
        <w:t xml:space="preserve"> </w:t>
      </w:r>
      <w:r w:rsidR="00326925">
        <w:rPr>
          <w:rFonts w:cs="Times New Roman"/>
          <w:kern w:val="22"/>
          <w:sz w:val="22"/>
          <w:lang w:val="fr-FR"/>
        </w:rPr>
        <w:t>par des tierces parties</w:t>
      </w:r>
      <w:r w:rsidR="00DC30AA">
        <w:rPr>
          <w:rFonts w:cs="Times New Roman"/>
          <w:kern w:val="22"/>
          <w:sz w:val="22"/>
          <w:lang w:val="fr-FR"/>
        </w:rPr>
        <w:t>,</w:t>
      </w:r>
      <w:r>
        <w:rPr>
          <w:rFonts w:cs="Times New Roman"/>
          <w:kern w:val="22"/>
          <w:sz w:val="22"/>
          <w:lang w:val="fr-FR"/>
        </w:rPr>
        <w:t xml:space="preserve"> d’</w:t>
      </w:r>
      <w:r w:rsidR="001A0A60" w:rsidRPr="00E752CB">
        <w:rPr>
          <w:rFonts w:cs="Times New Roman"/>
          <w:kern w:val="22"/>
          <w:sz w:val="22"/>
          <w:lang w:val="fr-FR"/>
        </w:rPr>
        <w:t>information</w:t>
      </w:r>
      <w:r>
        <w:rPr>
          <w:rFonts w:cs="Times New Roman"/>
          <w:kern w:val="22"/>
          <w:sz w:val="22"/>
          <w:lang w:val="fr-FR"/>
        </w:rPr>
        <w:t>s</w:t>
      </w:r>
      <w:r w:rsidR="001A0A60" w:rsidRPr="00E752CB">
        <w:rPr>
          <w:rFonts w:cs="Times New Roman"/>
          <w:kern w:val="22"/>
          <w:sz w:val="22"/>
          <w:lang w:val="fr-FR"/>
        </w:rPr>
        <w:t xml:space="preserve"> </w:t>
      </w:r>
      <w:r w:rsidR="00326925">
        <w:rPr>
          <w:rFonts w:cs="Times New Roman"/>
          <w:kern w:val="22"/>
          <w:sz w:val="22"/>
          <w:lang w:val="fr-FR"/>
        </w:rPr>
        <w:t>sur</w:t>
      </w:r>
      <w:r w:rsidR="001C245F">
        <w:rPr>
          <w:rFonts w:cs="Times New Roman"/>
          <w:kern w:val="22"/>
          <w:sz w:val="22"/>
          <w:lang w:val="fr-FR"/>
        </w:rPr>
        <w:t xml:space="preserve"> </w:t>
      </w:r>
      <w:r>
        <w:rPr>
          <w:rFonts w:cs="Times New Roman"/>
          <w:kern w:val="22"/>
          <w:sz w:val="22"/>
          <w:lang w:val="fr-FR"/>
        </w:rPr>
        <w:t>l’</w:t>
      </w:r>
      <w:r w:rsidR="008627A9" w:rsidRPr="00E752CB">
        <w:rPr>
          <w:rFonts w:cs="Times New Roman"/>
          <w:kern w:val="22"/>
          <w:sz w:val="22"/>
          <w:lang w:val="fr-FR"/>
        </w:rPr>
        <w:t>utilisation</w:t>
      </w:r>
      <w:r w:rsidR="009015CC" w:rsidRPr="00E752CB">
        <w:rPr>
          <w:rFonts w:cs="Times New Roman"/>
          <w:kern w:val="22"/>
          <w:sz w:val="22"/>
          <w:lang w:val="fr-FR"/>
        </w:rPr>
        <w:t xml:space="preserve"> </w:t>
      </w:r>
      <w:r w:rsidR="00D6232E" w:rsidRPr="00E752CB">
        <w:rPr>
          <w:rFonts w:cs="Times New Roman"/>
          <w:kern w:val="22"/>
          <w:sz w:val="22"/>
          <w:lang w:val="fr-FR"/>
        </w:rPr>
        <w:t>de ressources</w:t>
      </w:r>
      <w:r w:rsidR="00E3674F" w:rsidRPr="00E752CB">
        <w:rPr>
          <w:rFonts w:cs="Times New Roman"/>
          <w:kern w:val="22"/>
          <w:sz w:val="22"/>
          <w:lang w:val="fr-FR"/>
        </w:rPr>
        <w:t xml:space="preserve"> génétiques</w:t>
      </w:r>
      <w:r w:rsidR="00326925">
        <w:rPr>
          <w:rFonts w:cs="Times New Roman"/>
          <w:kern w:val="22"/>
          <w:sz w:val="22"/>
          <w:lang w:val="fr-FR"/>
        </w:rPr>
        <w:t xml:space="preserve"> contenues</w:t>
      </w:r>
      <w:r>
        <w:rPr>
          <w:rFonts w:cs="Times New Roman"/>
          <w:kern w:val="22"/>
          <w:sz w:val="22"/>
          <w:lang w:val="fr-FR"/>
        </w:rPr>
        <w:t xml:space="preserve"> dans des bases de données </w:t>
      </w:r>
      <w:r w:rsidR="001A0A60" w:rsidRPr="00E752CB">
        <w:rPr>
          <w:rFonts w:cs="Times New Roman"/>
          <w:kern w:val="22"/>
          <w:sz w:val="22"/>
          <w:lang w:val="fr-FR"/>
        </w:rPr>
        <w:t>accessible</w:t>
      </w:r>
      <w:r w:rsidR="001C245F">
        <w:rPr>
          <w:rFonts w:cs="Times New Roman"/>
          <w:kern w:val="22"/>
          <w:sz w:val="22"/>
          <w:lang w:val="fr-FR"/>
        </w:rPr>
        <w:t xml:space="preserve">s au public peuvent être considérées comme une </w:t>
      </w:r>
      <w:r w:rsidR="001A0A60" w:rsidRPr="00E752CB">
        <w:rPr>
          <w:rFonts w:cs="Times New Roman"/>
          <w:kern w:val="22"/>
          <w:sz w:val="22"/>
          <w:lang w:val="fr-FR"/>
        </w:rPr>
        <w:t xml:space="preserve">situation </w:t>
      </w:r>
      <w:r w:rsidR="00326925">
        <w:rPr>
          <w:rFonts w:cs="Times New Roman"/>
          <w:kern w:val="22"/>
          <w:sz w:val="22"/>
          <w:lang w:val="fr-FR"/>
        </w:rPr>
        <w:t>où il sera</w:t>
      </w:r>
      <w:r w:rsidR="00DC30AA">
        <w:rPr>
          <w:rFonts w:cs="Times New Roman"/>
          <w:kern w:val="22"/>
          <w:sz w:val="22"/>
          <w:lang w:val="fr-FR"/>
        </w:rPr>
        <w:t xml:space="preserve"> </w:t>
      </w:r>
      <w:r w:rsidR="00E752CB" w:rsidRPr="00E752CB">
        <w:rPr>
          <w:rFonts w:cs="Times New Roman"/>
          <w:kern w:val="22"/>
          <w:sz w:val="22"/>
          <w:lang w:val="fr-FR"/>
        </w:rPr>
        <w:t>fonctionnellement</w:t>
      </w:r>
      <w:r w:rsidR="006C6388" w:rsidRPr="00E752CB">
        <w:rPr>
          <w:rFonts w:cs="Times New Roman"/>
          <w:kern w:val="22"/>
          <w:sz w:val="22"/>
          <w:lang w:val="fr-FR"/>
        </w:rPr>
        <w:t xml:space="preserve"> </w:t>
      </w:r>
      <w:r w:rsidR="00DC30AA">
        <w:rPr>
          <w:rFonts w:cs="Times New Roman"/>
          <w:kern w:val="22"/>
          <w:sz w:val="22"/>
          <w:lang w:val="fr-FR"/>
        </w:rPr>
        <w:t xml:space="preserve">impossible </w:t>
      </w:r>
      <w:r w:rsidR="001C245F">
        <w:rPr>
          <w:rFonts w:cs="Times New Roman"/>
          <w:kern w:val="22"/>
          <w:sz w:val="22"/>
          <w:lang w:val="fr-FR"/>
        </w:rPr>
        <w:t>d’obtenir un</w:t>
      </w:r>
      <w:r w:rsidR="001A0A60" w:rsidRPr="00E752CB">
        <w:rPr>
          <w:rFonts w:cs="Times New Roman"/>
          <w:kern w:val="22"/>
          <w:sz w:val="22"/>
          <w:lang w:val="fr-FR"/>
        </w:rPr>
        <w:t xml:space="preserve"> </w:t>
      </w:r>
      <w:r w:rsidR="007D7761">
        <w:rPr>
          <w:rFonts w:cs="Times New Roman"/>
          <w:kern w:val="22"/>
          <w:sz w:val="22"/>
          <w:lang w:val="fr-FR"/>
        </w:rPr>
        <w:t>consentement préalable donné en connaissance de cause</w:t>
      </w:r>
      <w:r w:rsidR="001C245F">
        <w:rPr>
          <w:rFonts w:cs="Times New Roman"/>
          <w:kern w:val="22"/>
          <w:sz w:val="22"/>
          <w:lang w:val="fr-FR"/>
        </w:rPr>
        <w:t xml:space="preserve">. </w:t>
      </w:r>
      <w:r w:rsidR="001C245F" w:rsidRPr="001C245F">
        <w:rPr>
          <w:rFonts w:cs="Times New Roman"/>
          <w:kern w:val="22"/>
          <w:sz w:val="22"/>
          <w:lang w:val="fr-FR"/>
        </w:rPr>
        <w:t>Une</w:t>
      </w:r>
      <w:r w:rsidR="002907E5" w:rsidRPr="001C245F">
        <w:rPr>
          <w:rFonts w:cs="Times New Roman"/>
          <w:kern w:val="22"/>
          <w:sz w:val="22"/>
          <w:lang w:val="fr-FR"/>
        </w:rPr>
        <w:t xml:space="preserve"> </w:t>
      </w:r>
      <w:r w:rsidR="00E3674F" w:rsidRPr="001C245F">
        <w:rPr>
          <w:rFonts w:cs="Times New Roman"/>
          <w:kern w:val="22"/>
          <w:sz w:val="22"/>
          <w:lang w:val="fr-FR"/>
        </w:rPr>
        <w:t>étude</w:t>
      </w:r>
      <w:r w:rsidR="002907E5" w:rsidRPr="001C245F">
        <w:rPr>
          <w:rFonts w:cs="Times New Roman"/>
          <w:kern w:val="22"/>
          <w:sz w:val="22"/>
          <w:lang w:val="fr-FR"/>
        </w:rPr>
        <w:t xml:space="preserve"> </w:t>
      </w:r>
      <w:r w:rsidR="001C245F" w:rsidRPr="001C245F">
        <w:rPr>
          <w:rFonts w:cs="Times New Roman"/>
          <w:kern w:val="22"/>
          <w:sz w:val="22"/>
          <w:lang w:val="fr-FR"/>
        </w:rPr>
        <w:t>récente</w:t>
      </w:r>
      <w:r w:rsidR="00FB033A" w:rsidRPr="001C245F">
        <w:rPr>
          <w:rFonts w:cs="Times New Roman"/>
          <w:kern w:val="22"/>
          <w:sz w:val="22"/>
          <w:lang w:val="fr-FR"/>
        </w:rPr>
        <w:t xml:space="preserve"> commandé</w:t>
      </w:r>
      <w:r w:rsidR="001C245F" w:rsidRPr="001C245F">
        <w:rPr>
          <w:rFonts w:cs="Times New Roman"/>
          <w:kern w:val="22"/>
          <w:sz w:val="22"/>
          <w:lang w:val="fr-FR"/>
        </w:rPr>
        <w:t xml:space="preserve">e </w:t>
      </w:r>
      <w:r w:rsidR="001C245F">
        <w:rPr>
          <w:rFonts w:cs="Times New Roman"/>
          <w:kern w:val="22"/>
          <w:sz w:val="22"/>
          <w:lang w:val="fr-FR"/>
        </w:rPr>
        <w:t>par le</w:t>
      </w:r>
      <w:r w:rsidR="002907E5" w:rsidRPr="001C245F">
        <w:rPr>
          <w:rFonts w:cs="Times New Roman"/>
          <w:kern w:val="22"/>
          <w:sz w:val="22"/>
          <w:lang w:val="fr-FR"/>
        </w:rPr>
        <w:t xml:space="preserve"> </w:t>
      </w:r>
      <w:r w:rsidR="00FB033A" w:rsidRPr="001C245F">
        <w:rPr>
          <w:rFonts w:cs="Times New Roman"/>
          <w:kern w:val="22"/>
          <w:sz w:val="22"/>
          <w:lang w:val="fr-FR"/>
        </w:rPr>
        <w:t>Secrétariat</w:t>
      </w:r>
      <w:r w:rsidR="002907E5" w:rsidRPr="001C245F">
        <w:rPr>
          <w:rFonts w:cs="Times New Roman"/>
          <w:kern w:val="22"/>
          <w:sz w:val="22"/>
          <w:lang w:val="fr-FR"/>
        </w:rPr>
        <w:t xml:space="preserve"> </w:t>
      </w:r>
      <w:r w:rsidR="001C245F">
        <w:rPr>
          <w:rFonts w:cs="Times New Roman"/>
          <w:kern w:val="22"/>
          <w:sz w:val="22"/>
          <w:lang w:val="fr-FR"/>
        </w:rPr>
        <w:t xml:space="preserve">de la </w:t>
      </w:r>
      <w:r w:rsidR="007347F7">
        <w:rPr>
          <w:rFonts w:cs="Times New Roman"/>
          <w:kern w:val="22"/>
          <w:sz w:val="22"/>
          <w:lang w:val="fr-FR"/>
        </w:rPr>
        <w:t>Convention</w:t>
      </w:r>
      <w:r w:rsidR="001C245F">
        <w:rPr>
          <w:rFonts w:cs="Times New Roman"/>
          <w:kern w:val="22"/>
          <w:sz w:val="22"/>
          <w:lang w:val="fr-FR"/>
        </w:rPr>
        <w:t xml:space="preserve"> </w:t>
      </w:r>
      <w:r w:rsidR="00DC30AA">
        <w:rPr>
          <w:rFonts w:cs="Times New Roman"/>
          <w:kern w:val="22"/>
          <w:sz w:val="22"/>
          <w:lang w:val="fr-FR"/>
        </w:rPr>
        <w:t>sur la diversité biologique a recens</w:t>
      </w:r>
      <w:r w:rsidR="001C245F">
        <w:rPr>
          <w:rFonts w:cs="Times New Roman"/>
          <w:kern w:val="22"/>
          <w:sz w:val="22"/>
          <w:lang w:val="fr-FR"/>
        </w:rPr>
        <w:t xml:space="preserve">é plus de </w:t>
      </w:r>
      <w:r w:rsidR="002907E5" w:rsidRPr="001C245F">
        <w:rPr>
          <w:rFonts w:cs="Times New Roman"/>
          <w:kern w:val="22"/>
          <w:sz w:val="22"/>
          <w:lang w:val="fr-FR"/>
        </w:rPr>
        <w:t xml:space="preserve">1600 </w:t>
      </w:r>
      <w:r w:rsidRPr="001C245F">
        <w:rPr>
          <w:rFonts w:cs="Times New Roman"/>
          <w:kern w:val="22"/>
          <w:sz w:val="22"/>
          <w:lang w:val="fr-FR"/>
        </w:rPr>
        <w:t>bases de données</w:t>
      </w:r>
      <w:r w:rsidR="002907E5" w:rsidRPr="001C245F">
        <w:rPr>
          <w:rFonts w:cs="Times New Roman"/>
          <w:kern w:val="22"/>
          <w:sz w:val="22"/>
          <w:lang w:val="fr-FR"/>
        </w:rPr>
        <w:t xml:space="preserve"> </w:t>
      </w:r>
      <w:r w:rsidR="001C245F">
        <w:rPr>
          <w:rFonts w:cs="Times New Roman"/>
          <w:kern w:val="22"/>
          <w:sz w:val="22"/>
          <w:lang w:val="fr-FR"/>
        </w:rPr>
        <w:t xml:space="preserve">contenant plusieurs </w:t>
      </w:r>
      <w:r w:rsidR="00DC30AA">
        <w:rPr>
          <w:rFonts w:cs="Times New Roman"/>
          <w:kern w:val="22"/>
          <w:sz w:val="22"/>
          <w:lang w:val="fr-FR"/>
        </w:rPr>
        <w:t xml:space="preserve">“milliers de milliards” </w:t>
      </w:r>
      <w:r w:rsidR="00326925">
        <w:rPr>
          <w:rFonts w:cs="Times New Roman"/>
          <w:kern w:val="22"/>
          <w:sz w:val="22"/>
          <w:lang w:val="fr-FR"/>
        </w:rPr>
        <w:t xml:space="preserve">de </w:t>
      </w:r>
      <w:r w:rsidR="002907E5" w:rsidRPr="001C245F">
        <w:rPr>
          <w:rFonts w:cs="Times New Roman"/>
          <w:kern w:val="22"/>
          <w:sz w:val="22"/>
          <w:lang w:val="fr-FR"/>
        </w:rPr>
        <w:t>bases</w:t>
      </w:r>
      <w:r w:rsidR="00DC30AA">
        <w:rPr>
          <w:rFonts w:cs="Times New Roman"/>
          <w:kern w:val="22"/>
          <w:sz w:val="22"/>
          <w:lang w:val="fr-FR"/>
        </w:rPr>
        <w:t xml:space="preserve"> nucléotid</w:t>
      </w:r>
      <w:r w:rsidR="00891F8E">
        <w:rPr>
          <w:rFonts w:cs="Times New Roman"/>
          <w:kern w:val="22"/>
          <w:sz w:val="22"/>
          <w:lang w:val="fr-FR"/>
        </w:rPr>
        <w:t>iqu</w:t>
      </w:r>
      <w:r w:rsidR="00DC30AA">
        <w:rPr>
          <w:rFonts w:cs="Times New Roman"/>
          <w:kern w:val="22"/>
          <w:sz w:val="22"/>
          <w:lang w:val="fr-FR"/>
        </w:rPr>
        <w:t>es</w:t>
      </w:r>
      <w:r w:rsidR="002907E5" w:rsidRPr="001C245F">
        <w:rPr>
          <w:rFonts w:cs="Times New Roman"/>
          <w:kern w:val="22"/>
          <w:sz w:val="22"/>
          <w:lang w:val="fr-FR"/>
        </w:rPr>
        <w:t>.</w:t>
      </w:r>
      <w:r w:rsidR="002907E5" w:rsidRPr="002364AB">
        <w:rPr>
          <w:rStyle w:val="FootnoteReference"/>
          <w:rFonts w:cs="Times New Roman"/>
          <w:kern w:val="22"/>
          <w:sz w:val="22"/>
          <w:lang w:val="en-GB"/>
        </w:rPr>
        <w:footnoteReference w:id="116"/>
      </w:r>
      <w:r w:rsidR="002907E5" w:rsidRPr="001C245F">
        <w:rPr>
          <w:rFonts w:cs="Times New Roman"/>
          <w:kern w:val="22"/>
          <w:sz w:val="22"/>
          <w:lang w:val="fr-FR"/>
        </w:rPr>
        <w:t xml:space="preserve"> </w:t>
      </w:r>
      <w:r w:rsidR="00C30030">
        <w:rPr>
          <w:rFonts w:cs="Times New Roman"/>
          <w:kern w:val="22"/>
          <w:sz w:val="22"/>
          <w:lang w:val="fr-FR"/>
        </w:rPr>
        <w:t xml:space="preserve">La Base de données </w:t>
      </w:r>
      <w:r w:rsidR="001C245F" w:rsidRPr="001C245F">
        <w:rPr>
          <w:rFonts w:cs="Times New Roman"/>
          <w:kern w:val="22"/>
          <w:sz w:val="22"/>
          <w:lang w:val="fr-FR"/>
        </w:rPr>
        <w:t>i</w:t>
      </w:r>
      <w:r w:rsidR="00361CB9" w:rsidRPr="001C245F">
        <w:rPr>
          <w:rFonts w:cs="Times New Roman"/>
          <w:kern w:val="22"/>
          <w:sz w:val="22"/>
          <w:lang w:val="fr-FR"/>
        </w:rPr>
        <w:t>nternational</w:t>
      </w:r>
      <w:r w:rsidR="00C30030">
        <w:rPr>
          <w:rFonts w:cs="Times New Roman"/>
          <w:kern w:val="22"/>
          <w:sz w:val="22"/>
          <w:lang w:val="fr-FR"/>
        </w:rPr>
        <w:t xml:space="preserve">e </w:t>
      </w:r>
      <w:r w:rsidR="00105124">
        <w:rPr>
          <w:rFonts w:cs="Times New Roman"/>
          <w:kern w:val="22"/>
          <w:sz w:val="22"/>
          <w:lang w:val="fr-FR"/>
        </w:rPr>
        <w:t>de</w:t>
      </w:r>
      <w:r w:rsidR="001C245F" w:rsidRPr="001C245F">
        <w:rPr>
          <w:rFonts w:cs="Times New Roman"/>
          <w:kern w:val="22"/>
          <w:sz w:val="22"/>
          <w:lang w:val="fr-FR"/>
        </w:rPr>
        <w:t xml:space="preserve"> séquences </w:t>
      </w:r>
      <w:r w:rsidR="00C30030">
        <w:rPr>
          <w:rFonts w:cs="Times New Roman"/>
          <w:kern w:val="22"/>
          <w:sz w:val="22"/>
          <w:lang w:val="fr-FR"/>
        </w:rPr>
        <w:t xml:space="preserve">de </w:t>
      </w:r>
      <w:r w:rsidR="001C245F" w:rsidRPr="001C245F">
        <w:rPr>
          <w:rFonts w:cs="Times New Roman"/>
          <w:kern w:val="22"/>
          <w:sz w:val="22"/>
          <w:lang w:val="fr-FR"/>
        </w:rPr>
        <w:t>nuclé</w:t>
      </w:r>
      <w:r w:rsidR="00361CB9" w:rsidRPr="001C245F">
        <w:rPr>
          <w:rFonts w:cs="Times New Roman"/>
          <w:kern w:val="22"/>
          <w:sz w:val="22"/>
          <w:lang w:val="fr-FR"/>
        </w:rPr>
        <w:t>otide</w:t>
      </w:r>
      <w:r w:rsidR="001C245F" w:rsidRPr="001C245F">
        <w:rPr>
          <w:rFonts w:cs="Times New Roman"/>
          <w:kern w:val="22"/>
          <w:sz w:val="22"/>
          <w:lang w:val="fr-FR"/>
        </w:rPr>
        <w:t>s (</w:t>
      </w:r>
      <w:r w:rsidR="00105124" w:rsidRPr="00105124">
        <w:rPr>
          <w:rFonts w:cs="Times New Roman"/>
          <w:kern w:val="22"/>
          <w:sz w:val="22"/>
          <w:lang w:val="fr-FR"/>
        </w:rPr>
        <w:t xml:space="preserve">International Nucleotide Sequence Database Collaboration - </w:t>
      </w:r>
      <w:r w:rsidR="00DC30AA">
        <w:rPr>
          <w:rFonts w:cs="Times New Roman"/>
          <w:kern w:val="22"/>
          <w:sz w:val="22"/>
          <w:lang w:val="fr-FR"/>
        </w:rPr>
        <w:t>INSDC</w:t>
      </w:r>
      <w:r w:rsidR="00C30030">
        <w:rPr>
          <w:rFonts w:cs="Times New Roman"/>
          <w:kern w:val="22"/>
          <w:sz w:val="22"/>
          <w:lang w:val="fr-FR"/>
        </w:rPr>
        <w:t xml:space="preserve"> en anglais</w:t>
      </w:r>
      <w:r w:rsidR="00DC30AA">
        <w:rPr>
          <w:rFonts w:cs="Times New Roman"/>
          <w:kern w:val="22"/>
          <w:sz w:val="22"/>
          <w:lang w:val="fr-FR"/>
        </w:rPr>
        <w:t>) est un consortium constitué</w:t>
      </w:r>
      <w:r w:rsidR="001C245F" w:rsidRPr="001C245F">
        <w:rPr>
          <w:rFonts w:cs="Times New Roman"/>
          <w:kern w:val="22"/>
          <w:sz w:val="22"/>
          <w:lang w:val="fr-FR"/>
        </w:rPr>
        <w:t xml:space="preserve"> de trois bases de</w:t>
      </w:r>
      <w:r w:rsidR="001C245F">
        <w:rPr>
          <w:rFonts w:cs="Times New Roman"/>
          <w:kern w:val="22"/>
          <w:sz w:val="22"/>
          <w:lang w:val="fr-FR"/>
        </w:rPr>
        <w:t xml:space="preserve"> données parmi les </w:t>
      </w:r>
      <w:r w:rsidR="00DC30AA">
        <w:rPr>
          <w:rFonts w:cs="Times New Roman"/>
          <w:kern w:val="22"/>
          <w:sz w:val="22"/>
          <w:lang w:val="fr-FR"/>
        </w:rPr>
        <w:t xml:space="preserve">plus </w:t>
      </w:r>
      <w:r w:rsidR="00326925">
        <w:rPr>
          <w:rFonts w:cs="Times New Roman"/>
          <w:kern w:val="22"/>
          <w:sz w:val="22"/>
          <w:lang w:val="fr-FR"/>
        </w:rPr>
        <w:t>vast</w:t>
      </w:r>
      <w:r w:rsidR="001C245F" w:rsidRPr="001C245F">
        <w:rPr>
          <w:rFonts w:cs="Times New Roman"/>
          <w:kern w:val="22"/>
          <w:sz w:val="22"/>
          <w:lang w:val="fr-FR"/>
        </w:rPr>
        <w:t xml:space="preserve">es et </w:t>
      </w:r>
      <w:r w:rsidR="001C245F">
        <w:rPr>
          <w:rFonts w:cs="Times New Roman"/>
          <w:kern w:val="22"/>
          <w:sz w:val="22"/>
          <w:lang w:val="fr-FR"/>
        </w:rPr>
        <w:t xml:space="preserve">les </w:t>
      </w:r>
      <w:r w:rsidR="001C245F" w:rsidRPr="001C245F">
        <w:rPr>
          <w:rFonts w:cs="Times New Roman"/>
          <w:kern w:val="22"/>
          <w:sz w:val="22"/>
          <w:lang w:val="fr-FR"/>
        </w:rPr>
        <w:t>plus larg</w:t>
      </w:r>
      <w:r w:rsidR="00DC30AA">
        <w:rPr>
          <w:rFonts w:cs="Times New Roman"/>
          <w:kern w:val="22"/>
          <w:sz w:val="22"/>
          <w:lang w:val="fr-FR"/>
        </w:rPr>
        <w:t>ement consultées dans le</w:t>
      </w:r>
      <w:r w:rsidR="001C245F">
        <w:rPr>
          <w:rFonts w:cs="Times New Roman"/>
          <w:kern w:val="22"/>
          <w:sz w:val="22"/>
          <w:lang w:val="fr-FR"/>
        </w:rPr>
        <w:t xml:space="preserve"> monde </w:t>
      </w:r>
      <w:r w:rsidR="00361CB9" w:rsidRPr="001C245F">
        <w:rPr>
          <w:rFonts w:cs="Times New Roman"/>
          <w:kern w:val="22"/>
          <w:sz w:val="22"/>
          <w:lang w:val="fr-FR"/>
        </w:rPr>
        <w:t xml:space="preserve">: </w:t>
      </w:r>
      <w:r w:rsidR="0033537F">
        <w:rPr>
          <w:rFonts w:cs="Times New Roman"/>
          <w:kern w:val="22"/>
          <w:sz w:val="22"/>
          <w:lang w:val="fr-FR"/>
        </w:rPr>
        <w:t>GenBank au</w:t>
      </w:r>
      <w:r w:rsidR="00DC30AA">
        <w:rPr>
          <w:rFonts w:cs="Times New Roman"/>
          <w:kern w:val="22"/>
          <w:sz w:val="22"/>
          <w:lang w:val="fr-FR"/>
        </w:rPr>
        <w:t xml:space="preserve"> sein du</w:t>
      </w:r>
      <w:r w:rsidR="00361CB9" w:rsidRPr="001C245F">
        <w:rPr>
          <w:rFonts w:cs="Times New Roman"/>
          <w:kern w:val="22"/>
          <w:sz w:val="22"/>
          <w:lang w:val="fr-FR"/>
        </w:rPr>
        <w:t xml:space="preserve"> National Center for Biotechnology Information </w:t>
      </w:r>
      <w:r w:rsidR="0033537F">
        <w:rPr>
          <w:rFonts w:cs="Times New Roman"/>
          <w:kern w:val="22"/>
          <w:sz w:val="22"/>
          <w:lang w:val="fr-FR"/>
        </w:rPr>
        <w:t xml:space="preserve">aux </w:t>
      </w:r>
      <w:r w:rsidR="009A6A8C" w:rsidRPr="001C245F">
        <w:rPr>
          <w:rFonts w:cs="Times New Roman"/>
          <w:kern w:val="22"/>
          <w:sz w:val="22"/>
          <w:lang w:val="fr-FR"/>
        </w:rPr>
        <w:t>Etats-Unis</w:t>
      </w:r>
      <w:r w:rsidR="00DC30AA">
        <w:rPr>
          <w:rFonts w:cs="Times New Roman"/>
          <w:kern w:val="22"/>
          <w:sz w:val="22"/>
          <w:lang w:val="fr-FR"/>
        </w:rPr>
        <w:t>, l’</w:t>
      </w:r>
      <w:r w:rsidR="009E0950" w:rsidRPr="001C245F">
        <w:rPr>
          <w:rFonts w:cs="Times New Roman"/>
          <w:kern w:val="22"/>
          <w:sz w:val="22"/>
          <w:lang w:val="fr-FR"/>
        </w:rPr>
        <w:t>European Molecular Biology Laboratory</w:t>
      </w:r>
      <w:r w:rsidR="00912566" w:rsidRPr="001C245F">
        <w:rPr>
          <w:rFonts w:cs="Times New Roman"/>
          <w:kern w:val="22"/>
          <w:sz w:val="22"/>
          <w:lang w:val="fr-FR"/>
        </w:rPr>
        <w:t>-</w:t>
      </w:r>
      <w:r w:rsidR="00361CB9" w:rsidRPr="001C245F">
        <w:rPr>
          <w:rFonts w:cs="Times New Roman"/>
          <w:kern w:val="22"/>
          <w:sz w:val="22"/>
          <w:lang w:val="fr-FR"/>
        </w:rPr>
        <w:t>European Bioinformatics Institute</w:t>
      </w:r>
      <w:r w:rsidR="0033537F">
        <w:rPr>
          <w:rFonts w:cs="Times New Roman"/>
          <w:kern w:val="22"/>
          <w:sz w:val="22"/>
          <w:lang w:val="fr-FR"/>
        </w:rPr>
        <w:t xml:space="preserve"> au Royaume-Uni</w:t>
      </w:r>
      <w:r w:rsidR="00361CB9" w:rsidRPr="001C245F">
        <w:rPr>
          <w:rFonts w:cs="Times New Roman"/>
          <w:kern w:val="22"/>
          <w:sz w:val="22"/>
          <w:lang w:val="fr-FR"/>
        </w:rPr>
        <w:t>,</w:t>
      </w:r>
      <w:r w:rsidR="00E3674F" w:rsidRPr="001C245F">
        <w:rPr>
          <w:rFonts w:cs="Times New Roman"/>
          <w:kern w:val="22"/>
          <w:sz w:val="22"/>
          <w:lang w:val="fr-FR"/>
        </w:rPr>
        <w:t xml:space="preserve"> et </w:t>
      </w:r>
      <w:r w:rsidR="00DC30AA">
        <w:rPr>
          <w:rFonts w:cs="Times New Roman"/>
          <w:kern w:val="22"/>
          <w:sz w:val="22"/>
          <w:lang w:val="fr-FR"/>
        </w:rPr>
        <w:t>la Banque de données du Japon au sein de</w:t>
      </w:r>
      <w:r w:rsidR="0033537F">
        <w:rPr>
          <w:rFonts w:cs="Times New Roman"/>
          <w:kern w:val="22"/>
          <w:sz w:val="22"/>
          <w:lang w:val="fr-FR"/>
        </w:rPr>
        <w:t xml:space="preserve"> l’Institut national de génétique, lesquels partagent leurs contenus et fournissen</w:t>
      </w:r>
      <w:r w:rsidR="00DC30AA">
        <w:rPr>
          <w:rFonts w:cs="Times New Roman"/>
          <w:kern w:val="22"/>
          <w:sz w:val="22"/>
          <w:lang w:val="fr-FR"/>
        </w:rPr>
        <w:t>t d</w:t>
      </w:r>
      <w:r w:rsidR="00326925">
        <w:rPr>
          <w:rFonts w:cs="Times New Roman"/>
          <w:kern w:val="22"/>
          <w:sz w:val="22"/>
          <w:lang w:val="fr-FR"/>
        </w:rPr>
        <w:t>es outils pour avancer dans l</w:t>
      </w:r>
      <w:r w:rsidR="00DC30AA">
        <w:rPr>
          <w:rFonts w:cs="Times New Roman"/>
          <w:kern w:val="22"/>
          <w:sz w:val="22"/>
          <w:lang w:val="fr-FR"/>
        </w:rPr>
        <w:t>es recherches fondées</w:t>
      </w:r>
      <w:r w:rsidR="0033537F">
        <w:rPr>
          <w:rFonts w:cs="Times New Roman"/>
          <w:kern w:val="22"/>
          <w:sz w:val="22"/>
          <w:lang w:val="fr-FR"/>
        </w:rPr>
        <w:t xml:space="preserve"> sur l’information biologique</w:t>
      </w:r>
      <w:r w:rsidR="00361CB9" w:rsidRPr="001C245F">
        <w:rPr>
          <w:rFonts w:cs="Times New Roman"/>
          <w:kern w:val="22"/>
          <w:sz w:val="22"/>
          <w:lang w:val="fr-FR"/>
        </w:rPr>
        <w:t>.</w:t>
      </w:r>
      <w:r w:rsidR="00361CB9" w:rsidRPr="002364AB">
        <w:rPr>
          <w:rStyle w:val="FootnoteReference"/>
          <w:rFonts w:cs="Times New Roman"/>
          <w:kern w:val="22"/>
          <w:sz w:val="22"/>
          <w:lang w:val="en-GB"/>
        </w:rPr>
        <w:footnoteReference w:id="117"/>
      </w:r>
      <w:r w:rsidR="00361CB9" w:rsidRPr="001C245F">
        <w:rPr>
          <w:rFonts w:cs="Times New Roman"/>
          <w:kern w:val="22"/>
          <w:sz w:val="22"/>
          <w:lang w:val="fr-FR"/>
        </w:rPr>
        <w:t xml:space="preserve"> </w:t>
      </w:r>
      <w:r w:rsidR="0033537F">
        <w:rPr>
          <w:rFonts w:cs="Times New Roman"/>
          <w:kern w:val="22"/>
          <w:sz w:val="22"/>
          <w:lang w:val="fr-FR"/>
        </w:rPr>
        <w:t xml:space="preserve">Ensemble, ces </w:t>
      </w:r>
      <w:r w:rsidRPr="001C245F">
        <w:rPr>
          <w:rFonts w:cs="Times New Roman"/>
          <w:kern w:val="22"/>
          <w:sz w:val="22"/>
          <w:lang w:val="fr-FR"/>
        </w:rPr>
        <w:t>bases de données</w:t>
      </w:r>
      <w:r w:rsidR="00DC30AA">
        <w:rPr>
          <w:rFonts w:cs="Times New Roman"/>
          <w:kern w:val="22"/>
          <w:sz w:val="22"/>
          <w:lang w:val="fr-FR"/>
        </w:rPr>
        <w:t xml:space="preserve"> contiennent une </w:t>
      </w:r>
      <w:r w:rsidR="0033537F">
        <w:rPr>
          <w:rFonts w:cs="Times New Roman"/>
          <w:kern w:val="22"/>
          <w:sz w:val="22"/>
          <w:lang w:val="fr-FR"/>
        </w:rPr>
        <w:t>q</w:t>
      </w:r>
      <w:r w:rsidR="00DC30AA">
        <w:rPr>
          <w:rFonts w:cs="Times New Roman"/>
          <w:kern w:val="22"/>
          <w:sz w:val="22"/>
          <w:lang w:val="fr-FR"/>
        </w:rPr>
        <w:t>uantité considérable et croissante</w:t>
      </w:r>
      <w:r w:rsidR="0033537F">
        <w:rPr>
          <w:rFonts w:cs="Times New Roman"/>
          <w:kern w:val="22"/>
          <w:sz w:val="22"/>
          <w:lang w:val="fr-FR"/>
        </w:rPr>
        <w:t xml:space="preserve"> de données de séquençage et </w:t>
      </w:r>
      <w:r w:rsidR="00326925">
        <w:rPr>
          <w:rFonts w:cs="Times New Roman"/>
          <w:kern w:val="22"/>
          <w:sz w:val="22"/>
          <w:lang w:val="fr-FR"/>
        </w:rPr>
        <w:t>autres formes éventuelles</w:t>
      </w:r>
      <w:r w:rsidR="00DC30AA">
        <w:rPr>
          <w:rFonts w:cs="Times New Roman"/>
          <w:kern w:val="22"/>
          <w:sz w:val="22"/>
          <w:lang w:val="fr-FR"/>
        </w:rPr>
        <w:t xml:space="preserve"> d</w:t>
      </w:r>
      <w:r w:rsidR="00BC5F0A">
        <w:rPr>
          <w:rFonts w:cs="Times New Roman"/>
          <w:kern w:val="22"/>
          <w:sz w:val="22"/>
          <w:lang w:val="fr-FR"/>
        </w:rPr>
        <w:t>’information de séquençage</w:t>
      </w:r>
      <w:r w:rsidR="00142D5A">
        <w:rPr>
          <w:rFonts w:cs="Times New Roman"/>
          <w:kern w:val="22"/>
          <w:sz w:val="22"/>
          <w:lang w:val="fr-FR"/>
        </w:rPr>
        <w:t xml:space="preserve"> numérique</w:t>
      </w:r>
      <w:r w:rsidR="005B0DEA" w:rsidRPr="001C245F">
        <w:rPr>
          <w:rFonts w:cs="Times New Roman"/>
          <w:kern w:val="22"/>
          <w:sz w:val="22"/>
          <w:lang w:val="fr-FR"/>
        </w:rPr>
        <w:t>.</w:t>
      </w:r>
      <w:r w:rsidR="00361CB9" w:rsidRPr="001C245F">
        <w:rPr>
          <w:rFonts w:cs="Times New Roman"/>
          <w:kern w:val="22"/>
          <w:sz w:val="22"/>
          <w:lang w:val="fr-FR"/>
        </w:rPr>
        <w:t xml:space="preserve"> </w:t>
      </w:r>
      <w:r w:rsidR="0033537F">
        <w:rPr>
          <w:rFonts w:cs="Times New Roman"/>
          <w:kern w:val="22"/>
          <w:sz w:val="22"/>
          <w:lang w:val="fr-FR"/>
        </w:rPr>
        <w:t xml:space="preserve">En date d’avril </w:t>
      </w:r>
      <w:r w:rsidR="00361CB9" w:rsidRPr="0033537F">
        <w:rPr>
          <w:rFonts w:cs="Times New Roman"/>
          <w:kern w:val="22"/>
          <w:sz w:val="22"/>
          <w:lang w:val="fr-FR"/>
        </w:rPr>
        <w:t>20</w:t>
      </w:r>
      <w:r w:rsidR="005C6E08" w:rsidRPr="0033537F">
        <w:rPr>
          <w:rFonts w:cs="Times New Roman"/>
          <w:kern w:val="22"/>
          <w:sz w:val="22"/>
          <w:lang w:val="fr-FR"/>
        </w:rPr>
        <w:t>20</w:t>
      </w:r>
      <w:r w:rsidR="00361CB9" w:rsidRPr="0033537F">
        <w:rPr>
          <w:rFonts w:cs="Times New Roman"/>
          <w:kern w:val="22"/>
          <w:sz w:val="22"/>
          <w:lang w:val="fr-FR"/>
        </w:rPr>
        <w:t xml:space="preserve">, GenBank </w:t>
      </w:r>
      <w:r w:rsidR="00326925">
        <w:rPr>
          <w:rFonts w:cs="Times New Roman"/>
          <w:kern w:val="22"/>
          <w:sz w:val="22"/>
          <w:lang w:val="fr-FR"/>
        </w:rPr>
        <w:t>compre</w:t>
      </w:r>
      <w:r w:rsidR="0033537F">
        <w:rPr>
          <w:rFonts w:cs="Times New Roman"/>
          <w:kern w:val="22"/>
          <w:sz w:val="22"/>
          <w:lang w:val="fr-FR"/>
        </w:rPr>
        <w:t>nait plus de</w:t>
      </w:r>
      <w:r w:rsidR="00361CB9" w:rsidRPr="0033537F">
        <w:rPr>
          <w:rFonts w:cs="Times New Roman"/>
          <w:kern w:val="22"/>
          <w:sz w:val="22"/>
          <w:lang w:val="fr-FR"/>
        </w:rPr>
        <w:t xml:space="preserve"> </w:t>
      </w:r>
      <w:r w:rsidR="005C6E08" w:rsidRPr="0033537F">
        <w:rPr>
          <w:rFonts w:cs="Times New Roman"/>
          <w:kern w:val="22"/>
          <w:sz w:val="22"/>
          <w:lang w:val="fr-FR"/>
        </w:rPr>
        <w:t>415</w:t>
      </w:r>
      <w:r w:rsidR="0033537F">
        <w:rPr>
          <w:rFonts w:cs="Times New Roman"/>
          <w:kern w:val="22"/>
          <w:sz w:val="22"/>
          <w:lang w:val="fr-FR"/>
        </w:rPr>
        <w:t xml:space="preserve"> milliards de</w:t>
      </w:r>
      <w:r w:rsidR="00361CB9" w:rsidRPr="0033537F">
        <w:rPr>
          <w:rFonts w:cs="Times New Roman"/>
          <w:kern w:val="22"/>
          <w:sz w:val="22"/>
          <w:lang w:val="fr-FR"/>
        </w:rPr>
        <w:t xml:space="preserve"> bases</w:t>
      </w:r>
      <w:r w:rsidR="00891F8E">
        <w:rPr>
          <w:rFonts w:cs="Times New Roman"/>
          <w:kern w:val="22"/>
          <w:sz w:val="22"/>
          <w:lang w:val="fr-FR"/>
        </w:rPr>
        <w:t xml:space="preserve"> nucléotidiques</w:t>
      </w:r>
      <w:r w:rsidR="00361CB9" w:rsidRPr="0033537F">
        <w:rPr>
          <w:rFonts w:cs="Times New Roman"/>
          <w:kern w:val="22"/>
          <w:sz w:val="22"/>
          <w:lang w:val="fr-FR"/>
        </w:rPr>
        <w:t>.</w:t>
      </w:r>
      <w:r w:rsidR="00361CB9" w:rsidRPr="002364AB">
        <w:rPr>
          <w:rFonts w:cs="Times New Roman"/>
          <w:kern w:val="22"/>
          <w:sz w:val="22"/>
          <w:vertAlign w:val="superscript"/>
          <w:lang w:val="en-GB"/>
        </w:rPr>
        <w:footnoteReference w:id="118"/>
      </w:r>
      <w:r w:rsidR="00361CB9" w:rsidRPr="0033537F">
        <w:rPr>
          <w:rFonts w:cs="Times New Roman"/>
          <w:kern w:val="22"/>
          <w:sz w:val="22"/>
          <w:lang w:val="fr-FR"/>
        </w:rPr>
        <w:t xml:space="preserve"> </w:t>
      </w:r>
    </w:p>
    <w:p w14:paraId="24CDB35B" w14:textId="6BE3089B" w:rsidR="0056077E" w:rsidRPr="0033537F" w:rsidRDefault="00202126" w:rsidP="0056077E">
      <w:pPr>
        <w:rPr>
          <w:rFonts w:cs="Times New Roman"/>
          <w:kern w:val="22"/>
          <w:sz w:val="22"/>
          <w:lang w:val="fr-FR"/>
        </w:rPr>
      </w:pPr>
      <w:r w:rsidRPr="00C13584">
        <w:rPr>
          <w:rFonts w:cs="Times New Roman"/>
          <w:kern w:val="22"/>
          <w:sz w:val="22"/>
          <w:lang w:val="fr-FR"/>
        </w:rPr>
        <w:t>De plus</w:t>
      </w:r>
      <w:r w:rsidR="00326925">
        <w:rPr>
          <w:rFonts w:cs="Times New Roman"/>
          <w:kern w:val="22"/>
          <w:sz w:val="22"/>
          <w:lang w:val="fr-FR"/>
        </w:rPr>
        <w:t>, on s’attend à ce que la</w:t>
      </w:r>
      <w:r w:rsidR="00C13584" w:rsidRPr="00C13584">
        <w:rPr>
          <w:rFonts w:cs="Times New Roman"/>
          <w:kern w:val="22"/>
          <w:sz w:val="22"/>
          <w:lang w:val="fr-FR"/>
        </w:rPr>
        <w:t xml:space="preserve"> quantité </w:t>
      </w:r>
      <w:r w:rsidR="00326925">
        <w:rPr>
          <w:rFonts w:cs="Times New Roman"/>
          <w:kern w:val="22"/>
          <w:sz w:val="22"/>
          <w:lang w:val="fr-FR"/>
        </w:rPr>
        <w:t>d</w:t>
      </w:r>
      <w:r w:rsidR="00BC5F0A">
        <w:rPr>
          <w:rFonts w:cs="Times New Roman"/>
          <w:kern w:val="22"/>
          <w:sz w:val="22"/>
          <w:lang w:val="fr-FR"/>
        </w:rPr>
        <w:t>’information</w:t>
      </w:r>
      <w:r w:rsidR="00326925">
        <w:rPr>
          <w:rFonts w:cs="Times New Roman"/>
          <w:kern w:val="22"/>
          <w:sz w:val="22"/>
          <w:lang w:val="fr-FR"/>
        </w:rPr>
        <w:t>s</w:t>
      </w:r>
      <w:r w:rsidR="00BC5F0A">
        <w:rPr>
          <w:rFonts w:cs="Times New Roman"/>
          <w:kern w:val="22"/>
          <w:sz w:val="22"/>
          <w:lang w:val="fr-FR"/>
        </w:rPr>
        <w:t xml:space="preserve"> de séquençage</w:t>
      </w:r>
      <w:r w:rsidR="00C13584" w:rsidRPr="00C13584">
        <w:rPr>
          <w:rFonts w:cs="Times New Roman"/>
          <w:kern w:val="22"/>
          <w:sz w:val="22"/>
          <w:lang w:val="fr-FR"/>
        </w:rPr>
        <w:t xml:space="preserve"> </w:t>
      </w:r>
      <w:r w:rsidR="007D440B" w:rsidRPr="00C13584">
        <w:rPr>
          <w:rFonts w:cs="Times New Roman"/>
          <w:kern w:val="22"/>
          <w:sz w:val="22"/>
          <w:lang w:val="fr-FR"/>
        </w:rPr>
        <w:t>accessible</w:t>
      </w:r>
      <w:r w:rsidR="00C13584" w:rsidRPr="00C13584">
        <w:rPr>
          <w:rFonts w:cs="Times New Roman"/>
          <w:kern w:val="22"/>
          <w:sz w:val="22"/>
          <w:lang w:val="fr-FR"/>
        </w:rPr>
        <w:t>s</w:t>
      </w:r>
      <w:r w:rsidR="007D440B" w:rsidRPr="00C13584">
        <w:rPr>
          <w:rFonts w:cs="Times New Roman"/>
          <w:kern w:val="22"/>
          <w:sz w:val="22"/>
          <w:lang w:val="fr-FR"/>
        </w:rPr>
        <w:t xml:space="preserve"> au public</w:t>
      </w:r>
      <w:r w:rsidR="0056077E" w:rsidRPr="00C13584">
        <w:rPr>
          <w:rFonts w:cs="Times New Roman"/>
          <w:kern w:val="22"/>
          <w:sz w:val="22"/>
          <w:lang w:val="fr-FR"/>
        </w:rPr>
        <w:t xml:space="preserve"> </w:t>
      </w:r>
      <w:r w:rsidR="00C13584">
        <w:rPr>
          <w:rFonts w:cs="Times New Roman"/>
          <w:kern w:val="22"/>
          <w:sz w:val="22"/>
          <w:lang w:val="fr-FR"/>
        </w:rPr>
        <w:t>augmente</w:t>
      </w:r>
      <w:r w:rsidR="00326925">
        <w:rPr>
          <w:rFonts w:cs="Times New Roman"/>
          <w:kern w:val="22"/>
          <w:sz w:val="22"/>
          <w:lang w:val="fr-FR"/>
        </w:rPr>
        <w:t xml:space="preserve"> dans l’avenir, au vu d’autres</w:t>
      </w:r>
      <w:r w:rsidR="002518EB" w:rsidRPr="00C13584">
        <w:rPr>
          <w:rFonts w:cs="Times New Roman"/>
          <w:kern w:val="22"/>
          <w:sz w:val="22"/>
          <w:lang w:val="fr-FR"/>
        </w:rPr>
        <w:t xml:space="preserve"> </w:t>
      </w:r>
      <w:r w:rsidR="0056077E" w:rsidRPr="00C13584">
        <w:rPr>
          <w:rFonts w:cs="Times New Roman"/>
          <w:kern w:val="22"/>
          <w:sz w:val="22"/>
          <w:lang w:val="fr-FR"/>
        </w:rPr>
        <w:t xml:space="preserve">initiatives </w:t>
      </w:r>
      <w:r w:rsidR="00C13584">
        <w:rPr>
          <w:rFonts w:cs="Times New Roman"/>
          <w:kern w:val="22"/>
          <w:sz w:val="22"/>
          <w:lang w:val="fr-FR"/>
        </w:rPr>
        <w:t>en cours de réalisation</w:t>
      </w:r>
      <w:r w:rsidR="0056077E" w:rsidRPr="00C13584">
        <w:rPr>
          <w:rFonts w:cs="Times New Roman"/>
          <w:kern w:val="22"/>
          <w:sz w:val="22"/>
          <w:lang w:val="fr-FR"/>
        </w:rPr>
        <w:t xml:space="preserve">. </w:t>
      </w:r>
      <w:r w:rsidR="008A5BE1" w:rsidRPr="0033537F">
        <w:rPr>
          <w:rFonts w:cs="Times New Roman"/>
          <w:kern w:val="22"/>
          <w:sz w:val="22"/>
          <w:lang w:val="fr-FR"/>
        </w:rPr>
        <w:t>À titre d’exemple</w:t>
      </w:r>
      <w:r w:rsidR="00326925">
        <w:rPr>
          <w:rFonts w:cs="Times New Roman"/>
          <w:kern w:val="22"/>
          <w:sz w:val="22"/>
          <w:lang w:val="fr-FR"/>
        </w:rPr>
        <w:t>, l’</w:t>
      </w:r>
      <w:r w:rsidR="0056077E" w:rsidRPr="0033537F">
        <w:rPr>
          <w:rFonts w:cs="Times New Roman"/>
          <w:kern w:val="22"/>
          <w:sz w:val="22"/>
          <w:lang w:val="fr-FR"/>
        </w:rPr>
        <w:t>Earth Biogenome</w:t>
      </w:r>
      <w:r w:rsidR="00326925">
        <w:rPr>
          <w:rFonts w:cs="Times New Roman"/>
          <w:kern w:val="22"/>
          <w:sz w:val="22"/>
          <w:lang w:val="fr-FR"/>
        </w:rPr>
        <w:t xml:space="preserve"> Project</w:t>
      </w:r>
      <w:r w:rsidR="0056077E" w:rsidRPr="0033537F">
        <w:rPr>
          <w:rFonts w:cs="Times New Roman"/>
          <w:kern w:val="22"/>
          <w:sz w:val="22"/>
          <w:lang w:val="fr-FR"/>
        </w:rPr>
        <w:t xml:space="preserve"> </w:t>
      </w:r>
      <w:r w:rsidR="0033537F" w:rsidRPr="0033537F">
        <w:rPr>
          <w:rFonts w:cs="Times New Roman"/>
          <w:kern w:val="22"/>
          <w:sz w:val="22"/>
          <w:lang w:val="fr-FR"/>
        </w:rPr>
        <w:t xml:space="preserve">vise à </w:t>
      </w:r>
      <w:r w:rsidR="00974B88" w:rsidRPr="0033537F">
        <w:rPr>
          <w:rFonts w:cs="Times New Roman"/>
          <w:kern w:val="22"/>
          <w:sz w:val="22"/>
          <w:lang w:val="fr-FR"/>
        </w:rPr>
        <w:t>séquence</w:t>
      </w:r>
      <w:r w:rsidR="00326925">
        <w:rPr>
          <w:rFonts w:cs="Times New Roman"/>
          <w:kern w:val="22"/>
          <w:sz w:val="22"/>
          <w:lang w:val="fr-FR"/>
        </w:rPr>
        <w:t>r, caracté</w:t>
      </w:r>
      <w:r w:rsidR="0033537F">
        <w:rPr>
          <w:rFonts w:cs="Times New Roman"/>
          <w:kern w:val="22"/>
          <w:sz w:val="22"/>
          <w:lang w:val="fr-FR"/>
        </w:rPr>
        <w:t>ris</w:t>
      </w:r>
      <w:r w:rsidR="0056077E" w:rsidRPr="0033537F">
        <w:rPr>
          <w:rFonts w:cs="Times New Roman"/>
          <w:kern w:val="22"/>
          <w:sz w:val="22"/>
          <w:lang w:val="fr-FR"/>
        </w:rPr>
        <w:t>e</w:t>
      </w:r>
      <w:r w:rsidR="0033537F">
        <w:rPr>
          <w:rFonts w:cs="Times New Roman"/>
          <w:kern w:val="22"/>
          <w:sz w:val="22"/>
          <w:lang w:val="fr-FR"/>
        </w:rPr>
        <w:t>r</w:t>
      </w:r>
      <w:r w:rsidR="00E3674F" w:rsidRPr="0033537F">
        <w:rPr>
          <w:rFonts w:cs="Times New Roman"/>
          <w:kern w:val="22"/>
          <w:sz w:val="22"/>
          <w:lang w:val="fr-FR"/>
        </w:rPr>
        <w:t xml:space="preserve"> et </w:t>
      </w:r>
      <w:r w:rsidR="0056077E" w:rsidRPr="0033537F">
        <w:rPr>
          <w:rFonts w:cs="Times New Roman"/>
          <w:kern w:val="22"/>
          <w:sz w:val="22"/>
          <w:lang w:val="fr-FR"/>
        </w:rPr>
        <w:t>catalogue</w:t>
      </w:r>
      <w:r w:rsidR="0033537F">
        <w:rPr>
          <w:rFonts w:cs="Times New Roman"/>
          <w:kern w:val="22"/>
          <w:sz w:val="22"/>
          <w:lang w:val="fr-FR"/>
        </w:rPr>
        <w:t>r les gé</w:t>
      </w:r>
      <w:r w:rsidR="0056077E" w:rsidRPr="0033537F">
        <w:rPr>
          <w:rFonts w:cs="Times New Roman"/>
          <w:kern w:val="22"/>
          <w:sz w:val="22"/>
          <w:lang w:val="fr-FR"/>
        </w:rPr>
        <w:t xml:space="preserve">nomes </w:t>
      </w:r>
      <w:r w:rsidR="0033537F">
        <w:rPr>
          <w:rFonts w:cs="Times New Roman"/>
          <w:kern w:val="22"/>
          <w:sz w:val="22"/>
          <w:lang w:val="fr-FR"/>
        </w:rPr>
        <w:t>de toutes les</w:t>
      </w:r>
      <w:r w:rsidR="0056077E" w:rsidRPr="0033537F">
        <w:rPr>
          <w:rFonts w:cs="Times New Roman"/>
          <w:kern w:val="22"/>
          <w:sz w:val="22"/>
          <w:lang w:val="fr-FR"/>
        </w:rPr>
        <w:t xml:space="preserve"> </w:t>
      </w:r>
      <w:r w:rsidR="00651FB0" w:rsidRPr="0033537F">
        <w:rPr>
          <w:rFonts w:cs="Times New Roman"/>
          <w:kern w:val="22"/>
          <w:sz w:val="22"/>
          <w:lang w:val="fr-FR"/>
        </w:rPr>
        <w:t>espèces</w:t>
      </w:r>
      <w:r w:rsidR="00326925">
        <w:rPr>
          <w:rFonts w:cs="Times New Roman"/>
          <w:kern w:val="22"/>
          <w:sz w:val="22"/>
          <w:lang w:val="fr-FR"/>
        </w:rPr>
        <w:t xml:space="preserve"> </w:t>
      </w:r>
      <w:r w:rsidR="006011EF">
        <w:rPr>
          <w:rFonts w:cs="Times New Roman"/>
          <w:kern w:val="22"/>
          <w:sz w:val="22"/>
          <w:lang w:val="fr-FR"/>
        </w:rPr>
        <w:t>eucaryotes</w:t>
      </w:r>
      <w:r w:rsidR="00326925">
        <w:rPr>
          <w:rFonts w:cs="Times New Roman"/>
          <w:kern w:val="22"/>
          <w:sz w:val="22"/>
          <w:lang w:val="fr-FR"/>
        </w:rPr>
        <w:t xml:space="preserve"> de la planète</w:t>
      </w:r>
      <w:r w:rsidR="0033537F">
        <w:rPr>
          <w:rFonts w:cs="Times New Roman"/>
          <w:kern w:val="22"/>
          <w:sz w:val="22"/>
          <w:lang w:val="fr-FR"/>
        </w:rPr>
        <w:t xml:space="preserve"> au cours des 10 prochaines années</w:t>
      </w:r>
      <w:r w:rsidR="0056077E" w:rsidRPr="0033537F">
        <w:rPr>
          <w:rFonts w:cs="Times New Roman"/>
          <w:kern w:val="22"/>
          <w:sz w:val="22"/>
          <w:lang w:val="fr-FR"/>
        </w:rPr>
        <w:t>.</w:t>
      </w:r>
      <w:r w:rsidR="0056077E" w:rsidRPr="002364AB">
        <w:rPr>
          <w:rFonts w:cs="Times New Roman"/>
          <w:kern w:val="22"/>
          <w:sz w:val="22"/>
          <w:vertAlign w:val="superscript"/>
          <w:lang w:val="en-GB"/>
        </w:rPr>
        <w:footnoteReference w:id="119"/>
      </w:r>
      <w:r w:rsidR="0056077E" w:rsidRPr="0033537F">
        <w:rPr>
          <w:rFonts w:cs="Times New Roman"/>
          <w:kern w:val="22"/>
          <w:sz w:val="22"/>
          <w:lang w:val="fr-FR"/>
        </w:rPr>
        <w:t xml:space="preserve"> </w:t>
      </w:r>
      <w:r w:rsidR="00326925">
        <w:rPr>
          <w:rFonts w:cs="Times New Roman"/>
          <w:kern w:val="22"/>
          <w:sz w:val="22"/>
          <w:lang w:val="fr-FR"/>
        </w:rPr>
        <w:t xml:space="preserve">La </w:t>
      </w:r>
      <w:r w:rsidR="0033537F" w:rsidRPr="0033537F">
        <w:rPr>
          <w:rFonts w:cs="Times New Roman"/>
          <w:kern w:val="22"/>
          <w:sz w:val="22"/>
          <w:lang w:val="fr-FR"/>
        </w:rPr>
        <w:t xml:space="preserve">quantité </w:t>
      </w:r>
      <w:r w:rsidR="00326925">
        <w:rPr>
          <w:rFonts w:cs="Times New Roman"/>
          <w:kern w:val="22"/>
          <w:sz w:val="22"/>
          <w:lang w:val="fr-FR"/>
        </w:rPr>
        <w:t xml:space="preserve">considérable </w:t>
      </w:r>
      <w:r w:rsidR="0033537F" w:rsidRPr="0033537F">
        <w:rPr>
          <w:rFonts w:cs="Times New Roman"/>
          <w:kern w:val="22"/>
          <w:sz w:val="22"/>
          <w:lang w:val="fr-FR"/>
        </w:rPr>
        <w:t>de données q</w:t>
      </w:r>
      <w:r w:rsidR="00326925">
        <w:rPr>
          <w:rFonts w:cs="Times New Roman"/>
          <w:kern w:val="22"/>
          <w:sz w:val="22"/>
          <w:lang w:val="fr-FR"/>
        </w:rPr>
        <w:t>ui sera générée par</w:t>
      </w:r>
      <w:r w:rsidR="0033537F" w:rsidRPr="0033537F">
        <w:rPr>
          <w:rFonts w:cs="Times New Roman"/>
          <w:kern w:val="22"/>
          <w:sz w:val="22"/>
          <w:lang w:val="fr-FR"/>
        </w:rPr>
        <w:t xml:space="preserve"> ce</w:t>
      </w:r>
      <w:r w:rsidR="0033537F">
        <w:rPr>
          <w:rFonts w:cs="Times New Roman"/>
          <w:kern w:val="22"/>
          <w:sz w:val="22"/>
          <w:lang w:val="fr-FR"/>
        </w:rPr>
        <w:t xml:space="preserve"> projet</w:t>
      </w:r>
      <w:r w:rsidR="0056077E" w:rsidRPr="0033537F">
        <w:rPr>
          <w:rFonts w:cs="Times New Roman"/>
          <w:kern w:val="22"/>
          <w:sz w:val="22"/>
          <w:lang w:val="fr-FR"/>
        </w:rPr>
        <w:t xml:space="preserve"> </w:t>
      </w:r>
      <w:r w:rsidR="0033537F">
        <w:rPr>
          <w:rFonts w:cs="Times New Roman"/>
          <w:kern w:val="22"/>
          <w:sz w:val="22"/>
          <w:lang w:val="fr-FR"/>
        </w:rPr>
        <w:t xml:space="preserve">pourra être utile potentiellement pour des recherches à des fins </w:t>
      </w:r>
      <w:r w:rsidR="0056077E" w:rsidRPr="0033537F">
        <w:rPr>
          <w:rFonts w:cs="Times New Roman"/>
          <w:kern w:val="22"/>
          <w:sz w:val="22"/>
          <w:lang w:val="fr-FR"/>
        </w:rPr>
        <w:t>commercial</w:t>
      </w:r>
      <w:r w:rsidR="0033537F">
        <w:rPr>
          <w:rFonts w:cs="Times New Roman"/>
          <w:kern w:val="22"/>
          <w:sz w:val="22"/>
          <w:lang w:val="fr-FR"/>
        </w:rPr>
        <w:t>es</w:t>
      </w:r>
      <w:r w:rsidR="00E3674F" w:rsidRPr="0033537F">
        <w:rPr>
          <w:rFonts w:cs="Times New Roman"/>
          <w:kern w:val="22"/>
          <w:sz w:val="22"/>
          <w:lang w:val="fr-FR"/>
        </w:rPr>
        <w:t xml:space="preserve"> et </w:t>
      </w:r>
      <w:r w:rsidR="00326925">
        <w:rPr>
          <w:rFonts w:cs="Times New Roman"/>
          <w:kern w:val="22"/>
          <w:sz w:val="22"/>
          <w:lang w:val="fr-FR"/>
        </w:rPr>
        <w:t xml:space="preserve">non </w:t>
      </w:r>
      <w:r w:rsidR="0033537F">
        <w:rPr>
          <w:rFonts w:cs="Times New Roman"/>
          <w:kern w:val="22"/>
          <w:sz w:val="22"/>
          <w:lang w:val="fr-FR"/>
        </w:rPr>
        <w:t>commercial</w:t>
      </w:r>
      <w:r w:rsidR="00326925">
        <w:rPr>
          <w:rFonts w:cs="Times New Roman"/>
          <w:kern w:val="22"/>
          <w:sz w:val="22"/>
          <w:lang w:val="fr-FR"/>
        </w:rPr>
        <w:t>es</w:t>
      </w:r>
      <w:r w:rsidR="00E3674F" w:rsidRPr="0033537F">
        <w:rPr>
          <w:rFonts w:cs="Times New Roman"/>
          <w:kern w:val="22"/>
          <w:sz w:val="22"/>
          <w:lang w:val="fr-FR"/>
        </w:rPr>
        <w:t xml:space="preserve"> et</w:t>
      </w:r>
      <w:r w:rsidR="00326925">
        <w:rPr>
          <w:rFonts w:cs="Times New Roman"/>
          <w:kern w:val="22"/>
          <w:sz w:val="22"/>
          <w:lang w:val="fr-FR"/>
        </w:rPr>
        <w:t>,</w:t>
      </w:r>
      <w:r w:rsidR="00E3674F" w:rsidRPr="0033537F">
        <w:rPr>
          <w:rFonts w:cs="Times New Roman"/>
          <w:kern w:val="22"/>
          <w:sz w:val="22"/>
          <w:lang w:val="fr-FR"/>
        </w:rPr>
        <w:t xml:space="preserve"> </w:t>
      </w:r>
      <w:r w:rsidR="0033537F">
        <w:rPr>
          <w:rFonts w:cs="Times New Roman"/>
          <w:kern w:val="22"/>
          <w:sz w:val="22"/>
          <w:lang w:val="fr-FR"/>
        </w:rPr>
        <w:t>au bout du compte</w:t>
      </w:r>
      <w:r w:rsidR="00326925">
        <w:rPr>
          <w:rFonts w:cs="Times New Roman"/>
          <w:kern w:val="22"/>
          <w:sz w:val="22"/>
          <w:lang w:val="fr-FR"/>
        </w:rPr>
        <w:t>, pourra réduire substantiellement la nécessité</w:t>
      </w:r>
      <w:r w:rsidR="0033537F">
        <w:rPr>
          <w:rFonts w:cs="Times New Roman"/>
          <w:kern w:val="22"/>
          <w:sz w:val="22"/>
          <w:lang w:val="fr-FR"/>
        </w:rPr>
        <w:t xml:space="preserve"> d’un accès à des échantillons physiques de </w:t>
      </w:r>
      <w:r w:rsidR="00D6232E" w:rsidRPr="0033537F">
        <w:rPr>
          <w:rFonts w:cs="Times New Roman"/>
          <w:kern w:val="22"/>
          <w:sz w:val="22"/>
          <w:lang w:val="fr-FR"/>
        </w:rPr>
        <w:t>ressources</w:t>
      </w:r>
      <w:r w:rsidR="00E3674F" w:rsidRPr="0033537F">
        <w:rPr>
          <w:rFonts w:cs="Times New Roman"/>
          <w:kern w:val="22"/>
          <w:sz w:val="22"/>
          <w:lang w:val="fr-FR"/>
        </w:rPr>
        <w:t xml:space="preserve"> génétiques</w:t>
      </w:r>
      <w:r w:rsidR="0056077E" w:rsidRPr="0033537F">
        <w:rPr>
          <w:rFonts w:cs="Times New Roman"/>
          <w:kern w:val="22"/>
          <w:sz w:val="22"/>
          <w:lang w:val="fr-FR"/>
        </w:rPr>
        <w:t xml:space="preserve">. </w:t>
      </w:r>
    </w:p>
    <w:p w14:paraId="3D592245" w14:textId="4CE15941" w:rsidR="004A2B97" w:rsidRPr="00930282" w:rsidRDefault="001067B1" w:rsidP="779DD645">
      <w:pPr>
        <w:rPr>
          <w:rFonts w:cs="Times New Roman"/>
          <w:kern w:val="22"/>
          <w:sz w:val="22"/>
          <w:lang w:val="fr-FR"/>
        </w:rPr>
      </w:pPr>
      <w:r w:rsidRPr="001067B1">
        <w:rPr>
          <w:rFonts w:cs="Times New Roman"/>
          <w:kern w:val="22"/>
          <w:sz w:val="22"/>
          <w:lang w:val="fr-FR"/>
        </w:rPr>
        <w:t>Comme indiqué plus haut</w:t>
      </w:r>
      <w:r w:rsidR="00590D68" w:rsidRPr="001067B1">
        <w:rPr>
          <w:rFonts w:cs="Times New Roman"/>
          <w:kern w:val="22"/>
          <w:sz w:val="22"/>
          <w:lang w:val="fr-FR"/>
        </w:rPr>
        <w:t>,</w:t>
      </w:r>
      <w:r w:rsidRPr="001067B1">
        <w:rPr>
          <w:rFonts w:cs="Times New Roman"/>
          <w:kern w:val="22"/>
          <w:sz w:val="22"/>
          <w:lang w:val="fr-FR"/>
        </w:rPr>
        <w:t xml:space="preserve"> les</w:t>
      </w:r>
      <w:r w:rsidR="00887574" w:rsidRPr="001067B1">
        <w:rPr>
          <w:rFonts w:cs="Times New Roman"/>
          <w:kern w:val="22"/>
          <w:sz w:val="22"/>
          <w:lang w:val="fr-FR"/>
        </w:rPr>
        <w:t xml:space="preserve"> Parties</w:t>
      </w:r>
      <w:r w:rsidRPr="001067B1">
        <w:rPr>
          <w:rFonts w:cs="Times New Roman"/>
          <w:kern w:val="22"/>
          <w:sz w:val="22"/>
          <w:lang w:val="fr-FR"/>
        </w:rPr>
        <w:t xml:space="preserve"> ne sont pas </w:t>
      </w:r>
      <w:r>
        <w:rPr>
          <w:rFonts w:cs="Times New Roman"/>
          <w:kern w:val="22"/>
          <w:sz w:val="22"/>
          <w:lang w:val="fr-FR"/>
        </w:rPr>
        <w:t xml:space="preserve">encore </w:t>
      </w:r>
      <w:r w:rsidRPr="001067B1">
        <w:rPr>
          <w:rFonts w:cs="Times New Roman"/>
          <w:kern w:val="22"/>
          <w:sz w:val="22"/>
          <w:lang w:val="fr-FR"/>
        </w:rPr>
        <w:t>parvenu</w:t>
      </w:r>
      <w:r>
        <w:rPr>
          <w:rFonts w:cs="Times New Roman"/>
          <w:kern w:val="22"/>
          <w:sz w:val="22"/>
          <w:lang w:val="fr-FR"/>
        </w:rPr>
        <w:t>e</w:t>
      </w:r>
      <w:r w:rsidR="00105124">
        <w:rPr>
          <w:rFonts w:cs="Times New Roman"/>
          <w:kern w:val="22"/>
          <w:sz w:val="22"/>
          <w:lang w:val="fr-FR"/>
        </w:rPr>
        <w:t>s à un consensus</w:t>
      </w:r>
      <w:r w:rsidRPr="001067B1">
        <w:rPr>
          <w:rFonts w:cs="Times New Roman"/>
          <w:kern w:val="22"/>
          <w:sz w:val="22"/>
          <w:lang w:val="fr-FR"/>
        </w:rPr>
        <w:t xml:space="preserve"> sur le point de savoir si des</w:t>
      </w:r>
      <w:r w:rsidR="00887574" w:rsidRPr="001067B1">
        <w:rPr>
          <w:rFonts w:cs="Times New Roman"/>
          <w:kern w:val="22"/>
          <w:sz w:val="22"/>
          <w:lang w:val="fr-FR"/>
        </w:rPr>
        <w:t xml:space="preserve"> </w:t>
      </w:r>
      <w:r w:rsidR="007732EE" w:rsidRPr="001067B1">
        <w:rPr>
          <w:rFonts w:cs="Times New Roman"/>
          <w:kern w:val="22"/>
          <w:sz w:val="22"/>
          <w:lang w:val="fr-FR"/>
        </w:rPr>
        <w:t>obligations relatives au partage des avantages</w:t>
      </w:r>
      <w:r w:rsidR="00590D68" w:rsidRPr="001067B1">
        <w:rPr>
          <w:rFonts w:cs="Times New Roman"/>
          <w:kern w:val="22"/>
          <w:sz w:val="22"/>
          <w:lang w:val="fr-FR"/>
        </w:rPr>
        <w:t xml:space="preserve"> </w:t>
      </w:r>
      <w:r w:rsidRPr="001067B1">
        <w:rPr>
          <w:rFonts w:cs="Times New Roman"/>
          <w:kern w:val="22"/>
          <w:sz w:val="22"/>
          <w:lang w:val="fr-FR"/>
        </w:rPr>
        <w:t>s’</w:t>
      </w:r>
      <w:r>
        <w:rPr>
          <w:rFonts w:cs="Times New Roman"/>
          <w:kern w:val="22"/>
          <w:sz w:val="22"/>
          <w:lang w:val="fr-FR"/>
        </w:rPr>
        <w:t xml:space="preserve">appliquent à ces </w:t>
      </w:r>
      <w:r w:rsidR="00590D68" w:rsidRPr="001067B1">
        <w:rPr>
          <w:rFonts w:cs="Times New Roman"/>
          <w:kern w:val="22"/>
          <w:sz w:val="22"/>
          <w:lang w:val="fr-FR"/>
        </w:rPr>
        <w:t>information</w:t>
      </w:r>
      <w:r>
        <w:rPr>
          <w:rFonts w:cs="Times New Roman"/>
          <w:kern w:val="22"/>
          <w:sz w:val="22"/>
          <w:lang w:val="fr-FR"/>
        </w:rPr>
        <w:t>s</w:t>
      </w:r>
      <w:r w:rsidR="00590D68" w:rsidRPr="001067B1">
        <w:rPr>
          <w:rFonts w:cs="Times New Roman"/>
          <w:kern w:val="22"/>
          <w:sz w:val="22"/>
          <w:lang w:val="fr-FR"/>
        </w:rPr>
        <w:t xml:space="preserve">. </w:t>
      </w:r>
      <w:r w:rsidR="00D6232E" w:rsidRPr="005F0D5A">
        <w:rPr>
          <w:rFonts w:cs="Times New Roman"/>
          <w:kern w:val="22"/>
          <w:sz w:val="22"/>
          <w:lang w:val="fr-FR"/>
        </w:rPr>
        <w:t>Cependant</w:t>
      </w:r>
      <w:r w:rsidR="00105124">
        <w:rPr>
          <w:rFonts w:cs="Times New Roman"/>
          <w:kern w:val="22"/>
          <w:sz w:val="22"/>
          <w:lang w:val="fr-FR"/>
        </w:rPr>
        <w:t>, pour</w:t>
      </w:r>
      <w:r w:rsidR="005F0D5A" w:rsidRPr="005F0D5A">
        <w:rPr>
          <w:rFonts w:cs="Times New Roman"/>
          <w:kern w:val="22"/>
          <w:sz w:val="22"/>
          <w:lang w:val="fr-FR"/>
        </w:rPr>
        <w:t xml:space="preserve"> les </w:t>
      </w:r>
      <w:r w:rsidR="00E40444" w:rsidRPr="005F0D5A">
        <w:rPr>
          <w:rFonts w:cs="Times New Roman"/>
          <w:kern w:val="22"/>
          <w:sz w:val="22"/>
          <w:lang w:val="fr-FR"/>
        </w:rPr>
        <w:t>pays</w:t>
      </w:r>
      <w:r w:rsidR="00590D68" w:rsidRPr="005F0D5A">
        <w:rPr>
          <w:rFonts w:cs="Times New Roman"/>
          <w:kern w:val="22"/>
          <w:sz w:val="22"/>
          <w:lang w:val="fr-FR"/>
        </w:rPr>
        <w:t xml:space="preserve"> </w:t>
      </w:r>
      <w:r w:rsidR="00105124">
        <w:rPr>
          <w:rFonts w:cs="Times New Roman"/>
          <w:kern w:val="22"/>
          <w:sz w:val="22"/>
          <w:lang w:val="fr-FR"/>
        </w:rPr>
        <w:t>dont</w:t>
      </w:r>
      <w:r w:rsidR="005F0D5A" w:rsidRPr="005F0D5A">
        <w:rPr>
          <w:rFonts w:cs="Times New Roman"/>
          <w:kern w:val="22"/>
          <w:sz w:val="22"/>
          <w:lang w:val="fr-FR"/>
        </w:rPr>
        <w:t xml:space="preserve"> le droit interne exige un</w:t>
      </w:r>
      <w:r w:rsidR="00590D68" w:rsidRPr="005F0D5A">
        <w:rPr>
          <w:rFonts w:cs="Times New Roman"/>
          <w:kern w:val="22"/>
          <w:sz w:val="22"/>
          <w:lang w:val="fr-FR"/>
        </w:rPr>
        <w:t xml:space="preserve"> </w:t>
      </w:r>
      <w:r w:rsidR="00E3674F" w:rsidRPr="005F0D5A">
        <w:rPr>
          <w:rFonts w:cs="Times New Roman"/>
          <w:kern w:val="22"/>
          <w:sz w:val="22"/>
          <w:lang w:val="fr-FR"/>
        </w:rPr>
        <w:t>partage des avantages</w:t>
      </w:r>
      <w:r w:rsidR="00105124">
        <w:rPr>
          <w:rFonts w:cs="Times New Roman"/>
          <w:kern w:val="22"/>
          <w:sz w:val="22"/>
          <w:lang w:val="fr-FR"/>
        </w:rPr>
        <w:t xml:space="preserve"> lorsqu’une </w:t>
      </w:r>
      <w:r w:rsidR="00BC5F0A">
        <w:rPr>
          <w:rFonts w:cs="Times New Roman"/>
          <w:kern w:val="22"/>
          <w:sz w:val="22"/>
          <w:lang w:val="fr-FR"/>
        </w:rPr>
        <w:t>information de séquençage</w:t>
      </w:r>
      <w:r w:rsidR="00142D5A">
        <w:rPr>
          <w:rFonts w:cs="Times New Roman"/>
          <w:kern w:val="22"/>
          <w:sz w:val="22"/>
          <w:lang w:val="fr-FR"/>
        </w:rPr>
        <w:t xml:space="preserve"> numérique</w:t>
      </w:r>
      <w:r w:rsidR="005F0D5A" w:rsidRPr="005F0D5A">
        <w:rPr>
          <w:rFonts w:cs="Times New Roman"/>
          <w:kern w:val="22"/>
          <w:sz w:val="22"/>
          <w:lang w:val="fr-FR"/>
        </w:rPr>
        <w:t xml:space="preserve"> </w:t>
      </w:r>
      <w:r w:rsidR="00105124">
        <w:rPr>
          <w:rFonts w:cs="Times New Roman"/>
          <w:kern w:val="22"/>
          <w:sz w:val="22"/>
          <w:lang w:val="fr-FR"/>
        </w:rPr>
        <w:t>a été sélectionnée ou acquise</w:t>
      </w:r>
      <w:r w:rsidR="005F0D5A" w:rsidRPr="005F0D5A">
        <w:rPr>
          <w:rFonts w:cs="Times New Roman"/>
          <w:kern w:val="22"/>
          <w:sz w:val="22"/>
          <w:lang w:val="fr-FR"/>
        </w:rPr>
        <w:t xml:space="preserve"> dans des</w:t>
      </w:r>
      <w:r w:rsidR="00FE16B8" w:rsidRPr="005F0D5A">
        <w:rPr>
          <w:kern w:val="22"/>
          <w:sz w:val="22"/>
          <w:lang w:val="fr-FR"/>
        </w:rPr>
        <w:t xml:space="preserve"> </w:t>
      </w:r>
      <w:r w:rsidR="00046703" w:rsidRPr="005F0D5A">
        <w:rPr>
          <w:rFonts w:cs="Times New Roman"/>
          <w:kern w:val="22"/>
          <w:sz w:val="22"/>
          <w:lang w:val="fr-FR"/>
        </w:rPr>
        <w:t>bases de données</w:t>
      </w:r>
      <w:r w:rsidR="009015CC" w:rsidRPr="005F0D5A">
        <w:rPr>
          <w:rFonts w:cs="Times New Roman"/>
          <w:kern w:val="22"/>
          <w:sz w:val="22"/>
          <w:lang w:val="fr-FR"/>
        </w:rPr>
        <w:t xml:space="preserve"> </w:t>
      </w:r>
      <w:r w:rsidR="005F0D5A">
        <w:rPr>
          <w:rFonts w:cs="Times New Roman"/>
          <w:kern w:val="22"/>
          <w:sz w:val="22"/>
          <w:lang w:val="fr-FR"/>
        </w:rPr>
        <w:t>comme</w:t>
      </w:r>
      <w:r w:rsidR="009015CC" w:rsidRPr="005F0D5A">
        <w:rPr>
          <w:rFonts w:cs="Times New Roman"/>
          <w:kern w:val="22"/>
          <w:sz w:val="22"/>
          <w:lang w:val="fr-FR"/>
        </w:rPr>
        <w:t xml:space="preserve"> GenBank, </w:t>
      </w:r>
      <w:r w:rsidR="00105124">
        <w:rPr>
          <w:rFonts w:cs="Times New Roman"/>
          <w:kern w:val="22"/>
          <w:sz w:val="22"/>
          <w:lang w:val="fr-FR"/>
        </w:rPr>
        <w:t>on ne dispose pas toujours d’</w:t>
      </w:r>
      <w:r w:rsidR="005F0D5A">
        <w:rPr>
          <w:rFonts w:cs="Times New Roman"/>
          <w:kern w:val="22"/>
          <w:sz w:val="22"/>
          <w:lang w:val="fr-FR"/>
        </w:rPr>
        <w:t xml:space="preserve">informations sur le </w:t>
      </w:r>
      <w:r w:rsidR="00D70471" w:rsidRPr="005F0D5A">
        <w:rPr>
          <w:rFonts w:cs="Times New Roman"/>
          <w:kern w:val="22"/>
          <w:sz w:val="22"/>
          <w:lang w:val="fr-FR"/>
        </w:rPr>
        <w:t>pays fournisseur</w:t>
      </w:r>
      <w:r w:rsidR="005F0D5A">
        <w:rPr>
          <w:rFonts w:cs="Times New Roman"/>
          <w:kern w:val="22"/>
          <w:sz w:val="22"/>
          <w:lang w:val="fr-FR"/>
        </w:rPr>
        <w:t xml:space="preserve"> et</w:t>
      </w:r>
      <w:r w:rsidR="00590D68" w:rsidRPr="005F0D5A">
        <w:rPr>
          <w:rFonts w:cs="Times New Roman"/>
          <w:kern w:val="22"/>
          <w:sz w:val="22"/>
          <w:lang w:val="fr-FR"/>
        </w:rPr>
        <w:t>/</w:t>
      </w:r>
      <w:r w:rsidR="005F0D5A">
        <w:rPr>
          <w:rFonts w:cs="Times New Roman"/>
          <w:kern w:val="22"/>
          <w:sz w:val="22"/>
          <w:lang w:val="fr-FR"/>
        </w:rPr>
        <w:t>ou</w:t>
      </w:r>
      <w:r w:rsidR="00105124">
        <w:rPr>
          <w:rFonts w:cs="Times New Roman"/>
          <w:kern w:val="22"/>
          <w:sz w:val="22"/>
          <w:lang w:val="fr-FR"/>
        </w:rPr>
        <w:t xml:space="preserve"> </w:t>
      </w:r>
      <w:r w:rsidR="00695005" w:rsidRPr="005F0D5A">
        <w:rPr>
          <w:rFonts w:cs="Times New Roman"/>
          <w:kern w:val="22"/>
          <w:sz w:val="22"/>
          <w:lang w:val="fr-FR"/>
        </w:rPr>
        <w:t>pays d’origine</w:t>
      </w:r>
      <w:r w:rsidR="00B401B5" w:rsidRPr="005F0D5A">
        <w:rPr>
          <w:rFonts w:cs="Times New Roman"/>
          <w:kern w:val="22"/>
          <w:sz w:val="22"/>
          <w:lang w:val="fr-FR"/>
        </w:rPr>
        <w:t>,</w:t>
      </w:r>
      <w:r w:rsidR="005F0D5A">
        <w:rPr>
          <w:rFonts w:cs="Times New Roman"/>
          <w:kern w:val="22"/>
          <w:sz w:val="22"/>
          <w:lang w:val="fr-FR"/>
        </w:rPr>
        <w:t xml:space="preserve"> car les gestionnaires des</w:t>
      </w:r>
      <w:r w:rsidR="009015CC" w:rsidRPr="005F0D5A">
        <w:rPr>
          <w:rFonts w:cs="Times New Roman"/>
          <w:kern w:val="22"/>
          <w:sz w:val="22"/>
          <w:lang w:val="fr-FR"/>
        </w:rPr>
        <w:t xml:space="preserve"> </w:t>
      </w:r>
      <w:r w:rsidR="00046703" w:rsidRPr="005F0D5A">
        <w:rPr>
          <w:rFonts w:cs="Times New Roman"/>
          <w:kern w:val="22"/>
          <w:sz w:val="22"/>
          <w:lang w:val="fr-FR"/>
        </w:rPr>
        <w:t>base</w:t>
      </w:r>
      <w:r w:rsidR="005F0D5A">
        <w:rPr>
          <w:rFonts w:cs="Times New Roman"/>
          <w:kern w:val="22"/>
          <w:sz w:val="22"/>
          <w:lang w:val="fr-FR"/>
        </w:rPr>
        <w:t>s</w:t>
      </w:r>
      <w:r w:rsidR="00046703" w:rsidRPr="005F0D5A">
        <w:rPr>
          <w:rFonts w:cs="Times New Roman"/>
          <w:kern w:val="22"/>
          <w:sz w:val="22"/>
          <w:lang w:val="fr-FR"/>
        </w:rPr>
        <w:t xml:space="preserve"> de données</w:t>
      </w:r>
      <w:r w:rsidR="00105124">
        <w:rPr>
          <w:rFonts w:cs="Times New Roman"/>
          <w:kern w:val="22"/>
          <w:sz w:val="22"/>
          <w:lang w:val="fr-FR"/>
        </w:rPr>
        <w:t xml:space="preserve"> n’exigent pas toujours que les</w:t>
      </w:r>
      <w:r w:rsidR="005F0D5A">
        <w:rPr>
          <w:rFonts w:cs="Times New Roman"/>
          <w:kern w:val="22"/>
          <w:sz w:val="22"/>
          <w:lang w:val="fr-FR"/>
        </w:rPr>
        <w:t xml:space="preserve"> fournisseurs de séquences</w:t>
      </w:r>
      <w:r w:rsidR="00105124">
        <w:rPr>
          <w:rFonts w:cs="Times New Roman"/>
          <w:kern w:val="22"/>
          <w:sz w:val="22"/>
          <w:lang w:val="fr-FR"/>
        </w:rPr>
        <w:t xml:space="preserve"> donnent </w:t>
      </w:r>
      <w:r w:rsidR="00930282">
        <w:rPr>
          <w:rFonts w:cs="Times New Roman"/>
          <w:kern w:val="22"/>
          <w:sz w:val="22"/>
          <w:lang w:val="fr-FR"/>
        </w:rPr>
        <w:t xml:space="preserve">ces </w:t>
      </w:r>
      <w:r w:rsidR="009015CC" w:rsidRPr="005F0D5A">
        <w:rPr>
          <w:rFonts w:cs="Times New Roman"/>
          <w:kern w:val="22"/>
          <w:sz w:val="22"/>
          <w:lang w:val="fr-FR"/>
        </w:rPr>
        <w:t>information</w:t>
      </w:r>
      <w:r w:rsidR="00930282">
        <w:rPr>
          <w:rFonts w:cs="Times New Roman"/>
          <w:kern w:val="22"/>
          <w:sz w:val="22"/>
          <w:lang w:val="fr-FR"/>
        </w:rPr>
        <w:t>s</w:t>
      </w:r>
      <w:r w:rsidR="009015CC" w:rsidRPr="005F0D5A">
        <w:rPr>
          <w:rFonts w:cs="Times New Roman"/>
          <w:kern w:val="22"/>
          <w:sz w:val="22"/>
          <w:lang w:val="fr-FR"/>
        </w:rPr>
        <w:t>.</w:t>
      </w:r>
      <w:r w:rsidR="009015CC" w:rsidRPr="002364AB">
        <w:rPr>
          <w:rStyle w:val="FootnoteReference"/>
          <w:kern w:val="22"/>
          <w:sz w:val="22"/>
          <w:lang w:val="en-GB"/>
        </w:rPr>
        <w:footnoteReference w:id="120"/>
      </w:r>
      <w:r w:rsidR="009015CC" w:rsidRPr="005F0D5A">
        <w:rPr>
          <w:rFonts w:cs="Times New Roman"/>
          <w:kern w:val="22"/>
          <w:sz w:val="22"/>
          <w:lang w:val="fr-FR"/>
        </w:rPr>
        <w:t xml:space="preserve"> </w:t>
      </w:r>
      <w:r w:rsidR="00202126" w:rsidRPr="00930282">
        <w:rPr>
          <w:rFonts w:cs="Times New Roman"/>
          <w:kern w:val="22"/>
          <w:sz w:val="22"/>
          <w:lang w:val="fr-FR"/>
        </w:rPr>
        <w:t>De plus</w:t>
      </w:r>
      <w:r w:rsidR="00590D68" w:rsidRPr="00930282">
        <w:rPr>
          <w:rFonts w:cs="Times New Roman"/>
          <w:kern w:val="22"/>
          <w:sz w:val="22"/>
          <w:lang w:val="fr-FR"/>
        </w:rPr>
        <w:t xml:space="preserve">, </w:t>
      </w:r>
      <w:r w:rsidR="00930282" w:rsidRPr="00930282">
        <w:rPr>
          <w:rFonts w:cs="Times New Roman"/>
          <w:kern w:val="22"/>
          <w:sz w:val="22"/>
          <w:lang w:val="fr-FR"/>
        </w:rPr>
        <w:t xml:space="preserve">même lorsque ces </w:t>
      </w:r>
      <w:r w:rsidR="009015CC" w:rsidRPr="00930282">
        <w:rPr>
          <w:rFonts w:cs="Times New Roman"/>
          <w:kern w:val="22"/>
          <w:sz w:val="22"/>
          <w:lang w:val="fr-FR"/>
        </w:rPr>
        <w:t>information</w:t>
      </w:r>
      <w:r w:rsidR="00930282" w:rsidRPr="00930282">
        <w:rPr>
          <w:rFonts w:cs="Times New Roman"/>
          <w:kern w:val="22"/>
          <w:sz w:val="22"/>
          <w:lang w:val="fr-FR"/>
        </w:rPr>
        <w:t xml:space="preserve">s sont </w:t>
      </w:r>
      <w:r w:rsidR="004A33E2" w:rsidRPr="00930282">
        <w:rPr>
          <w:rFonts w:cs="Times New Roman"/>
          <w:kern w:val="22"/>
          <w:sz w:val="22"/>
          <w:lang w:val="fr-FR"/>
        </w:rPr>
        <w:t>disponibles</w:t>
      </w:r>
      <w:r w:rsidR="009015CC" w:rsidRPr="00930282">
        <w:rPr>
          <w:rFonts w:cs="Times New Roman"/>
          <w:kern w:val="22"/>
          <w:sz w:val="22"/>
          <w:lang w:val="fr-FR"/>
        </w:rPr>
        <w:t xml:space="preserve">, </w:t>
      </w:r>
      <w:r w:rsidR="00105124">
        <w:rPr>
          <w:rFonts w:cs="Times New Roman"/>
          <w:kern w:val="22"/>
          <w:sz w:val="22"/>
          <w:lang w:val="fr-FR"/>
        </w:rPr>
        <w:t xml:space="preserve">et </w:t>
      </w:r>
      <w:r w:rsidR="00930282" w:rsidRPr="00930282">
        <w:rPr>
          <w:rFonts w:cs="Times New Roman"/>
          <w:kern w:val="22"/>
          <w:sz w:val="22"/>
          <w:lang w:val="fr-FR"/>
        </w:rPr>
        <w:t xml:space="preserve">même s’il est possible </w:t>
      </w:r>
      <w:r w:rsidR="00105124">
        <w:rPr>
          <w:rFonts w:cs="Times New Roman"/>
          <w:kern w:val="22"/>
          <w:sz w:val="22"/>
          <w:lang w:val="fr-FR"/>
        </w:rPr>
        <w:t xml:space="preserve">en </w:t>
      </w:r>
      <w:r w:rsidR="00930282" w:rsidRPr="00930282">
        <w:rPr>
          <w:rFonts w:cs="Times New Roman"/>
          <w:kern w:val="22"/>
          <w:sz w:val="22"/>
          <w:lang w:val="fr-FR"/>
        </w:rPr>
        <w:t>théori</w:t>
      </w:r>
      <w:r w:rsidR="00105124">
        <w:rPr>
          <w:rFonts w:cs="Times New Roman"/>
          <w:kern w:val="22"/>
          <w:sz w:val="22"/>
          <w:lang w:val="fr-FR"/>
        </w:rPr>
        <w:t xml:space="preserve">e de négocier des contrats </w:t>
      </w:r>
      <w:r w:rsidR="00930282" w:rsidRPr="00930282">
        <w:rPr>
          <w:rFonts w:cs="Times New Roman"/>
          <w:kern w:val="22"/>
          <w:sz w:val="22"/>
          <w:lang w:val="fr-FR"/>
        </w:rPr>
        <w:t xml:space="preserve">sur </w:t>
      </w:r>
      <w:r w:rsidR="00930282" w:rsidRPr="00930282">
        <w:rPr>
          <w:rFonts w:cs="Times New Roman"/>
          <w:kern w:val="22"/>
          <w:sz w:val="22"/>
          <w:lang w:val="fr-FR"/>
        </w:rPr>
        <w:lastRenderedPageBreak/>
        <w:t xml:space="preserve">le </w:t>
      </w:r>
      <w:r w:rsidR="00E3674F" w:rsidRPr="00930282">
        <w:rPr>
          <w:rFonts w:cs="Times New Roman"/>
          <w:kern w:val="22"/>
          <w:sz w:val="22"/>
          <w:lang w:val="fr-FR"/>
        </w:rPr>
        <w:t>partage des avantages</w:t>
      </w:r>
      <w:r w:rsidR="00930282" w:rsidRPr="00930282">
        <w:rPr>
          <w:rFonts w:cs="Times New Roman"/>
          <w:kern w:val="22"/>
          <w:sz w:val="22"/>
          <w:lang w:val="fr-FR"/>
        </w:rPr>
        <w:t xml:space="preserve"> </w:t>
      </w:r>
      <w:r w:rsidR="00D6232E" w:rsidRPr="00930282">
        <w:rPr>
          <w:rFonts w:cs="Times New Roman"/>
          <w:kern w:val="22"/>
          <w:sz w:val="22"/>
          <w:lang w:val="fr-FR"/>
        </w:rPr>
        <w:t xml:space="preserve">avec </w:t>
      </w:r>
      <w:r w:rsidR="00930282" w:rsidRPr="00930282">
        <w:rPr>
          <w:rFonts w:cs="Times New Roman"/>
          <w:kern w:val="22"/>
          <w:sz w:val="22"/>
          <w:lang w:val="fr-FR"/>
        </w:rPr>
        <w:t>chaque</w:t>
      </w:r>
      <w:r w:rsidR="009015CC" w:rsidRPr="00930282">
        <w:rPr>
          <w:rFonts w:cs="Times New Roman"/>
          <w:kern w:val="22"/>
          <w:sz w:val="22"/>
          <w:lang w:val="fr-FR"/>
        </w:rPr>
        <w:t xml:space="preserve"> </w:t>
      </w:r>
      <w:r w:rsidR="00D70471" w:rsidRPr="00930282">
        <w:rPr>
          <w:rFonts w:cs="Times New Roman"/>
          <w:kern w:val="22"/>
          <w:sz w:val="22"/>
          <w:lang w:val="fr-FR"/>
        </w:rPr>
        <w:t>pays fournisseur</w:t>
      </w:r>
      <w:r w:rsidR="00930282" w:rsidRPr="00930282">
        <w:rPr>
          <w:rFonts w:cs="Times New Roman"/>
          <w:kern w:val="22"/>
          <w:sz w:val="22"/>
          <w:lang w:val="fr-FR"/>
        </w:rPr>
        <w:t xml:space="preserve"> </w:t>
      </w:r>
      <w:r w:rsidR="00105124">
        <w:rPr>
          <w:rFonts w:cs="Times New Roman"/>
          <w:kern w:val="22"/>
          <w:sz w:val="22"/>
          <w:lang w:val="fr-FR"/>
        </w:rPr>
        <w:t xml:space="preserve">qui </w:t>
      </w:r>
      <w:r w:rsidR="00815F70">
        <w:rPr>
          <w:rFonts w:cs="Times New Roman"/>
          <w:kern w:val="22"/>
          <w:sz w:val="22"/>
          <w:lang w:val="fr-FR"/>
        </w:rPr>
        <w:t>demande</w:t>
      </w:r>
      <w:r w:rsidR="00105124">
        <w:rPr>
          <w:rFonts w:cs="Times New Roman"/>
          <w:kern w:val="22"/>
          <w:sz w:val="22"/>
          <w:lang w:val="fr-FR"/>
        </w:rPr>
        <w:t xml:space="preserve"> un</w:t>
      </w:r>
      <w:r w:rsidR="009939BA" w:rsidRPr="00930282">
        <w:rPr>
          <w:rFonts w:cs="Times New Roman"/>
          <w:kern w:val="22"/>
          <w:sz w:val="22"/>
          <w:lang w:val="fr-FR"/>
        </w:rPr>
        <w:t xml:space="preserve"> </w:t>
      </w:r>
      <w:r w:rsidR="00E3674F" w:rsidRPr="00930282">
        <w:rPr>
          <w:rFonts w:cs="Times New Roman"/>
          <w:kern w:val="22"/>
          <w:sz w:val="22"/>
          <w:lang w:val="fr-FR"/>
        </w:rPr>
        <w:t>partage des avantages</w:t>
      </w:r>
      <w:r w:rsidR="00105124">
        <w:rPr>
          <w:rFonts w:cs="Times New Roman"/>
          <w:kern w:val="22"/>
          <w:sz w:val="22"/>
          <w:lang w:val="fr-FR"/>
        </w:rPr>
        <w:t>, de tels</w:t>
      </w:r>
      <w:r w:rsidR="00930282">
        <w:rPr>
          <w:rFonts w:cs="Times New Roman"/>
          <w:kern w:val="22"/>
          <w:sz w:val="22"/>
          <w:lang w:val="fr-FR"/>
        </w:rPr>
        <w:t xml:space="preserve"> contrats</w:t>
      </w:r>
      <w:r w:rsidR="00105124">
        <w:rPr>
          <w:rFonts w:cs="Times New Roman"/>
          <w:kern w:val="22"/>
          <w:sz w:val="22"/>
          <w:lang w:val="fr-FR"/>
        </w:rPr>
        <w:t xml:space="preserve"> peuvent s’avérer impossibles ou</w:t>
      </w:r>
      <w:r w:rsidR="00815F70">
        <w:rPr>
          <w:rFonts w:cs="Times New Roman"/>
          <w:kern w:val="22"/>
          <w:sz w:val="22"/>
          <w:lang w:val="fr-FR"/>
        </w:rPr>
        <w:t xml:space="preserve"> </w:t>
      </w:r>
      <w:r w:rsidR="006011EF">
        <w:rPr>
          <w:rFonts w:cs="Times New Roman"/>
          <w:kern w:val="22"/>
          <w:sz w:val="22"/>
          <w:lang w:val="fr-FR"/>
        </w:rPr>
        <w:t>infaisables</w:t>
      </w:r>
      <w:r w:rsidR="00930282">
        <w:rPr>
          <w:rFonts w:cs="Times New Roman"/>
          <w:kern w:val="22"/>
          <w:sz w:val="22"/>
          <w:lang w:val="fr-FR"/>
        </w:rPr>
        <w:t xml:space="preserve"> en raison de leur coût prohibitif, à la fois en termes de temp</w:t>
      </w:r>
      <w:r w:rsidR="00105124">
        <w:rPr>
          <w:rFonts w:cs="Times New Roman"/>
          <w:kern w:val="22"/>
          <w:sz w:val="22"/>
          <w:lang w:val="fr-FR"/>
        </w:rPr>
        <w:t>s et d’argent dépensé</w:t>
      </w:r>
      <w:r w:rsidR="00815F70">
        <w:rPr>
          <w:rFonts w:cs="Times New Roman"/>
          <w:kern w:val="22"/>
          <w:sz w:val="22"/>
          <w:lang w:val="fr-FR"/>
        </w:rPr>
        <w:t>s</w:t>
      </w:r>
      <w:r w:rsidR="002F602D" w:rsidRPr="00930282">
        <w:rPr>
          <w:rFonts w:cs="Times New Roman"/>
          <w:kern w:val="22"/>
          <w:sz w:val="22"/>
          <w:lang w:val="fr-FR"/>
        </w:rPr>
        <w:t>.</w:t>
      </w:r>
      <w:r w:rsidR="005C6E08" w:rsidRPr="00930282">
        <w:rPr>
          <w:rFonts w:cs="Times New Roman"/>
          <w:kern w:val="22"/>
          <w:sz w:val="22"/>
          <w:lang w:val="fr-FR"/>
        </w:rPr>
        <w:t xml:space="preserve"> </w:t>
      </w:r>
    </w:p>
    <w:p w14:paraId="722E8A31" w14:textId="6A384743" w:rsidR="001029D1" w:rsidRPr="00930282" w:rsidRDefault="00930282" w:rsidP="779DD645">
      <w:pPr>
        <w:rPr>
          <w:rFonts w:cs="Times New Roman"/>
          <w:kern w:val="22"/>
          <w:sz w:val="22"/>
          <w:lang w:val="fr-FR"/>
        </w:rPr>
      </w:pPr>
      <w:r w:rsidRPr="00930282">
        <w:rPr>
          <w:rFonts w:cs="Times New Roman"/>
          <w:kern w:val="22"/>
          <w:sz w:val="22"/>
          <w:lang w:val="fr-FR"/>
        </w:rPr>
        <w:t>D’autre part</w:t>
      </w:r>
      <w:r w:rsidR="009015CC" w:rsidRPr="00930282">
        <w:rPr>
          <w:rFonts w:cs="Times New Roman"/>
          <w:kern w:val="22"/>
          <w:sz w:val="22"/>
          <w:lang w:val="fr-FR"/>
        </w:rPr>
        <w:t>,</w:t>
      </w:r>
      <w:r w:rsidR="00AA5919" w:rsidRPr="00930282">
        <w:rPr>
          <w:rFonts w:cs="Times New Roman"/>
          <w:kern w:val="22"/>
          <w:sz w:val="22"/>
          <w:lang w:val="fr-FR"/>
        </w:rPr>
        <w:t xml:space="preserve"> </w:t>
      </w:r>
      <w:r w:rsidR="00995E34" w:rsidRPr="00930282">
        <w:rPr>
          <w:rFonts w:cs="Times New Roman"/>
          <w:kern w:val="22"/>
          <w:sz w:val="22"/>
          <w:lang w:val="fr-FR"/>
        </w:rPr>
        <w:t xml:space="preserve">les </w:t>
      </w:r>
      <w:r w:rsidR="00AA5919" w:rsidRPr="00930282">
        <w:rPr>
          <w:rFonts w:cs="Times New Roman"/>
          <w:kern w:val="22"/>
          <w:sz w:val="22"/>
          <w:lang w:val="fr-FR"/>
        </w:rPr>
        <w:t xml:space="preserve">utilisateurs </w:t>
      </w:r>
      <w:r w:rsidR="00995E34" w:rsidRPr="00930282">
        <w:rPr>
          <w:rFonts w:cs="Times New Roman"/>
          <w:kern w:val="22"/>
          <w:sz w:val="22"/>
          <w:lang w:val="fr-FR"/>
        </w:rPr>
        <w:t>de</w:t>
      </w:r>
      <w:r w:rsidR="006E0C95">
        <w:rPr>
          <w:rFonts w:cs="Times New Roman"/>
          <w:kern w:val="22"/>
          <w:sz w:val="22"/>
          <w:lang w:val="fr-FR"/>
        </w:rPr>
        <w:t>s</w:t>
      </w:r>
      <w:r w:rsidR="009015CC" w:rsidRPr="00930282">
        <w:rPr>
          <w:rFonts w:cs="Times New Roman"/>
          <w:kern w:val="22"/>
          <w:sz w:val="22"/>
          <w:lang w:val="fr-FR"/>
        </w:rPr>
        <w:t xml:space="preserve"> </w:t>
      </w:r>
      <w:r w:rsidR="00974B88" w:rsidRPr="00930282">
        <w:rPr>
          <w:rFonts w:cs="Times New Roman"/>
          <w:kern w:val="22"/>
          <w:sz w:val="22"/>
          <w:lang w:val="fr-FR"/>
        </w:rPr>
        <w:t>séquence</w:t>
      </w:r>
      <w:r w:rsidR="00995E34" w:rsidRPr="00930282">
        <w:rPr>
          <w:rFonts w:cs="Times New Roman"/>
          <w:kern w:val="22"/>
          <w:sz w:val="22"/>
          <w:lang w:val="fr-FR"/>
        </w:rPr>
        <w:t>s provenant de</w:t>
      </w:r>
      <w:r w:rsidR="009015CC" w:rsidRPr="00930282">
        <w:rPr>
          <w:rFonts w:cs="Times New Roman"/>
          <w:kern w:val="22"/>
          <w:sz w:val="22"/>
          <w:lang w:val="fr-FR"/>
        </w:rPr>
        <w:t xml:space="preserve"> </w:t>
      </w:r>
      <w:r w:rsidR="00CA644E" w:rsidRPr="00930282">
        <w:rPr>
          <w:rFonts w:cs="Times New Roman"/>
          <w:kern w:val="22"/>
          <w:sz w:val="22"/>
          <w:lang w:val="fr-FR"/>
        </w:rPr>
        <w:t>ces</w:t>
      </w:r>
      <w:r w:rsidR="009015CC" w:rsidRPr="00930282">
        <w:rPr>
          <w:rFonts w:cs="Times New Roman"/>
          <w:kern w:val="22"/>
          <w:sz w:val="22"/>
          <w:lang w:val="fr-FR"/>
        </w:rPr>
        <w:t xml:space="preserve"> </w:t>
      </w:r>
      <w:r w:rsidR="00046703" w:rsidRPr="00930282">
        <w:rPr>
          <w:rFonts w:cs="Times New Roman"/>
          <w:kern w:val="22"/>
          <w:sz w:val="22"/>
          <w:lang w:val="fr-FR"/>
        </w:rPr>
        <w:t>bases de données</w:t>
      </w:r>
      <w:r w:rsidR="009015CC" w:rsidRPr="00930282">
        <w:rPr>
          <w:rFonts w:cs="Times New Roman"/>
          <w:kern w:val="22"/>
          <w:sz w:val="22"/>
          <w:lang w:val="fr-FR"/>
        </w:rPr>
        <w:t xml:space="preserve"> </w:t>
      </w:r>
      <w:r w:rsidR="00995E34" w:rsidRPr="00930282">
        <w:rPr>
          <w:rFonts w:cs="Times New Roman"/>
          <w:kern w:val="22"/>
          <w:sz w:val="22"/>
          <w:lang w:val="fr-FR"/>
        </w:rPr>
        <w:t xml:space="preserve">ne font généralement pas l’objet d’un </w:t>
      </w:r>
      <w:r>
        <w:rPr>
          <w:rFonts w:cs="Times New Roman"/>
          <w:kern w:val="22"/>
          <w:sz w:val="22"/>
          <w:lang w:val="fr-FR"/>
        </w:rPr>
        <w:t>suivi, ce qui re</w:t>
      </w:r>
      <w:r w:rsidR="00815F70">
        <w:rPr>
          <w:rFonts w:cs="Times New Roman"/>
          <w:kern w:val="22"/>
          <w:sz w:val="22"/>
          <w:lang w:val="fr-FR"/>
        </w:rPr>
        <w:t>nd impossible la tâche de déterminer quelles</w:t>
      </w:r>
      <w:r>
        <w:rPr>
          <w:rFonts w:cs="Times New Roman"/>
          <w:kern w:val="22"/>
          <w:sz w:val="22"/>
          <w:lang w:val="fr-FR"/>
        </w:rPr>
        <w:t xml:space="preserve"> utilisations </w:t>
      </w:r>
      <w:r w:rsidR="00815F70">
        <w:rPr>
          <w:rFonts w:cs="Times New Roman"/>
          <w:kern w:val="22"/>
          <w:sz w:val="22"/>
          <w:lang w:val="fr-FR"/>
        </w:rPr>
        <w:t xml:space="preserve">ont été faites </w:t>
      </w:r>
      <w:r>
        <w:rPr>
          <w:rFonts w:cs="Times New Roman"/>
          <w:kern w:val="22"/>
          <w:sz w:val="22"/>
          <w:lang w:val="fr-FR"/>
        </w:rPr>
        <w:t>en av</w:t>
      </w:r>
      <w:r w:rsidR="000C33D6">
        <w:rPr>
          <w:rFonts w:cs="Times New Roman"/>
          <w:kern w:val="22"/>
          <w:sz w:val="22"/>
          <w:lang w:val="fr-FR"/>
        </w:rPr>
        <w:t>al de l’obtention ou du téléchargement de l’information</w:t>
      </w:r>
      <w:r w:rsidR="00815F70">
        <w:rPr>
          <w:rFonts w:cs="Times New Roman"/>
          <w:kern w:val="22"/>
          <w:sz w:val="22"/>
          <w:lang w:val="fr-FR"/>
        </w:rPr>
        <w:t xml:space="preserve"> de </w:t>
      </w:r>
      <w:r w:rsidR="000C33D6">
        <w:rPr>
          <w:rFonts w:cs="Times New Roman"/>
          <w:kern w:val="22"/>
          <w:sz w:val="22"/>
          <w:lang w:val="fr-FR"/>
        </w:rPr>
        <w:t>séquençage</w:t>
      </w:r>
      <w:r w:rsidR="006E0C95">
        <w:rPr>
          <w:rFonts w:cs="Times New Roman"/>
          <w:kern w:val="22"/>
          <w:sz w:val="22"/>
          <w:lang w:val="fr-FR"/>
        </w:rPr>
        <w:t xml:space="preserve"> numérique</w:t>
      </w:r>
      <w:r>
        <w:rPr>
          <w:rFonts w:cs="Times New Roman"/>
          <w:kern w:val="22"/>
          <w:sz w:val="22"/>
          <w:lang w:val="fr-FR"/>
        </w:rPr>
        <w:t xml:space="preserve">, de sorte qu’un </w:t>
      </w:r>
      <w:r w:rsidR="00E40444" w:rsidRPr="00930282">
        <w:rPr>
          <w:rFonts w:cs="Times New Roman"/>
          <w:kern w:val="22"/>
          <w:sz w:val="22"/>
          <w:lang w:val="fr-FR"/>
        </w:rPr>
        <w:t>pays</w:t>
      </w:r>
      <w:r w:rsidR="002F602D" w:rsidRPr="00930282">
        <w:rPr>
          <w:rFonts w:cs="Times New Roman"/>
          <w:kern w:val="22"/>
          <w:sz w:val="22"/>
          <w:lang w:val="fr-FR"/>
        </w:rPr>
        <w:t xml:space="preserve"> </w:t>
      </w:r>
      <w:r w:rsidR="00815F70">
        <w:rPr>
          <w:rFonts w:cs="Times New Roman"/>
          <w:kern w:val="22"/>
          <w:sz w:val="22"/>
          <w:lang w:val="fr-FR"/>
        </w:rPr>
        <w:t xml:space="preserve">ne saura </w:t>
      </w:r>
      <w:r>
        <w:rPr>
          <w:rFonts w:cs="Times New Roman"/>
          <w:kern w:val="22"/>
          <w:sz w:val="22"/>
          <w:lang w:val="fr-FR"/>
        </w:rPr>
        <w:t>pas avec qui conclure un contrat</w:t>
      </w:r>
      <w:r w:rsidR="009015CC" w:rsidRPr="00930282">
        <w:rPr>
          <w:rFonts w:cs="Times New Roman"/>
          <w:kern w:val="22"/>
          <w:sz w:val="22"/>
          <w:lang w:val="fr-FR"/>
        </w:rPr>
        <w:t xml:space="preserve">. </w:t>
      </w:r>
      <w:r w:rsidRPr="00930282">
        <w:rPr>
          <w:rFonts w:cs="Times New Roman"/>
          <w:kern w:val="22"/>
          <w:sz w:val="22"/>
          <w:lang w:val="fr-FR"/>
        </w:rPr>
        <w:t>E</w:t>
      </w:r>
      <w:r w:rsidR="004D266C" w:rsidRPr="00930282">
        <w:rPr>
          <w:rFonts w:cs="Times New Roman"/>
          <w:kern w:val="22"/>
          <w:sz w:val="22"/>
          <w:lang w:val="fr-FR"/>
        </w:rPr>
        <w:t>n</w:t>
      </w:r>
      <w:r w:rsidR="00815F70">
        <w:rPr>
          <w:rFonts w:cs="Times New Roman"/>
          <w:kern w:val="22"/>
          <w:sz w:val="22"/>
          <w:lang w:val="fr-FR"/>
        </w:rPr>
        <w:t xml:space="preserve"> r</w:t>
      </w:r>
      <w:r w:rsidR="000C33D6">
        <w:rPr>
          <w:rFonts w:cs="Times New Roman"/>
          <w:kern w:val="22"/>
          <w:sz w:val="22"/>
          <w:lang w:val="fr-FR"/>
        </w:rPr>
        <w:t>ésumé, ceci</w:t>
      </w:r>
      <w:r w:rsidR="00815F70">
        <w:rPr>
          <w:rFonts w:cs="Times New Roman"/>
          <w:kern w:val="22"/>
          <w:sz w:val="22"/>
          <w:lang w:val="fr-FR"/>
        </w:rPr>
        <w:t xml:space="preserve"> tend à montrer</w:t>
      </w:r>
      <w:r w:rsidRPr="00930282">
        <w:rPr>
          <w:rFonts w:cs="Times New Roman"/>
          <w:kern w:val="22"/>
          <w:sz w:val="22"/>
          <w:lang w:val="fr-FR"/>
        </w:rPr>
        <w:t xml:space="preserve"> qu’en raison des prat</w:t>
      </w:r>
      <w:r w:rsidR="000C33D6">
        <w:rPr>
          <w:rFonts w:cs="Times New Roman"/>
          <w:kern w:val="22"/>
          <w:sz w:val="22"/>
          <w:lang w:val="fr-FR"/>
        </w:rPr>
        <w:t>iques actuelles d’accès libre</w:t>
      </w:r>
      <w:r w:rsidR="003A4F46">
        <w:rPr>
          <w:rFonts w:cs="Times New Roman"/>
          <w:kern w:val="22"/>
          <w:sz w:val="22"/>
          <w:lang w:val="fr-FR"/>
        </w:rPr>
        <w:t xml:space="preserve">, et </w:t>
      </w:r>
      <w:r w:rsidRPr="00930282">
        <w:rPr>
          <w:rFonts w:cs="Times New Roman"/>
          <w:kern w:val="22"/>
          <w:sz w:val="22"/>
          <w:lang w:val="fr-FR"/>
        </w:rPr>
        <w:t xml:space="preserve">du manque </w:t>
      </w:r>
      <w:r w:rsidR="002F47C3">
        <w:rPr>
          <w:rFonts w:cs="Times New Roman"/>
          <w:kern w:val="22"/>
          <w:sz w:val="22"/>
          <w:lang w:val="fr-FR"/>
        </w:rPr>
        <w:t xml:space="preserve">de </w:t>
      </w:r>
      <w:r w:rsidR="003A4F46">
        <w:rPr>
          <w:rFonts w:cs="Times New Roman"/>
          <w:kern w:val="22"/>
          <w:sz w:val="22"/>
          <w:lang w:val="fr-FR"/>
        </w:rPr>
        <w:t>données d’identification</w:t>
      </w:r>
      <w:r w:rsidR="006E0C95">
        <w:rPr>
          <w:rFonts w:cs="Times New Roman"/>
          <w:kern w:val="22"/>
          <w:sz w:val="22"/>
          <w:lang w:val="fr-FR"/>
        </w:rPr>
        <w:t xml:space="preserve"> </w:t>
      </w:r>
      <w:r w:rsidR="003A4F46">
        <w:rPr>
          <w:rFonts w:cs="Times New Roman"/>
          <w:kern w:val="22"/>
          <w:sz w:val="22"/>
          <w:lang w:val="fr-FR"/>
        </w:rPr>
        <w:t xml:space="preserve">et de mécanismes de traçabilité des </w:t>
      </w:r>
      <w:r w:rsidR="00815F70">
        <w:rPr>
          <w:rFonts w:cs="Times New Roman"/>
          <w:kern w:val="22"/>
          <w:sz w:val="22"/>
          <w:lang w:val="fr-FR"/>
        </w:rPr>
        <w:t>info</w:t>
      </w:r>
      <w:r w:rsidR="000C33D6">
        <w:rPr>
          <w:rFonts w:cs="Times New Roman"/>
          <w:kern w:val="22"/>
          <w:sz w:val="22"/>
          <w:lang w:val="fr-FR"/>
        </w:rPr>
        <w:t>rmation</w:t>
      </w:r>
      <w:r w:rsidR="003A4F46">
        <w:rPr>
          <w:rFonts w:cs="Times New Roman"/>
          <w:kern w:val="22"/>
          <w:sz w:val="22"/>
          <w:lang w:val="fr-FR"/>
        </w:rPr>
        <w:t>s</w:t>
      </w:r>
      <w:r w:rsidR="000C33D6">
        <w:rPr>
          <w:rFonts w:cs="Times New Roman"/>
          <w:kern w:val="22"/>
          <w:sz w:val="22"/>
          <w:lang w:val="fr-FR"/>
        </w:rPr>
        <w:t xml:space="preserve"> de  séquençage contenue</w:t>
      </w:r>
      <w:r w:rsidR="003A4F46">
        <w:rPr>
          <w:rFonts w:cs="Times New Roman"/>
          <w:kern w:val="22"/>
          <w:sz w:val="22"/>
          <w:lang w:val="fr-FR"/>
        </w:rPr>
        <w:t>s</w:t>
      </w:r>
      <w:r w:rsidR="00815F70">
        <w:rPr>
          <w:rFonts w:cs="Times New Roman"/>
          <w:kern w:val="22"/>
          <w:sz w:val="22"/>
          <w:lang w:val="fr-FR"/>
        </w:rPr>
        <w:t xml:space="preserve"> </w:t>
      </w:r>
      <w:r>
        <w:rPr>
          <w:rFonts w:cs="Times New Roman"/>
          <w:kern w:val="22"/>
          <w:sz w:val="22"/>
          <w:lang w:val="fr-FR"/>
        </w:rPr>
        <w:t xml:space="preserve">dans des </w:t>
      </w:r>
      <w:r w:rsidR="00046703" w:rsidRPr="00930282">
        <w:rPr>
          <w:rFonts w:cs="Times New Roman"/>
          <w:kern w:val="22"/>
          <w:sz w:val="22"/>
          <w:lang w:val="fr-FR"/>
        </w:rPr>
        <w:t>bases de données</w:t>
      </w:r>
      <w:r w:rsidR="675B34AE" w:rsidRPr="00930282">
        <w:rPr>
          <w:rFonts w:cs="Times New Roman"/>
          <w:kern w:val="22"/>
          <w:sz w:val="22"/>
          <w:lang w:val="fr-FR"/>
        </w:rPr>
        <w:t xml:space="preserve"> </w:t>
      </w:r>
      <w:r>
        <w:rPr>
          <w:rFonts w:cs="Times New Roman"/>
          <w:kern w:val="22"/>
          <w:sz w:val="22"/>
          <w:lang w:val="fr-FR"/>
        </w:rPr>
        <w:t>publiques comme l’</w:t>
      </w:r>
      <w:r w:rsidR="675B34AE" w:rsidRPr="00930282">
        <w:rPr>
          <w:rFonts w:cs="Times New Roman"/>
          <w:kern w:val="22"/>
          <w:sz w:val="22"/>
          <w:lang w:val="fr-FR"/>
        </w:rPr>
        <w:t>INSDC</w:t>
      </w:r>
      <w:r w:rsidR="00E3674F" w:rsidRPr="00930282">
        <w:rPr>
          <w:rFonts w:cs="Times New Roman"/>
          <w:kern w:val="22"/>
          <w:sz w:val="22"/>
          <w:lang w:val="fr-FR"/>
        </w:rPr>
        <w:t xml:space="preserve"> et </w:t>
      </w:r>
      <w:r>
        <w:rPr>
          <w:rFonts w:cs="Times New Roman"/>
          <w:kern w:val="22"/>
          <w:sz w:val="22"/>
          <w:lang w:val="fr-FR"/>
        </w:rPr>
        <w:t xml:space="preserve">dans les nombreuses </w:t>
      </w:r>
      <w:r w:rsidR="00046703" w:rsidRPr="00930282">
        <w:rPr>
          <w:rFonts w:cs="Times New Roman"/>
          <w:kern w:val="22"/>
          <w:sz w:val="22"/>
          <w:lang w:val="fr-FR"/>
        </w:rPr>
        <w:t>bases de données</w:t>
      </w:r>
      <w:r>
        <w:rPr>
          <w:rFonts w:cs="Times New Roman"/>
          <w:kern w:val="22"/>
          <w:sz w:val="22"/>
          <w:lang w:val="fr-FR"/>
        </w:rPr>
        <w:t xml:space="preserve"> privées d’e</w:t>
      </w:r>
      <w:r w:rsidR="001F55AB">
        <w:rPr>
          <w:rFonts w:cs="Times New Roman"/>
          <w:kern w:val="22"/>
          <w:sz w:val="22"/>
          <w:lang w:val="fr-FR"/>
        </w:rPr>
        <w:t xml:space="preserve">ntreprises qui téléchargent </w:t>
      </w:r>
      <w:r w:rsidR="00BC5F0A">
        <w:rPr>
          <w:rFonts w:cs="Times New Roman"/>
          <w:kern w:val="22"/>
          <w:sz w:val="22"/>
          <w:lang w:val="fr-FR"/>
        </w:rPr>
        <w:t>l’information de séquençage</w:t>
      </w:r>
      <w:r w:rsidR="006E0C95">
        <w:rPr>
          <w:rFonts w:cs="Times New Roman"/>
          <w:kern w:val="22"/>
          <w:sz w:val="22"/>
          <w:lang w:val="fr-FR"/>
        </w:rPr>
        <w:t xml:space="preserve"> provenant</w:t>
      </w:r>
      <w:r w:rsidR="001F55AB">
        <w:rPr>
          <w:rFonts w:cs="Times New Roman"/>
          <w:kern w:val="22"/>
          <w:sz w:val="22"/>
          <w:lang w:val="fr-FR"/>
        </w:rPr>
        <w:t xml:space="preserve"> de l’</w:t>
      </w:r>
      <w:r w:rsidR="00FB422A" w:rsidRPr="00930282">
        <w:rPr>
          <w:rFonts w:cs="Times New Roman"/>
          <w:kern w:val="22"/>
          <w:sz w:val="22"/>
          <w:lang w:val="fr-FR"/>
        </w:rPr>
        <w:t xml:space="preserve">INSDC, </w:t>
      </w:r>
      <w:r w:rsidR="006E0C95">
        <w:rPr>
          <w:rFonts w:cs="Times New Roman"/>
          <w:kern w:val="22"/>
          <w:sz w:val="22"/>
          <w:lang w:val="fr-FR"/>
        </w:rPr>
        <w:t xml:space="preserve">il sera souvent </w:t>
      </w:r>
      <w:r w:rsidR="002F602D" w:rsidRPr="00930282">
        <w:rPr>
          <w:rFonts w:cs="Times New Roman"/>
          <w:kern w:val="22"/>
          <w:sz w:val="22"/>
          <w:lang w:val="fr-FR"/>
        </w:rPr>
        <w:t>im</w:t>
      </w:r>
      <w:r w:rsidR="001C6610" w:rsidRPr="00930282">
        <w:rPr>
          <w:rFonts w:cs="Times New Roman"/>
          <w:kern w:val="22"/>
          <w:sz w:val="22"/>
          <w:lang w:val="fr-FR"/>
        </w:rPr>
        <w:t>possible</w:t>
      </w:r>
      <w:r w:rsidR="00FE16B8" w:rsidRPr="00930282">
        <w:rPr>
          <w:rFonts w:cs="Times New Roman"/>
          <w:kern w:val="22"/>
          <w:sz w:val="22"/>
          <w:lang w:val="fr-FR"/>
        </w:rPr>
        <w:t xml:space="preserve"> </w:t>
      </w:r>
      <w:r w:rsidR="000C33D6">
        <w:rPr>
          <w:rFonts w:cs="Times New Roman"/>
          <w:kern w:val="22"/>
          <w:sz w:val="22"/>
          <w:lang w:val="fr-FR"/>
        </w:rPr>
        <w:t>de détermi</w:t>
      </w:r>
      <w:r w:rsidR="006E0C95">
        <w:rPr>
          <w:rFonts w:cs="Times New Roman"/>
          <w:kern w:val="22"/>
          <w:sz w:val="22"/>
          <w:lang w:val="fr-FR"/>
        </w:rPr>
        <w:t>ner</w:t>
      </w:r>
      <w:r w:rsidR="000C33D6">
        <w:rPr>
          <w:rFonts w:cs="Times New Roman"/>
          <w:kern w:val="22"/>
          <w:sz w:val="22"/>
          <w:lang w:val="fr-FR"/>
        </w:rPr>
        <w:t xml:space="preserve"> si les dispositions en matière d</w:t>
      </w:r>
      <w:r w:rsidR="001F55AB">
        <w:rPr>
          <w:rFonts w:cs="Times New Roman"/>
          <w:kern w:val="22"/>
          <w:sz w:val="22"/>
          <w:lang w:val="fr-FR"/>
        </w:rPr>
        <w:t>’</w:t>
      </w:r>
      <w:r w:rsidR="00A70F9B" w:rsidRPr="00930282">
        <w:rPr>
          <w:rFonts w:cs="Times New Roman"/>
          <w:kern w:val="22"/>
          <w:sz w:val="22"/>
          <w:lang w:val="fr-FR"/>
        </w:rPr>
        <w:t xml:space="preserve">accès et </w:t>
      </w:r>
      <w:r w:rsidR="000C33D6">
        <w:rPr>
          <w:rFonts w:cs="Times New Roman"/>
          <w:kern w:val="22"/>
          <w:sz w:val="22"/>
          <w:lang w:val="fr-FR"/>
        </w:rPr>
        <w:t>l</w:t>
      </w:r>
      <w:r w:rsidR="001F55AB">
        <w:rPr>
          <w:rFonts w:cs="Times New Roman"/>
          <w:kern w:val="22"/>
          <w:sz w:val="22"/>
          <w:lang w:val="fr-FR"/>
        </w:rPr>
        <w:t xml:space="preserve">es </w:t>
      </w:r>
      <w:r w:rsidR="007732EE" w:rsidRPr="00930282">
        <w:rPr>
          <w:rFonts w:cs="Times New Roman"/>
          <w:kern w:val="22"/>
          <w:sz w:val="22"/>
          <w:lang w:val="fr-FR"/>
        </w:rPr>
        <w:t>obligations re</w:t>
      </w:r>
      <w:r w:rsidR="000C33D6">
        <w:rPr>
          <w:rFonts w:cs="Times New Roman"/>
          <w:kern w:val="22"/>
          <w:sz w:val="22"/>
          <w:lang w:val="fr-FR"/>
        </w:rPr>
        <w:t>latives au partage des avantages ont été respectées</w:t>
      </w:r>
      <w:r w:rsidR="00FE16B8" w:rsidRPr="00930282">
        <w:rPr>
          <w:rFonts w:cs="Times New Roman"/>
          <w:kern w:val="22"/>
          <w:sz w:val="22"/>
          <w:lang w:val="fr-FR"/>
        </w:rPr>
        <w:t>.</w:t>
      </w:r>
    </w:p>
    <w:p w14:paraId="2E171BFC" w14:textId="7AD82D59" w:rsidR="00E739AA" w:rsidRPr="001B6AFA" w:rsidRDefault="008A5BE1" w:rsidP="00E739AA">
      <w:pPr>
        <w:rPr>
          <w:rFonts w:cs="Times New Roman"/>
          <w:kern w:val="22"/>
          <w:sz w:val="22"/>
          <w:lang w:val="fr-FR"/>
        </w:rPr>
      </w:pPr>
      <w:r w:rsidRPr="00930282">
        <w:rPr>
          <w:rFonts w:cs="Times New Roman"/>
          <w:kern w:val="22"/>
          <w:sz w:val="22"/>
          <w:lang w:val="fr-FR"/>
        </w:rPr>
        <w:t>À titre d’exemple</w:t>
      </w:r>
      <w:r w:rsidR="001A0A60" w:rsidRPr="00930282">
        <w:rPr>
          <w:rFonts w:cs="Times New Roman"/>
          <w:kern w:val="22"/>
          <w:sz w:val="22"/>
          <w:lang w:val="fr-FR"/>
        </w:rPr>
        <w:t xml:space="preserve">, </w:t>
      </w:r>
      <w:r w:rsidR="00E0349E">
        <w:rPr>
          <w:rFonts w:cs="Times New Roman"/>
          <w:kern w:val="22"/>
          <w:sz w:val="22"/>
          <w:lang w:val="fr-FR"/>
        </w:rPr>
        <w:t xml:space="preserve">on sait que </w:t>
      </w:r>
      <w:r w:rsidR="00F3205A">
        <w:rPr>
          <w:rFonts w:cs="Times New Roman"/>
          <w:kern w:val="22"/>
          <w:sz w:val="22"/>
          <w:lang w:val="fr-FR"/>
        </w:rPr>
        <w:t>l’acide gibbérellique</w:t>
      </w:r>
      <w:r w:rsidR="00930282">
        <w:rPr>
          <w:rFonts w:cs="Times New Roman"/>
          <w:kern w:val="22"/>
          <w:sz w:val="22"/>
          <w:lang w:val="fr-FR"/>
        </w:rPr>
        <w:t xml:space="preserve"> </w:t>
      </w:r>
      <w:r w:rsidR="00930282" w:rsidRPr="00930282">
        <w:rPr>
          <w:rFonts w:cs="Times New Roman"/>
          <w:kern w:val="22"/>
          <w:sz w:val="22"/>
          <w:lang w:val="fr-FR"/>
        </w:rPr>
        <w:t>(</w:t>
      </w:r>
      <w:r w:rsidR="00E84374">
        <w:rPr>
          <w:rFonts w:cs="Times New Roman"/>
          <w:kern w:val="22"/>
          <w:sz w:val="22"/>
          <w:lang w:val="fr-FR"/>
        </w:rPr>
        <w:t>AG3</w:t>
      </w:r>
      <w:r w:rsidR="00E0349E">
        <w:rPr>
          <w:rFonts w:cs="Times New Roman"/>
          <w:kern w:val="22"/>
          <w:sz w:val="22"/>
          <w:lang w:val="fr-FR"/>
        </w:rPr>
        <w:t xml:space="preserve">) </w:t>
      </w:r>
      <w:r w:rsidR="00930282" w:rsidRPr="00930282">
        <w:rPr>
          <w:rFonts w:cs="Times New Roman"/>
          <w:kern w:val="22"/>
          <w:sz w:val="22"/>
          <w:lang w:val="fr-FR"/>
        </w:rPr>
        <w:t>module</w:t>
      </w:r>
      <w:r w:rsidR="00E739AA" w:rsidRPr="00930282">
        <w:rPr>
          <w:rFonts w:cs="Times New Roman"/>
          <w:kern w:val="22"/>
          <w:sz w:val="22"/>
          <w:lang w:val="fr-FR"/>
        </w:rPr>
        <w:t xml:space="preserve"> </w:t>
      </w:r>
      <w:r w:rsidR="001B2CC8" w:rsidRPr="00930282">
        <w:rPr>
          <w:rFonts w:cs="Times New Roman"/>
          <w:kern w:val="22"/>
          <w:sz w:val="22"/>
          <w:lang w:val="fr-FR"/>
        </w:rPr>
        <w:t>la croissance des plantes</w:t>
      </w:r>
      <w:r w:rsidR="00E3674F" w:rsidRPr="00930282">
        <w:rPr>
          <w:rFonts w:cs="Times New Roman"/>
          <w:kern w:val="22"/>
          <w:sz w:val="22"/>
          <w:lang w:val="fr-FR"/>
        </w:rPr>
        <w:t xml:space="preserve"> et </w:t>
      </w:r>
      <w:r w:rsidR="00930282">
        <w:rPr>
          <w:rFonts w:cs="Times New Roman"/>
          <w:kern w:val="22"/>
          <w:sz w:val="22"/>
          <w:lang w:val="fr-FR"/>
        </w:rPr>
        <w:t>peut permettre le développement de cocotiers nains (préférés)</w:t>
      </w:r>
      <w:r w:rsidR="00E739AA" w:rsidRPr="00930282">
        <w:rPr>
          <w:rFonts w:cs="Times New Roman"/>
          <w:kern w:val="22"/>
          <w:sz w:val="22"/>
          <w:lang w:val="fr-FR"/>
        </w:rPr>
        <w:t>.</w:t>
      </w:r>
      <w:r w:rsidR="00E739AA" w:rsidRPr="00930282" w:rsidDel="005D29DF">
        <w:rPr>
          <w:rFonts w:cs="Times New Roman"/>
          <w:kern w:val="22"/>
          <w:sz w:val="22"/>
          <w:lang w:val="fr-FR"/>
        </w:rPr>
        <w:t xml:space="preserve"> </w:t>
      </w:r>
      <w:r w:rsidR="001F55AB" w:rsidRPr="001F55AB">
        <w:rPr>
          <w:rFonts w:cs="Times New Roman"/>
          <w:kern w:val="22"/>
          <w:sz w:val="22"/>
          <w:lang w:val="fr-FR"/>
        </w:rPr>
        <w:t>Dans une</w:t>
      </w:r>
      <w:r w:rsidR="00E739AA" w:rsidRPr="001F55AB">
        <w:rPr>
          <w:rFonts w:cs="Times New Roman"/>
          <w:kern w:val="22"/>
          <w:sz w:val="22"/>
          <w:lang w:val="fr-FR"/>
        </w:rPr>
        <w:t xml:space="preserve"> </w:t>
      </w:r>
      <w:r w:rsidR="00E3674F" w:rsidRPr="001F55AB">
        <w:rPr>
          <w:rFonts w:cs="Times New Roman"/>
          <w:kern w:val="22"/>
          <w:sz w:val="22"/>
          <w:lang w:val="fr-FR"/>
        </w:rPr>
        <w:t>étude</w:t>
      </w:r>
      <w:r w:rsidR="00E739AA" w:rsidRPr="001F55AB">
        <w:rPr>
          <w:rFonts w:cs="Times New Roman"/>
          <w:kern w:val="22"/>
          <w:sz w:val="22"/>
          <w:lang w:val="fr-FR"/>
        </w:rPr>
        <w:t xml:space="preserve">, </w:t>
      </w:r>
      <w:r w:rsidR="001F55AB" w:rsidRPr="001F55AB">
        <w:rPr>
          <w:rFonts w:cs="Times New Roman"/>
          <w:kern w:val="22"/>
          <w:sz w:val="22"/>
          <w:lang w:val="fr-FR"/>
        </w:rPr>
        <w:t xml:space="preserve">les </w:t>
      </w:r>
      <w:r w:rsidR="008A362D" w:rsidRPr="001F55AB">
        <w:rPr>
          <w:rFonts w:cs="Times New Roman"/>
          <w:kern w:val="22"/>
          <w:sz w:val="22"/>
          <w:lang w:val="fr-FR"/>
        </w:rPr>
        <w:t>chercheurs</w:t>
      </w:r>
      <w:r w:rsidR="001F55AB" w:rsidRPr="001F55AB">
        <w:rPr>
          <w:rFonts w:cs="Times New Roman"/>
          <w:kern w:val="22"/>
          <w:sz w:val="22"/>
          <w:lang w:val="fr-FR"/>
        </w:rPr>
        <w:t xml:space="preserve"> ont</w:t>
      </w:r>
      <w:r w:rsidR="003A4F46">
        <w:rPr>
          <w:rFonts w:cs="Times New Roman"/>
          <w:kern w:val="22"/>
          <w:sz w:val="22"/>
          <w:lang w:val="fr-FR"/>
        </w:rPr>
        <w:t xml:space="preserve"> utilisé </w:t>
      </w:r>
      <w:r w:rsidR="008A7BBA">
        <w:rPr>
          <w:rFonts w:cs="Times New Roman"/>
          <w:kern w:val="22"/>
          <w:sz w:val="22"/>
          <w:lang w:val="fr-FR"/>
        </w:rPr>
        <w:t>l’outil de recherche en ligne « </w:t>
      </w:r>
      <w:r w:rsidR="000B6ABF" w:rsidRPr="001F55AB">
        <w:rPr>
          <w:rFonts w:cs="Times New Roman"/>
          <w:kern w:val="22"/>
          <w:sz w:val="22"/>
          <w:lang w:val="fr-FR"/>
        </w:rPr>
        <w:t>Bas</w:t>
      </w:r>
      <w:r w:rsidR="00E0349E">
        <w:rPr>
          <w:rFonts w:cs="Times New Roman"/>
          <w:kern w:val="22"/>
          <w:sz w:val="22"/>
          <w:lang w:val="fr-FR"/>
        </w:rPr>
        <w:t>ic Local Alignment Search Tool</w:t>
      </w:r>
      <w:r w:rsidR="008A7BBA">
        <w:rPr>
          <w:rFonts w:cs="Times New Roman"/>
          <w:kern w:val="22"/>
          <w:sz w:val="22"/>
          <w:lang w:val="fr-FR"/>
        </w:rPr>
        <w:t> »</w:t>
      </w:r>
      <w:r w:rsidR="00E0349E">
        <w:rPr>
          <w:rFonts w:cs="Times New Roman"/>
          <w:kern w:val="22"/>
          <w:sz w:val="22"/>
          <w:lang w:val="fr-FR"/>
        </w:rPr>
        <w:t xml:space="preserve"> </w:t>
      </w:r>
      <w:r w:rsidR="008A7BBA">
        <w:rPr>
          <w:rFonts w:cs="Times New Roman"/>
          <w:kern w:val="22"/>
          <w:sz w:val="22"/>
          <w:lang w:val="fr-FR"/>
        </w:rPr>
        <w:t>(</w:t>
      </w:r>
      <w:r w:rsidR="00E739AA" w:rsidRPr="001F55AB">
        <w:rPr>
          <w:rFonts w:cs="Times New Roman"/>
          <w:kern w:val="22"/>
          <w:sz w:val="22"/>
          <w:lang w:val="fr-FR"/>
        </w:rPr>
        <w:t>BLAST</w:t>
      </w:r>
      <w:r w:rsidR="000B6ABF" w:rsidRPr="001F55AB">
        <w:rPr>
          <w:rFonts w:cs="Times New Roman"/>
          <w:kern w:val="22"/>
          <w:sz w:val="22"/>
          <w:lang w:val="fr-FR"/>
        </w:rPr>
        <w:t>)</w:t>
      </w:r>
      <w:r w:rsidR="006C74E1" w:rsidRPr="001F55AB">
        <w:rPr>
          <w:rFonts w:cs="Times New Roman"/>
          <w:kern w:val="22"/>
          <w:sz w:val="22"/>
          <w:lang w:val="fr-FR"/>
        </w:rPr>
        <w:t>,</w:t>
      </w:r>
      <w:r w:rsidR="000B6ABF" w:rsidRPr="002364AB">
        <w:rPr>
          <w:rStyle w:val="FootnoteReference"/>
          <w:kern w:val="22"/>
          <w:sz w:val="22"/>
          <w:lang w:val="en-GB"/>
        </w:rPr>
        <w:footnoteReference w:id="121"/>
      </w:r>
      <w:r w:rsidR="00E0349E">
        <w:rPr>
          <w:rFonts w:cs="Times New Roman"/>
          <w:kern w:val="22"/>
          <w:sz w:val="22"/>
          <w:lang w:val="fr-FR"/>
        </w:rPr>
        <w:t xml:space="preserve"> en même temps que </w:t>
      </w:r>
      <w:r w:rsidR="002518EB" w:rsidRPr="001F55AB">
        <w:rPr>
          <w:rFonts w:cs="Times New Roman"/>
          <w:kern w:val="22"/>
          <w:sz w:val="22"/>
          <w:lang w:val="fr-FR"/>
        </w:rPr>
        <w:t xml:space="preserve">d’autres </w:t>
      </w:r>
      <w:r w:rsidR="001F55AB">
        <w:rPr>
          <w:rFonts w:cs="Times New Roman"/>
          <w:kern w:val="22"/>
          <w:sz w:val="22"/>
          <w:lang w:val="fr-FR"/>
        </w:rPr>
        <w:t>outils de recherche sur l’</w:t>
      </w:r>
      <w:r w:rsidR="003C630F" w:rsidRPr="001F55AB">
        <w:rPr>
          <w:rFonts w:cs="Times New Roman"/>
          <w:kern w:val="22"/>
          <w:sz w:val="22"/>
          <w:lang w:val="fr-FR"/>
        </w:rPr>
        <w:t>align</w:t>
      </w:r>
      <w:r w:rsidR="003A4F46">
        <w:rPr>
          <w:rFonts w:cs="Times New Roman"/>
          <w:kern w:val="22"/>
          <w:sz w:val="22"/>
          <w:lang w:val="fr-FR"/>
        </w:rPr>
        <w:t>ement</w:t>
      </w:r>
      <w:r w:rsidR="006C74E1" w:rsidRPr="001F55AB">
        <w:rPr>
          <w:rFonts w:cs="Times New Roman"/>
          <w:kern w:val="22"/>
          <w:sz w:val="22"/>
          <w:lang w:val="fr-FR"/>
        </w:rPr>
        <w:t>,</w:t>
      </w:r>
      <w:r w:rsidR="001F55AB">
        <w:rPr>
          <w:rFonts w:cs="Times New Roman"/>
          <w:kern w:val="22"/>
          <w:sz w:val="22"/>
          <w:lang w:val="fr-FR"/>
        </w:rPr>
        <w:t xml:space="preserve"> pour trouver des gènes semblables à ceux qui sont </w:t>
      </w:r>
      <w:r w:rsidR="001F55AB" w:rsidRPr="001F55AB">
        <w:rPr>
          <w:rFonts w:cs="Times New Roman"/>
          <w:kern w:val="22"/>
          <w:sz w:val="22"/>
          <w:lang w:val="fr-FR"/>
        </w:rPr>
        <w:t xml:space="preserve">utilisé </w:t>
      </w:r>
      <w:r w:rsidR="001B6AFA">
        <w:rPr>
          <w:rFonts w:cs="Times New Roman"/>
          <w:kern w:val="22"/>
          <w:sz w:val="22"/>
          <w:lang w:val="fr-FR"/>
        </w:rPr>
        <w:t>dans la</w:t>
      </w:r>
      <w:r w:rsidR="00E739AA" w:rsidRPr="001F55AB">
        <w:rPr>
          <w:rFonts w:cs="Times New Roman"/>
          <w:kern w:val="22"/>
          <w:sz w:val="22"/>
          <w:lang w:val="fr-FR"/>
        </w:rPr>
        <w:t xml:space="preserve"> </w:t>
      </w:r>
      <w:r w:rsidR="00E84374">
        <w:rPr>
          <w:rFonts w:cs="Times New Roman"/>
          <w:kern w:val="22"/>
          <w:sz w:val="22"/>
          <w:lang w:val="fr-FR"/>
        </w:rPr>
        <w:t>biosynthèse d’AG3</w:t>
      </w:r>
      <w:r w:rsidR="00B83E8C" w:rsidRPr="001F55AB">
        <w:rPr>
          <w:rFonts w:cs="Times New Roman"/>
          <w:kern w:val="22"/>
          <w:sz w:val="22"/>
          <w:lang w:val="fr-FR"/>
        </w:rPr>
        <w:t xml:space="preserve">. </w:t>
      </w:r>
      <w:r w:rsidR="00E0349E">
        <w:rPr>
          <w:rFonts w:cs="Times New Roman"/>
          <w:kern w:val="22"/>
          <w:sz w:val="22"/>
          <w:lang w:val="fr-FR"/>
        </w:rPr>
        <w:t xml:space="preserve">Ils </w:t>
      </w:r>
      <w:r w:rsidR="001B6AFA" w:rsidRPr="001B6AFA">
        <w:rPr>
          <w:rFonts w:cs="Times New Roman"/>
          <w:kern w:val="22"/>
          <w:sz w:val="22"/>
          <w:lang w:val="fr-FR"/>
        </w:rPr>
        <w:t>ont trouvé sept</w:t>
      </w:r>
      <w:r w:rsidR="00E0349E">
        <w:rPr>
          <w:rFonts w:cs="Times New Roman"/>
          <w:kern w:val="22"/>
          <w:sz w:val="22"/>
          <w:lang w:val="fr-FR"/>
        </w:rPr>
        <w:t xml:space="preserve"> gènes présents</w:t>
      </w:r>
      <w:r w:rsidR="001B6AFA" w:rsidRPr="001B6AFA">
        <w:rPr>
          <w:rFonts w:cs="Times New Roman"/>
          <w:kern w:val="22"/>
          <w:sz w:val="22"/>
          <w:lang w:val="fr-FR"/>
        </w:rPr>
        <w:t xml:space="preserve"> dans d’autres</w:t>
      </w:r>
      <w:r w:rsidR="00B83E8C" w:rsidRPr="001B6AFA">
        <w:rPr>
          <w:rFonts w:cs="Times New Roman"/>
          <w:kern w:val="22"/>
          <w:sz w:val="22"/>
          <w:lang w:val="fr-FR"/>
        </w:rPr>
        <w:t xml:space="preserve"> </w:t>
      </w:r>
      <w:r w:rsidR="00651FB0" w:rsidRPr="001B6AFA">
        <w:rPr>
          <w:rFonts w:cs="Times New Roman"/>
          <w:kern w:val="22"/>
          <w:sz w:val="22"/>
          <w:lang w:val="fr-FR"/>
        </w:rPr>
        <w:t>espèces</w:t>
      </w:r>
      <w:r w:rsidR="00E0349E">
        <w:rPr>
          <w:rFonts w:cs="Times New Roman"/>
          <w:kern w:val="22"/>
          <w:sz w:val="22"/>
          <w:lang w:val="fr-FR"/>
        </w:rPr>
        <w:t xml:space="preserve"> végétales</w:t>
      </w:r>
      <w:r w:rsidR="00276F9C" w:rsidRPr="001B6AFA">
        <w:rPr>
          <w:rFonts w:cs="Times New Roman"/>
          <w:kern w:val="22"/>
          <w:sz w:val="22"/>
          <w:lang w:val="fr-FR"/>
        </w:rPr>
        <w:t>,</w:t>
      </w:r>
      <w:r w:rsidR="00E3674F" w:rsidRPr="001B6AFA">
        <w:rPr>
          <w:rFonts w:cs="Times New Roman"/>
          <w:kern w:val="22"/>
          <w:sz w:val="22"/>
          <w:lang w:val="fr-FR"/>
        </w:rPr>
        <w:t xml:space="preserve"> et </w:t>
      </w:r>
      <w:r w:rsidR="001B6AFA" w:rsidRPr="001B6AFA">
        <w:rPr>
          <w:rFonts w:cs="Times New Roman"/>
          <w:kern w:val="22"/>
          <w:sz w:val="22"/>
          <w:lang w:val="fr-FR"/>
        </w:rPr>
        <w:t>on</w:t>
      </w:r>
      <w:r w:rsidR="001B6AFA">
        <w:rPr>
          <w:rFonts w:cs="Times New Roman"/>
          <w:kern w:val="22"/>
          <w:sz w:val="22"/>
          <w:lang w:val="fr-FR"/>
        </w:rPr>
        <w:t>t été en mesure de prédire la fonction probable des</w:t>
      </w:r>
      <w:r w:rsidR="00E739AA" w:rsidRPr="001B6AFA">
        <w:rPr>
          <w:rFonts w:cs="Times New Roman"/>
          <w:kern w:val="22"/>
          <w:sz w:val="22"/>
          <w:lang w:val="fr-FR"/>
        </w:rPr>
        <w:t xml:space="preserve"> </w:t>
      </w:r>
      <w:r w:rsidR="001B6AFA">
        <w:rPr>
          <w:rFonts w:cs="Times New Roman"/>
          <w:kern w:val="22"/>
          <w:sz w:val="22"/>
          <w:lang w:val="fr-FR"/>
        </w:rPr>
        <w:t>gènes impliqués dans la</w:t>
      </w:r>
      <w:r w:rsidR="00E739AA" w:rsidRPr="001B6AFA">
        <w:rPr>
          <w:rFonts w:cs="Times New Roman"/>
          <w:kern w:val="22"/>
          <w:sz w:val="22"/>
          <w:lang w:val="fr-FR"/>
        </w:rPr>
        <w:t xml:space="preserve"> </w:t>
      </w:r>
      <w:r w:rsidR="00E84374" w:rsidRPr="001B6AFA">
        <w:rPr>
          <w:rFonts w:cs="Times New Roman"/>
          <w:kern w:val="22"/>
          <w:sz w:val="22"/>
          <w:lang w:val="fr-FR"/>
        </w:rPr>
        <w:t>biosynthèse d’AG3</w:t>
      </w:r>
      <w:r w:rsidR="00E739AA" w:rsidRPr="001B6AFA">
        <w:rPr>
          <w:rFonts w:cs="Times New Roman"/>
          <w:kern w:val="22"/>
          <w:sz w:val="22"/>
          <w:lang w:val="fr-FR"/>
        </w:rPr>
        <w:t>.</w:t>
      </w:r>
      <w:r w:rsidR="00E739AA" w:rsidRPr="002364AB">
        <w:rPr>
          <w:rStyle w:val="FootnoteReference"/>
          <w:kern w:val="22"/>
          <w:sz w:val="22"/>
          <w:lang w:val="en-GB"/>
        </w:rPr>
        <w:footnoteReference w:id="122"/>
      </w:r>
      <w:r w:rsidR="00E739AA" w:rsidRPr="001B6AFA">
        <w:rPr>
          <w:rFonts w:cs="Times New Roman"/>
          <w:kern w:val="22"/>
          <w:sz w:val="22"/>
          <w:lang w:val="fr-FR"/>
        </w:rPr>
        <w:t xml:space="preserve"> </w:t>
      </w:r>
      <w:r w:rsidR="001B6AFA" w:rsidRPr="001B6AFA">
        <w:rPr>
          <w:rFonts w:cs="Times New Roman"/>
          <w:kern w:val="22"/>
          <w:sz w:val="22"/>
          <w:lang w:val="fr-FR"/>
        </w:rPr>
        <w:t>Les</w:t>
      </w:r>
      <w:r w:rsidR="004306A4">
        <w:rPr>
          <w:rFonts w:cs="Times New Roman"/>
          <w:kern w:val="22"/>
          <w:sz w:val="22"/>
          <w:lang w:val="fr-FR"/>
        </w:rPr>
        <w:t xml:space="preserve"> rech</w:t>
      </w:r>
      <w:r w:rsidR="001B6AFA" w:rsidRPr="001B6AFA">
        <w:rPr>
          <w:rFonts w:cs="Times New Roman"/>
          <w:kern w:val="22"/>
          <w:sz w:val="22"/>
          <w:lang w:val="fr-FR"/>
        </w:rPr>
        <w:t>e</w:t>
      </w:r>
      <w:r w:rsidR="004306A4">
        <w:rPr>
          <w:rFonts w:cs="Times New Roman"/>
          <w:kern w:val="22"/>
          <w:sz w:val="22"/>
          <w:lang w:val="fr-FR"/>
        </w:rPr>
        <w:t>rche</w:t>
      </w:r>
      <w:r w:rsidR="001B6AFA" w:rsidRPr="001B6AFA">
        <w:rPr>
          <w:rFonts w:cs="Times New Roman"/>
          <w:kern w:val="22"/>
          <w:sz w:val="22"/>
          <w:lang w:val="fr-FR"/>
        </w:rPr>
        <w:t>s BLAST “utilisent” toutes les</w:t>
      </w:r>
      <w:r w:rsidR="00E739AA" w:rsidRPr="001B6AFA">
        <w:rPr>
          <w:rFonts w:cs="Times New Roman"/>
          <w:kern w:val="22"/>
          <w:sz w:val="22"/>
          <w:lang w:val="fr-FR"/>
        </w:rPr>
        <w:t xml:space="preserve"> </w:t>
      </w:r>
      <w:r w:rsidR="00974B88" w:rsidRPr="001B6AFA">
        <w:rPr>
          <w:rFonts w:cs="Times New Roman"/>
          <w:kern w:val="22"/>
          <w:sz w:val="22"/>
          <w:lang w:val="fr-FR"/>
        </w:rPr>
        <w:t>séquence</w:t>
      </w:r>
      <w:r w:rsidR="00E0349E">
        <w:rPr>
          <w:rFonts w:cs="Times New Roman"/>
          <w:kern w:val="22"/>
          <w:sz w:val="22"/>
          <w:lang w:val="fr-FR"/>
        </w:rPr>
        <w:t>s conte</w:t>
      </w:r>
      <w:r w:rsidR="001B6AFA" w:rsidRPr="001B6AFA">
        <w:rPr>
          <w:rFonts w:cs="Times New Roman"/>
          <w:kern w:val="22"/>
          <w:sz w:val="22"/>
          <w:lang w:val="fr-FR"/>
        </w:rPr>
        <w:t>nues dans la</w:t>
      </w:r>
      <w:r w:rsidR="00E739AA" w:rsidRPr="001B6AFA">
        <w:rPr>
          <w:rFonts w:cs="Times New Roman"/>
          <w:kern w:val="22"/>
          <w:sz w:val="22"/>
          <w:lang w:val="fr-FR"/>
        </w:rPr>
        <w:t xml:space="preserve"> </w:t>
      </w:r>
      <w:r w:rsidR="00046703" w:rsidRPr="001B6AFA">
        <w:rPr>
          <w:rFonts w:cs="Times New Roman"/>
          <w:kern w:val="22"/>
          <w:sz w:val="22"/>
          <w:lang w:val="fr-FR"/>
        </w:rPr>
        <w:t>base de données</w:t>
      </w:r>
      <w:r w:rsidR="001B6AFA">
        <w:rPr>
          <w:rFonts w:cs="Times New Roman"/>
          <w:kern w:val="22"/>
          <w:sz w:val="22"/>
          <w:lang w:val="fr-FR"/>
        </w:rPr>
        <w:t xml:space="preserve"> </w:t>
      </w:r>
      <w:r w:rsidR="001B6AFA" w:rsidRPr="001B6AFA">
        <w:rPr>
          <w:rFonts w:cs="Times New Roman"/>
          <w:kern w:val="22"/>
          <w:sz w:val="22"/>
          <w:lang w:val="fr-FR"/>
        </w:rPr>
        <w:t>GenBank</w:t>
      </w:r>
      <w:r w:rsidR="003A4F46">
        <w:rPr>
          <w:rFonts w:cs="Times New Roman"/>
          <w:kern w:val="22"/>
          <w:sz w:val="22"/>
          <w:lang w:val="fr-FR"/>
        </w:rPr>
        <w:t xml:space="preserve">, </w:t>
      </w:r>
      <w:r w:rsidR="001B6AFA">
        <w:rPr>
          <w:rFonts w:cs="Times New Roman"/>
          <w:kern w:val="22"/>
          <w:sz w:val="22"/>
          <w:lang w:val="fr-FR"/>
        </w:rPr>
        <w:t>où elles sont reche</w:t>
      </w:r>
      <w:r w:rsidR="003A4F46">
        <w:rPr>
          <w:rFonts w:cs="Times New Roman"/>
          <w:kern w:val="22"/>
          <w:sz w:val="22"/>
          <w:lang w:val="fr-FR"/>
        </w:rPr>
        <w:t>rchées pour leur similitude avec</w:t>
      </w:r>
      <w:r w:rsidR="001B6AFA">
        <w:rPr>
          <w:rFonts w:cs="Times New Roman"/>
          <w:kern w:val="22"/>
          <w:sz w:val="22"/>
          <w:lang w:val="fr-FR"/>
        </w:rPr>
        <w:t xml:space="preserve"> la</w:t>
      </w:r>
      <w:r w:rsidR="00E739AA" w:rsidRPr="001B6AFA">
        <w:rPr>
          <w:rFonts w:cs="Times New Roman"/>
          <w:kern w:val="22"/>
          <w:sz w:val="22"/>
          <w:lang w:val="fr-FR"/>
        </w:rPr>
        <w:t xml:space="preserve"> </w:t>
      </w:r>
      <w:r w:rsidR="00974B88" w:rsidRPr="001B6AFA">
        <w:rPr>
          <w:rFonts w:cs="Times New Roman"/>
          <w:kern w:val="22"/>
          <w:sz w:val="22"/>
          <w:lang w:val="fr-FR"/>
        </w:rPr>
        <w:t>séquence</w:t>
      </w:r>
      <w:r w:rsidR="001B6AFA">
        <w:rPr>
          <w:rFonts w:cs="Times New Roman"/>
          <w:kern w:val="22"/>
          <w:sz w:val="22"/>
          <w:lang w:val="fr-FR"/>
        </w:rPr>
        <w:t xml:space="preserve"> de référence</w:t>
      </w:r>
      <w:r w:rsidR="00E739AA" w:rsidRPr="001B6AFA">
        <w:rPr>
          <w:rFonts w:cs="Times New Roman"/>
          <w:kern w:val="22"/>
          <w:sz w:val="22"/>
          <w:lang w:val="fr-FR"/>
        </w:rPr>
        <w:t xml:space="preserve">. </w:t>
      </w:r>
      <w:r w:rsidR="004202DD">
        <w:rPr>
          <w:rFonts w:cs="Times New Roman"/>
          <w:kern w:val="22"/>
          <w:sz w:val="22"/>
          <w:lang w:val="fr-FR"/>
        </w:rPr>
        <w:t>Etant donné qu’</w:t>
      </w:r>
      <w:r w:rsidR="001B6AFA">
        <w:rPr>
          <w:rFonts w:cs="Times New Roman"/>
          <w:kern w:val="22"/>
          <w:sz w:val="22"/>
          <w:lang w:val="fr-FR"/>
        </w:rPr>
        <w:t>un grand nombre de</w:t>
      </w:r>
      <w:r w:rsidR="006A2300" w:rsidRPr="001B6AFA">
        <w:rPr>
          <w:rFonts w:cs="Times New Roman"/>
          <w:kern w:val="22"/>
          <w:sz w:val="22"/>
          <w:lang w:val="fr-FR"/>
        </w:rPr>
        <w:t xml:space="preserve"> </w:t>
      </w:r>
      <w:r w:rsidR="00974B88" w:rsidRPr="001B6AFA">
        <w:rPr>
          <w:rFonts w:cs="Times New Roman"/>
          <w:kern w:val="22"/>
          <w:sz w:val="22"/>
          <w:lang w:val="fr-FR"/>
        </w:rPr>
        <w:t>séquence</w:t>
      </w:r>
      <w:r w:rsidR="00E739AA" w:rsidRPr="001B6AFA">
        <w:rPr>
          <w:rFonts w:cs="Times New Roman"/>
          <w:kern w:val="22"/>
          <w:sz w:val="22"/>
          <w:lang w:val="fr-FR"/>
        </w:rPr>
        <w:t xml:space="preserve">s </w:t>
      </w:r>
      <w:r w:rsidR="001B6AFA">
        <w:rPr>
          <w:rFonts w:cs="Times New Roman"/>
          <w:kern w:val="22"/>
          <w:sz w:val="22"/>
          <w:lang w:val="fr-FR"/>
        </w:rPr>
        <w:t xml:space="preserve">se trouvent dans les </w:t>
      </w:r>
      <w:r w:rsidR="00046703" w:rsidRPr="001B6AFA">
        <w:rPr>
          <w:rFonts w:cs="Times New Roman"/>
          <w:kern w:val="22"/>
          <w:sz w:val="22"/>
          <w:lang w:val="fr-FR"/>
        </w:rPr>
        <w:t>bases de données</w:t>
      </w:r>
      <w:r w:rsidR="00E3674F" w:rsidRPr="001B6AFA">
        <w:rPr>
          <w:rFonts w:cs="Times New Roman"/>
          <w:kern w:val="22"/>
          <w:sz w:val="22"/>
          <w:lang w:val="fr-FR"/>
        </w:rPr>
        <w:t xml:space="preserve"> et </w:t>
      </w:r>
      <w:r w:rsidR="003A4F46">
        <w:rPr>
          <w:rFonts w:cs="Times New Roman"/>
          <w:kern w:val="22"/>
          <w:sz w:val="22"/>
          <w:lang w:val="fr-FR"/>
        </w:rPr>
        <w:t xml:space="preserve">que de </w:t>
      </w:r>
      <w:r w:rsidR="00D6232E" w:rsidRPr="001B6AFA">
        <w:rPr>
          <w:rFonts w:cs="Times New Roman"/>
          <w:kern w:val="22"/>
          <w:sz w:val="22"/>
          <w:lang w:val="fr-FR"/>
        </w:rPr>
        <w:t>nombre</w:t>
      </w:r>
      <w:r w:rsidR="003A4F46">
        <w:rPr>
          <w:rFonts w:cs="Times New Roman"/>
          <w:kern w:val="22"/>
          <w:sz w:val="22"/>
          <w:lang w:val="fr-FR"/>
        </w:rPr>
        <w:t xml:space="preserve">ux </w:t>
      </w:r>
      <w:r w:rsidR="00AA5919" w:rsidRPr="001B6AFA">
        <w:rPr>
          <w:rFonts w:cs="Times New Roman"/>
          <w:kern w:val="22"/>
          <w:sz w:val="22"/>
          <w:lang w:val="fr-FR"/>
        </w:rPr>
        <w:t xml:space="preserve">utilisateurs </w:t>
      </w:r>
      <w:r w:rsidR="00A73525">
        <w:rPr>
          <w:rFonts w:cs="Times New Roman"/>
          <w:kern w:val="22"/>
          <w:sz w:val="22"/>
          <w:lang w:val="fr-FR"/>
        </w:rPr>
        <w:t>mènent des rec</w:t>
      </w:r>
      <w:r w:rsidR="004202DD">
        <w:rPr>
          <w:rFonts w:cs="Times New Roman"/>
          <w:kern w:val="22"/>
          <w:sz w:val="22"/>
          <w:lang w:val="fr-FR"/>
        </w:rPr>
        <w:t>herches sur Internet</w:t>
      </w:r>
      <w:r w:rsidR="00E739AA" w:rsidRPr="001B6AFA">
        <w:rPr>
          <w:rFonts w:cs="Times New Roman"/>
          <w:kern w:val="22"/>
          <w:sz w:val="22"/>
          <w:lang w:val="fr-FR"/>
        </w:rPr>
        <w:t>,</w:t>
      </w:r>
      <w:r w:rsidR="003A4F46">
        <w:rPr>
          <w:rFonts w:cs="Times New Roman"/>
          <w:kern w:val="22"/>
          <w:sz w:val="22"/>
          <w:lang w:val="fr-FR"/>
        </w:rPr>
        <w:t xml:space="preserve"> certains </w:t>
      </w:r>
      <w:r w:rsidR="001B6AFA">
        <w:rPr>
          <w:rFonts w:cs="Times New Roman"/>
          <w:kern w:val="22"/>
          <w:sz w:val="22"/>
          <w:lang w:val="fr-FR"/>
        </w:rPr>
        <w:t>à des fins</w:t>
      </w:r>
      <w:r w:rsidR="00AA5919" w:rsidRPr="001B6AFA">
        <w:rPr>
          <w:rFonts w:cs="Times New Roman"/>
          <w:kern w:val="22"/>
          <w:sz w:val="22"/>
          <w:lang w:val="fr-FR"/>
        </w:rPr>
        <w:t xml:space="preserve"> </w:t>
      </w:r>
      <w:r w:rsidR="00E739AA" w:rsidRPr="001B6AFA">
        <w:rPr>
          <w:rFonts w:cs="Times New Roman"/>
          <w:kern w:val="22"/>
          <w:sz w:val="22"/>
          <w:lang w:val="fr-FR"/>
        </w:rPr>
        <w:t>commercial</w:t>
      </w:r>
      <w:r w:rsidR="001B6AFA">
        <w:rPr>
          <w:rFonts w:cs="Times New Roman"/>
          <w:kern w:val="22"/>
          <w:sz w:val="22"/>
          <w:lang w:val="fr-FR"/>
        </w:rPr>
        <w:t>es</w:t>
      </w:r>
      <w:r w:rsidR="003A4F46">
        <w:rPr>
          <w:rFonts w:cs="Times New Roman"/>
          <w:kern w:val="22"/>
          <w:sz w:val="22"/>
          <w:lang w:val="fr-FR"/>
        </w:rPr>
        <w:t xml:space="preserve"> et d’autres à des fins </w:t>
      </w:r>
      <w:r w:rsidR="001B6AFA">
        <w:rPr>
          <w:rFonts w:cs="Times New Roman"/>
          <w:kern w:val="22"/>
          <w:sz w:val="22"/>
          <w:lang w:val="fr-FR"/>
        </w:rPr>
        <w:t>non-</w:t>
      </w:r>
      <w:r w:rsidR="00DD1A9B" w:rsidRPr="001B6AFA">
        <w:rPr>
          <w:rFonts w:cs="Times New Roman"/>
          <w:kern w:val="22"/>
          <w:sz w:val="22"/>
          <w:lang w:val="fr-FR"/>
        </w:rPr>
        <w:t>commerciales</w:t>
      </w:r>
      <w:r w:rsidR="00E739AA" w:rsidRPr="001B6AFA">
        <w:rPr>
          <w:rFonts w:cs="Times New Roman"/>
          <w:kern w:val="22"/>
          <w:sz w:val="22"/>
          <w:lang w:val="fr-FR"/>
        </w:rPr>
        <w:t xml:space="preserve">, </w:t>
      </w:r>
      <w:r w:rsidR="001B6AFA">
        <w:rPr>
          <w:rFonts w:cs="Times New Roman"/>
          <w:kern w:val="22"/>
          <w:sz w:val="22"/>
          <w:lang w:val="fr-FR"/>
        </w:rPr>
        <w:t>il est ac</w:t>
      </w:r>
      <w:r w:rsidR="004202DD">
        <w:rPr>
          <w:rFonts w:cs="Times New Roman"/>
          <w:kern w:val="22"/>
          <w:sz w:val="22"/>
          <w:lang w:val="fr-FR"/>
        </w:rPr>
        <w:t>tuellement impossible de calculer la valeur monétaire d’</w:t>
      </w:r>
      <w:r w:rsidR="001B6AFA">
        <w:rPr>
          <w:rFonts w:cs="Times New Roman"/>
          <w:kern w:val="22"/>
          <w:sz w:val="22"/>
          <w:lang w:val="fr-FR"/>
        </w:rPr>
        <w:t xml:space="preserve">une </w:t>
      </w:r>
      <w:r w:rsidR="00974B88" w:rsidRPr="001B6AFA">
        <w:rPr>
          <w:rFonts w:cs="Times New Roman"/>
          <w:kern w:val="22"/>
          <w:sz w:val="22"/>
          <w:lang w:val="fr-FR"/>
        </w:rPr>
        <w:t>séquence</w:t>
      </w:r>
      <w:r w:rsidR="001B6AFA">
        <w:rPr>
          <w:rFonts w:cs="Times New Roman"/>
          <w:kern w:val="22"/>
          <w:sz w:val="22"/>
          <w:lang w:val="fr-FR"/>
        </w:rPr>
        <w:t xml:space="preserve"> donnée</w:t>
      </w:r>
      <w:r w:rsidR="00E739AA" w:rsidRPr="001B6AFA">
        <w:rPr>
          <w:rFonts w:cs="Times New Roman"/>
          <w:kern w:val="22"/>
          <w:sz w:val="22"/>
          <w:lang w:val="fr-FR"/>
        </w:rPr>
        <w:t xml:space="preserve">, </w:t>
      </w:r>
      <w:r w:rsidR="004202DD">
        <w:rPr>
          <w:rFonts w:cs="Times New Roman"/>
          <w:kern w:val="22"/>
          <w:sz w:val="22"/>
          <w:lang w:val="fr-FR"/>
        </w:rPr>
        <w:t>selon que son</w:t>
      </w:r>
      <w:r w:rsidR="00E0349E">
        <w:rPr>
          <w:rFonts w:cs="Times New Roman"/>
          <w:kern w:val="22"/>
          <w:sz w:val="22"/>
          <w:lang w:val="fr-FR"/>
        </w:rPr>
        <w:t xml:space="preserve"> </w:t>
      </w:r>
      <w:r w:rsidR="003A4F46">
        <w:rPr>
          <w:rFonts w:cs="Times New Roman"/>
          <w:kern w:val="22"/>
          <w:sz w:val="22"/>
          <w:lang w:val="fr-FR"/>
        </w:rPr>
        <w:t>utilisation a une finalité</w:t>
      </w:r>
      <w:r w:rsidR="00E739AA" w:rsidRPr="001B6AFA">
        <w:rPr>
          <w:rFonts w:cs="Times New Roman"/>
          <w:kern w:val="22"/>
          <w:sz w:val="22"/>
          <w:lang w:val="fr-FR"/>
        </w:rPr>
        <w:t xml:space="preserve"> commercial</w:t>
      </w:r>
      <w:r w:rsidR="00E0349E">
        <w:rPr>
          <w:rFonts w:cs="Times New Roman"/>
          <w:kern w:val="22"/>
          <w:sz w:val="22"/>
          <w:lang w:val="fr-FR"/>
        </w:rPr>
        <w:t>e</w:t>
      </w:r>
      <w:r w:rsidR="0028742E" w:rsidRPr="001B6AFA">
        <w:rPr>
          <w:rFonts w:cs="Times New Roman"/>
          <w:kern w:val="22"/>
          <w:sz w:val="22"/>
          <w:lang w:val="fr-FR"/>
        </w:rPr>
        <w:t xml:space="preserve"> ou </w:t>
      </w:r>
      <w:r w:rsidR="00E0349E">
        <w:rPr>
          <w:rFonts w:cs="Times New Roman"/>
          <w:kern w:val="22"/>
          <w:sz w:val="22"/>
          <w:lang w:val="fr-FR"/>
        </w:rPr>
        <w:t>non-commerciale</w:t>
      </w:r>
      <w:r w:rsidR="00E739AA" w:rsidRPr="001B6AFA">
        <w:rPr>
          <w:rFonts w:cs="Times New Roman"/>
          <w:kern w:val="22"/>
          <w:sz w:val="22"/>
          <w:lang w:val="fr-FR"/>
        </w:rPr>
        <w:t>,</w:t>
      </w:r>
      <w:r w:rsidR="001B6AFA">
        <w:rPr>
          <w:rFonts w:cs="Times New Roman"/>
          <w:kern w:val="22"/>
          <w:sz w:val="22"/>
          <w:lang w:val="fr-FR"/>
        </w:rPr>
        <w:t xml:space="preserve"> de même qu’</w:t>
      </w:r>
      <w:r w:rsidR="007D7761">
        <w:rPr>
          <w:rFonts w:cs="Times New Roman"/>
          <w:kern w:val="22"/>
          <w:sz w:val="22"/>
          <w:lang w:val="fr-FR"/>
        </w:rPr>
        <w:t>il n’est pas possible</w:t>
      </w:r>
      <w:r w:rsidR="00E0349E">
        <w:rPr>
          <w:rFonts w:cs="Times New Roman"/>
          <w:kern w:val="22"/>
          <w:sz w:val="22"/>
          <w:lang w:val="fr-FR"/>
        </w:rPr>
        <w:t xml:space="preserve"> </w:t>
      </w:r>
      <w:r w:rsidR="00A73525">
        <w:rPr>
          <w:rFonts w:cs="Times New Roman"/>
          <w:kern w:val="22"/>
          <w:sz w:val="22"/>
          <w:lang w:val="fr-FR"/>
        </w:rPr>
        <w:t>actuellement</w:t>
      </w:r>
      <w:r w:rsidR="00A73525" w:rsidRPr="002364AB">
        <w:rPr>
          <w:rStyle w:val="FootnoteReference"/>
          <w:rFonts w:cs="Times New Roman"/>
          <w:kern w:val="22"/>
          <w:sz w:val="22"/>
          <w:lang w:val="en-GB"/>
        </w:rPr>
        <w:footnoteReference w:id="123"/>
      </w:r>
      <w:r w:rsidR="00E0349E">
        <w:rPr>
          <w:rFonts w:cs="Times New Roman"/>
          <w:kern w:val="22"/>
          <w:sz w:val="22"/>
          <w:lang w:val="fr-FR"/>
        </w:rPr>
        <w:t xml:space="preserve"> de </w:t>
      </w:r>
      <w:r w:rsidR="004202DD">
        <w:rPr>
          <w:rFonts w:cs="Times New Roman"/>
          <w:kern w:val="22"/>
          <w:sz w:val="22"/>
          <w:lang w:val="fr-FR"/>
        </w:rPr>
        <w:t xml:space="preserve">savoir </w:t>
      </w:r>
      <w:r w:rsidR="003A4F46">
        <w:rPr>
          <w:rFonts w:cs="Times New Roman"/>
          <w:kern w:val="22"/>
          <w:sz w:val="22"/>
          <w:lang w:val="fr-FR"/>
        </w:rPr>
        <w:t xml:space="preserve">quelle </w:t>
      </w:r>
      <w:r w:rsidR="00424B6E" w:rsidRPr="001B6AFA">
        <w:rPr>
          <w:rFonts w:cs="Times New Roman"/>
          <w:kern w:val="22"/>
          <w:sz w:val="22"/>
          <w:lang w:val="fr-FR"/>
        </w:rPr>
        <w:t xml:space="preserve">utilisation </w:t>
      </w:r>
      <w:r w:rsidR="004202DD">
        <w:rPr>
          <w:rFonts w:cs="Times New Roman"/>
          <w:kern w:val="22"/>
          <w:sz w:val="22"/>
          <w:lang w:val="fr-FR"/>
        </w:rPr>
        <w:t>a été</w:t>
      </w:r>
      <w:r w:rsidR="003A4F46">
        <w:rPr>
          <w:rFonts w:cs="Times New Roman"/>
          <w:kern w:val="22"/>
          <w:sz w:val="22"/>
          <w:lang w:val="fr-FR"/>
        </w:rPr>
        <w:t xml:space="preserve"> faite </w:t>
      </w:r>
      <w:r w:rsidR="001B6AFA">
        <w:rPr>
          <w:rFonts w:cs="Times New Roman"/>
          <w:kern w:val="22"/>
          <w:sz w:val="22"/>
          <w:lang w:val="fr-FR"/>
        </w:rPr>
        <w:t>par les</w:t>
      </w:r>
      <w:r w:rsidR="00E739AA" w:rsidRPr="001B6AFA">
        <w:rPr>
          <w:rFonts w:cs="Times New Roman"/>
          <w:kern w:val="22"/>
          <w:sz w:val="22"/>
          <w:lang w:val="fr-FR"/>
        </w:rPr>
        <w:t xml:space="preserve"> </w:t>
      </w:r>
      <w:r w:rsidR="00053E0E" w:rsidRPr="001B6AFA">
        <w:rPr>
          <w:rFonts w:cs="Times New Roman"/>
          <w:kern w:val="22"/>
          <w:sz w:val="22"/>
          <w:lang w:val="fr-FR"/>
        </w:rPr>
        <w:t>entités</w:t>
      </w:r>
      <w:r w:rsidR="00E739AA" w:rsidRPr="001B6AFA">
        <w:rPr>
          <w:rFonts w:cs="Times New Roman"/>
          <w:kern w:val="22"/>
          <w:sz w:val="22"/>
          <w:lang w:val="fr-FR"/>
        </w:rPr>
        <w:t xml:space="preserve"> </w:t>
      </w:r>
      <w:r w:rsidR="001B6AFA">
        <w:rPr>
          <w:rFonts w:cs="Times New Roman"/>
          <w:kern w:val="22"/>
          <w:sz w:val="22"/>
          <w:lang w:val="fr-FR"/>
        </w:rPr>
        <w:t xml:space="preserve">qui mènent des recherches </w:t>
      </w:r>
      <w:r w:rsidR="004202DD">
        <w:rPr>
          <w:rFonts w:cs="Times New Roman"/>
          <w:kern w:val="22"/>
          <w:sz w:val="22"/>
          <w:lang w:val="fr-FR"/>
        </w:rPr>
        <w:t xml:space="preserve">sur Internet </w:t>
      </w:r>
      <w:r w:rsidR="001B6AFA">
        <w:rPr>
          <w:rFonts w:cs="Times New Roman"/>
          <w:kern w:val="22"/>
          <w:sz w:val="22"/>
          <w:lang w:val="fr-FR"/>
        </w:rPr>
        <w:t>de type BLAST</w:t>
      </w:r>
      <w:r w:rsidR="00E739AA" w:rsidRPr="002364AB">
        <w:rPr>
          <w:rStyle w:val="FootnoteReference"/>
          <w:kern w:val="22"/>
          <w:sz w:val="22"/>
          <w:lang w:val="en-GB"/>
        </w:rPr>
        <w:footnoteReference w:id="124"/>
      </w:r>
      <w:r w:rsidR="00E739AA" w:rsidRPr="001B6AFA">
        <w:rPr>
          <w:rFonts w:cs="Times New Roman"/>
          <w:kern w:val="22"/>
          <w:sz w:val="22"/>
          <w:lang w:val="fr-FR"/>
        </w:rPr>
        <w:t xml:space="preserve">. </w:t>
      </w:r>
    </w:p>
    <w:p w14:paraId="186D1A11" w14:textId="77777777" w:rsidR="00A73525" w:rsidRDefault="006E731B" w:rsidP="14AC87FF">
      <w:pPr>
        <w:rPr>
          <w:rFonts w:cs="Times New Roman"/>
          <w:i/>
          <w:kern w:val="22"/>
          <w:sz w:val="22"/>
          <w:lang w:val="fr-FR"/>
        </w:rPr>
      </w:pPr>
      <w:r w:rsidRPr="006E731B">
        <w:rPr>
          <w:rFonts w:cs="Times New Roman"/>
          <w:i/>
          <w:kern w:val="22"/>
          <w:sz w:val="22"/>
          <w:lang w:val="fr-FR"/>
        </w:rPr>
        <w:t>Dé</w:t>
      </w:r>
      <w:r w:rsidR="00921E16" w:rsidRPr="006E731B">
        <w:rPr>
          <w:rFonts w:cs="Times New Roman"/>
          <w:i/>
          <w:kern w:val="22"/>
          <w:sz w:val="22"/>
          <w:lang w:val="fr-FR"/>
        </w:rPr>
        <w:t>velop</w:t>
      </w:r>
      <w:r w:rsidRPr="006E731B">
        <w:rPr>
          <w:rFonts w:cs="Times New Roman"/>
          <w:i/>
          <w:kern w:val="22"/>
          <w:sz w:val="22"/>
          <w:lang w:val="fr-FR"/>
        </w:rPr>
        <w:t xml:space="preserve">pement du traitement </w:t>
      </w:r>
      <w:r w:rsidR="00921E16" w:rsidRPr="006E731B">
        <w:rPr>
          <w:rFonts w:cs="Times New Roman"/>
          <w:i/>
          <w:kern w:val="22"/>
          <w:sz w:val="22"/>
          <w:lang w:val="fr-FR"/>
        </w:rPr>
        <w:t>REGN-EB3</w:t>
      </w:r>
      <w:r w:rsidRPr="006E731B">
        <w:rPr>
          <w:rFonts w:cs="Times New Roman"/>
          <w:i/>
          <w:kern w:val="22"/>
          <w:sz w:val="22"/>
          <w:lang w:val="fr-FR"/>
        </w:rPr>
        <w:t xml:space="preserve"> contre Ebola</w:t>
      </w:r>
    </w:p>
    <w:p w14:paraId="3E4EEB7E" w14:textId="60A0CC3E" w:rsidR="00706D1C" w:rsidRPr="003D0A75" w:rsidRDefault="00C94CC7" w:rsidP="14AC87FF">
      <w:pPr>
        <w:rPr>
          <w:rFonts w:cs="Times New Roman"/>
          <w:i/>
          <w:kern w:val="22"/>
          <w:sz w:val="22"/>
          <w:lang w:val="fr-FR"/>
        </w:rPr>
      </w:pPr>
      <w:r>
        <w:rPr>
          <w:rFonts w:cs="Times New Roman"/>
          <w:kern w:val="22"/>
          <w:sz w:val="22"/>
          <w:lang w:val="fr-FR"/>
        </w:rPr>
        <w:t>A</w:t>
      </w:r>
      <w:r w:rsidR="00A73525">
        <w:rPr>
          <w:rFonts w:cs="Times New Roman"/>
          <w:kern w:val="22"/>
          <w:sz w:val="22"/>
          <w:lang w:val="fr-FR"/>
        </w:rPr>
        <w:t xml:space="preserve">ucun </w:t>
      </w:r>
      <w:r w:rsidR="00E3674F" w:rsidRPr="00F27467">
        <w:rPr>
          <w:rFonts w:cs="Times New Roman"/>
          <w:kern w:val="22"/>
          <w:sz w:val="22"/>
          <w:lang w:val="fr-FR"/>
        </w:rPr>
        <w:t>mécanisme</w:t>
      </w:r>
      <w:r w:rsidR="00A73525">
        <w:rPr>
          <w:rFonts w:cs="Times New Roman"/>
          <w:kern w:val="22"/>
          <w:sz w:val="22"/>
          <w:lang w:val="fr-FR"/>
        </w:rPr>
        <w:t xml:space="preserve"> de</w:t>
      </w:r>
      <w:r w:rsidR="002E62EE" w:rsidRPr="00F27467">
        <w:rPr>
          <w:rFonts w:cs="Times New Roman"/>
          <w:kern w:val="22"/>
          <w:sz w:val="22"/>
          <w:lang w:val="fr-FR"/>
        </w:rPr>
        <w:t xml:space="preserve"> </w:t>
      </w:r>
      <w:r w:rsidR="007D7761">
        <w:rPr>
          <w:rFonts w:cs="Times New Roman"/>
          <w:kern w:val="22"/>
          <w:sz w:val="22"/>
          <w:lang w:val="fr-FR"/>
        </w:rPr>
        <w:t>consentement préalable donné en connaissance de cause</w:t>
      </w:r>
      <w:r w:rsidR="002E62EE" w:rsidRPr="00F27467">
        <w:rPr>
          <w:rFonts w:cs="Times New Roman"/>
          <w:kern w:val="22"/>
          <w:sz w:val="22"/>
          <w:lang w:val="fr-FR"/>
        </w:rPr>
        <w:t xml:space="preserve"> </w:t>
      </w:r>
      <w:r>
        <w:rPr>
          <w:rFonts w:cs="Times New Roman"/>
          <w:kern w:val="22"/>
          <w:sz w:val="22"/>
          <w:lang w:val="fr-FR"/>
        </w:rPr>
        <w:t>n’est prévu actuellement lors de l’obtention</w:t>
      </w:r>
      <w:r w:rsidR="002E7B26">
        <w:rPr>
          <w:rFonts w:cs="Times New Roman"/>
          <w:kern w:val="22"/>
          <w:sz w:val="22"/>
          <w:lang w:val="fr-FR"/>
        </w:rPr>
        <w:t xml:space="preserve"> </w:t>
      </w:r>
      <w:r>
        <w:rPr>
          <w:rFonts w:cs="Times New Roman"/>
          <w:kern w:val="22"/>
          <w:sz w:val="22"/>
          <w:lang w:val="fr-FR"/>
        </w:rPr>
        <w:t>d</w:t>
      </w:r>
      <w:r w:rsidR="00BC5F0A">
        <w:rPr>
          <w:rFonts w:cs="Times New Roman"/>
          <w:kern w:val="22"/>
          <w:sz w:val="22"/>
          <w:lang w:val="fr-FR"/>
        </w:rPr>
        <w:t>’information de séquençage</w:t>
      </w:r>
      <w:r>
        <w:rPr>
          <w:rFonts w:cs="Times New Roman"/>
          <w:kern w:val="22"/>
          <w:sz w:val="22"/>
          <w:lang w:val="fr-FR"/>
        </w:rPr>
        <w:t xml:space="preserve"> numérique</w:t>
      </w:r>
      <w:r w:rsidR="00DC1931">
        <w:rPr>
          <w:rFonts w:cs="Times New Roman"/>
          <w:kern w:val="22"/>
          <w:sz w:val="22"/>
          <w:lang w:val="fr-FR"/>
        </w:rPr>
        <w:t xml:space="preserve"> dans d</w:t>
      </w:r>
      <w:r w:rsidR="00A73525">
        <w:rPr>
          <w:rFonts w:cs="Times New Roman"/>
          <w:kern w:val="22"/>
          <w:sz w:val="22"/>
          <w:lang w:val="fr-FR"/>
        </w:rPr>
        <w:t>es</w:t>
      </w:r>
      <w:r w:rsidR="002E62EE" w:rsidRPr="00F27467">
        <w:rPr>
          <w:rFonts w:cs="Times New Roman"/>
          <w:kern w:val="22"/>
          <w:sz w:val="22"/>
          <w:lang w:val="fr-FR"/>
        </w:rPr>
        <w:t xml:space="preserve"> </w:t>
      </w:r>
      <w:r w:rsidR="00046703">
        <w:rPr>
          <w:rFonts w:cs="Times New Roman"/>
          <w:kern w:val="22"/>
          <w:sz w:val="22"/>
          <w:lang w:val="fr-FR"/>
        </w:rPr>
        <w:t>bases de données</w:t>
      </w:r>
      <w:r w:rsidR="002E62EE" w:rsidRPr="00F27467">
        <w:rPr>
          <w:rFonts w:cs="Times New Roman"/>
          <w:kern w:val="22"/>
          <w:sz w:val="22"/>
          <w:lang w:val="fr-FR"/>
        </w:rPr>
        <w:t xml:space="preserve"> </w:t>
      </w:r>
      <w:r w:rsidR="00A73525">
        <w:rPr>
          <w:rFonts w:cs="Times New Roman"/>
          <w:kern w:val="22"/>
          <w:sz w:val="22"/>
          <w:lang w:val="fr-FR"/>
        </w:rPr>
        <w:t xml:space="preserve">publiques comme </w:t>
      </w:r>
      <w:r w:rsidR="002E62EE" w:rsidRPr="00F27467">
        <w:rPr>
          <w:rFonts w:cs="Times New Roman"/>
          <w:kern w:val="22"/>
          <w:sz w:val="22"/>
          <w:lang w:val="fr-FR"/>
        </w:rPr>
        <w:lastRenderedPageBreak/>
        <w:t>Gen</w:t>
      </w:r>
      <w:r w:rsidR="00527AA2" w:rsidRPr="00F27467">
        <w:rPr>
          <w:rFonts w:cs="Times New Roman"/>
          <w:kern w:val="22"/>
          <w:sz w:val="22"/>
          <w:lang w:val="fr-FR"/>
        </w:rPr>
        <w:t>B</w:t>
      </w:r>
      <w:r w:rsidR="002E62EE" w:rsidRPr="00F27467">
        <w:rPr>
          <w:rFonts w:cs="Times New Roman"/>
          <w:kern w:val="22"/>
          <w:sz w:val="22"/>
          <w:lang w:val="fr-FR"/>
        </w:rPr>
        <w:t>ank.</w:t>
      </w:r>
      <w:r w:rsidR="002D1600" w:rsidRPr="002364AB">
        <w:rPr>
          <w:rStyle w:val="FootnoteReference"/>
          <w:rFonts w:cs="Times New Roman"/>
          <w:kern w:val="22"/>
          <w:sz w:val="22"/>
          <w:lang w:val="en-GB"/>
        </w:rPr>
        <w:footnoteReference w:id="125"/>
      </w:r>
      <w:r w:rsidR="002E62EE" w:rsidRPr="00F27467">
        <w:rPr>
          <w:rFonts w:cs="Times New Roman"/>
          <w:kern w:val="22"/>
          <w:sz w:val="22"/>
          <w:lang w:val="fr-FR"/>
        </w:rPr>
        <w:t xml:space="preserve"> </w:t>
      </w:r>
      <w:r w:rsidR="00A73525">
        <w:rPr>
          <w:rFonts w:cs="Times New Roman"/>
          <w:kern w:val="22"/>
          <w:sz w:val="22"/>
          <w:lang w:val="fr-FR"/>
        </w:rPr>
        <w:t>En conséquence</w:t>
      </w:r>
      <w:r w:rsidR="002E62EE" w:rsidRPr="004F1D8A">
        <w:rPr>
          <w:rFonts w:cs="Times New Roman"/>
          <w:kern w:val="22"/>
          <w:sz w:val="22"/>
          <w:lang w:val="fr-FR"/>
        </w:rPr>
        <w:t xml:space="preserve">, </w:t>
      </w:r>
      <w:r w:rsidR="00A73525">
        <w:rPr>
          <w:rFonts w:cs="Times New Roman"/>
          <w:kern w:val="22"/>
          <w:sz w:val="22"/>
          <w:lang w:val="fr-FR"/>
        </w:rPr>
        <w:t xml:space="preserve">bien qu’un </w:t>
      </w:r>
      <w:r w:rsidR="00E3674F" w:rsidRPr="004F1D8A">
        <w:rPr>
          <w:rFonts w:cs="Times New Roman"/>
          <w:kern w:val="22"/>
          <w:sz w:val="22"/>
          <w:lang w:val="fr-FR"/>
        </w:rPr>
        <w:t>partage des avantages</w:t>
      </w:r>
      <w:r w:rsidR="002E62EE" w:rsidRPr="004F1D8A">
        <w:rPr>
          <w:rFonts w:cs="Times New Roman"/>
          <w:kern w:val="22"/>
          <w:sz w:val="22"/>
          <w:lang w:val="fr-FR"/>
        </w:rPr>
        <w:t xml:space="preserve"> </w:t>
      </w:r>
      <w:r w:rsidR="00DC1931">
        <w:rPr>
          <w:rFonts w:cs="Times New Roman"/>
          <w:kern w:val="22"/>
          <w:sz w:val="22"/>
          <w:lang w:val="fr-FR"/>
        </w:rPr>
        <w:t>bilatéral soit possible ne théorique</w:t>
      </w:r>
      <w:r w:rsidR="00A73525">
        <w:rPr>
          <w:rFonts w:cs="Times New Roman"/>
          <w:kern w:val="22"/>
          <w:sz w:val="22"/>
          <w:lang w:val="fr-FR"/>
        </w:rPr>
        <w:t>, le</w:t>
      </w:r>
      <w:r w:rsidR="14AC87FF" w:rsidRPr="004F1D8A">
        <w:rPr>
          <w:rFonts w:cs="Times New Roman"/>
          <w:kern w:val="22"/>
          <w:sz w:val="22"/>
          <w:lang w:val="fr-FR"/>
        </w:rPr>
        <w:t xml:space="preserve"> </w:t>
      </w:r>
      <w:r w:rsidR="00931FA2">
        <w:rPr>
          <w:rFonts w:cs="Times New Roman"/>
          <w:kern w:val="22"/>
          <w:sz w:val="22"/>
          <w:lang w:val="fr-FR"/>
        </w:rPr>
        <w:t>système</w:t>
      </w:r>
      <w:r w:rsidR="00DC1931">
        <w:rPr>
          <w:rFonts w:cs="Times New Roman"/>
          <w:kern w:val="22"/>
          <w:sz w:val="22"/>
          <w:lang w:val="fr-FR"/>
        </w:rPr>
        <w:t xml:space="preserve"> actuel n’est pas conçu </w:t>
      </w:r>
      <w:r w:rsidR="00A73525">
        <w:rPr>
          <w:rFonts w:cs="Times New Roman"/>
          <w:kern w:val="22"/>
          <w:sz w:val="22"/>
          <w:lang w:val="fr-FR"/>
        </w:rPr>
        <w:t>pour faciliter</w:t>
      </w:r>
      <w:r w:rsidR="0028742E" w:rsidRPr="004F1D8A">
        <w:rPr>
          <w:rFonts w:cs="Times New Roman"/>
          <w:kern w:val="22"/>
          <w:sz w:val="22"/>
          <w:lang w:val="fr-FR"/>
        </w:rPr>
        <w:t xml:space="preserve"> ou </w:t>
      </w:r>
      <w:r w:rsidR="00A73525">
        <w:rPr>
          <w:rFonts w:cs="Times New Roman"/>
          <w:kern w:val="22"/>
          <w:sz w:val="22"/>
          <w:lang w:val="fr-FR"/>
        </w:rPr>
        <w:t>permettre un</w:t>
      </w:r>
      <w:r w:rsidR="14AC87FF" w:rsidRPr="004F1D8A">
        <w:rPr>
          <w:rFonts w:cs="Times New Roman"/>
          <w:kern w:val="22"/>
          <w:sz w:val="22"/>
          <w:lang w:val="fr-FR"/>
        </w:rPr>
        <w:t xml:space="preserve"> </w:t>
      </w:r>
      <w:r w:rsidR="00E3674F" w:rsidRPr="004F1D8A">
        <w:rPr>
          <w:rFonts w:cs="Times New Roman"/>
          <w:kern w:val="22"/>
          <w:sz w:val="22"/>
          <w:lang w:val="fr-FR"/>
        </w:rPr>
        <w:t>partage des avantages</w:t>
      </w:r>
      <w:r w:rsidR="00DC1931">
        <w:rPr>
          <w:rFonts w:cs="Times New Roman"/>
          <w:kern w:val="22"/>
          <w:sz w:val="22"/>
          <w:lang w:val="fr-FR"/>
        </w:rPr>
        <w:t xml:space="preserve"> dans le cadre </w:t>
      </w:r>
      <w:r w:rsidR="004F1D8A" w:rsidRPr="004F1D8A">
        <w:rPr>
          <w:rFonts w:cs="Times New Roman"/>
          <w:kern w:val="22"/>
          <w:sz w:val="22"/>
          <w:lang w:val="fr-FR"/>
        </w:rPr>
        <w:t xml:space="preserve">de la </w:t>
      </w:r>
      <w:r w:rsidR="007347F7">
        <w:rPr>
          <w:rFonts w:cs="Times New Roman"/>
          <w:kern w:val="22"/>
          <w:sz w:val="22"/>
          <w:lang w:val="fr-FR"/>
        </w:rPr>
        <w:t>Convention</w:t>
      </w:r>
      <w:r w:rsidR="00DC1931">
        <w:rPr>
          <w:rFonts w:cs="Times New Roman"/>
          <w:kern w:val="22"/>
          <w:sz w:val="22"/>
          <w:lang w:val="fr-FR"/>
        </w:rPr>
        <w:t xml:space="preserve"> et d</w:t>
      </w:r>
      <w:r w:rsidR="00A73525">
        <w:rPr>
          <w:rFonts w:cs="Times New Roman"/>
          <w:kern w:val="22"/>
          <w:sz w:val="22"/>
          <w:lang w:val="fr-FR"/>
        </w:rPr>
        <w:t>u</w:t>
      </w:r>
      <w:r w:rsidR="00E3674F" w:rsidRPr="004F1D8A">
        <w:rPr>
          <w:rFonts w:cs="Times New Roman"/>
          <w:kern w:val="22"/>
          <w:sz w:val="22"/>
          <w:lang w:val="fr-FR"/>
        </w:rPr>
        <w:t xml:space="preserve"> Protocole de Nagoya</w:t>
      </w:r>
      <w:r w:rsidR="14AC87FF" w:rsidRPr="004F1D8A" w:rsidDel="00AA59DD">
        <w:rPr>
          <w:rFonts w:cs="Times New Roman"/>
          <w:kern w:val="22"/>
          <w:sz w:val="22"/>
          <w:lang w:val="fr-FR"/>
        </w:rPr>
        <w:t>.</w:t>
      </w:r>
      <w:r w:rsidR="002E62EE" w:rsidRPr="004F1D8A">
        <w:rPr>
          <w:rFonts w:cs="Times New Roman"/>
          <w:kern w:val="22"/>
          <w:sz w:val="22"/>
          <w:lang w:val="fr-FR"/>
        </w:rPr>
        <w:t xml:space="preserve"> </w:t>
      </w:r>
      <w:r w:rsidR="00DC1931">
        <w:rPr>
          <w:rFonts w:cs="Times New Roman"/>
          <w:kern w:val="22"/>
          <w:sz w:val="22"/>
          <w:lang w:val="fr-FR"/>
        </w:rPr>
        <w:t>C</w:t>
      </w:r>
      <w:r w:rsidR="003D53E2">
        <w:rPr>
          <w:rFonts w:cs="Times New Roman"/>
          <w:kern w:val="22"/>
          <w:sz w:val="22"/>
          <w:lang w:val="fr-FR"/>
        </w:rPr>
        <w:t>eci est illustré dans</w:t>
      </w:r>
      <w:r w:rsidR="00DC1931">
        <w:rPr>
          <w:rFonts w:cs="Times New Roman"/>
          <w:kern w:val="22"/>
          <w:sz w:val="22"/>
          <w:lang w:val="fr-FR"/>
        </w:rPr>
        <w:t xml:space="preserve"> </w:t>
      </w:r>
      <w:r w:rsidR="003D53E2">
        <w:rPr>
          <w:rFonts w:cs="Times New Roman"/>
          <w:kern w:val="22"/>
          <w:sz w:val="22"/>
          <w:lang w:val="fr-FR"/>
        </w:rPr>
        <w:t>l’exemple du</w:t>
      </w:r>
      <w:r w:rsidR="00480821" w:rsidRPr="00A73525">
        <w:rPr>
          <w:rFonts w:cs="Times New Roman"/>
          <w:kern w:val="22"/>
          <w:sz w:val="22"/>
          <w:lang w:val="fr-FR"/>
        </w:rPr>
        <w:t xml:space="preserve"> </w:t>
      </w:r>
      <w:r w:rsidR="00A73525" w:rsidRPr="00A73525">
        <w:rPr>
          <w:rFonts w:cs="Times New Roman"/>
          <w:kern w:val="22"/>
          <w:sz w:val="22"/>
          <w:lang w:val="fr-FR"/>
        </w:rPr>
        <w:t>dé</w:t>
      </w:r>
      <w:r w:rsidR="002E62EE" w:rsidRPr="00A73525">
        <w:rPr>
          <w:rFonts w:cs="Times New Roman"/>
          <w:kern w:val="22"/>
          <w:sz w:val="22"/>
          <w:lang w:val="fr-FR"/>
        </w:rPr>
        <w:t>velop</w:t>
      </w:r>
      <w:r w:rsidR="00A73525" w:rsidRPr="00A73525">
        <w:rPr>
          <w:rFonts w:cs="Times New Roman"/>
          <w:kern w:val="22"/>
          <w:sz w:val="22"/>
          <w:lang w:val="fr-FR"/>
        </w:rPr>
        <w:t xml:space="preserve">pement du traitement </w:t>
      </w:r>
      <w:r w:rsidR="002E62EE" w:rsidRPr="00A73525">
        <w:rPr>
          <w:rFonts w:cs="Times New Roman"/>
          <w:kern w:val="22"/>
          <w:sz w:val="22"/>
          <w:lang w:val="fr-FR"/>
        </w:rPr>
        <w:t>RE</w:t>
      </w:r>
      <w:r w:rsidR="675B34AE" w:rsidRPr="00A73525">
        <w:rPr>
          <w:rFonts w:cs="Times New Roman"/>
          <w:kern w:val="22"/>
          <w:sz w:val="22"/>
          <w:lang w:val="fr-FR"/>
        </w:rPr>
        <w:t>G</w:t>
      </w:r>
      <w:r w:rsidR="002E62EE" w:rsidRPr="00A73525">
        <w:rPr>
          <w:rFonts w:cs="Times New Roman"/>
          <w:kern w:val="22"/>
          <w:sz w:val="22"/>
          <w:lang w:val="fr-FR"/>
        </w:rPr>
        <w:t>N-EB3</w:t>
      </w:r>
      <w:r w:rsidR="00A73525">
        <w:rPr>
          <w:rFonts w:cs="Times New Roman"/>
          <w:kern w:val="22"/>
          <w:sz w:val="22"/>
          <w:lang w:val="fr-FR"/>
        </w:rPr>
        <w:t xml:space="preserve"> contre Ebola par l’entreprise </w:t>
      </w:r>
      <w:r w:rsidR="002E62EE" w:rsidRPr="00A73525">
        <w:rPr>
          <w:rFonts w:cs="Times New Roman"/>
          <w:kern w:val="22"/>
          <w:sz w:val="22"/>
          <w:lang w:val="fr-FR"/>
        </w:rPr>
        <w:t>p</w:t>
      </w:r>
      <w:r w:rsidR="00A73525">
        <w:rPr>
          <w:kern w:val="22"/>
          <w:sz w:val="22"/>
          <w:lang w:val="fr-FR"/>
        </w:rPr>
        <w:t>harmaceutique</w:t>
      </w:r>
      <w:r w:rsidR="002E62EE" w:rsidRPr="00A73525">
        <w:rPr>
          <w:kern w:val="22"/>
          <w:sz w:val="22"/>
          <w:lang w:val="fr-FR"/>
        </w:rPr>
        <w:t xml:space="preserve"> Regeneron</w:t>
      </w:r>
      <w:r w:rsidR="00A73525">
        <w:rPr>
          <w:kern w:val="22"/>
          <w:sz w:val="22"/>
          <w:lang w:val="fr-FR"/>
        </w:rPr>
        <w:t>, qui utilise en partie une</w:t>
      </w:r>
      <w:r w:rsidR="002E62EE" w:rsidRPr="00A73525">
        <w:rPr>
          <w:kern w:val="22"/>
          <w:sz w:val="22"/>
          <w:lang w:val="fr-FR"/>
        </w:rPr>
        <w:t xml:space="preserve"> </w:t>
      </w:r>
      <w:r w:rsidR="00974B88" w:rsidRPr="00A73525">
        <w:rPr>
          <w:kern w:val="22"/>
          <w:sz w:val="22"/>
          <w:lang w:val="fr-FR"/>
        </w:rPr>
        <w:t>séquence</w:t>
      </w:r>
      <w:r w:rsidR="00A73525">
        <w:rPr>
          <w:kern w:val="22"/>
          <w:sz w:val="22"/>
          <w:lang w:val="fr-FR"/>
        </w:rPr>
        <w:t xml:space="preserve"> de </w:t>
      </w:r>
      <w:r w:rsidR="004306A4">
        <w:rPr>
          <w:kern w:val="22"/>
          <w:sz w:val="22"/>
          <w:lang w:val="fr-FR"/>
        </w:rPr>
        <w:t>souche virale</w:t>
      </w:r>
      <w:r w:rsidR="006036E7" w:rsidRPr="00A73525">
        <w:rPr>
          <w:kern w:val="22"/>
          <w:sz w:val="22"/>
          <w:lang w:val="fr-FR"/>
        </w:rPr>
        <w:t xml:space="preserve"> </w:t>
      </w:r>
      <w:r w:rsidR="00DC1931">
        <w:rPr>
          <w:kern w:val="22"/>
          <w:sz w:val="22"/>
          <w:lang w:val="fr-FR"/>
        </w:rPr>
        <w:t xml:space="preserve">contenue dans </w:t>
      </w:r>
      <w:r w:rsidR="002E62EE" w:rsidRPr="00A73525">
        <w:rPr>
          <w:kern w:val="22"/>
          <w:sz w:val="22"/>
          <w:lang w:val="fr-FR"/>
        </w:rPr>
        <w:t>Gen</w:t>
      </w:r>
      <w:r w:rsidR="00527AA2" w:rsidRPr="00A73525">
        <w:rPr>
          <w:kern w:val="22"/>
          <w:sz w:val="22"/>
          <w:lang w:val="fr-FR"/>
        </w:rPr>
        <w:t>B</w:t>
      </w:r>
      <w:r w:rsidR="002E62EE" w:rsidRPr="00A73525">
        <w:rPr>
          <w:kern w:val="22"/>
          <w:sz w:val="22"/>
          <w:lang w:val="fr-FR"/>
        </w:rPr>
        <w:t xml:space="preserve">ank. </w:t>
      </w:r>
      <w:r w:rsidR="00BC5F0A">
        <w:rPr>
          <w:kern w:val="22"/>
          <w:sz w:val="22"/>
          <w:lang w:val="fr-FR"/>
        </w:rPr>
        <w:t>L’information de séquençage</w:t>
      </w:r>
      <w:r w:rsidR="002E62EE" w:rsidRPr="003D0A75">
        <w:rPr>
          <w:kern w:val="22"/>
          <w:sz w:val="22"/>
          <w:lang w:val="fr-FR"/>
        </w:rPr>
        <w:t xml:space="preserve"> </w:t>
      </w:r>
      <w:r w:rsidR="004306A4" w:rsidRPr="003D0A75">
        <w:rPr>
          <w:kern w:val="22"/>
          <w:sz w:val="22"/>
          <w:lang w:val="fr-FR"/>
        </w:rPr>
        <w:t>de cette souche virale</w:t>
      </w:r>
      <w:r w:rsidR="00EC0047">
        <w:rPr>
          <w:kern w:val="22"/>
          <w:sz w:val="22"/>
          <w:lang w:val="fr-FR"/>
        </w:rPr>
        <w:t xml:space="preserve"> a</w:t>
      </w:r>
      <w:r w:rsidR="003D0A75" w:rsidRPr="003D0A75">
        <w:rPr>
          <w:kern w:val="22"/>
          <w:sz w:val="22"/>
          <w:lang w:val="fr-FR"/>
        </w:rPr>
        <w:t xml:space="preserve"> </w:t>
      </w:r>
      <w:r w:rsidR="003D0A75">
        <w:rPr>
          <w:kern w:val="22"/>
          <w:sz w:val="22"/>
          <w:lang w:val="fr-FR"/>
        </w:rPr>
        <w:t>été</w:t>
      </w:r>
      <w:r w:rsidR="002E62EE" w:rsidRPr="003D0A75">
        <w:rPr>
          <w:kern w:val="22"/>
          <w:sz w:val="22"/>
          <w:lang w:val="fr-FR"/>
        </w:rPr>
        <w:t xml:space="preserve"> </w:t>
      </w:r>
      <w:r w:rsidR="003D0A75" w:rsidRPr="003D0A75">
        <w:rPr>
          <w:kern w:val="22"/>
          <w:sz w:val="22"/>
          <w:lang w:val="fr-FR"/>
        </w:rPr>
        <w:t>téléchargé</w:t>
      </w:r>
      <w:r w:rsidR="00EC0047">
        <w:rPr>
          <w:kern w:val="22"/>
          <w:sz w:val="22"/>
          <w:lang w:val="fr-FR"/>
        </w:rPr>
        <w:t>e</w:t>
      </w:r>
      <w:r w:rsidR="003D0A75">
        <w:rPr>
          <w:kern w:val="22"/>
          <w:sz w:val="22"/>
          <w:lang w:val="fr-FR"/>
        </w:rPr>
        <w:t xml:space="preserve"> sans</w:t>
      </w:r>
      <w:r w:rsidR="002E62EE" w:rsidRPr="003D0A75">
        <w:rPr>
          <w:kern w:val="22"/>
          <w:sz w:val="22"/>
          <w:lang w:val="fr-FR"/>
        </w:rPr>
        <w:t xml:space="preserve"> </w:t>
      </w:r>
      <w:r w:rsidR="00EC0047">
        <w:rPr>
          <w:kern w:val="22"/>
          <w:sz w:val="22"/>
          <w:lang w:val="fr-FR"/>
        </w:rPr>
        <w:t xml:space="preserve">aucune </w:t>
      </w:r>
      <w:r w:rsidR="002E62EE" w:rsidRPr="003D0A75">
        <w:rPr>
          <w:kern w:val="22"/>
          <w:sz w:val="22"/>
          <w:lang w:val="fr-FR"/>
        </w:rPr>
        <w:t>restriction</w:t>
      </w:r>
      <w:r w:rsidR="003D0A75">
        <w:rPr>
          <w:kern w:val="22"/>
          <w:sz w:val="22"/>
          <w:lang w:val="fr-FR"/>
        </w:rPr>
        <w:t xml:space="preserve"> dans la</w:t>
      </w:r>
      <w:r w:rsidR="004A51E0" w:rsidRPr="003D0A75">
        <w:rPr>
          <w:kern w:val="22"/>
          <w:sz w:val="22"/>
          <w:lang w:val="fr-FR"/>
        </w:rPr>
        <w:t xml:space="preserve"> </w:t>
      </w:r>
      <w:r w:rsidR="00046703" w:rsidRPr="003D0A75">
        <w:rPr>
          <w:kern w:val="22"/>
          <w:sz w:val="22"/>
          <w:lang w:val="fr-FR"/>
        </w:rPr>
        <w:t>base de données</w:t>
      </w:r>
      <w:r w:rsidR="002E62EE" w:rsidRPr="003D0A75">
        <w:rPr>
          <w:kern w:val="22"/>
          <w:sz w:val="22"/>
          <w:lang w:val="fr-FR"/>
        </w:rPr>
        <w:t xml:space="preserve"> </w:t>
      </w:r>
      <w:r w:rsidR="003D0A75" w:rsidRPr="003D0A75">
        <w:rPr>
          <w:kern w:val="22"/>
          <w:sz w:val="22"/>
          <w:lang w:val="fr-FR"/>
        </w:rPr>
        <w:t>GenBank</w:t>
      </w:r>
      <w:r w:rsidR="003D0A75">
        <w:rPr>
          <w:kern w:val="22"/>
          <w:sz w:val="22"/>
          <w:lang w:val="fr-FR"/>
        </w:rPr>
        <w:t xml:space="preserve"> par l’Institut de médecine tropicale</w:t>
      </w:r>
      <w:r w:rsidR="002E62EE" w:rsidRPr="003D0A75">
        <w:rPr>
          <w:kern w:val="22"/>
          <w:sz w:val="22"/>
          <w:lang w:val="fr-FR"/>
        </w:rPr>
        <w:t xml:space="preserve"> </w:t>
      </w:r>
      <w:r w:rsidR="003C11B5" w:rsidRPr="003D0A75">
        <w:rPr>
          <w:kern w:val="22"/>
          <w:sz w:val="22"/>
          <w:lang w:val="fr-FR"/>
        </w:rPr>
        <w:t>Bernard Nocht</w:t>
      </w:r>
      <w:r w:rsidR="003D0A75">
        <w:rPr>
          <w:kern w:val="22"/>
          <w:sz w:val="22"/>
          <w:lang w:val="fr-FR"/>
        </w:rPr>
        <w:t xml:space="preserve"> (BNITM), </w:t>
      </w:r>
      <w:r w:rsidR="00B679BA" w:rsidRPr="003D0A75">
        <w:rPr>
          <w:kern w:val="22"/>
          <w:sz w:val="22"/>
          <w:lang w:val="fr-FR"/>
        </w:rPr>
        <w:t>membre</w:t>
      </w:r>
      <w:r w:rsidR="003D0A75">
        <w:rPr>
          <w:kern w:val="22"/>
          <w:sz w:val="22"/>
          <w:lang w:val="fr-FR"/>
        </w:rPr>
        <w:t xml:space="preserve"> de l’A</w:t>
      </w:r>
      <w:r w:rsidR="003C11B5" w:rsidRPr="003D0A75">
        <w:rPr>
          <w:kern w:val="22"/>
          <w:sz w:val="22"/>
          <w:lang w:val="fr-FR"/>
        </w:rPr>
        <w:t>ssociation</w:t>
      </w:r>
      <w:r w:rsidR="003D0A75">
        <w:rPr>
          <w:kern w:val="22"/>
          <w:sz w:val="22"/>
          <w:lang w:val="fr-FR"/>
        </w:rPr>
        <w:t xml:space="preserve"> Leibniz</w:t>
      </w:r>
      <w:r w:rsidR="00EC0047">
        <w:rPr>
          <w:kern w:val="22"/>
          <w:sz w:val="22"/>
          <w:lang w:val="fr-FR"/>
        </w:rPr>
        <w:t>, et</w:t>
      </w:r>
      <w:r w:rsidR="00E3674F" w:rsidRPr="003D0A75">
        <w:rPr>
          <w:kern w:val="22"/>
          <w:sz w:val="22"/>
          <w:lang w:val="fr-FR"/>
        </w:rPr>
        <w:t xml:space="preserve"> </w:t>
      </w:r>
      <w:r w:rsidR="00EC0047">
        <w:rPr>
          <w:kern w:val="22"/>
          <w:sz w:val="22"/>
          <w:lang w:val="fr-FR"/>
        </w:rPr>
        <w:t>a</w:t>
      </w:r>
      <w:r w:rsidR="003D0A75">
        <w:rPr>
          <w:kern w:val="22"/>
          <w:sz w:val="22"/>
          <w:lang w:val="fr-FR"/>
        </w:rPr>
        <w:t xml:space="preserve"> été </w:t>
      </w:r>
      <w:r w:rsidR="002518EB" w:rsidRPr="003D0A75">
        <w:rPr>
          <w:kern w:val="22"/>
          <w:sz w:val="22"/>
          <w:lang w:val="fr-FR"/>
        </w:rPr>
        <w:t>obtenu</w:t>
      </w:r>
      <w:r w:rsidR="00EC0047">
        <w:rPr>
          <w:kern w:val="22"/>
          <w:sz w:val="22"/>
          <w:lang w:val="fr-FR"/>
        </w:rPr>
        <w:t xml:space="preserve">e par </w:t>
      </w:r>
      <w:r w:rsidR="006011EF">
        <w:rPr>
          <w:kern w:val="22"/>
          <w:sz w:val="22"/>
          <w:lang w:val="fr-FR"/>
        </w:rPr>
        <w:t>synthèse</w:t>
      </w:r>
      <w:r w:rsidR="003D0A75">
        <w:rPr>
          <w:kern w:val="22"/>
          <w:sz w:val="22"/>
          <w:lang w:val="fr-FR"/>
        </w:rPr>
        <w:t xml:space="preserve"> auprès d’un survivant de l’épidémie d’Ebola en Guinée en 2014</w:t>
      </w:r>
      <w:r w:rsidR="002E62EE" w:rsidRPr="003D0A75">
        <w:rPr>
          <w:kern w:val="22"/>
          <w:sz w:val="22"/>
          <w:lang w:val="fr-FR"/>
        </w:rPr>
        <w:t>.</w:t>
      </w:r>
      <w:r w:rsidR="008B765E" w:rsidRPr="002364AB">
        <w:rPr>
          <w:rStyle w:val="FootnoteReference"/>
          <w:kern w:val="22"/>
          <w:sz w:val="22"/>
          <w:lang w:val="en-GB"/>
        </w:rPr>
        <w:footnoteReference w:id="126"/>
      </w:r>
      <w:r w:rsidR="002E62EE" w:rsidRPr="003D0A75">
        <w:rPr>
          <w:kern w:val="22"/>
          <w:sz w:val="22"/>
          <w:lang w:val="fr-FR"/>
        </w:rPr>
        <w:t xml:space="preserve"> </w:t>
      </w:r>
      <w:r w:rsidR="003D53E2">
        <w:rPr>
          <w:kern w:val="22"/>
          <w:sz w:val="22"/>
          <w:lang w:val="fr-FR"/>
        </w:rPr>
        <w:t>B</w:t>
      </w:r>
      <w:r w:rsidR="00D40086">
        <w:rPr>
          <w:kern w:val="22"/>
          <w:sz w:val="22"/>
          <w:lang w:val="fr-FR"/>
        </w:rPr>
        <w:t>ien que le</w:t>
      </w:r>
      <w:r w:rsidR="004A51E0" w:rsidRPr="003D0A75">
        <w:rPr>
          <w:kern w:val="22"/>
          <w:sz w:val="22"/>
          <w:lang w:val="fr-FR"/>
        </w:rPr>
        <w:t xml:space="preserve"> </w:t>
      </w:r>
      <w:r w:rsidR="007C334A" w:rsidRPr="003D0A75">
        <w:rPr>
          <w:rFonts w:cs="Times New Roman"/>
          <w:kern w:val="22"/>
          <w:sz w:val="22"/>
          <w:lang w:val="fr-FR"/>
        </w:rPr>
        <w:t xml:space="preserve">BNITM </w:t>
      </w:r>
      <w:r w:rsidR="00D40086">
        <w:rPr>
          <w:rFonts w:cs="Times New Roman"/>
          <w:kern w:val="22"/>
          <w:sz w:val="22"/>
          <w:lang w:val="fr-FR"/>
        </w:rPr>
        <w:t>demande aux bénéficiaires d’échantillons physiques du virus de</w:t>
      </w:r>
      <w:r w:rsidR="002E62EE" w:rsidRPr="003D0A75">
        <w:rPr>
          <w:rFonts w:cs="Times New Roman"/>
          <w:kern w:val="22"/>
          <w:sz w:val="22"/>
          <w:lang w:val="fr-FR"/>
        </w:rPr>
        <w:t xml:space="preserve"> sign</w:t>
      </w:r>
      <w:r w:rsidR="00D40086">
        <w:rPr>
          <w:rFonts w:cs="Times New Roman"/>
          <w:kern w:val="22"/>
          <w:sz w:val="22"/>
          <w:lang w:val="fr-FR"/>
        </w:rPr>
        <w:t xml:space="preserve">er un </w:t>
      </w:r>
      <w:r w:rsidR="00770AB8" w:rsidRPr="003D0A75">
        <w:rPr>
          <w:rFonts w:cs="Times New Roman"/>
          <w:kern w:val="22"/>
          <w:sz w:val="22"/>
          <w:lang w:val="fr-FR"/>
        </w:rPr>
        <w:t xml:space="preserve">accord de </w:t>
      </w:r>
      <w:r w:rsidR="00EC0047">
        <w:rPr>
          <w:rFonts w:cs="Times New Roman"/>
          <w:kern w:val="22"/>
          <w:sz w:val="22"/>
          <w:lang w:val="fr-FR"/>
        </w:rPr>
        <w:t>transfert de matériel biologique, en</w:t>
      </w:r>
      <w:r w:rsidR="003D53E2">
        <w:rPr>
          <w:rFonts w:cs="Times New Roman"/>
          <w:kern w:val="22"/>
          <w:sz w:val="22"/>
          <w:lang w:val="fr-FR"/>
        </w:rPr>
        <w:t xml:space="preserve"> soulignant le besoin</w:t>
      </w:r>
      <w:r w:rsidR="00D40086">
        <w:rPr>
          <w:rFonts w:cs="Times New Roman"/>
          <w:kern w:val="22"/>
          <w:sz w:val="22"/>
          <w:lang w:val="fr-FR"/>
        </w:rPr>
        <w:t xml:space="preserve"> de </w:t>
      </w:r>
      <w:r w:rsidR="00AA5919" w:rsidRPr="003D0A75">
        <w:rPr>
          <w:rFonts w:cs="Times New Roman"/>
          <w:kern w:val="22"/>
          <w:sz w:val="22"/>
          <w:lang w:val="fr-FR"/>
        </w:rPr>
        <w:t xml:space="preserve">négocier </w:t>
      </w:r>
      <w:r w:rsidR="00D40086">
        <w:rPr>
          <w:rFonts w:cs="Times New Roman"/>
          <w:kern w:val="22"/>
          <w:sz w:val="22"/>
          <w:lang w:val="fr-FR"/>
        </w:rPr>
        <w:t>un</w:t>
      </w:r>
      <w:r w:rsidR="00AA5919" w:rsidRPr="003D0A75">
        <w:rPr>
          <w:rFonts w:cs="Times New Roman"/>
          <w:kern w:val="22"/>
          <w:sz w:val="22"/>
          <w:lang w:val="fr-FR"/>
        </w:rPr>
        <w:t xml:space="preserve"> </w:t>
      </w:r>
      <w:r w:rsidR="00E3674F" w:rsidRPr="003D0A75">
        <w:rPr>
          <w:rFonts w:cs="Times New Roman"/>
          <w:kern w:val="22"/>
          <w:sz w:val="22"/>
          <w:lang w:val="fr-FR"/>
        </w:rPr>
        <w:t>partage des avantages</w:t>
      </w:r>
      <w:r w:rsidR="002E62EE" w:rsidRPr="003D0A75">
        <w:rPr>
          <w:rFonts w:cs="Times New Roman"/>
          <w:kern w:val="22"/>
          <w:sz w:val="22"/>
          <w:lang w:val="fr-FR"/>
        </w:rPr>
        <w:t xml:space="preserve"> </w:t>
      </w:r>
      <w:r w:rsidR="00D40086">
        <w:rPr>
          <w:rFonts w:cs="Times New Roman"/>
          <w:kern w:val="22"/>
          <w:sz w:val="22"/>
          <w:lang w:val="fr-FR"/>
        </w:rPr>
        <w:t xml:space="preserve">avec la Guinée </w:t>
      </w:r>
      <w:r w:rsidR="00EC0047">
        <w:rPr>
          <w:rFonts w:cs="Times New Roman"/>
          <w:kern w:val="22"/>
          <w:sz w:val="22"/>
          <w:lang w:val="fr-FR"/>
        </w:rPr>
        <w:t>pour tout produit commercial</w:t>
      </w:r>
      <w:r w:rsidR="00D40086">
        <w:rPr>
          <w:rFonts w:cs="Times New Roman"/>
          <w:kern w:val="22"/>
          <w:sz w:val="22"/>
          <w:lang w:val="fr-FR"/>
        </w:rPr>
        <w:t>, conformément aux dispositions de</w:t>
      </w:r>
      <w:r w:rsidR="00F27467" w:rsidRPr="003D0A75">
        <w:rPr>
          <w:rFonts w:cs="Times New Roman"/>
          <w:kern w:val="22"/>
          <w:sz w:val="22"/>
          <w:lang w:val="fr-FR"/>
        </w:rPr>
        <w:t xml:space="preserve"> la </w:t>
      </w:r>
      <w:r w:rsidR="007347F7">
        <w:rPr>
          <w:rFonts w:cs="Times New Roman"/>
          <w:kern w:val="22"/>
          <w:sz w:val="22"/>
          <w:lang w:val="fr-FR"/>
        </w:rPr>
        <w:t>Convention</w:t>
      </w:r>
      <w:r w:rsidR="003D53E2">
        <w:rPr>
          <w:rFonts w:cs="Times New Roman"/>
          <w:kern w:val="22"/>
          <w:sz w:val="22"/>
          <w:lang w:val="fr-FR"/>
        </w:rPr>
        <w:t xml:space="preserve"> </w:t>
      </w:r>
      <w:r w:rsidR="00E3674F" w:rsidRPr="003D0A75">
        <w:rPr>
          <w:rFonts w:cs="Times New Roman"/>
          <w:kern w:val="22"/>
          <w:sz w:val="22"/>
          <w:lang w:val="fr-FR"/>
        </w:rPr>
        <w:t xml:space="preserve">et </w:t>
      </w:r>
      <w:r w:rsidR="00D40086">
        <w:rPr>
          <w:rFonts w:cs="Times New Roman"/>
          <w:kern w:val="22"/>
          <w:sz w:val="22"/>
          <w:lang w:val="fr-FR"/>
        </w:rPr>
        <w:t>du</w:t>
      </w:r>
      <w:r w:rsidR="00E3674F" w:rsidRPr="003D0A75">
        <w:rPr>
          <w:rFonts w:cs="Times New Roman"/>
          <w:kern w:val="22"/>
          <w:sz w:val="22"/>
          <w:lang w:val="fr-FR"/>
        </w:rPr>
        <w:t xml:space="preserve"> Protocole de Nagoya</w:t>
      </w:r>
      <w:r w:rsidR="00D40086">
        <w:rPr>
          <w:rFonts w:cs="Times New Roman"/>
          <w:kern w:val="22"/>
          <w:sz w:val="22"/>
          <w:lang w:val="fr-FR"/>
        </w:rPr>
        <w:t>, il n</w:t>
      </w:r>
      <w:r w:rsidR="003D53E2">
        <w:rPr>
          <w:rFonts w:cs="Times New Roman"/>
          <w:kern w:val="22"/>
          <w:sz w:val="22"/>
          <w:lang w:val="fr-FR"/>
        </w:rPr>
        <w:t>’impose aucune obligation de ce type pour l’</w:t>
      </w:r>
      <w:r w:rsidR="009D43F1" w:rsidRPr="003D0A75">
        <w:rPr>
          <w:rFonts w:cs="Times New Roman"/>
          <w:kern w:val="22"/>
          <w:sz w:val="22"/>
          <w:lang w:val="fr-FR"/>
        </w:rPr>
        <w:t>utilisation</w:t>
      </w:r>
      <w:r w:rsidR="005D11BF">
        <w:rPr>
          <w:rFonts w:cs="Times New Roman"/>
          <w:kern w:val="22"/>
          <w:sz w:val="22"/>
          <w:lang w:val="fr-FR"/>
        </w:rPr>
        <w:t xml:space="preserve"> </w:t>
      </w:r>
      <w:r w:rsidR="00EC0047">
        <w:rPr>
          <w:rFonts w:cs="Times New Roman"/>
          <w:kern w:val="22"/>
          <w:sz w:val="22"/>
          <w:lang w:val="fr-FR"/>
        </w:rPr>
        <w:t>d’</w:t>
      </w:r>
      <w:r w:rsidR="00BC5F0A">
        <w:rPr>
          <w:rFonts w:cs="Times New Roman"/>
          <w:kern w:val="22"/>
          <w:sz w:val="22"/>
          <w:lang w:val="fr-FR"/>
        </w:rPr>
        <w:t>information</w:t>
      </w:r>
      <w:r w:rsidR="00EC0047">
        <w:rPr>
          <w:rFonts w:cs="Times New Roman"/>
          <w:kern w:val="22"/>
          <w:sz w:val="22"/>
          <w:lang w:val="fr-FR"/>
        </w:rPr>
        <w:t>s</w:t>
      </w:r>
      <w:r w:rsidR="00BC5F0A">
        <w:rPr>
          <w:rFonts w:cs="Times New Roman"/>
          <w:kern w:val="22"/>
          <w:sz w:val="22"/>
          <w:lang w:val="fr-FR"/>
        </w:rPr>
        <w:t xml:space="preserve"> de séquençage</w:t>
      </w:r>
      <w:r w:rsidR="003D53E2">
        <w:rPr>
          <w:rFonts w:cs="Times New Roman"/>
          <w:kern w:val="22"/>
          <w:sz w:val="22"/>
          <w:lang w:val="fr-FR"/>
        </w:rPr>
        <w:t xml:space="preserve"> </w:t>
      </w:r>
      <w:r w:rsidR="005D11BF">
        <w:rPr>
          <w:rFonts w:cs="Times New Roman"/>
          <w:kern w:val="22"/>
          <w:sz w:val="22"/>
          <w:lang w:val="fr-FR"/>
        </w:rPr>
        <w:t>téléchargées</w:t>
      </w:r>
      <w:r w:rsidR="002E62EE" w:rsidRPr="003D0A75">
        <w:rPr>
          <w:rFonts w:cs="Times New Roman"/>
          <w:kern w:val="22"/>
          <w:sz w:val="22"/>
          <w:lang w:val="fr-FR"/>
        </w:rPr>
        <w:t>.</w:t>
      </w:r>
      <w:r w:rsidR="008B765E" w:rsidRPr="002364AB">
        <w:rPr>
          <w:rStyle w:val="FootnoteReference"/>
          <w:rFonts w:cs="Times New Roman"/>
          <w:kern w:val="22"/>
          <w:sz w:val="22"/>
          <w:lang w:val="en-GB"/>
        </w:rPr>
        <w:footnoteReference w:id="127"/>
      </w:r>
      <w:r w:rsidR="002E62EE" w:rsidRPr="003D0A75">
        <w:rPr>
          <w:rFonts w:cs="Times New Roman"/>
          <w:kern w:val="22"/>
          <w:sz w:val="22"/>
          <w:lang w:val="fr-FR"/>
        </w:rPr>
        <w:t xml:space="preserve"> </w:t>
      </w:r>
    </w:p>
    <w:p w14:paraId="6E836726" w14:textId="1A5A81E6" w:rsidR="00252B22" w:rsidRPr="005D11BF" w:rsidRDefault="005D11BF">
      <w:pPr>
        <w:spacing w:after="120"/>
        <w:rPr>
          <w:kern w:val="22"/>
          <w:sz w:val="22"/>
          <w:lang w:val="fr-FR"/>
        </w:rPr>
      </w:pPr>
      <w:r w:rsidRPr="005D11BF">
        <w:rPr>
          <w:rFonts w:cs="Times New Roman"/>
          <w:kern w:val="22"/>
          <w:sz w:val="22"/>
          <w:lang w:val="fr-FR"/>
        </w:rPr>
        <w:t xml:space="preserve">Le traitement </w:t>
      </w:r>
      <w:r w:rsidR="675B34AE" w:rsidRPr="005D11BF">
        <w:rPr>
          <w:rFonts w:cs="Times New Roman"/>
          <w:kern w:val="22"/>
          <w:sz w:val="22"/>
          <w:lang w:val="fr-FR"/>
        </w:rPr>
        <w:t>REGN-EB3</w:t>
      </w:r>
      <w:r w:rsidR="00716A8B" w:rsidRPr="002364AB">
        <w:rPr>
          <w:rStyle w:val="FootnoteReference"/>
          <w:rFonts w:cs="Times New Roman"/>
          <w:kern w:val="22"/>
          <w:sz w:val="22"/>
          <w:lang w:val="en-GB"/>
        </w:rPr>
        <w:footnoteReference w:id="128"/>
      </w:r>
      <w:r w:rsidR="00716A8B" w:rsidRPr="005D11BF">
        <w:rPr>
          <w:rFonts w:cs="Times New Roman"/>
          <w:kern w:val="22"/>
          <w:sz w:val="22"/>
          <w:lang w:val="fr-FR"/>
        </w:rPr>
        <w:t xml:space="preserve"> </w:t>
      </w:r>
      <w:r w:rsidR="00EC0047">
        <w:rPr>
          <w:rFonts w:cs="Times New Roman"/>
          <w:kern w:val="22"/>
          <w:sz w:val="22"/>
          <w:lang w:val="fr-FR"/>
        </w:rPr>
        <w:t xml:space="preserve">contre Ebola </w:t>
      </w:r>
      <w:r w:rsidR="003D53E2">
        <w:rPr>
          <w:rFonts w:cs="Times New Roman"/>
          <w:kern w:val="22"/>
          <w:sz w:val="22"/>
          <w:lang w:val="fr-FR"/>
        </w:rPr>
        <w:t>a bénéficié de</w:t>
      </w:r>
      <w:r w:rsidRPr="005D11BF">
        <w:rPr>
          <w:rFonts w:cs="Times New Roman"/>
          <w:kern w:val="22"/>
          <w:sz w:val="22"/>
          <w:lang w:val="fr-FR"/>
        </w:rPr>
        <w:t xml:space="preserve"> plus de </w:t>
      </w:r>
      <w:r w:rsidR="00716A8B" w:rsidRPr="005D11BF">
        <w:rPr>
          <w:rFonts w:cs="Times New Roman"/>
          <w:kern w:val="22"/>
          <w:sz w:val="22"/>
          <w:lang w:val="fr-FR"/>
        </w:rPr>
        <w:t>400 million</w:t>
      </w:r>
      <w:r w:rsidR="00EC0047">
        <w:rPr>
          <w:rFonts w:cs="Times New Roman"/>
          <w:kern w:val="22"/>
          <w:sz w:val="22"/>
          <w:lang w:val="fr-FR"/>
        </w:rPr>
        <w:t>s de dollars</w:t>
      </w:r>
      <w:r>
        <w:rPr>
          <w:rFonts w:cs="Times New Roman"/>
          <w:kern w:val="22"/>
          <w:sz w:val="22"/>
          <w:lang w:val="fr-FR"/>
        </w:rPr>
        <w:t xml:space="preserve"> </w:t>
      </w:r>
      <w:r w:rsidR="003D53E2">
        <w:rPr>
          <w:rFonts w:cs="Times New Roman"/>
          <w:kern w:val="22"/>
          <w:sz w:val="22"/>
          <w:lang w:val="fr-FR"/>
        </w:rPr>
        <w:t xml:space="preserve">annoncés </w:t>
      </w:r>
      <w:r>
        <w:rPr>
          <w:rFonts w:cs="Times New Roman"/>
          <w:kern w:val="22"/>
          <w:sz w:val="22"/>
          <w:lang w:val="fr-FR"/>
        </w:rPr>
        <w:t xml:space="preserve">pour </w:t>
      </w:r>
      <w:r w:rsidR="008A362D" w:rsidRPr="005D11BF">
        <w:rPr>
          <w:rFonts w:cs="Times New Roman"/>
          <w:kern w:val="22"/>
          <w:sz w:val="22"/>
          <w:lang w:val="fr-FR"/>
        </w:rPr>
        <w:t>la recherche et développement</w:t>
      </w:r>
      <w:r w:rsidR="003D53E2">
        <w:rPr>
          <w:rFonts w:cs="Times New Roman"/>
          <w:kern w:val="22"/>
          <w:sz w:val="22"/>
          <w:lang w:val="fr-FR"/>
        </w:rPr>
        <w:t xml:space="preserve"> par l’Autorité de </w:t>
      </w:r>
      <w:r>
        <w:rPr>
          <w:rFonts w:cs="Times New Roman"/>
          <w:kern w:val="22"/>
          <w:sz w:val="22"/>
          <w:lang w:val="fr-FR"/>
        </w:rPr>
        <w:t>recher</w:t>
      </w:r>
      <w:r w:rsidR="00EC0047">
        <w:rPr>
          <w:rFonts w:cs="Times New Roman"/>
          <w:kern w:val="22"/>
          <w:sz w:val="22"/>
          <w:lang w:val="fr-FR"/>
        </w:rPr>
        <w:t>che et développement biomédical</w:t>
      </w:r>
      <w:r w:rsidR="003D53E2">
        <w:rPr>
          <w:rFonts w:cs="Times New Roman"/>
          <w:kern w:val="22"/>
          <w:sz w:val="22"/>
          <w:lang w:val="fr-FR"/>
        </w:rPr>
        <w:t xml:space="preserve"> avancé</w:t>
      </w:r>
      <w:r>
        <w:rPr>
          <w:rFonts w:cs="Times New Roman"/>
          <w:kern w:val="22"/>
          <w:sz w:val="22"/>
          <w:lang w:val="fr-FR"/>
        </w:rPr>
        <w:t xml:space="preserve"> auprès du Ministère de la santé et des affaires sociales américain</w:t>
      </w:r>
      <w:r w:rsidR="00FA7F07" w:rsidRPr="005D11BF">
        <w:rPr>
          <w:rFonts w:cs="Times New Roman"/>
          <w:kern w:val="22"/>
          <w:sz w:val="22"/>
          <w:lang w:val="fr-FR"/>
        </w:rPr>
        <w:t>.</w:t>
      </w:r>
      <w:r w:rsidR="00FA7F07" w:rsidRPr="002364AB">
        <w:rPr>
          <w:rStyle w:val="FootnoteReference"/>
          <w:rFonts w:cs="Times New Roman"/>
          <w:kern w:val="22"/>
          <w:sz w:val="22"/>
          <w:lang w:val="en-GB"/>
        </w:rPr>
        <w:footnoteReference w:id="129"/>
      </w:r>
      <w:r w:rsidR="00EC0047">
        <w:rPr>
          <w:rFonts w:cs="Times New Roman"/>
          <w:kern w:val="22"/>
          <w:sz w:val="22"/>
          <w:lang w:val="fr-FR"/>
        </w:rPr>
        <w:t xml:space="preserve"> Ce traitement a aussi bénéficié</w:t>
      </w:r>
      <w:r w:rsidRPr="005D11BF">
        <w:rPr>
          <w:rFonts w:cs="Times New Roman"/>
          <w:kern w:val="22"/>
          <w:sz w:val="22"/>
          <w:lang w:val="fr-FR"/>
        </w:rPr>
        <w:t xml:space="preserve"> </w:t>
      </w:r>
      <w:r w:rsidR="00EC0047">
        <w:rPr>
          <w:rFonts w:cs="Times New Roman"/>
          <w:kern w:val="22"/>
          <w:sz w:val="22"/>
          <w:lang w:val="fr-FR"/>
        </w:rPr>
        <w:t xml:space="preserve">de l’appellation </w:t>
      </w:r>
      <w:r w:rsidR="003D53E2">
        <w:rPr>
          <w:rFonts w:cs="Times New Roman"/>
          <w:kern w:val="22"/>
          <w:sz w:val="22"/>
          <w:lang w:val="fr-FR"/>
        </w:rPr>
        <w:t>‘</w:t>
      </w:r>
      <w:r w:rsidR="00190A94">
        <w:rPr>
          <w:rFonts w:cs="Times New Roman"/>
          <w:kern w:val="22"/>
          <w:sz w:val="22"/>
          <w:lang w:val="fr-FR"/>
        </w:rPr>
        <w:t>traitement d’</w:t>
      </w:r>
      <w:r w:rsidRPr="005D11BF">
        <w:rPr>
          <w:rFonts w:cs="Times New Roman"/>
          <w:kern w:val="22"/>
          <w:sz w:val="22"/>
          <w:lang w:val="fr-FR"/>
        </w:rPr>
        <w:t>une maladie orpheline</w:t>
      </w:r>
      <w:r w:rsidR="003D53E2">
        <w:rPr>
          <w:rFonts w:cs="Times New Roman"/>
          <w:kern w:val="22"/>
          <w:sz w:val="22"/>
          <w:lang w:val="fr-FR"/>
        </w:rPr>
        <w:t>’</w:t>
      </w:r>
      <w:r w:rsidRPr="005D11BF">
        <w:rPr>
          <w:rFonts w:cs="Times New Roman"/>
          <w:kern w:val="22"/>
          <w:sz w:val="22"/>
          <w:lang w:val="fr-FR"/>
        </w:rPr>
        <w:t xml:space="preserve">, à la fois auprès de </w:t>
      </w:r>
      <w:r>
        <w:rPr>
          <w:rFonts w:cs="Times New Roman"/>
          <w:kern w:val="22"/>
          <w:sz w:val="22"/>
          <w:lang w:val="fr-FR"/>
        </w:rPr>
        <w:t>l’</w:t>
      </w:r>
      <w:r w:rsidR="0014291A" w:rsidRPr="005D11BF">
        <w:rPr>
          <w:rFonts w:cs="Times New Roman"/>
          <w:kern w:val="22"/>
          <w:sz w:val="22"/>
          <w:lang w:val="fr-FR"/>
        </w:rPr>
        <w:t>U.S. Food</w:t>
      </w:r>
      <w:r w:rsidR="00EC0047">
        <w:rPr>
          <w:rFonts w:cs="Times New Roman"/>
          <w:kern w:val="22"/>
          <w:sz w:val="22"/>
          <w:lang w:val="fr-FR"/>
        </w:rPr>
        <w:t xml:space="preserve"> and </w:t>
      </w:r>
      <w:r w:rsidR="0014291A" w:rsidRPr="005D11BF">
        <w:rPr>
          <w:rFonts w:cs="Times New Roman"/>
          <w:kern w:val="22"/>
          <w:sz w:val="22"/>
          <w:lang w:val="fr-FR"/>
        </w:rPr>
        <w:t>Drug Administration</w:t>
      </w:r>
      <w:r w:rsidR="00E3674F" w:rsidRPr="005D11BF">
        <w:rPr>
          <w:rFonts w:cs="Times New Roman"/>
          <w:kern w:val="22"/>
          <w:sz w:val="22"/>
          <w:lang w:val="fr-FR"/>
        </w:rPr>
        <w:t xml:space="preserve"> et </w:t>
      </w:r>
      <w:r>
        <w:rPr>
          <w:rFonts w:cs="Times New Roman"/>
          <w:kern w:val="22"/>
          <w:sz w:val="22"/>
          <w:lang w:val="fr-FR"/>
        </w:rPr>
        <w:t>de l’Agence e</w:t>
      </w:r>
      <w:r w:rsidR="00A82C6C" w:rsidRPr="005D11BF">
        <w:rPr>
          <w:rFonts w:cs="Times New Roman"/>
          <w:kern w:val="22"/>
          <w:sz w:val="22"/>
          <w:lang w:val="fr-FR"/>
        </w:rPr>
        <w:t>urop</w:t>
      </w:r>
      <w:r>
        <w:rPr>
          <w:rFonts w:cs="Times New Roman"/>
          <w:kern w:val="22"/>
          <w:sz w:val="22"/>
          <w:lang w:val="fr-FR"/>
        </w:rPr>
        <w:t>éenne de</w:t>
      </w:r>
      <w:r w:rsidR="00A82C6C" w:rsidRPr="005D11BF">
        <w:rPr>
          <w:rFonts w:cs="Times New Roman"/>
          <w:kern w:val="22"/>
          <w:sz w:val="22"/>
          <w:lang w:val="fr-FR"/>
        </w:rPr>
        <w:t xml:space="preserve"> </w:t>
      </w:r>
      <w:r>
        <w:rPr>
          <w:rFonts w:cs="Times New Roman"/>
          <w:kern w:val="22"/>
          <w:sz w:val="22"/>
          <w:lang w:val="fr-FR"/>
        </w:rPr>
        <w:t>médicaments</w:t>
      </w:r>
      <w:r w:rsidR="00A82C6C" w:rsidRPr="005D11BF">
        <w:rPr>
          <w:rFonts w:cs="Times New Roman"/>
          <w:kern w:val="22"/>
          <w:sz w:val="22"/>
          <w:lang w:val="fr-FR"/>
        </w:rPr>
        <w:t xml:space="preserve">, </w:t>
      </w:r>
      <w:r>
        <w:rPr>
          <w:rFonts w:cs="Times New Roman"/>
          <w:kern w:val="22"/>
          <w:sz w:val="22"/>
          <w:lang w:val="fr-FR"/>
        </w:rPr>
        <w:t xml:space="preserve">fournissant aussi </w:t>
      </w:r>
      <w:r w:rsidR="00EC0047">
        <w:rPr>
          <w:rFonts w:cs="Times New Roman"/>
          <w:kern w:val="22"/>
          <w:sz w:val="22"/>
          <w:lang w:val="fr-FR"/>
        </w:rPr>
        <w:t xml:space="preserve">à l’entreprise privée </w:t>
      </w:r>
      <w:r w:rsidR="00A82C6C" w:rsidRPr="005D11BF">
        <w:rPr>
          <w:rFonts w:cs="Times New Roman"/>
          <w:kern w:val="22"/>
          <w:sz w:val="22"/>
          <w:lang w:val="fr-FR"/>
        </w:rPr>
        <w:t>Regeneron</w:t>
      </w:r>
      <w:r w:rsidR="00D6232E" w:rsidRPr="005D11BF">
        <w:rPr>
          <w:rFonts w:cs="Times New Roman"/>
          <w:kern w:val="22"/>
          <w:sz w:val="22"/>
          <w:lang w:val="fr-FR"/>
        </w:rPr>
        <w:t xml:space="preserve"> </w:t>
      </w:r>
      <w:r>
        <w:rPr>
          <w:rFonts w:cs="Times New Roman"/>
          <w:kern w:val="22"/>
          <w:sz w:val="22"/>
          <w:lang w:val="fr-FR"/>
        </w:rPr>
        <w:t>– entre autres</w:t>
      </w:r>
      <w:r w:rsidR="005C6E82" w:rsidRPr="005D11BF">
        <w:rPr>
          <w:rFonts w:cs="Times New Roman"/>
          <w:kern w:val="22"/>
          <w:sz w:val="22"/>
          <w:lang w:val="fr-FR"/>
        </w:rPr>
        <w:t xml:space="preserve"> – </w:t>
      </w:r>
      <w:r w:rsidR="00EC0047">
        <w:rPr>
          <w:rFonts w:cs="Times New Roman"/>
          <w:kern w:val="22"/>
          <w:sz w:val="22"/>
          <w:lang w:val="fr-FR"/>
        </w:rPr>
        <w:t>des déductions fiscales</w:t>
      </w:r>
      <w:r w:rsidR="002A04DF" w:rsidRPr="005D11BF">
        <w:rPr>
          <w:rFonts w:cs="Times New Roman"/>
          <w:kern w:val="22"/>
          <w:sz w:val="22"/>
          <w:lang w:val="fr-FR"/>
        </w:rPr>
        <w:t xml:space="preserve"> </w:t>
      </w:r>
      <w:r>
        <w:rPr>
          <w:rFonts w:cs="Times New Roman"/>
          <w:kern w:val="22"/>
          <w:sz w:val="22"/>
          <w:lang w:val="fr-FR"/>
        </w:rPr>
        <w:t>po</w:t>
      </w:r>
      <w:r w:rsidR="00EC0047">
        <w:rPr>
          <w:rFonts w:cs="Times New Roman"/>
          <w:kern w:val="22"/>
          <w:sz w:val="22"/>
          <w:lang w:val="fr-FR"/>
        </w:rPr>
        <w:t>ur s</w:t>
      </w:r>
      <w:r>
        <w:rPr>
          <w:rFonts w:cs="Times New Roman"/>
          <w:kern w:val="22"/>
          <w:sz w:val="22"/>
          <w:lang w:val="fr-FR"/>
        </w:rPr>
        <w:t>es dépenses</w:t>
      </w:r>
      <w:r w:rsidR="00EC0047">
        <w:rPr>
          <w:rFonts w:cs="Times New Roman"/>
          <w:kern w:val="22"/>
          <w:sz w:val="22"/>
          <w:lang w:val="fr-FR"/>
        </w:rPr>
        <w:t xml:space="preserve"> en matière</w:t>
      </w:r>
      <w:r>
        <w:rPr>
          <w:rFonts w:cs="Times New Roman"/>
          <w:kern w:val="22"/>
          <w:sz w:val="22"/>
          <w:lang w:val="fr-FR"/>
        </w:rPr>
        <w:t xml:space="preserve"> de recherche et développement, ainsi qu’une exclusivité commerciale </w:t>
      </w:r>
      <w:r w:rsidR="00190A94">
        <w:rPr>
          <w:rFonts w:cs="Times New Roman"/>
          <w:kern w:val="22"/>
          <w:sz w:val="22"/>
          <w:lang w:val="fr-FR"/>
        </w:rPr>
        <w:t xml:space="preserve">pour ce traitement </w:t>
      </w:r>
      <w:r>
        <w:rPr>
          <w:rFonts w:cs="Times New Roman"/>
          <w:kern w:val="22"/>
          <w:sz w:val="22"/>
          <w:lang w:val="fr-FR"/>
        </w:rPr>
        <w:t>pendant une c</w:t>
      </w:r>
      <w:r w:rsidR="00190A94">
        <w:rPr>
          <w:rFonts w:cs="Times New Roman"/>
          <w:kern w:val="22"/>
          <w:sz w:val="22"/>
          <w:lang w:val="fr-FR"/>
        </w:rPr>
        <w:t>ertaine période</w:t>
      </w:r>
      <w:r w:rsidR="002A04DF" w:rsidRPr="005D11BF">
        <w:rPr>
          <w:rFonts w:cs="Times New Roman"/>
          <w:kern w:val="22"/>
          <w:sz w:val="22"/>
          <w:lang w:val="fr-FR"/>
        </w:rPr>
        <w:t>.</w:t>
      </w:r>
      <w:r w:rsidR="0024710A" w:rsidRPr="002364AB">
        <w:rPr>
          <w:rStyle w:val="FootnoteReference"/>
          <w:rFonts w:cs="Times New Roman"/>
          <w:kern w:val="22"/>
          <w:sz w:val="22"/>
          <w:lang w:val="en-GB"/>
        </w:rPr>
        <w:footnoteReference w:id="130"/>
      </w:r>
      <w:r w:rsidR="00986F48" w:rsidRPr="005D11BF">
        <w:rPr>
          <w:rFonts w:cs="Times New Roman"/>
          <w:kern w:val="22"/>
          <w:sz w:val="22"/>
          <w:lang w:val="fr-FR"/>
        </w:rPr>
        <w:t xml:space="preserve"> </w:t>
      </w:r>
      <w:r w:rsidR="00EC0047">
        <w:rPr>
          <w:rFonts w:cs="Times New Roman"/>
          <w:kern w:val="22"/>
          <w:sz w:val="22"/>
          <w:lang w:val="fr-FR"/>
        </w:rPr>
        <w:t>Par ailleurs</w:t>
      </w:r>
      <w:r w:rsidR="00716A8B" w:rsidRPr="005D11BF">
        <w:rPr>
          <w:rFonts w:cs="Times New Roman"/>
          <w:kern w:val="22"/>
          <w:sz w:val="22"/>
          <w:lang w:val="fr-FR"/>
        </w:rPr>
        <w:t>,</w:t>
      </w:r>
      <w:r w:rsidRPr="005D11BF">
        <w:rPr>
          <w:rFonts w:cs="Times New Roman"/>
          <w:kern w:val="22"/>
          <w:sz w:val="22"/>
          <w:lang w:val="fr-FR"/>
        </w:rPr>
        <w:t xml:space="preserve"> plus de</w:t>
      </w:r>
      <w:r>
        <w:rPr>
          <w:rFonts w:cs="Times New Roman"/>
          <w:kern w:val="22"/>
          <w:sz w:val="22"/>
          <w:lang w:val="fr-FR"/>
        </w:rPr>
        <w:t xml:space="preserve"> </w:t>
      </w:r>
      <w:r w:rsidR="00EC0047">
        <w:rPr>
          <w:rFonts w:cs="Times New Roman"/>
          <w:kern w:val="22"/>
          <w:sz w:val="22"/>
          <w:lang w:val="fr-FR"/>
        </w:rPr>
        <w:t>100 </w:t>
      </w:r>
      <w:r>
        <w:rPr>
          <w:rFonts w:cs="Times New Roman"/>
          <w:kern w:val="22"/>
          <w:sz w:val="22"/>
          <w:lang w:val="fr-FR"/>
        </w:rPr>
        <w:t>demandes de brevet</w:t>
      </w:r>
      <w:r w:rsidR="00C74087">
        <w:rPr>
          <w:rFonts w:cs="Times New Roman"/>
          <w:kern w:val="22"/>
          <w:sz w:val="22"/>
          <w:lang w:val="fr-FR"/>
        </w:rPr>
        <w:t xml:space="preserve"> ont été déposées dans le monde, dont certaines </w:t>
      </w:r>
      <w:r w:rsidR="00190A94">
        <w:rPr>
          <w:rFonts w:cs="Times New Roman"/>
          <w:kern w:val="22"/>
          <w:sz w:val="22"/>
          <w:lang w:val="fr-FR"/>
        </w:rPr>
        <w:t>ont déjà abouti favorablement</w:t>
      </w:r>
      <w:r w:rsidR="00C74087">
        <w:rPr>
          <w:rFonts w:cs="Times New Roman"/>
          <w:kern w:val="22"/>
          <w:sz w:val="22"/>
          <w:lang w:val="fr-FR"/>
        </w:rPr>
        <w:t xml:space="preserve"> aux Etats-Unis, au Nigéria et en Afrique </w:t>
      </w:r>
      <w:r w:rsidR="000C3696" w:rsidRPr="005D11BF">
        <w:rPr>
          <w:kern w:val="22"/>
          <w:sz w:val="22"/>
          <w:lang w:val="fr-FR"/>
        </w:rPr>
        <w:t>du Sud</w:t>
      </w:r>
      <w:r w:rsidR="006E0572" w:rsidRPr="005D11BF">
        <w:rPr>
          <w:kern w:val="22"/>
          <w:sz w:val="22"/>
          <w:lang w:val="fr-FR"/>
        </w:rPr>
        <w:t>.</w:t>
      </w:r>
      <w:r w:rsidR="006E0572" w:rsidRPr="002364AB">
        <w:rPr>
          <w:rStyle w:val="FootnoteReference"/>
          <w:kern w:val="22"/>
          <w:sz w:val="22"/>
          <w:lang w:val="en-GB"/>
        </w:rPr>
        <w:footnoteReference w:id="131"/>
      </w:r>
      <w:r w:rsidR="000679A7" w:rsidRPr="005D11BF">
        <w:rPr>
          <w:kern w:val="22"/>
          <w:sz w:val="22"/>
          <w:lang w:val="fr-FR"/>
        </w:rPr>
        <w:t xml:space="preserve"> </w:t>
      </w:r>
    </w:p>
    <w:p w14:paraId="2FBDC04D" w14:textId="7F9AC85F" w:rsidR="000679A7" w:rsidRPr="00C74087" w:rsidRDefault="003D53E2" w:rsidP="00FC4525">
      <w:pPr>
        <w:spacing w:after="120"/>
        <w:rPr>
          <w:kern w:val="22"/>
          <w:sz w:val="22"/>
          <w:lang w:val="fr-FR"/>
        </w:rPr>
      </w:pPr>
      <w:r>
        <w:rPr>
          <w:kern w:val="22"/>
          <w:sz w:val="22"/>
          <w:lang w:val="fr-FR"/>
        </w:rPr>
        <w:t>C</w:t>
      </w:r>
      <w:r w:rsidR="00C74087" w:rsidRPr="00C74087">
        <w:rPr>
          <w:kern w:val="22"/>
          <w:sz w:val="22"/>
          <w:lang w:val="fr-FR"/>
        </w:rPr>
        <w:t>eci ne constitue</w:t>
      </w:r>
      <w:r w:rsidR="00C74087">
        <w:rPr>
          <w:kern w:val="22"/>
          <w:sz w:val="22"/>
          <w:lang w:val="fr-FR"/>
        </w:rPr>
        <w:t xml:space="preserve"> pas un cas isolé</w:t>
      </w:r>
      <w:r w:rsidR="000679A7" w:rsidRPr="00C74087">
        <w:rPr>
          <w:kern w:val="22"/>
          <w:sz w:val="22"/>
          <w:lang w:val="fr-FR"/>
        </w:rPr>
        <w:t xml:space="preserve">. </w:t>
      </w:r>
      <w:r>
        <w:rPr>
          <w:kern w:val="22"/>
          <w:sz w:val="22"/>
          <w:lang w:val="fr-FR"/>
        </w:rPr>
        <w:t xml:space="preserve">Ainsi, comme l’indiquent </w:t>
      </w:r>
      <w:r w:rsidR="000679A7" w:rsidRPr="00C74087">
        <w:rPr>
          <w:kern w:val="22"/>
          <w:sz w:val="22"/>
          <w:lang w:val="fr-FR"/>
        </w:rPr>
        <w:t>Rourke</w:t>
      </w:r>
      <w:r w:rsidR="00E3674F" w:rsidRPr="00C74087">
        <w:rPr>
          <w:kern w:val="22"/>
          <w:sz w:val="22"/>
          <w:lang w:val="fr-FR"/>
        </w:rPr>
        <w:t xml:space="preserve"> et </w:t>
      </w:r>
      <w:r w:rsidR="00C74087" w:rsidRPr="00C74087">
        <w:rPr>
          <w:kern w:val="22"/>
          <w:sz w:val="22"/>
          <w:lang w:val="fr-FR"/>
        </w:rPr>
        <w:t>al.</w:t>
      </w:r>
      <w:r w:rsidR="00C74087">
        <w:rPr>
          <w:kern w:val="22"/>
          <w:sz w:val="22"/>
          <w:lang w:val="fr-FR"/>
        </w:rPr>
        <w:t xml:space="preserve"> </w:t>
      </w:r>
      <w:r w:rsidR="000679A7" w:rsidRPr="00C74087">
        <w:rPr>
          <w:kern w:val="22"/>
          <w:sz w:val="22"/>
          <w:lang w:val="fr-FR"/>
        </w:rPr>
        <w:t xml:space="preserve">: </w:t>
      </w:r>
    </w:p>
    <w:p w14:paraId="596030E5" w14:textId="2ECDFF41" w:rsidR="007311AD" w:rsidRPr="0086347E" w:rsidRDefault="00C74087" w:rsidP="00BE23B2">
      <w:pPr>
        <w:spacing w:after="120"/>
        <w:ind w:left="432" w:right="432"/>
        <w:rPr>
          <w:kern w:val="22"/>
          <w:sz w:val="22"/>
          <w:lang w:val="fr-FR"/>
        </w:rPr>
      </w:pPr>
      <w:r w:rsidRPr="00C74087">
        <w:rPr>
          <w:kern w:val="22"/>
          <w:sz w:val="22"/>
          <w:lang w:val="fr-FR"/>
        </w:rPr>
        <w:t xml:space="preserve">En 2017, une équipe de </w:t>
      </w:r>
      <w:r w:rsidR="00121FCD" w:rsidRPr="00C74087">
        <w:rPr>
          <w:kern w:val="22"/>
          <w:sz w:val="22"/>
          <w:lang w:val="fr-FR"/>
        </w:rPr>
        <w:t>recherche</w:t>
      </w:r>
      <w:r w:rsidR="000679A7" w:rsidRPr="00C74087">
        <w:rPr>
          <w:kern w:val="22"/>
          <w:sz w:val="22"/>
          <w:lang w:val="fr-FR"/>
        </w:rPr>
        <w:t xml:space="preserve"> </w:t>
      </w:r>
      <w:r>
        <w:rPr>
          <w:kern w:val="22"/>
          <w:sz w:val="22"/>
          <w:lang w:val="fr-FR"/>
        </w:rPr>
        <w:t xml:space="preserve">canadienne a effectué la </w:t>
      </w:r>
      <w:r w:rsidR="004C1A58">
        <w:rPr>
          <w:kern w:val="22"/>
          <w:sz w:val="22"/>
          <w:lang w:val="fr-FR"/>
        </w:rPr>
        <w:t xml:space="preserve">synthèse du virus de la variole équine, en utilisant </w:t>
      </w:r>
      <w:r w:rsidR="000679A7" w:rsidRPr="00C74087">
        <w:rPr>
          <w:kern w:val="22"/>
          <w:sz w:val="22"/>
          <w:lang w:val="fr-FR"/>
        </w:rPr>
        <w:t>[</w:t>
      </w:r>
      <w:r w:rsidR="003D53E2">
        <w:rPr>
          <w:kern w:val="22"/>
          <w:sz w:val="22"/>
          <w:lang w:val="fr-FR"/>
        </w:rPr>
        <w:t>l’</w:t>
      </w:r>
      <w:r w:rsidR="00BC5F0A">
        <w:rPr>
          <w:kern w:val="22"/>
          <w:sz w:val="22"/>
          <w:lang w:val="fr-FR"/>
        </w:rPr>
        <w:t>information de séquençage</w:t>
      </w:r>
      <w:r w:rsidR="00142D5A">
        <w:rPr>
          <w:kern w:val="22"/>
          <w:sz w:val="22"/>
          <w:lang w:val="fr-FR"/>
        </w:rPr>
        <w:t xml:space="preserve"> numérique</w:t>
      </w:r>
      <w:r w:rsidR="004C1A58">
        <w:rPr>
          <w:kern w:val="22"/>
          <w:sz w:val="22"/>
          <w:lang w:val="fr-FR"/>
        </w:rPr>
        <w:t xml:space="preserve">] accessible au public contenue dans </w:t>
      </w:r>
      <w:r w:rsidR="000679A7" w:rsidRPr="00C74087">
        <w:rPr>
          <w:kern w:val="22"/>
          <w:sz w:val="22"/>
          <w:lang w:val="fr-FR"/>
        </w:rPr>
        <w:t xml:space="preserve">GenBank. </w:t>
      </w:r>
      <w:r w:rsidR="004C1A58" w:rsidRPr="004C1A58">
        <w:rPr>
          <w:kern w:val="22"/>
          <w:sz w:val="22"/>
          <w:lang w:val="fr-FR"/>
        </w:rPr>
        <w:t>L’équipe aurait pu obtenir un</w:t>
      </w:r>
      <w:r w:rsidR="004C1A58">
        <w:rPr>
          <w:kern w:val="22"/>
          <w:sz w:val="22"/>
          <w:lang w:val="fr-FR"/>
        </w:rPr>
        <w:t xml:space="preserve"> </w:t>
      </w:r>
      <w:r w:rsidR="00D40086" w:rsidRPr="004C1A58">
        <w:rPr>
          <w:kern w:val="22"/>
          <w:sz w:val="22"/>
          <w:lang w:val="fr-FR"/>
        </w:rPr>
        <w:t>échantillon physique</w:t>
      </w:r>
      <w:r w:rsidR="003D53E2">
        <w:rPr>
          <w:kern w:val="22"/>
          <w:sz w:val="22"/>
          <w:lang w:val="fr-FR"/>
        </w:rPr>
        <w:t xml:space="preserve"> de ce</w:t>
      </w:r>
      <w:r w:rsidR="004C1A58">
        <w:rPr>
          <w:kern w:val="22"/>
          <w:sz w:val="22"/>
          <w:lang w:val="fr-FR"/>
        </w:rPr>
        <w:t xml:space="preserve"> </w:t>
      </w:r>
      <w:r w:rsidR="000679A7" w:rsidRPr="004C1A58">
        <w:rPr>
          <w:kern w:val="22"/>
          <w:sz w:val="22"/>
          <w:lang w:val="fr-FR"/>
        </w:rPr>
        <w:t>virus</w:t>
      </w:r>
      <w:r w:rsidR="004C1A58">
        <w:rPr>
          <w:kern w:val="22"/>
          <w:sz w:val="22"/>
          <w:lang w:val="fr-FR"/>
        </w:rPr>
        <w:t xml:space="preserve"> auprès du Centre a</w:t>
      </w:r>
      <w:r w:rsidR="00BA0289">
        <w:rPr>
          <w:kern w:val="22"/>
          <w:sz w:val="22"/>
          <w:lang w:val="fr-FR"/>
        </w:rPr>
        <w:t>méricain de</w:t>
      </w:r>
      <w:r w:rsidR="004C1A58">
        <w:rPr>
          <w:kern w:val="22"/>
          <w:sz w:val="22"/>
          <w:lang w:val="fr-FR"/>
        </w:rPr>
        <w:t xml:space="preserve"> contr</w:t>
      </w:r>
      <w:r w:rsidR="00BA0289">
        <w:rPr>
          <w:kern w:val="22"/>
          <w:sz w:val="22"/>
          <w:lang w:val="fr-FR"/>
        </w:rPr>
        <w:t>ôle et de</w:t>
      </w:r>
      <w:r w:rsidR="004C1A58">
        <w:rPr>
          <w:kern w:val="22"/>
          <w:sz w:val="22"/>
          <w:lang w:val="fr-FR"/>
        </w:rPr>
        <w:t xml:space="preserve"> prévention des maladies</w:t>
      </w:r>
      <w:r w:rsidR="000679A7" w:rsidRPr="004C1A58">
        <w:rPr>
          <w:kern w:val="22"/>
          <w:sz w:val="22"/>
          <w:lang w:val="fr-FR"/>
        </w:rPr>
        <w:t xml:space="preserve">, </w:t>
      </w:r>
      <w:r w:rsidR="003D53E2">
        <w:rPr>
          <w:kern w:val="22"/>
          <w:sz w:val="22"/>
          <w:lang w:val="fr-FR"/>
        </w:rPr>
        <w:t xml:space="preserve">mais ceci l’aurait </w:t>
      </w:r>
      <w:r w:rsidR="00BA0289">
        <w:rPr>
          <w:kern w:val="22"/>
          <w:sz w:val="22"/>
          <w:lang w:val="fr-FR"/>
        </w:rPr>
        <w:t>obligé</w:t>
      </w:r>
      <w:r w:rsidR="003D53E2">
        <w:rPr>
          <w:kern w:val="22"/>
          <w:sz w:val="22"/>
          <w:lang w:val="fr-FR"/>
        </w:rPr>
        <w:t xml:space="preserve">e de </w:t>
      </w:r>
      <w:r w:rsidR="00BA0289">
        <w:rPr>
          <w:kern w:val="22"/>
          <w:sz w:val="22"/>
          <w:lang w:val="fr-FR"/>
        </w:rPr>
        <w:t>signer un a</w:t>
      </w:r>
      <w:r w:rsidR="00770AB8" w:rsidRPr="004C1A58">
        <w:rPr>
          <w:kern w:val="22"/>
          <w:sz w:val="22"/>
          <w:lang w:val="fr-FR"/>
        </w:rPr>
        <w:t>ccord de transfert de matériel biologique</w:t>
      </w:r>
      <w:r w:rsidR="000679A7" w:rsidRPr="004C1A58">
        <w:rPr>
          <w:kern w:val="22"/>
          <w:sz w:val="22"/>
          <w:lang w:val="fr-FR"/>
        </w:rPr>
        <w:t>,</w:t>
      </w:r>
      <w:r w:rsidR="00D6232E" w:rsidRPr="004C1A58">
        <w:rPr>
          <w:kern w:val="22"/>
          <w:sz w:val="22"/>
          <w:lang w:val="fr-FR"/>
        </w:rPr>
        <w:t xml:space="preserve"> </w:t>
      </w:r>
      <w:r w:rsidR="00BA0289">
        <w:rPr>
          <w:kern w:val="22"/>
          <w:sz w:val="22"/>
          <w:lang w:val="fr-FR"/>
        </w:rPr>
        <w:t>comprenant des r</w:t>
      </w:r>
      <w:r w:rsidR="003D53E2">
        <w:rPr>
          <w:kern w:val="22"/>
          <w:sz w:val="22"/>
          <w:lang w:val="fr-FR"/>
        </w:rPr>
        <w:t>estrictions potentielles en cas de</w:t>
      </w:r>
      <w:r w:rsidR="00BA0289">
        <w:rPr>
          <w:kern w:val="22"/>
          <w:sz w:val="22"/>
          <w:lang w:val="fr-FR"/>
        </w:rPr>
        <w:t xml:space="preserve"> commercialisation de futurs produits</w:t>
      </w:r>
      <w:r w:rsidR="000679A7" w:rsidRPr="004C1A58">
        <w:rPr>
          <w:kern w:val="22"/>
          <w:sz w:val="22"/>
          <w:lang w:val="fr-FR"/>
        </w:rPr>
        <w:t xml:space="preserve">. </w:t>
      </w:r>
      <w:r w:rsidR="00BA0289">
        <w:rPr>
          <w:kern w:val="22"/>
          <w:sz w:val="22"/>
          <w:lang w:val="fr-FR"/>
        </w:rPr>
        <w:t>On dispose de données probantes montrant que l’équipe canadienne a dé</w:t>
      </w:r>
      <w:r w:rsidR="003D53E2">
        <w:rPr>
          <w:kern w:val="22"/>
          <w:sz w:val="22"/>
          <w:lang w:val="fr-FR"/>
        </w:rPr>
        <w:t>cidé d’effectuer une synthèse</w:t>
      </w:r>
      <w:r w:rsidR="00BA0289">
        <w:rPr>
          <w:kern w:val="22"/>
          <w:sz w:val="22"/>
          <w:lang w:val="fr-FR"/>
        </w:rPr>
        <w:t xml:space="preserve"> du </w:t>
      </w:r>
      <w:r w:rsidR="000679A7" w:rsidRPr="00BA0289">
        <w:rPr>
          <w:kern w:val="22"/>
          <w:sz w:val="22"/>
          <w:lang w:val="fr-FR"/>
        </w:rPr>
        <w:t xml:space="preserve">virus </w:t>
      </w:r>
      <w:r w:rsidR="00BA0289" w:rsidRPr="00BA0289">
        <w:rPr>
          <w:kern w:val="22"/>
          <w:sz w:val="22"/>
          <w:lang w:val="fr-FR"/>
        </w:rPr>
        <w:t>afin d’éviter ces contraintes</w:t>
      </w:r>
      <w:r w:rsidR="000679A7" w:rsidRPr="00BA0289">
        <w:rPr>
          <w:kern w:val="22"/>
          <w:sz w:val="22"/>
          <w:lang w:val="fr-FR"/>
        </w:rPr>
        <w:t xml:space="preserve"> </w:t>
      </w:r>
      <w:r w:rsidR="0022044D" w:rsidRPr="00BA0289">
        <w:rPr>
          <w:kern w:val="22"/>
          <w:sz w:val="22"/>
          <w:lang w:val="fr-FR"/>
        </w:rPr>
        <w:t>juridiques</w:t>
      </w:r>
      <w:r w:rsidR="003D53E2">
        <w:rPr>
          <w:kern w:val="22"/>
          <w:sz w:val="22"/>
          <w:lang w:val="fr-FR"/>
        </w:rPr>
        <w:t>. La synthèse de virus mon</w:t>
      </w:r>
      <w:r w:rsidR="00BA0289">
        <w:rPr>
          <w:kern w:val="22"/>
          <w:sz w:val="22"/>
          <w:lang w:val="fr-FR"/>
        </w:rPr>
        <w:t>tre comment</w:t>
      </w:r>
      <w:r w:rsidR="000679A7" w:rsidRPr="0086347E">
        <w:rPr>
          <w:kern w:val="22"/>
          <w:sz w:val="22"/>
          <w:lang w:val="fr-FR"/>
        </w:rPr>
        <w:t xml:space="preserve"> </w:t>
      </w:r>
      <w:r w:rsidR="002B1D4C" w:rsidRPr="0086347E">
        <w:rPr>
          <w:kern w:val="22"/>
          <w:sz w:val="22"/>
          <w:lang w:val="fr-FR"/>
        </w:rPr>
        <w:t>[</w:t>
      </w:r>
      <w:r w:rsidR="003D53E2">
        <w:rPr>
          <w:kern w:val="22"/>
          <w:sz w:val="22"/>
          <w:lang w:val="fr-FR"/>
        </w:rPr>
        <w:t>l’</w:t>
      </w:r>
      <w:r w:rsidR="00BC5F0A">
        <w:rPr>
          <w:kern w:val="22"/>
          <w:sz w:val="22"/>
          <w:lang w:val="fr-FR"/>
        </w:rPr>
        <w:t>information de séquençage</w:t>
      </w:r>
      <w:r w:rsidR="00142D5A">
        <w:rPr>
          <w:kern w:val="22"/>
          <w:sz w:val="22"/>
          <w:lang w:val="fr-FR"/>
        </w:rPr>
        <w:t xml:space="preserve"> numérique</w:t>
      </w:r>
      <w:r w:rsidR="002B1D4C" w:rsidRPr="0086347E">
        <w:rPr>
          <w:kern w:val="22"/>
          <w:sz w:val="22"/>
          <w:lang w:val="fr-FR"/>
        </w:rPr>
        <w:t>]</w:t>
      </w:r>
      <w:r w:rsidR="003D53E2">
        <w:rPr>
          <w:kern w:val="22"/>
          <w:sz w:val="22"/>
          <w:lang w:val="fr-FR"/>
        </w:rPr>
        <w:t xml:space="preserve"> accessible au public constitue</w:t>
      </w:r>
      <w:r w:rsidR="00BA0289" w:rsidRPr="0086347E">
        <w:rPr>
          <w:kern w:val="22"/>
          <w:sz w:val="22"/>
          <w:lang w:val="fr-FR"/>
        </w:rPr>
        <w:t xml:space="preserve"> une lacune importante dans la gouvernance mondiale sur l’</w:t>
      </w:r>
      <w:r w:rsidR="00A70F9B" w:rsidRPr="0086347E">
        <w:rPr>
          <w:kern w:val="22"/>
          <w:sz w:val="22"/>
          <w:lang w:val="fr-FR"/>
        </w:rPr>
        <w:t xml:space="preserve">accès et </w:t>
      </w:r>
      <w:r w:rsidR="00BA0289" w:rsidRPr="0086347E">
        <w:rPr>
          <w:kern w:val="22"/>
          <w:sz w:val="22"/>
          <w:lang w:val="fr-FR"/>
        </w:rPr>
        <w:t xml:space="preserve">le </w:t>
      </w:r>
      <w:r w:rsidR="00A70F9B" w:rsidRPr="0086347E">
        <w:rPr>
          <w:kern w:val="22"/>
          <w:sz w:val="22"/>
          <w:lang w:val="fr-FR"/>
        </w:rPr>
        <w:t>partage des avantages</w:t>
      </w:r>
      <w:r w:rsidR="000679A7" w:rsidRPr="0086347E">
        <w:rPr>
          <w:kern w:val="22"/>
          <w:sz w:val="22"/>
          <w:lang w:val="fr-FR"/>
        </w:rPr>
        <w:t>.</w:t>
      </w:r>
      <w:r w:rsidR="000679A7" w:rsidRPr="002364AB">
        <w:rPr>
          <w:rStyle w:val="FootnoteReference"/>
          <w:kern w:val="22"/>
          <w:sz w:val="22"/>
          <w:lang w:val="en-GB"/>
        </w:rPr>
        <w:footnoteReference w:id="132"/>
      </w:r>
    </w:p>
    <w:p w14:paraId="3DF51E7B" w14:textId="2A77FB9F" w:rsidR="007311AD" w:rsidRPr="0086347E" w:rsidRDefault="00376937" w:rsidP="007311AD">
      <w:pPr>
        <w:rPr>
          <w:rFonts w:cs="Times New Roman"/>
          <w:kern w:val="22"/>
          <w:sz w:val="22"/>
          <w:lang w:val="fr-FR"/>
        </w:rPr>
      </w:pPr>
      <w:r>
        <w:rPr>
          <w:rFonts w:cs="Times New Roman"/>
          <w:i/>
          <w:kern w:val="22"/>
          <w:sz w:val="22"/>
          <w:lang w:val="fr-FR"/>
        </w:rPr>
        <w:lastRenderedPageBreak/>
        <w:t>Bas</w:t>
      </w:r>
      <w:r w:rsidR="0086347E" w:rsidRPr="0086347E">
        <w:rPr>
          <w:rFonts w:cs="Times New Roman"/>
          <w:i/>
          <w:kern w:val="22"/>
          <w:sz w:val="22"/>
          <w:lang w:val="fr-FR"/>
        </w:rPr>
        <w:t>e de donn</w:t>
      </w:r>
      <w:r>
        <w:rPr>
          <w:rFonts w:cs="Times New Roman"/>
          <w:i/>
          <w:kern w:val="22"/>
          <w:sz w:val="22"/>
          <w:lang w:val="fr-FR"/>
        </w:rPr>
        <w:t>ées sur l</w:t>
      </w:r>
      <w:r w:rsidR="0086347E" w:rsidRPr="0086347E">
        <w:rPr>
          <w:rFonts w:cs="Times New Roman"/>
          <w:i/>
          <w:kern w:val="22"/>
          <w:sz w:val="22"/>
          <w:lang w:val="fr-FR"/>
        </w:rPr>
        <w:t>es protéines</w:t>
      </w:r>
      <w:r>
        <w:rPr>
          <w:rFonts w:cs="Times New Roman"/>
          <w:i/>
          <w:kern w:val="22"/>
          <w:sz w:val="22"/>
          <w:lang w:val="fr-FR"/>
        </w:rPr>
        <w:t xml:space="preserve"> (Protein Data Bank – PDB)</w:t>
      </w:r>
    </w:p>
    <w:p w14:paraId="2679CC9C" w14:textId="70C2A7B5" w:rsidR="007311AD" w:rsidRPr="00D71F4E" w:rsidRDefault="003D53E2" w:rsidP="007311AD">
      <w:pPr>
        <w:rPr>
          <w:rFonts w:cs="Times New Roman"/>
          <w:kern w:val="22"/>
          <w:sz w:val="22"/>
          <w:lang w:val="fr-FR"/>
        </w:rPr>
      </w:pPr>
      <w:r>
        <w:rPr>
          <w:rFonts w:cs="Times New Roman"/>
          <w:kern w:val="22"/>
          <w:sz w:val="22"/>
          <w:lang w:val="fr-FR"/>
        </w:rPr>
        <w:t>De même que d</w:t>
      </w:r>
      <w:r w:rsidR="0086347E">
        <w:rPr>
          <w:rFonts w:cs="Times New Roman"/>
          <w:kern w:val="22"/>
          <w:sz w:val="22"/>
          <w:lang w:val="fr-FR"/>
        </w:rPr>
        <w:t>es s</w:t>
      </w:r>
      <w:r w:rsidR="00974B88" w:rsidRPr="0086347E">
        <w:rPr>
          <w:rFonts w:cs="Times New Roman"/>
          <w:kern w:val="22"/>
          <w:sz w:val="22"/>
          <w:lang w:val="fr-FR"/>
        </w:rPr>
        <w:t>équences d’ADN</w:t>
      </w:r>
      <w:r w:rsidR="0086347E">
        <w:rPr>
          <w:rFonts w:cs="Times New Roman"/>
          <w:kern w:val="22"/>
          <w:sz w:val="22"/>
          <w:lang w:val="fr-FR"/>
        </w:rPr>
        <w:t xml:space="preserve"> peuvent être </w:t>
      </w:r>
      <w:r w:rsidR="002518EB" w:rsidRPr="0086347E">
        <w:rPr>
          <w:rFonts w:cs="Times New Roman"/>
          <w:kern w:val="22"/>
          <w:sz w:val="22"/>
          <w:lang w:val="fr-FR"/>
        </w:rPr>
        <w:t>obtenu</w:t>
      </w:r>
      <w:r w:rsidR="0086347E">
        <w:rPr>
          <w:rFonts w:cs="Times New Roman"/>
          <w:kern w:val="22"/>
          <w:sz w:val="22"/>
          <w:lang w:val="fr-FR"/>
        </w:rPr>
        <w:t xml:space="preserve">es auprès de </w:t>
      </w:r>
      <w:r w:rsidR="007311AD" w:rsidRPr="0086347E">
        <w:rPr>
          <w:rFonts w:cs="Times New Roman"/>
          <w:kern w:val="22"/>
          <w:sz w:val="22"/>
          <w:lang w:val="fr-FR"/>
        </w:rPr>
        <w:t xml:space="preserve">GenBank </w:t>
      </w:r>
      <w:r>
        <w:rPr>
          <w:rFonts w:cs="Times New Roman"/>
          <w:kern w:val="22"/>
          <w:sz w:val="22"/>
          <w:lang w:val="fr-FR"/>
        </w:rPr>
        <w:t>sans avoir accès physiquement à du</w:t>
      </w:r>
      <w:r w:rsidR="0086347E">
        <w:rPr>
          <w:rFonts w:cs="Times New Roman"/>
          <w:kern w:val="22"/>
          <w:sz w:val="22"/>
          <w:lang w:val="fr-FR"/>
        </w:rPr>
        <w:t xml:space="preserve"> </w:t>
      </w:r>
      <w:r w:rsidR="00842C78" w:rsidRPr="0086347E">
        <w:rPr>
          <w:rFonts w:cs="Times New Roman"/>
          <w:kern w:val="22"/>
          <w:sz w:val="22"/>
          <w:lang w:val="fr-FR"/>
        </w:rPr>
        <w:t>matériel génétique</w:t>
      </w:r>
      <w:r w:rsidR="0086347E">
        <w:rPr>
          <w:rFonts w:cs="Times New Roman"/>
          <w:kern w:val="22"/>
          <w:sz w:val="22"/>
          <w:lang w:val="fr-FR"/>
        </w:rPr>
        <w:t xml:space="preserve">, les </w:t>
      </w:r>
      <w:r w:rsidR="00046703" w:rsidRPr="0086347E">
        <w:rPr>
          <w:rFonts w:cs="Times New Roman"/>
          <w:kern w:val="22"/>
          <w:sz w:val="22"/>
          <w:lang w:val="fr-FR"/>
        </w:rPr>
        <w:t>bases de données</w:t>
      </w:r>
      <w:r w:rsidR="007311AD" w:rsidRPr="0086347E">
        <w:rPr>
          <w:rFonts w:cs="Times New Roman"/>
          <w:kern w:val="22"/>
          <w:sz w:val="22"/>
          <w:lang w:val="fr-FR"/>
        </w:rPr>
        <w:t xml:space="preserve"> </w:t>
      </w:r>
      <w:r w:rsidR="0086347E">
        <w:rPr>
          <w:rFonts w:cs="Times New Roman"/>
          <w:kern w:val="22"/>
          <w:sz w:val="22"/>
          <w:lang w:val="fr-FR"/>
        </w:rPr>
        <w:t xml:space="preserve">sur les protéines, </w:t>
      </w:r>
      <w:r>
        <w:rPr>
          <w:rFonts w:cs="Times New Roman"/>
          <w:kern w:val="22"/>
          <w:sz w:val="22"/>
          <w:lang w:val="fr-FR"/>
        </w:rPr>
        <w:t>comme</w:t>
      </w:r>
      <w:r w:rsidR="0086347E">
        <w:rPr>
          <w:rFonts w:cs="Times New Roman"/>
          <w:kern w:val="22"/>
          <w:sz w:val="22"/>
          <w:lang w:val="fr-FR"/>
        </w:rPr>
        <w:t xml:space="preserve"> la</w:t>
      </w:r>
      <w:r w:rsidR="007311AD" w:rsidRPr="0086347E">
        <w:rPr>
          <w:rFonts w:cs="Times New Roman"/>
          <w:kern w:val="22"/>
          <w:sz w:val="22"/>
          <w:lang w:val="fr-FR"/>
        </w:rPr>
        <w:t xml:space="preserve"> </w:t>
      </w:r>
      <w:r w:rsidR="00376937">
        <w:rPr>
          <w:rFonts w:cs="Times New Roman"/>
          <w:kern w:val="22"/>
          <w:sz w:val="22"/>
          <w:lang w:val="fr-FR"/>
        </w:rPr>
        <w:t>Base de données sur l</w:t>
      </w:r>
      <w:r w:rsidR="0086347E" w:rsidRPr="0086347E">
        <w:rPr>
          <w:rFonts w:cs="Times New Roman"/>
          <w:kern w:val="22"/>
          <w:sz w:val="22"/>
          <w:lang w:val="fr-FR"/>
        </w:rPr>
        <w:t>es protéines</w:t>
      </w:r>
      <w:r w:rsidR="007311AD" w:rsidRPr="0086347E">
        <w:rPr>
          <w:rFonts w:cs="Times New Roman"/>
          <w:kern w:val="22"/>
          <w:sz w:val="22"/>
          <w:lang w:val="fr-FR"/>
        </w:rPr>
        <w:t xml:space="preserve"> (</w:t>
      </w:r>
      <w:r w:rsidR="00D71F4E">
        <w:rPr>
          <w:rFonts w:cs="Times New Roman"/>
          <w:kern w:val="22"/>
          <w:sz w:val="22"/>
          <w:lang w:val="fr-FR"/>
        </w:rPr>
        <w:t>P</w:t>
      </w:r>
      <w:r w:rsidR="00376937">
        <w:rPr>
          <w:rFonts w:cs="Times New Roman"/>
          <w:kern w:val="22"/>
          <w:sz w:val="22"/>
          <w:lang w:val="fr-FR"/>
        </w:rPr>
        <w:t xml:space="preserve">rotein </w:t>
      </w:r>
      <w:r w:rsidR="00D71F4E">
        <w:rPr>
          <w:rFonts w:cs="Times New Roman"/>
          <w:kern w:val="22"/>
          <w:sz w:val="22"/>
          <w:lang w:val="fr-FR"/>
        </w:rPr>
        <w:t>D</w:t>
      </w:r>
      <w:r w:rsidR="00376937">
        <w:rPr>
          <w:rFonts w:cs="Times New Roman"/>
          <w:kern w:val="22"/>
          <w:sz w:val="22"/>
          <w:lang w:val="fr-FR"/>
        </w:rPr>
        <w:t xml:space="preserve">ata </w:t>
      </w:r>
      <w:r w:rsidR="00D71F4E">
        <w:rPr>
          <w:rFonts w:cs="Times New Roman"/>
          <w:kern w:val="22"/>
          <w:sz w:val="22"/>
          <w:lang w:val="fr-FR"/>
        </w:rPr>
        <w:t>B</w:t>
      </w:r>
      <w:r w:rsidR="00376937">
        <w:rPr>
          <w:rFonts w:cs="Times New Roman"/>
          <w:kern w:val="22"/>
          <w:sz w:val="22"/>
          <w:lang w:val="fr-FR"/>
        </w:rPr>
        <w:t>ank – PDB en anglais)</w:t>
      </w:r>
      <w:r w:rsidR="0086347E">
        <w:rPr>
          <w:rFonts w:cs="Times New Roman"/>
          <w:kern w:val="22"/>
          <w:sz w:val="22"/>
          <w:lang w:val="fr-FR"/>
        </w:rPr>
        <w:t xml:space="preserve">, peuvent être </w:t>
      </w:r>
      <w:r w:rsidR="001F55AB" w:rsidRPr="0086347E">
        <w:rPr>
          <w:rFonts w:cs="Times New Roman"/>
          <w:kern w:val="22"/>
          <w:sz w:val="22"/>
          <w:lang w:val="fr-FR"/>
        </w:rPr>
        <w:t>utilisé</w:t>
      </w:r>
      <w:r w:rsidR="0086347E">
        <w:rPr>
          <w:rFonts w:cs="Times New Roman"/>
          <w:kern w:val="22"/>
          <w:sz w:val="22"/>
          <w:lang w:val="fr-FR"/>
        </w:rPr>
        <w:t>es</w:t>
      </w:r>
      <w:r w:rsidR="001F55AB" w:rsidRPr="0086347E">
        <w:rPr>
          <w:rFonts w:cs="Times New Roman"/>
          <w:kern w:val="22"/>
          <w:sz w:val="22"/>
          <w:lang w:val="fr-FR"/>
        </w:rPr>
        <w:t xml:space="preserve"> </w:t>
      </w:r>
      <w:r w:rsidR="0086347E">
        <w:rPr>
          <w:rFonts w:cs="Times New Roman"/>
          <w:kern w:val="22"/>
          <w:sz w:val="22"/>
          <w:lang w:val="fr-FR"/>
        </w:rPr>
        <w:t>pour visualiser</w:t>
      </w:r>
      <w:r w:rsidR="00E3674F" w:rsidRPr="0086347E">
        <w:rPr>
          <w:rFonts w:cs="Times New Roman"/>
          <w:kern w:val="22"/>
          <w:sz w:val="22"/>
          <w:lang w:val="fr-FR"/>
        </w:rPr>
        <w:t xml:space="preserve"> et </w:t>
      </w:r>
      <w:r w:rsidR="00B6011E">
        <w:rPr>
          <w:rFonts w:cs="Times New Roman"/>
          <w:kern w:val="22"/>
          <w:sz w:val="22"/>
          <w:lang w:val="fr-FR"/>
        </w:rPr>
        <w:t>effect</w:t>
      </w:r>
      <w:r w:rsidR="0086347E">
        <w:rPr>
          <w:rFonts w:cs="Times New Roman"/>
          <w:kern w:val="22"/>
          <w:sz w:val="22"/>
          <w:lang w:val="fr-FR"/>
        </w:rPr>
        <w:t>u</w:t>
      </w:r>
      <w:r w:rsidR="00B6011E">
        <w:rPr>
          <w:rFonts w:cs="Times New Roman"/>
          <w:kern w:val="22"/>
          <w:sz w:val="22"/>
          <w:lang w:val="fr-FR"/>
        </w:rPr>
        <w:t>e</w:t>
      </w:r>
      <w:r w:rsidR="0086347E">
        <w:rPr>
          <w:rFonts w:cs="Times New Roman"/>
          <w:kern w:val="22"/>
          <w:sz w:val="22"/>
          <w:lang w:val="fr-FR"/>
        </w:rPr>
        <w:t>r des mutations de structures protéiniques existantes</w:t>
      </w:r>
      <w:r w:rsidR="007311AD" w:rsidRPr="0086347E">
        <w:rPr>
          <w:rFonts w:cs="Times New Roman"/>
          <w:kern w:val="22"/>
          <w:sz w:val="22"/>
          <w:lang w:val="fr-FR"/>
        </w:rPr>
        <w:t xml:space="preserve">. </w:t>
      </w:r>
      <w:r w:rsidR="00B6011E">
        <w:rPr>
          <w:rFonts w:cs="Times New Roman"/>
          <w:kern w:val="22"/>
          <w:sz w:val="22"/>
          <w:lang w:val="fr-FR"/>
        </w:rPr>
        <w:t>La</w:t>
      </w:r>
      <w:r w:rsidR="007311AD" w:rsidRPr="0086347E">
        <w:rPr>
          <w:rFonts w:cs="Times New Roman"/>
          <w:kern w:val="22"/>
          <w:sz w:val="22"/>
          <w:lang w:val="fr-FR"/>
        </w:rPr>
        <w:t xml:space="preserve"> </w:t>
      </w:r>
      <w:r w:rsidR="00376937">
        <w:rPr>
          <w:rFonts w:cs="Times New Roman"/>
          <w:kern w:val="22"/>
          <w:sz w:val="22"/>
          <w:lang w:val="fr-FR"/>
        </w:rPr>
        <w:t>Protein Data Bank</w:t>
      </w:r>
      <w:r w:rsidR="007311AD" w:rsidRPr="0086347E">
        <w:rPr>
          <w:rFonts w:cs="Times New Roman"/>
          <w:kern w:val="22"/>
          <w:sz w:val="22"/>
          <w:lang w:val="fr-FR"/>
        </w:rPr>
        <w:t xml:space="preserve"> </w:t>
      </w:r>
      <w:r w:rsidR="0086347E" w:rsidRPr="0086347E">
        <w:rPr>
          <w:rFonts w:cs="Times New Roman"/>
          <w:kern w:val="22"/>
          <w:sz w:val="22"/>
          <w:lang w:val="fr-FR"/>
        </w:rPr>
        <w:t>contient plus de</w:t>
      </w:r>
      <w:r w:rsidR="007311AD" w:rsidRPr="0086347E">
        <w:rPr>
          <w:rFonts w:cs="Times New Roman"/>
          <w:kern w:val="22"/>
          <w:sz w:val="22"/>
          <w:lang w:val="fr-FR"/>
        </w:rPr>
        <w:t xml:space="preserve"> 155</w:t>
      </w:r>
      <w:r w:rsidR="0086347E" w:rsidRPr="0086347E">
        <w:rPr>
          <w:rFonts w:cs="Times New Roman"/>
          <w:kern w:val="22"/>
          <w:sz w:val="22"/>
          <w:lang w:val="fr-FR"/>
        </w:rPr>
        <w:t xml:space="preserve"> 000 biomolé</w:t>
      </w:r>
      <w:r w:rsidR="007311AD" w:rsidRPr="0086347E">
        <w:rPr>
          <w:rFonts w:cs="Times New Roman"/>
          <w:kern w:val="22"/>
          <w:sz w:val="22"/>
          <w:lang w:val="fr-FR"/>
        </w:rPr>
        <w:t>cule</w:t>
      </w:r>
      <w:r w:rsidR="0086347E" w:rsidRPr="0086347E">
        <w:rPr>
          <w:rFonts w:cs="Times New Roman"/>
          <w:kern w:val="22"/>
          <w:sz w:val="22"/>
          <w:lang w:val="fr-FR"/>
        </w:rPr>
        <w:t>s enregistrées, qui sont</w:t>
      </w:r>
      <w:r w:rsidR="0086347E">
        <w:rPr>
          <w:rFonts w:cs="Times New Roman"/>
          <w:kern w:val="22"/>
          <w:sz w:val="22"/>
          <w:lang w:val="fr-FR"/>
        </w:rPr>
        <w:t xml:space="preserve"> accessibles gratuitement</w:t>
      </w:r>
      <w:r w:rsidR="00B6011E" w:rsidRPr="00B6011E">
        <w:rPr>
          <w:rFonts w:cs="Times New Roman"/>
          <w:kern w:val="22"/>
          <w:sz w:val="22"/>
          <w:lang w:val="fr-FR"/>
        </w:rPr>
        <w:t xml:space="preserve"> </w:t>
      </w:r>
      <w:r w:rsidR="00B6011E">
        <w:rPr>
          <w:rFonts w:cs="Times New Roman"/>
          <w:kern w:val="22"/>
          <w:sz w:val="22"/>
          <w:lang w:val="fr-FR"/>
        </w:rPr>
        <w:t>au public</w:t>
      </w:r>
      <w:r w:rsidR="007311AD" w:rsidRPr="0086347E">
        <w:rPr>
          <w:rFonts w:cs="Times New Roman"/>
          <w:kern w:val="22"/>
          <w:sz w:val="22"/>
          <w:lang w:val="fr-FR"/>
        </w:rPr>
        <w:t>.</w:t>
      </w:r>
      <w:r w:rsidR="007311AD" w:rsidRPr="002364AB">
        <w:rPr>
          <w:rFonts w:cs="Times New Roman"/>
          <w:kern w:val="22"/>
          <w:sz w:val="22"/>
          <w:vertAlign w:val="superscript"/>
          <w:lang w:val="en-GB"/>
        </w:rPr>
        <w:footnoteReference w:id="133"/>
      </w:r>
      <w:r w:rsidR="007311AD" w:rsidRPr="0086347E">
        <w:rPr>
          <w:rFonts w:cs="Times New Roman"/>
          <w:kern w:val="22"/>
          <w:sz w:val="22"/>
          <w:lang w:val="fr-FR"/>
        </w:rPr>
        <w:t xml:space="preserve"> </w:t>
      </w:r>
      <w:r w:rsidR="0086347E" w:rsidRPr="0086347E">
        <w:rPr>
          <w:rFonts w:cs="Times New Roman"/>
          <w:kern w:val="22"/>
          <w:sz w:val="22"/>
          <w:lang w:val="fr-FR"/>
        </w:rPr>
        <w:t>La plupart de</w:t>
      </w:r>
      <w:r w:rsidR="00376937">
        <w:rPr>
          <w:rFonts w:cs="Times New Roman"/>
          <w:kern w:val="22"/>
          <w:sz w:val="22"/>
          <w:lang w:val="fr-FR"/>
        </w:rPr>
        <w:t xml:space="preserve">s </w:t>
      </w:r>
      <w:r w:rsidR="005B26A0" w:rsidRPr="0086347E">
        <w:rPr>
          <w:rFonts w:cs="Times New Roman"/>
          <w:kern w:val="22"/>
          <w:sz w:val="22"/>
          <w:lang w:val="fr-FR"/>
        </w:rPr>
        <w:t>revues</w:t>
      </w:r>
      <w:r w:rsidR="007311AD" w:rsidRPr="0086347E">
        <w:rPr>
          <w:rFonts w:cs="Times New Roman"/>
          <w:kern w:val="22"/>
          <w:sz w:val="22"/>
          <w:lang w:val="fr-FR"/>
        </w:rPr>
        <w:t xml:space="preserve"> </w:t>
      </w:r>
      <w:r w:rsidR="00376937">
        <w:rPr>
          <w:rFonts w:cs="Times New Roman"/>
          <w:kern w:val="22"/>
          <w:sz w:val="22"/>
          <w:lang w:val="fr-FR"/>
        </w:rPr>
        <w:t xml:space="preserve">scientifiques </w:t>
      </w:r>
      <w:r w:rsidR="0086347E" w:rsidRPr="0086347E">
        <w:rPr>
          <w:rFonts w:cs="Times New Roman"/>
          <w:kern w:val="22"/>
          <w:sz w:val="22"/>
          <w:lang w:val="fr-FR"/>
        </w:rPr>
        <w:t>exigent a</w:t>
      </w:r>
      <w:r w:rsidR="00376937">
        <w:rPr>
          <w:rFonts w:cs="Times New Roman"/>
          <w:kern w:val="22"/>
          <w:sz w:val="22"/>
          <w:lang w:val="fr-FR"/>
        </w:rPr>
        <w:t xml:space="preserve">ctuellement </w:t>
      </w:r>
      <w:r w:rsidR="0086347E">
        <w:rPr>
          <w:rFonts w:cs="Times New Roman"/>
          <w:kern w:val="22"/>
          <w:sz w:val="22"/>
          <w:lang w:val="fr-FR"/>
        </w:rPr>
        <w:t>que les scientifiques déposent leurs</w:t>
      </w:r>
      <w:r w:rsidR="0050280F" w:rsidRPr="0086347E">
        <w:rPr>
          <w:rFonts w:cs="Times New Roman"/>
          <w:kern w:val="22"/>
          <w:sz w:val="22"/>
          <w:lang w:val="fr-FR"/>
        </w:rPr>
        <w:t xml:space="preserve"> </w:t>
      </w:r>
      <w:r w:rsidR="0086347E">
        <w:rPr>
          <w:rFonts w:cs="Times New Roman"/>
          <w:kern w:val="22"/>
          <w:sz w:val="22"/>
          <w:lang w:val="fr-FR"/>
        </w:rPr>
        <w:t>str</w:t>
      </w:r>
      <w:r w:rsidR="00376937">
        <w:rPr>
          <w:rFonts w:cs="Times New Roman"/>
          <w:kern w:val="22"/>
          <w:sz w:val="22"/>
          <w:lang w:val="fr-FR"/>
        </w:rPr>
        <w:t>uctures dans la Protein Data Bank</w:t>
      </w:r>
      <w:r w:rsidR="0086347E">
        <w:rPr>
          <w:rFonts w:cs="Times New Roman"/>
          <w:kern w:val="22"/>
          <w:sz w:val="22"/>
          <w:lang w:val="fr-FR"/>
        </w:rPr>
        <w:t>, comme condition de</w:t>
      </w:r>
      <w:r w:rsidR="007311AD" w:rsidRPr="0086347E">
        <w:rPr>
          <w:rFonts w:cs="Times New Roman"/>
          <w:kern w:val="22"/>
          <w:sz w:val="22"/>
          <w:lang w:val="fr-FR"/>
        </w:rPr>
        <w:t xml:space="preserve"> publication.</w:t>
      </w:r>
      <w:r w:rsidR="007311AD" w:rsidRPr="002364AB">
        <w:rPr>
          <w:rFonts w:cs="Times New Roman"/>
          <w:kern w:val="22"/>
          <w:sz w:val="22"/>
          <w:vertAlign w:val="superscript"/>
          <w:lang w:val="en-GB"/>
        </w:rPr>
        <w:footnoteReference w:id="134"/>
      </w:r>
      <w:r w:rsidR="007311AD" w:rsidRPr="0086347E">
        <w:rPr>
          <w:rFonts w:cs="Times New Roman"/>
          <w:kern w:val="22"/>
          <w:sz w:val="22"/>
          <w:lang w:val="fr-FR"/>
        </w:rPr>
        <w:t xml:space="preserve"> </w:t>
      </w:r>
      <w:r w:rsidR="0086347E" w:rsidRPr="0086347E">
        <w:rPr>
          <w:rFonts w:cs="Times New Roman"/>
          <w:kern w:val="22"/>
          <w:sz w:val="22"/>
          <w:lang w:val="fr-FR"/>
        </w:rPr>
        <w:t>La valeur de</w:t>
      </w:r>
      <w:r w:rsidR="007311AD" w:rsidRPr="0086347E">
        <w:rPr>
          <w:rFonts w:cs="Times New Roman"/>
          <w:kern w:val="22"/>
          <w:sz w:val="22"/>
          <w:lang w:val="fr-FR"/>
        </w:rPr>
        <w:t xml:space="preserve"> re</w:t>
      </w:r>
      <w:r w:rsidR="0086347E" w:rsidRPr="0086347E">
        <w:rPr>
          <w:rFonts w:cs="Times New Roman"/>
          <w:kern w:val="22"/>
          <w:sz w:val="22"/>
          <w:lang w:val="fr-FR"/>
        </w:rPr>
        <w:t>mplacement des archives actuelles de la</w:t>
      </w:r>
      <w:r w:rsidR="007311AD" w:rsidRPr="0086347E">
        <w:rPr>
          <w:rFonts w:cs="Times New Roman"/>
          <w:kern w:val="22"/>
          <w:sz w:val="22"/>
          <w:lang w:val="fr-FR"/>
        </w:rPr>
        <w:t xml:space="preserve"> </w:t>
      </w:r>
      <w:r w:rsidR="00376937">
        <w:rPr>
          <w:rFonts w:cs="Times New Roman"/>
          <w:kern w:val="22"/>
          <w:sz w:val="22"/>
          <w:lang w:val="fr-FR"/>
        </w:rPr>
        <w:t>Protein Data Bank</w:t>
      </w:r>
      <w:r w:rsidR="00376937" w:rsidRPr="0086347E">
        <w:rPr>
          <w:rFonts w:cs="Times New Roman"/>
          <w:kern w:val="22"/>
          <w:sz w:val="22"/>
          <w:lang w:val="fr-FR"/>
        </w:rPr>
        <w:t xml:space="preserve"> </w:t>
      </w:r>
      <w:r w:rsidR="0086347E" w:rsidRPr="0086347E">
        <w:rPr>
          <w:rFonts w:cs="Times New Roman"/>
          <w:kern w:val="22"/>
          <w:sz w:val="22"/>
          <w:lang w:val="fr-FR"/>
        </w:rPr>
        <w:t xml:space="preserve">sont estimées à plus de </w:t>
      </w:r>
      <w:r w:rsidR="007311AD" w:rsidRPr="0086347E">
        <w:rPr>
          <w:rFonts w:cs="Times New Roman"/>
          <w:kern w:val="22"/>
          <w:sz w:val="22"/>
          <w:lang w:val="fr-FR"/>
        </w:rPr>
        <w:t xml:space="preserve">15 </w:t>
      </w:r>
      <w:r w:rsidR="0086347E">
        <w:rPr>
          <w:rFonts w:cs="Times New Roman"/>
          <w:kern w:val="22"/>
          <w:sz w:val="22"/>
          <w:lang w:val="fr-FR"/>
        </w:rPr>
        <w:t>milliards de dollars</w:t>
      </w:r>
      <w:r w:rsidR="007311AD" w:rsidRPr="0086347E">
        <w:rPr>
          <w:rFonts w:cs="Times New Roman"/>
          <w:kern w:val="22"/>
          <w:sz w:val="22"/>
          <w:lang w:val="fr-FR"/>
        </w:rPr>
        <w:t>.</w:t>
      </w:r>
      <w:r w:rsidR="007311AD" w:rsidRPr="0086347E">
        <w:rPr>
          <w:rFonts w:cs="Times New Roman"/>
          <w:kern w:val="22"/>
          <w:sz w:val="22"/>
          <w:vertAlign w:val="superscript"/>
          <w:lang w:val="fr-FR"/>
        </w:rPr>
        <w:t xml:space="preserve"> </w:t>
      </w:r>
      <w:r w:rsidR="007311AD" w:rsidRPr="002364AB">
        <w:rPr>
          <w:rFonts w:cs="Times New Roman"/>
          <w:kern w:val="22"/>
          <w:sz w:val="22"/>
          <w:vertAlign w:val="superscript"/>
          <w:lang w:val="en-GB"/>
        </w:rPr>
        <w:footnoteReference w:id="135"/>
      </w:r>
      <w:r w:rsidR="007311AD" w:rsidRPr="0086347E">
        <w:rPr>
          <w:rFonts w:cs="Times New Roman"/>
          <w:kern w:val="22"/>
          <w:sz w:val="22"/>
          <w:lang w:val="fr-FR"/>
        </w:rPr>
        <w:t xml:space="preserve"> </w:t>
      </w:r>
      <w:r w:rsidR="0086347E" w:rsidRPr="00D71F4E">
        <w:rPr>
          <w:rFonts w:cs="Times New Roman"/>
          <w:kern w:val="22"/>
          <w:sz w:val="22"/>
          <w:lang w:val="fr-FR"/>
        </w:rPr>
        <w:t xml:space="preserve">D’après une </w:t>
      </w:r>
      <w:r w:rsidR="00E3674F" w:rsidRPr="00D71F4E">
        <w:rPr>
          <w:rFonts w:cs="Times New Roman"/>
          <w:kern w:val="22"/>
          <w:sz w:val="22"/>
          <w:lang w:val="fr-FR"/>
        </w:rPr>
        <w:t>étude</w:t>
      </w:r>
      <w:r w:rsidR="0086347E" w:rsidRPr="00D71F4E">
        <w:rPr>
          <w:rFonts w:cs="Times New Roman"/>
          <w:kern w:val="22"/>
          <w:sz w:val="22"/>
          <w:lang w:val="fr-FR"/>
        </w:rPr>
        <w:t xml:space="preserve"> récente</w:t>
      </w:r>
      <w:r w:rsidR="00817109" w:rsidRPr="00D71F4E">
        <w:rPr>
          <w:rFonts w:cs="Times New Roman"/>
          <w:kern w:val="22"/>
          <w:sz w:val="22"/>
          <w:lang w:val="fr-FR"/>
        </w:rPr>
        <w:t>,</w:t>
      </w:r>
      <w:r w:rsidR="007311AD" w:rsidRPr="00D71F4E">
        <w:rPr>
          <w:rFonts w:cs="Times New Roman"/>
          <w:kern w:val="22"/>
          <w:sz w:val="22"/>
          <w:lang w:val="fr-FR"/>
        </w:rPr>
        <w:t xml:space="preserve"> “</w:t>
      </w:r>
      <w:r w:rsidR="00376937">
        <w:rPr>
          <w:rFonts w:cs="Times New Roman"/>
          <w:kern w:val="22"/>
          <w:sz w:val="22"/>
          <w:lang w:val="fr-FR"/>
        </w:rPr>
        <w:t>l’approbation par l’US Food and Agriculture Authority</w:t>
      </w:r>
      <w:r w:rsidR="00D71F4E" w:rsidRPr="00D71F4E">
        <w:rPr>
          <w:rFonts w:cs="Times New Roman"/>
          <w:kern w:val="22"/>
          <w:sz w:val="22"/>
          <w:lang w:val="fr-FR"/>
        </w:rPr>
        <w:t xml:space="preserve"> de 88% de</w:t>
      </w:r>
      <w:r w:rsidR="00376937">
        <w:rPr>
          <w:rFonts w:cs="Times New Roman"/>
          <w:kern w:val="22"/>
          <w:sz w:val="22"/>
          <w:lang w:val="fr-FR"/>
        </w:rPr>
        <w:t>s</w:t>
      </w:r>
      <w:r w:rsidR="00D71F4E" w:rsidRPr="00D71F4E">
        <w:rPr>
          <w:rFonts w:cs="Times New Roman"/>
          <w:kern w:val="22"/>
          <w:sz w:val="22"/>
          <w:lang w:val="fr-FR"/>
        </w:rPr>
        <w:t xml:space="preserve"> 210 nou</w:t>
      </w:r>
      <w:r w:rsidR="00D71F4E">
        <w:rPr>
          <w:rFonts w:cs="Times New Roman"/>
          <w:kern w:val="22"/>
          <w:sz w:val="22"/>
          <w:lang w:val="fr-FR"/>
        </w:rPr>
        <w:t>velles entités moléculaires</w:t>
      </w:r>
      <w:r w:rsidR="0028742E" w:rsidRPr="00D71F4E">
        <w:rPr>
          <w:rFonts w:cs="Times New Roman"/>
          <w:kern w:val="22"/>
          <w:sz w:val="22"/>
          <w:lang w:val="fr-FR"/>
        </w:rPr>
        <w:t xml:space="preserve"> ou </w:t>
      </w:r>
      <w:r w:rsidR="00376937">
        <w:rPr>
          <w:rFonts w:cs="Times New Roman"/>
          <w:kern w:val="22"/>
          <w:sz w:val="22"/>
          <w:lang w:val="fr-FR"/>
        </w:rPr>
        <w:t xml:space="preserve">nouveaux </w:t>
      </w:r>
      <w:r w:rsidR="001064D0">
        <w:rPr>
          <w:rFonts w:cs="Times New Roman"/>
          <w:kern w:val="22"/>
          <w:sz w:val="22"/>
          <w:lang w:val="fr-FR"/>
        </w:rPr>
        <w:t>traite</w:t>
      </w:r>
      <w:r w:rsidR="00376937">
        <w:rPr>
          <w:rFonts w:cs="Times New Roman"/>
          <w:kern w:val="22"/>
          <w:sz w:val="22"/>
          <w:lang w:val="fr-FR"/>
        </w:rPr>
        <w:t>ments pendant la période allant de 2010 à 2016</w:t>
      </w:r>
      <w:r w:rsidR="00D71F4E">
        <w:rPr>
          <w:rFonts w:cs="Times New Roman"/>
          <w:kern w:val="22"/>
          <w:sz w:val="22"/>
          <w:lang w:val="fr-FR"/>
        </w:rPr>
        <w:t xml:space="preserve"> a été</w:t>
      </w:r>
      <w:r w:rsidR="007311AD" w:rsidRPr="00D71F4E">
        <w:rPr>
          <w:rFonts w:cs="Times New Roman"/>
          <w:kern w:val="22"/>
          <w:sz w:val="22"/>
          <w:lang w:val="fr-FR"/>
        </w:rPr>
        <w:t xml:space="preserve"> </w:t>
      </w:r>
      <w:r w:rsidR="00D71F4E">
        <w:rPr>
          <w:rFonts w:cs="Times New Roman"/>
          <w:kern w:val="22"/>
          <w:sz w:val="22"/>
          <w:lang w:val="fr-FR"/>
        </w:rPr>
        <w:t xml:space="preserve">facilitée par un </w:t>
      </w:r>
      <w:r w:rsidR="00934A20" w:rsidRPr="00D71F4E">
        <w:rPr>
          <w:rFonts w:cs="Times New Roman"/>
          <w:kern w:val="22"/>
          <w:sz w:val="22"/>
          <w:lang w:val="fr-FR"/>
        </w:rPr>
        <w:t>accès</w:t>
      </w:r>
      <w:r w:rsidR="00D71F4E">
        <w:rPr>
          <w:rFonts w:cs="Times New Roman"/>
          <w:kern w:val="22"/>
          <w:sz w:val="22"/>
          <w:lang w:val="fr-FR"/>
        </w:rPr>
        <w:t xml:space="preserve"> libre à environ 6000 </w:t>
      </w:r>
      <w:r w:rsidR="00376937">
        <w:rPr>
          <w:rFonts w:cs="Times New Roman"/>
          <w:kern w:val="22"/>
          <w:sz w:val="22"/>
          <w:lang w:val="fr-FR"/>
        </w:rPr>
        <w:t xml:space="preserve">structures de la Protein Data Bank </w:t>
      </w:r>
      <w:r w:rsidR="00D71F4E">
        <w:rPr>
          <w:rFonts w:cs="Times New Roman"/>
          <w:kern w:val="22"/>
          <w:sz w:val="22"/>
          <w:lang w:val="fr-FR"/>
        </w:rPr>
        <w:t>contenant la proté</w:t>
      </w:r>
      <w:r w:rsidR="007311AD" w:rsidRPr="00D71F4E">
        <w:rPr>
          <w:rFonts w:cs="Times New Roman"/>
          <w:kern w:val="22"/>
          <w:sz w:val="22"/>
          <w:lang w:val="fr-FR"/>
        </w:rPr>
        <w:t>in</w:t>
      </w:r>
      <w:r w:rsidR="00D71F4E">
        <w:rPr>
          <w:rFonts w:cs="Times New Roman"/>
          <w:kern w:val="22"/>
          <w:sz w:val="22"/>
          <w:lang w:val="fr-FR"/>
        </w:rPr>
        <w:t xml:space="preserve">e ciblée par la </w:t>
      </w:r>
      <w:r w:rsidR="00D71F4E" w:rsidRPr="00D71F4E">
        <w:rPr>
          <w:rFonts w:cs="Times New Roman"/>
          <w:kern w:val="22"/>
          <w:sz w:val="22"/>
          <w:lang w:val="fr-FR"/>
        </w:rPr>
        <w:t>nou</w:t>
      </w:r>
      <w:r w:rsidR="00D71F4E">
        <w:rPr>
          <w:rFonts w:cs="Times New Roman"/>
          <w:kern w:val="22"/>
          <w:sz w:val="22"/>
          <w:lang w:val="fr-FR"/>
        </w:rPr>
        <w:t>velle entité mol</w:t>
      </w:r>
      <w:r w:rsidR="001064D0">
        <w:rPr>
          <w:rFonts w:cs="Times New Roman"/>
          <w:kern w:val="22"/>
          <w:sz w:val="22"/>
          <w:lang w:val="fr-FR"/>
        </w:rPr>
        <w:t>éculaire et/ou le nouveau traite</w:t>
      </w:r>
      <w:r w:rsidR="00D71F4E">
        <w:rPr>
          <w:rFonts w:cs="Times New Roman"/>
          <w:kern w:val="22"/>
          <w:sz w:val="22"/>
          <w:lang w:val="fr-FR"/>
        </w:rPr>
        <w:t>ment lui-même</w:t>
      </w:r>
      <w:r w:rsidR="007311AD" w:rsidRPr="00D71F4E">
        <w:rPr>
          <w:rFonts w:cs="Times New Roman"/>
          <w:kern w:val="22"/>
          <w:sz w:val="22"/>
          <w:lang w:val="fr-FR"/>
        </w:rPr>
        <w:t>.”</w:t>
      </w:r>
      <w:r w:rsidR="007311AD" w:rsidRPr="002364AB">
        <w:rPr>
          <w:rStyle w:val="FootnoteReference"/>
          <w:rFonts w:cs="Times New Roman"/>
          <w:kern w:val="22"/>
          <w:sz w:val="22"/>
          <w:lang w:val="en-GB"/>
        </w:rPr>
        <w:footnoteReference w:id="136"/>
      </w:r>
      <w:r w:rsidR="007311AD" w:rsidRPr="00D71F4E">
        <w:rPr>
          <w:rFonts w:cs="Times New Roman"/>
          <w:kern w:val="22"/>
          <w:sz w:val="22"/>
          <w:lang w:val="fr-FR"/>
        </w:rPr>
        <w:t xml:space="preserve"> </w:t>
      </w:r>
      <w:r w:rsidR="00D71F4E" w:rsidRPr="00D71F4E">
        <w:rPr>
          <w:rFonts w:cs="Times New Roman"/>
          <w:kern w:val="22"/>
          <w:sz w:val="22"/>
          <w:lang w:val="fr-FR"/>
        </w:rPr>
        <w:t>L’importance de la</w:t>
      </w:r>
      <w:r w:rsidR="001B71CA" w:rsidRPr="00D71F4E">
        <w:rPr>
          <w:rFonts w:cs="Times New Roman"/>
          <w:kern w:val="22"/>
          <w:sz w:val="22"/>
          <w:lang w:val="fr-FR"/>
        </w:rPr>
        <w:t xml:space="preserve"> </w:t>
      </w:r>
      <w:r w:rsidR="00376937">
        <w:rPr>
          <w:rFonts w:cs="Times New Roman"/>
          <w:kern w:val="22"/>
          <w:sz w:val="22"/>
          <w:lang w:val="fr-FR"/>
        </w:rPr>
        <w:t>Protein Data Bank</w:t>
      </w:r>
      <w:r w:rsidR="00D71F4E">
        <w:rPr>
          <w:rFonts w:cs="Times New Roman"/>
          <w:kern w:val="22"/>
          <w:sz w:val="22"/>
          <w:lang w:val="fr-FR"/>
        </w:rPr>
        <w:t xml:space="preserve"> pour les</w:t>
      </w:r>
      <w:r w:rsidR="007311AD" w:rsidRPr="00D71F4E">
        <w:rPr>
          <w:rFonts w:cs="Times New Roman"/>
          <w:kern w:val="22"/>
          <w:sz w:val="22"/>
          <w:lang w:val="fr-FR"/>
        </w:rPr>
        <w:t xml:space="preserve"> </w:t>
      </w:r>
      <w:r w:rsidR="003A7DE8" w:rsidRPr="00D71F4E">
        <w:rPr>
          <w:rFonts w:cs="Times New Roman"/>
          <w:kern w:val="22"/>
          <w:sz w:val="22"/>
          <w:lang w:val="fr-FR"/>
        </w:rPr>
        <w:t>produits pharmaceutiques</w:t>
      </w:r>
      <w:r w:rsidR="00376937">
        <w:rPr>
          <w:rFonts w:cs="Times New Roman"/>
          <w:kern w:val="22"/>
          <w:sz w:val="22"/>
          <w:lang w:val="fr-FR"/>
        </w:rPr>
        <w:t xml:space="preserve"> est aussi attestée</w:t>
      </w:r>
      <w:r w:rsidR="00D71F4E">
        <w:rPr>
          <w:rFonts w:cs="Times New Roman"/>
          <w:kern w:val="22"/>
          <w:sz w:val="22"/>
          <w:lang w:val="fr-FR"/>
        </w:rPr>
        <w:t xml:space="preserve"> par le fait que</w:t>
      </w:r>
      <w:r w:rsidR="00817109" w:rsidRPr="00D71F4E">
        <w:rPr>
          <w:rFonts w:cs="Times New Roman"/>
          <w:kern w:val="22"/>
          <w:sz w:val="22"/>
          <w:lang w:val="fr-FR"/>
        </w:rPr>
        <w:t xml:space="preserve"> </w:t>
      </w:r>
      <w:r w:rsidR="007311AD" w:rsidRPr="00D71F4E">
        <w:rPr>
          <w:rFonts w:cs="Times New Roman"/>
          <w:kern w:val="22"/>
          <w:sz w:val="22"/>
          <w:lang w:val="fr-FR"/>
        </w:rPr>
        <w:t>“</w:t>
      </w:r>
      <w:r w:rsidR="00CA644E" w:rsidRPr="00D71F4E">
        <w:rPr>
          <w:rFonts w:cs="Times New Roman"/>
          <w:kern w:val="22"/>
          <w:sz w:val="22"/>
          <w:lang w:val="fr-FR"/>
        </w:rPr>
        <w:t>ces</w:t>
      </w:r>
      <w:r w:rsidR="007311AD" w:rsidRPr="00D71F4E">
        <w:rPr>
          <w:rFonts w:cs="Times New Roman"/>
          <w:kern w:val="22"/>
          <w:sz w:val="22"/>
          <w:lang w:val="fr-FR"/>
        </w:rPr>
        <w:t xml:space="preserve"> structures </w:t>
      </w:r>
      <w:r w:rsidR="00D71F4E">
        <w:rPr>
          <w:rFonts w:cs="Times New Roman"/>
          <w:kern w:val="22"/>
          <w:sz w:val="22"/>
          <w:lang w:val="fr-FR"/>
        </w:rPr>
        <w:t xml:space="preserve">ont été citées </w:t>
      </w:r>
      <w:r w:rsidR="001B25BB">
        <w:rPr>
          <w:rFonts w:cs="Times New Roman"/>
          <w:kern w:val="22"/>
          <w:sz w:val="22"/>
          <w:lang w:val="fr-FR"/>
        </w:rPr>
        <w:t>dans un pourcentage élevé</w:t>
      </w:r>
      <w:r w:rsidR="000F0707">
        <w:rPr>
          <w:rFonts w:cs="Times New Roman"/>
          <w:kern w:val="22"/>
          <w:sz w:val="22"/>
          <w:lang w:val="fr-FR"/>
        </w:rPr>
        <w:t xml:space="preserve"> </w:t>
      </w:r>
      <w:r w:rsidR="00D71F4E">
        <w:rPr>
          <w:rFonts w:cs="Times New Roman"/>
          <w:kern w:val="22"/>
          <w:sz w:val="22"/>
          <w:lang w:val="fr-FR"/>
        </w:rPr>
        <w:t>de</w:t>
      </w:r>
      <w:r w:rsidR="000F0707">
        <w:rPr>
          <w:rFonts w:cs="Times New Roman"/>
          <w:kern w:val="22"/>
          <w:sz w:val="22"/>
          <w:lang w:val="fr-FR"/>
        </w:rPr>
        <w:t xml:space="preserve"> plus de </w:t>
      </w:r>
      <w:r w:rsidR="007311AD" w:rsidRPr="00D71F4E">
        <w:rPr>
          <w:rFonts w:cs="Times New Roman"/>
          <w:kern w:val="22"/>
          <w:sz w:val="22"/>
          <w:lang w:val="fr-FR"/>
        </w:rPr>
        <w:t>2 million</w:t>
      </w:r>
      <w:r w:rsidR="00D71F4E">
        <w:rPr>
          <w:rFonts w:cs="Times New Roman"/>
          <w:kern w:val="22"/>
          <w:sz w:val="22"/>
          <w:lang w:val="fr-FR"/>
        </w:rPr>
        <w:t>s de ra</w:t>
      </w:r>
      <w:r w:rsidR="000F0707">
        <w:rPr>
          <w:rFonts w:cs="Times New Roman"/>
          <w:kern w:val="22"/>
          <w:sz w:val="22"/>
          <w:lang w:val="fr-FR"/>
        </w:rPr>
        <w:t>pports financés publiquement, constituant des</w:t>
      </w:r>
      <w:r w:rsidR="00376937">
        <w:rPr>
          <w:rFonts w:cs="Times New Roman"/>
          <w:kern w:val="22"/>
          <w:sz w:val="22"/>
          <w:lang w:val="fr-FR"/>
        </w:rPr>
        <w:t xml:space="preserve"> recherches préconcurrentielle</w:t>
      </w:r>
      <w:r w:rsidR="001B25BB">
        <w:rPr>
          <w:rFonts w:cs="Times New Roman"/>
          <w:kern w:val="22"/>
          <w:sz w:val="22"/>
          <w:lang w:val="fr-FR"/>
        </w:rPr>
        <w:t>s sur l</w:t>
      </w:r>
      <w:r w:rsidR="00D71F4E">
        <w:rPr>
          <w:rFonts w:cs="Times New Roman"/>
          <w:kern w:val="22"/>
          <w:sz w:val="22"/>
          <w:lang w:val="fr-FR"/>
        </w:rPr>
        <w:t>es cibles de</w:t>
      </w:r>
      <w:r w:rsidR="007311AD" w:rsidRPr="00D71F4E">
        <w:rPr>
          <w:rFonts w:cs="Times New Roman"/>
          <w:kern w:val="22"/>
          <w:sz w:val="22"/>
          <w:lang w:val="fr-FR"/>
        </w:rPr>
        <w:t xml:space="preserve"> </w:t>
      </w:r>
      <w:r w:rsidR="00D71F4E" w:rsidRPr="00D71F4E">
        <w:rPr>
          <w:rFonts w:cs="Times New Roman"/>
          <w:kern w:val="22"/>
          <w:sz w:val="22"/>
          <w:lang w:val="fr-FR"/>
        </w:rPr>
        <w:t>médicament</w:t>
      </w:r>
      <w:r w:rsidR="000F0707">
        <w:rPr>
          <w:rFonts w:cs="Times New Roman"/>
          <w:kern w:val="22"/>
          <w:sz w:val="22"/>
          <w:lang w:val="fr-FR"/>
        </w:rPr>
        <w:t>s qui influencent</w:t>
      </w:r>
      <w:r w:rsidR="00D71F4E">
        <w:rPr>
          <w:rFonts w:cs="Times New Roman"/>
          <w:kern w:val="22"/>
          <w:sz w:val="22"/>
          <w:lang w:val="fr-FR"/>
        </w:rPr>
        <w:t xml:space="preserve"> les décisions d’investissement des entreprises pharmaceutiques</w:t>
      </w:r>
      <w:r w:rsidR="001B71CA" w:rsidRPr="00D71F4E">
        <w:rPr>
          <w:rFonts w:cs="Times New Roman"/>
          <w:kern w:val="22"/>
          <w:sz w:val="22"/>
          <w:lang w:val="fr-FR"/>
        </w:rPr>
        <w:t>.”</w:t>
      </w:r>
      <w:r w:rsidR="007311AD" w:rsidRPr="002364AB">
        <w:rPr>
          <w:rStyle w:val="FootnoteReference"/>
          <w:rFonts w:cs="Times New Roman"/>
          <w:kern w:val="22"/>
          <w:sz w:val="22"/>
          <w:lang w:val="en-GB"/>
        </w:rPr>
        <w:footnoteReference w:id="137"/>
      </w:r>
      <w:r w:rsidR="007311AD" w:rsidRPr="00D71F4E">
        <w:rPr>
          <w:rFonts w:cs="Times New Roman"/>
          <w:kern w:val="22"/>
          <w:sz w:val="22"/>
          <w:lang w:val="fr-FR"/>
        </w:rPr>
        <w:t xml:space="preserve"> </w:t>
      </w:r>
    </w:p>
    <w:p w14:paraId="210A91C7" w14:textId="07A39B5C" w:rsidR="00E20B91" w:rsidRPr="009A3627" w:rsidRDefault="008A5BE1" w:rsidP="007311AD">
      <w:pPr>
        <w:rPr>
          <w:rFonts w:cs="Times New Roman"/>
          <w:kern w:val="22"/>
          <w:sz w:val="22"/>
          <w:lang w:val="fr-FR"/>
        </w:rPr>
      </w:pPr>
      <w:r w:rsidRPr="00D71F4E">
        <w:rPr>
          <w:rFonts w:cs="Times New Roman"/>
          <w:kern w:val="22"/>
          <w:sz w:val="22"/>
          <w:lang w:val="fr-FR"/>
        </w:rPr>
        <w:t>À titre d’exemple</w:t>
      </w:r>
      <w:r w:rsidR="001B25BB">
        <w:rPr>
          <w:rFonts w:cs="Times New Roman"/>
          <w:kern w:val="22"/>
          <w:sz w:val="22"/>
          <w:lang w:val="fr-FR"/>
        </w:rPr>
        <w:t>, on citera une</w:t>
      </w:r>
      <w:r w:rsidR="00D71F4E">
        <w:rPr>
          <w:rFonts w:cs="Times New Roman"/>
          <w:kern w:val="22"/>
          <w:sz w:val="22"/>
          <w:lang w:val="fr-FR"/>
        </w:rPr>
        <w:t xml:space="preserve"> découverte</w:t>
      </w:r>
      <w:r w:rsidR="00712772">
        <w:rPr>
          <w:rFonts w:cs="Times New Roman"/>
          <w:kern w:val="22"/>
          <w:sz w:val="22"/>
          <w:lang w:val="fr-FR"/>
        </w:rPr>
        <w:t xml:space="preserve"> médicamenteuse q</w:t>
      </w:r>
      <w:r w:rsidR="001B25BB">
        <w:rPr>
          <w:rFonts w:cs="Times New Roman"/>
          <w:kern w:val="22"/>
          <w:sz w:val="22"/>
          <w:lang w:val="fr-FR"/>
        </w:rPr>
        <w:t>ui a été facilitée par d</w:t>
      </w:r>
      <w:r w:rsidR="00D71F4E">
        <w:rPr>
          <w:rFonts w:cs="Times New Roman"/>
          <w:kern w:val="22"/>
          <w:sz w:val="22"/>
          <w:lang w:val="fr-FR"/>
        </w:rPr>
        <w:t xml:space="preserve">es structures contenues dans la </w:t>
      </w:r>
      <w:r w:rsidR="001B7BB3">
        <w:rPr>
          <w:rFonts w:cs="Times New Roman"/>
          <w:kern w:val="22"/>
          <w:sz w:val="22"/>
          <w:lang w:val="fr-FR"/>
        </w:rPr>
        <w:t>Protein Data Bank</w:t>
      </w:r>
      <w:r w:rsidR="001B25BB">
        <w:rPr>
          <w:rFonts w:cs="Times New Roman"/>
          <w:kern w:val="22"/>
          <w:sz w:val="22"/>
          <w:lang w:val="fr-FR"/>
        </w:rPr>
        <w:t>, à savoir,</w:t>
      </w:r>
      <w:r w:rsidR="007311AD" w:rsidRPr="00D71F4E">
        <w:rPr>
          <w:rFonts w:cs="Times New Roman"/>
          <w:kern w:val="22"/>
          <w:sz w:val="22"/>
          <w:lang w:val="fr-FR"/>
        </w:rPr>
        <w:t xml:space="preserve"> </w:t>
      </w:r>
      <w:r w:rsidR="00712772">
        <w:rPr>
          <w:rFonts w:cs="Times New Roman"/>
          <w:kern w:val="22"/>
          <w:sz w:val="22"/>
          <w:lang w:val="fr-FR"/>
        </w:rPr>
        <w:t>les canaux ioniques</w:t>
      </w:r>
      <w:r w:rsidR="007075B4">
        <w:rPr>
          <w:rFonts w:cs="Times New Roman"/>
          <w:kern w:val="22"/>
          <w:sz w:val="22"/>
          <w:lang w:val="fr-FR"/>
        </w:rPr>
        <w:t xml:space="preserve"> </w:t>
      </w:r>
      <w:r w:rsidR="00712772">
        <w:rPr>
          <w:rFonts w:cs="Times New Roman"/>
          <w:kern w:val="22"/>
          <w:sz w:val="22"/>
          <w:lang w:val="fr-FR"/>
        </w:rPr>
        <w:t>dépendant</w:t>
      </w:r>
      <w:r w:rsidR="007075B4">
        <w:rPr>
          <w:rFonts w:cs="Times New Roman"/>
          <w:kern w:val="22"/>
          <w:sz w:val="22"/>
          <w:lang w:val="fr-FR"/>
        </w:rPr>
        <w:t>s du voltage</w:t>
      </w:r>
      <w:r w:rsidR="00D71F4E">
        <w:rPr>
          <w:rFonts w:cs="Times New Roman"/>
          <w:kern w:val="22"/>
          <w:sz w:val="22"/>
          <w:lang w:val="fr-FR"/>
        </w:rPr>
        <w:t xml:space="preserve"> </w:t>
      </w:r>
      <w:r w:rsidR="00712772">
        <w:rPr>
          <w:rFonts w:cs="Times New Roman"/>
          <w:kern w:val="22"/>
          <w:sz w:val="22"/>
          <w:lang w:val="fr-FR"/>
        </w:rPr>
        <w:t>(</w:t>
      </w:r>
      <w:r w:rsidR="007311AD" w:rsidRPr="00D71F4E">
        <w:rPr>
          <w:rFonts w:cs="Times New Roman"/>
          <w:kern w:val="22"/>
          <w:sz w:val="22"/>
          <w:lang w:val="fr-FR"/>
        </w:rPr>
        <w:t>voltage-gated ion chan</w:t>
      </w:r>
      <w:r w:rsidR="00712772">
        <w:rPr>
          <w:rFonts w:cs="Times New Roman"/>
          <w:kern w:val="22"/>
          <w:sz w:val="22"/>
          <w:lang w:val="fr-FR"/>
        </w:rPr>
        <w:t xml:space="preserve">nels  </w:t>
      </w:r>
      <w:r w:rsidR="007075B4">
        <w:rPr>
          <w:rFonts w:cs="Times New Roman"/>
          <w:kern w:val="22"/>
          <w:sz w:val="22"/>
          <w:lang w:val="fr-FR"/>
        </w:rPr>
        <w:t xml:space="preserve">- </w:t>
      </w:r>
      <w:r w:rsidR="007311AD" w:rsidRPr="00D71F4E">
        <w:rPr>
          <w:rFonts w:cs="Times New Roman"/>
          <w:kern w:val="22"/>
          <w:sz w:val="22"/>
          <w:lang w:val="fr-FR"/>
        </w:rPr>
        <w:t>VGIC</w:t>
      </w:r>
      <w:r w:rsidR="00712772">
        <w:rPr>
          <w:rFonts w:cs="Times New Roman"/>
          <w:kern w:val="22"/>
          <w:sz w:val="22"/>
          <w:lang w:val="fr-FR"/>
        </w:rPr>
        <w:t xml:space="preserve"> en anglais</w:t>
      </w:r>
      <w:r w:rsidR="007311AD" w:rsidRPr="00D71F4E">
        <w:rPr>
          <w:rFonts w:cs="Times New Roman"/>
          <w:kern w:val="22"/>
          <w:sz w:val="22"/>
          <w:lang w:val="fr-FR"/>
        </w:rPr>
        <w:t xml:space="preserve">), </w:t>
      </w:r>
      <w:r w:rsidR="00712772">
        <w:rPr>
          <w:rFonts w:cs="Times New Roman"/>
          <w:kern w:val="22"/>
          <w:sz w:val="22"/>
          <w:lang w:val="fr-FR"/>
        </w:rPr>
        <w:t>qui font partie</w:t>
      </w:r>
      <w:r w:rsidR="00D71F4E">
        <w:rPr>
          <w:rFonts w:cs="Times New Roman"/>
          <w:kern w:val="22"/>
          <w:sz w:val="22"/>
          <w:lang w:val="fr-FR"/>
        </w:rPr>
        <w:t xml:space="preserve"> de nombr</w:t>
      </w:r>
      <w:r w:rsidR="004015E0">
        <w:rPr>
          <w:rFonts w:cs="Times New Roman"/>
          <w:kern w:val="22"/>
          <w:sz w:val="22"/>
          <w:lang w:val="fr-FR"/>
        </w:rPr>
        <w:t>eux canaux de signalisation</w:t>
      </w:r>
      <w:r w:rsidR="00E3674F" w:rsidRPr="00D71F4E">
        <w:rPr>
          <w:rFonts w:cs="Times New Roman"/>
          <w:kern w:val="22"/>
          <w:sz w:val="22"/>
          <w:lang w:val="fr-FR"/>
        </w:rPr>
        <w:t xml:space="preserve"> et</w:t>
      </w:r>
      <w:r w:rsidR="00D71F4E">
        <w:rPr>
          <w:rFonts w:cs="Times New Roman"/>
          <w:kern w:val="22"/>
          <w:sz w:val="22"/>
          <w:lang w:val="fr-FR"/>
        </w:rPr>
        <w:t>,</w:t>
      </w:r>
      <w:r w:rsidR="00E3674F" w:rsidRPr="00D71F4E">
        <w:rPr>
          <w:rFonts w:cs="Times New Roman"/>
          <w:kern w:val="22"/>
          <w:sz w:val="22"/>
          <w:lang w:val="fr-FR"/>
        </w:rPr>
        <w:t xml:space="preserve"> </w:t>
      </w:r>
      <w:r w:rsidR="008735FC" w:rsidRPr="00D71F4E">
        <w:rPr>
          <w:rFonts w:cs="Times New Roman"/>
          <w:kern w:val="22"/>
          <w:sz w:val="22"/>
          <w:lang w:val="fr-FR"/>
        </w:rPr>
        <w:t>en conséquence</w:t>
      </w:r>
      <w:r w:rsidR="00D71F4E">
        <w:rPr>
          <w:rFonts w:cs="Times New Roman"/>
          <w:kern w:val="22"/>
          <w:sz w:val="22"/>
          <w:lang w:val="fr-FR"/>
        </w:rPr>
        <w:t xml:space="preserve">, sont des cibles pour les médicaments; </w:t>
      </w:r>
      <w:r w:rsidR="001B25BB">
        <w:rPr>
          <w:rFonts w:cs="Times New Roman"/>
          <w:kern w:val="22"/>
          <w:sz w:val="22"/>
          <w:lang w:val="fr-FR"/>
        </w:rPr>
        <w:t xml:space="preserve">on notera que </w:t>
      </w:r>
      <w:r w:rsidR="00D71F4E">
        <w:rPr>
          <w:rFonts w:cs="Times New Roman"/>
          <w:kern w:val="22"/>
          <w:sz w:val="22"/>
          <w:lang w:val="fr-FR"/>
        </w:rPr>
        <w:t>la</w:t>
      </w:r>
      <w:r w:rsidR="007311AD" w:rsidRPr="00D71F4E">
        <w:rPr>
          <w:rFonts w:cs="Times New Roman"/>
          <w:kern w:val="22"/>
          <w:sz w:val="22"/>
          <w:lang w:val="fr-FR"/>
        </w:rPr>
        <w:t xml:space="preserve"> </w:t>
      </w:r>
      <w:r w:rsidR="001B7BB3">
        <w:rPr>
          <w:rFonts w:cs="Times New Roman"/>
          <w:kern w:val="22"/>
          <w:sz w:val="22"/>
          <w:lang w:val="fr-FR"/>
        </w:rPr>
        <w:t>Protein Data Bank</w:t>
      </w:r>
      <w:r w:rsidR="007311AD" w:rsidRPr="00D71F4E">
        <w:rPr>
          <w:rFonts w:cs="Times New Roman"/>
          <w:kern w:val="22"/>
          <w:sz w:val="22"/>
          <w:lang w:val="fr-FR"/>
        </w:rPr>
        <w:t xml:space="preserve"> </w:t>
      </w:r>
      <w:r w:rsidR="0086347E" w:rsidRPr="00D71F4E">
        <w:rPr>
          <w:rFonts w:cs="Times New Roman"/>
          <w:kern w:val="22"/>
          <w:sz w:val="22"/>
          <w:lang w:val="fr-FR"/>
        </w:rPr>
        <w:t>contient</w:t>
      </w:r>
      <w:r w:rsidR="00D71F4E">
        <w:rPr>
          <w:rFonts w:cs="Times New Roman"/>
          <w:kern w:val="22"/>
          <w:sz w:val="22"/>
          <w:lang w:val="fr-FR"/>
        </w:rPr>
        <w:t xml:space="preserve"> plus de</w:t>
      </w:r>
      <w:r w:rsidR="007311AD" w:rsidRPr="00D71F4E">
        <w:rPr>
          <w:rFonts w:cs="Times New Roman"/>
          <w:kern w:val="22"/>
          <w:sz w:val="22"/>
          <w:lang w:val="fr-FR"/>
        </w:rPr>
        <w:t xml:space="preserve"> 750 </w:t>
      </w:r>
      <w:r w:rsidR="004015E0">
        <w:rPr>
          <w:rFonts w:cs="Times New Roman"/>
          <w:kern w:val="22"/>
          <w:sz w:val="22"/>
          <w:lang w:val="fr-FR"/>
        </w:rPr>
        <w:t>structures de canaux ioniques voltage-dépendants</w:t>
      </w:r>
      <w:r w:rsidR="007311AD" w:rsidRPr="00D71F4E">
        <w:rPr>
          <w:rFonts w:cs="Times New Roman"/>
          <w:kern w:val="22"/>
          <w:sz w:val="22"/>
          <w:lang w:val="fr-FR"/>
        </w:rPr>
        <w:t>.</w:t>
      </w:r>
      <w:r w:rsidR="007311AD" w:rsidRPr="002364AB">
        <w:rPr>
          <w:rFonts w:cs="Times New Roman"/>
          <w:kern w:val="22"/>
          <w:sz w:val="22"/>
          <w:vertAlign w:val="superscript"/>
          <w:lang w:val="en-GB"/>
        </w:rPr>
        <w:footnoteReference w:id="138"/>
      </w:r>
      <w:r w:rsidR="00D71F4E">
        <w:rPr>
          <w:rFonts w:cs="Times New Roman"/>
          <w:kern w:val="22"/>
          <w:sz w:val="22"/>
          <w:lang w:val="fr-FR"/>
        </w:rPr>
        <w:t xml:space="preserve"> </w:t>
      </w:r>
      <w:r w:rsidR="00D71F4E" w:rsidRPr="00D71F4E">
        <w:rPr>
          <w:rFonts w:cs="Times New Roman"/>
          <w:kern w:val="22"/>
          <w:sz w:val="22"/>
          <w:lang w:val="fr-FR"/>
        </w:rPr>
        <w:t>Le b</w:t>
      </w:r>
      <w:r w:rsidR="00B43E38" w:rsidRPr="00D71F4E">
        <w:rPr>
          <w:rFonts w:cs="Times New Roman"/>
          <w:kern w:val="22"/>
          <w:sz w:val="22"/>
          <w:lang w:val="fr-FR"/>
        </w:rPr>
        <w:t>revet</w:t>
      </w:r>
      <w:r w:rsidR="001B25BB">
        <w:rPr>
          <w:rFonts w:cs="Times New Roman"/>
          <w:kern w:val="22"/>
          <w:sz w:val="22"/>
          <w:lang w:val="fr-FR"/>
        </w:rPr>
        <w:t xml:space="preserve"> américain No.</w:t>
      </w:r>
      <w:r w:rsidR="007311AD" w:rsidRPr="00D71F4E">
        <w:rPr>
          <w:rFonts w:cs="Times New Roman"/>
          <w:kern w:val="22"/>
          <w:sz w:val="22"/>
          <w:lang w:val="fr-FR"/>
        </w:rPr>
        <w:t xml:space="preserve"> 8043829B2</w:t>
      </w:r>
      <w:r w:rsidR="001B25BB">
        <w:rPr>
          <w:rFonts w:cs="Times New Roman"/>
          <w:kern w:val="22"/>
          <w:sz w:val="22"/>
          <w:lang w:val="fr-FR"/>
        </w:rPr>
        <w:t xml:space="preserve"> </w:t>
      </w:r>
      <w:r w:rsidR="00D71F4E" w:rsidRPr="00D71F4E">
        <w:rPr>
          <w:rFonts w:cs="Times New Roman"/>
          <w:kern w:val="22"/>
          <w:sz w:val="22"/>
          <w:lang w:val="fr-FR"/>
        </w:rPr>
        <w:t xml:space="preserve">accordé </w:t>
      </w:r>
      <w:r w:rsidR="001B25BB">
        <w:rPr>
          <w:rFonts w:cs="Times New Roman"/>
          <w:kern w:val="22"/>
          <w:sz w:val="22"/>
          <w:lang w:val="fr-FR"/>
        </w:rPr>
        <w:t xml:space="preserve">à l’entreprise Amgen </w:t>
      </w:r>
      <w:r w:rsidR="00D71F4E">
        <w:rPr>
          <w:rFonts w:cs="Times New Roman"/>
          <w:kern w:val="22"/>
          <w:sz w:val="22"/>
          <w:lang w:val="fr-FR"/>
        </w:rPr>
        <w:t xml:space="preserve">protège </w:t>
      </w:r>
      <w:r w:rsidR="001B25BB">
        <w:rPr>
          <w:rFonts w:cs="Times New Roman"/>
          <w:kern w:val="22"/>
          <w:sz w:val="22"/>
          <w:lang w:val="fr-FR"/>
        </w:rPr>
        <w:t xml:space="preserve">ainsi </w:t>
      </w:r>
      <w:r w:rsidR="00D71F4E">
        <w:rPr>
          <w:rFonts w:cs="Times New Roman"/>
          <w:kern w:val="22"/>
          <w:sz w:val="22"/>
          <w:lang w:val="fr-FR"/>
        </w:rPr>
        <w:t>une</w:t>
      </w:r>
      <w:r w:rsidR="007311AD" w:rsidRPr="00D71F4E">
        <w:rPr>
          <w:rFonts w:cs="Times New Roman"/>
          <w:kern w:val="22"/>
          <w:sz w:val="22"/>
          <w:lang w:val="fr-FR"/>
        </w:rPr>
        <w:t xml:space="preserve"> </w:t>
      </w:r>
      <w:r w:rsidR="00D71F4E">
        <w:rPr>
          <w:rFonts w:cs="Times New Roman"/>
          <w:kern w:val="22"/>
          <w:sz w:val="22"/>
          <w:lang w:val="fr-FR"/>
        </w:rPr>
        <w:t>mé</w:t>
      </w:r>
      <w:r w:rsidR="007311AD" w:rsidRPr="00D71F4E">
        <w:rPr>
          <w:rFonts w:cs="Times New Roman"/>
          <w:kern w:val="22"/>
          <w:sz w:val="22"/>
          <w:lang w:val="fr-FR"/>
        </w:rPr>
        <w:t>thod</w:t>
      </w:r>
      <w:r w:rsidR="004015E0">
        <w:rPr>
          <w:rFonts w:cs="Times New Roman"/>
          <w:kern w:val="22"/>
          <w:sz w:val="22"/>
          <w:lang w:val="fr-FR"/>
        </w:rPr>
        <w:t xml:space="preserve">e de traitement de </w:t>
      </w:r>
      <w:r w:rsidR="001B25BB">
        <w:rPr>
          <w:rFonts w:cs="Times New Roman"/>
          <w:kern w:val="22"/>
          <w:sz w:val="22"/>
          <w:lang w:val="fr-FR"/>
        </w:rPr>
        <w:t>certaines</w:t>
      </w:r>
      <w:r w:rsidR="00D71F4E">
        <w:rPr>
          <w:rFonts w:cs="Times New Roman"/>
          <w:kern w:val="22"/>
          <w:sz w:val="22"/>
          <w:lang w:val="fr-FR"/>
        </w:rPr>
        <w:t xml:space="preserve"> maladies </w:t>
      </w:r>
      <w:r w:rsidR="007311AD" w:rsidRPr="00D71F4E">
        <w:rPr>
          <w:rFonts w:cs="Times New Roman"/>
          <w:kern w:val="22"/>
          <w:sz w:val="22"/>
          <w:lang w:val="fr-FR"/>
        </w:rPr>
        <w:t>auto</w:t>
      </w:r>
      <w:r w:rsidR="00D71F4E">
        <w:rPr>
          <w:rFonts w:cs="Times New Roman"/>
          <w:kern w:val="22"/>
          <w:sz w:val="22"/>
          <w:lang w:val="fr-FR"/>
        </w:rPr>
        <w:t xml:space="preserve">-immunitaires, dont la sclérose en plaques, le diabète de type 1, le </w:t>
      </w:r>
      <w:r w:rsidR="004015E0">
        <w:rPr>
          <w:rFonts w:cs="Times New Roman"/>
          <w:kern w:val="22"/>
          <w:sz w:val="22"/>
          <w:lang w:val="fr-FR"/>
        </w:rPr>
        <w:t xml:space="preserve">psoriasis </w:t>
      </w:r>
      <w:r w:rsidR="00E3674F" w:rsidRPr="00D71F4E">
        <w:rPr>
          <w:rFonts w:cs="Times New Roman"/>
          <w:kern w:val="22"/>
          <w:sz w:val="22"/>
          <w:lang w:val="fr-FR"/>
        </w:rPr>
        <w:t xml:space="preserve">et </w:t>
      </w:r>
      <w:r w:rsidR="007075B4">
        <w:rPr>
          <w:rFonts w:cs="Times New Roman"/>
          <w:kern w:val="22"/>
          <w:sz w:val="22"/>
          <w:lang w:val="fr-FR"/>
        </w:rPr>
        <w:t>l</w:t>
      </w:r>
      <w:r w:rsidR="004015E0">
        <w:rPr>
          <w:rFonts w:cs="Times New Roman"/>
          <w:kern w:val="22"/>
          <w:sz w:val="22"/>
          <w:lang w:val="fr-FR"/>
        </w:rPr>
        <w:t>es maladies in</w:t>
      </w:r>
      <w:r w:rsidR="00F239E0">
        <w:rPr>
          <w:rFonts w:cs="Times New Roman"/>
          <w:kern w:val="22"/>
          <w:sz w:val="22"/>
          <w:lang w:val="fr-FR"/>
        </w:rPr>
        <w:t>testinales</w:t>
      </w:r>
      <w:r w:rsidR="004015E0" w:rsidRPr="004015E0">
        <w:rPr>
          <w:rFonts w:cs="Times New Roman"/>
          <w:kern w:val="22"/>
          <w:sz w:val="22"/>
          <w:lang w:val="fr-FR"/>
        </w:rPr>
        <w:t xml:space="preserve"> </w:t>
      </w:r>
      <w:r w:rsidR="004015E0">
        <w:rPr>
          <w:rFonts w:cs="Times New Roman"/>
          <w:kern w:val="22"/>
          <w:sz w:val="22"/>
          <w:lang w:val="fr-FR"/>
        </w:rPr>
        <w:t>inflammatoires</w:t>
      </w:r>
      <w:r w:rsidR="007075B4">
        <w:rPr>
          <w:rFonts w:cs="Times New Roman"/>
          <w:kern w:val="22"/>
          <w:sz w:val="22"/>
          <w:lang w:val="fr-FR"/>
        </w:rPr>
        <w:t>, en ciblant</w:t>
      </w:r>
      <w:r w:rsidR="004015E0">
        <w:rPr>
          <w:rFonts w:cs="Times New Roman"/>
          <w:kern w:val="22"/>
          <w:sz w:val="22"/>
          <w:lang w:val="fr-FR"/>
        </w:rPr>
        <w:t xml:space="preserve"> un canal potassique  voltage-dépendant</w:t>
      </w:r>
      <w:r w:rsidR="007311AD" w:rsidRPr="00D71F4E">
        <w:rPr>
          <w:rFonts w:cs="Times New Roman"/>
          <w:kern w:val="22"/>
          <w:sz w:val="22"/>
          <w:lang w:val="fr-FR"/>
        </w:rPr>
        <w:t xml:space="preserve">. </w:t>
      </w:r>
      <w:r w:rsidR="00D83046" w:rsidRPr="00D83046">
        <w:rPr>
          <w:rFonts w:cs="Times New Roman"/>
          <w:kern w:val="22"/>
          <w:sz w:val="22"/>
          <w:lang w:val="fr-FR"/>
        </w:rPr>
        <w:t>E</w:t>
      </w:r>
      <w:r w:rsidR="007311AD" w:rsidRPr="00D83046">
        <w:rPr>
          <w:rFonts w:cs="Times New Roman"/>
          <w:kern w:val="22"/>
          <w:sz w:val="22"/>
          <w:lang w:val="fr-FR"/>
        </w:rPr>
        <w:t>n</w:t>
      </w:r>
      <w:r w:rsidR="00D83046">
        <w:rPr>
          <w:rFonts w:cs="Times New Roman"/>
          <w:kern w:val="22"/>
          <w:sz w:val="22"/>
          <w:lang w:val="fr-FR"/>
        </w:rPr>
        <w:t xml:space="preserve"> découvrant une </w:t>
      </w:r>
      <w:r w:rsidR="007311AD" w:rsidRPr="00D83046">
        <w:rPr>
          <w:rFonts w:cs="Times New Roman"/>
          <w:kern w:val="22"/>
          <w:sz w:val="22"/>
          <w:lang w:val="fr-FR"/>
        </w:rPr>
        <w:t>toxin</w:t>
      </w:r>
      <w:r w:rsidR="00D83046">
        <w:rPr>
          <w:rFonts w:cs="Times New Roman"/>
          <w:kern w:val="22"/>
          <w:sz w:val="22"/>
          <w:lang w:val="fr-FR"/>
        </w:rPr>
        <w:t xml:space="preserve">e </w:t>
      </w:r>
      <w:r w:rsidR="004015E0">
        <w:rPr>
          <w:rFonts w:cs="Times New Roman"/>
          <w:kern w:val="22"/>
          <w:sz w:val="22"/>
          <w:lang w:val="fr-FR"/>
        </w:rPr>
        <w:t xml:space="preserve">qui </w:t>
      </w:r>
      <w:r w:rsidR="00345C7A">
        <w:rPr>
          <w:rFonts w:cs="Times New Roman"/>
          <w:kern w:val="22"/>
          <w:sz w:val="22"/>
          <w:lang w:val="fr-FR"/>
        </w:rPr>
        <w:t xml:space="preserve">permet </w:t>
      </w:r>
      <w:r w:rsidR="007075B4">
        <w:rPr>
          <w:rFonts w:cs="Times New Roman"/>
          <w:kern w:val="22"/>
          <w:sz w:val="22"/>
          <w:lang w:val="fr-FR"/>
        </w:rPr>
        <w:t>d’inhiber les canaux</w:t>
      </w:r>
      <w:r w:rsidR="00E84134">
        <w:rPr>
          <w:rFonts w:cs="Times New Roman"/>
          <w:kern w:val="22"/>
          <w:sz w:val="22"/>
          <w:lang w:val="fr-FR"/>
        </w:rPr>
        <w:t xml:space="preserve"> potassiques</w:t>
      </w:r>
      <w:r w:rsidR="00D83046">
        <w:rPr>
          <w:rFonts w:cs="Times New Roman"/>
          <w:kern w:val="22"/>
          <w:sz w:val="22"/>
          <w:lang w:val="fr-FR"/>
        </w:rPr>
        <w:t>, l</w:t>
      </w:r>
      <w:r w:rsidR="007311AD" w:rsidRPr="00D83046">
        <w:rPr>
          <w:rFonts w:cs="Times New Roman"/>
          <w:kern w:val="22"/>
          <w:sz w:val="22"/>
          <w:lang w:val="fr-FR"/>
        </w:rPr>
        <w:t xml:space="preserve">e </w:t>
      </w:r>
      <w:r w:rsidR="00B43E38" w:rsidRPr="00D83046">
        <w:rPr>
          <w:rFonts w:cs="Times New Roman"/>
          <w:kern w:val="22"/>
          <w:sz w:val="22"/>
          <w:lang w:val="fr-FR"/>
        </w:rPr>
        <w:t>brevet</w:t>
      </w:r>
      <w:r w:rsidR="007311AD" w:rsidRPr="00D83046">
        <w:rPr>
          <w:rFonts w:cs="Times New Roman"/>
          <w:kern w:val="22"/>
          <w:sz w:val="22"/>
          <w:lang w:val="fr-FR"/>
        </w:rPr>
        <w:t xml:space="preserve"> </w:t>
      </w:r>
      <w:r w:rsidR="001B25BB">
        <w:rPr>
          <w:rFonts w:cs="Times New Roman"/>
          <w:kern w:val="22"/>
          <w:sz w:val="22"/>
          <w:lang w:val="fr-FR"/>
        </w:rPr>
        <w:t>indique qu’il a</w:t>
      </w:r>
      <w:r w:rsidR="009A3627">
        <w:rPr>
          <w:rFonts w:cs="Times New Roman"/>
          <w:kern w:val="22"/>
          <w:sz w:val="22"/>
          <w:lang w:val="fr-FR"/>
        </w:rPr>
        <w:t xml:space="preserve"> visualisé dans la</w:t>
      </w:r>
      <w:r w:rsidR="007311AD" w:rsidRPr="00D83046">
        <w:rPr>
          <w:rFonts w:cs="Times New Roman"/>
          <w:kern w:val="22"/>
          <w:sz w:val="22"/>
          <w:lang w:val="fr-FR"/>
        </w:rPr>
        <w:t xml:space="preserve"> </w:t>
      </w:r>
      <w:r w:rsidR="001B7BB3">
        <w:rPr>
          <w:rFonts w:cs="Times New Roman"/>
          <w:kern w:val="22"/>
          <w:sz w:val="22"/>
          <w:lang w:val="fr-FR"/>
        </w:rPr>
        <w:t>Protein Data Bank</w:t>
      </w:r>
      <w:r w:rsidR="009A3627">
        <w:rPr>
          <w:rFonts w:cs="Times New Roman"/>
          <w:kern w:val="22"/>
          <w:sz w:val="22"/>
          <w:lang w:val="fr-FR"/>
        </w:rPr>
        <w:t xml:space="preserve"> des structures de</w:t>
      </w:r>
      <w:r w:rsidR="007311AD" w:rsidRPr="00D83046">
        <w:rPr>
          <w:rFonts w:cs="Times New Roman"/>
          <w:kern w:val="22"/>
          <w:sz w:val="22"/>
          <w:lang w:val="fr-FR"/>
        </w:rPr>
        <w:t xml:space="preserve"> toxin</w:t>
      </w:r>
      <w:r w:rsidR="009A3627">
        <w:rPr>
          <w:rFonts w:cs="Times New Roman"/>
          <w:kern w:val="22"/>
          <w:sz w:val="22"/>
          <w:lang w:val="fr-FR"/>
        </w:rPr>
        <w:t>es provenant d’ané</w:t>
      </w:r>
      <w:r w:rsidR="007311AD" w:rsidRPr="00D83046">
        <w:rPr>
          <w:rFonts w:cs="Times New Roman"/>
          <w:kern w:val="22"/>
          <w:sz w:val="22"/>
          <w:lang w:val="fr-FR"/>
        </w:rPr>
        <w:t>mone</w:t>
      </w:r>
      <w:r w:rsidR="009A3627">
        <w:rPr>
          <w:rFonts w:cs="Times New Roman"/>
          <w:kern w:val="22"/>
          <w:sz w:val="22"/>
          <w:lang w:val="fr-FR"/>
        </w:rPr>
        <w:t>s de mer</w:t>
      </w:r>
      <w:r w:rsidR="007311AD" w:rsidRPr="00D83046">
        <w:rPr>
          <w:rFonts w:cs="Times New Roman"/>
          <w:kern w:val="22"/>
          <w:sz w:val="22"/>
          <w:lang w:val="fr-FR"/>
        </w:rPr>
        <w:t xml:space="preserve">, </w:t>
      </w:r>
      <w:r w:rsidR="009A3627">
        <w:rPr>
          <w:rFonts w:cs="Times New Roman"/>
          <w:kern w:val="22"/>
          <w:sz w:val="22"/>
          <w:lang w:val="fr-FR"/>
        </w:rPr>
        <w:t xml:space="preserve">de </w:t>
      </w:r>
      <w:r w:rsidR="007311AD" w:rsidRPr="00D83046">
        <w:rPr>
          <w:rFonts w:cs="Times New Roman"/>
          <w:kern w:val="22"/>
          <w:sz w:val="22"/>
          <w:lang w:val="fr-FR"/>
        </w:rPr>
        <w:t>scorpion</w:t>
      </w:r>
      <w:r w:rsidR="009A3627">
        <w:rPr>
          <w:rFonts w:cs="Times New Roman"/>
          <w:kern w:val="22"/>
          <w:sz w:val="22"/>
          <w:lang w:val="fr-FR"/>
        </w:rPr>
        <w:t>s</w:t>
      </w:r>
      <w:r w:rsidR="007311AD" w:rsidRPr="00D83046">
        <w:rPr>
          <w:rFonts w:cs="Times New Roman"/>
          <w:kern w:val="22"/>
          <w:sz w:val="22"/>
          <w:lang w:val="fr-FR"/>
        </w:rPr>
        <w:t xml:space="preserve">, </w:t>
      </w:r>
      <w:r w:rsidR="001B25BB">
        <w:rPr>
          <w:rFonts w:cs="Times New Roman"/>
          <w:kern w:val="22"/>
          <w:sz w:val="22"/>
          <w:lang w:val="fr-FR"/>
        </w:rPr>
        <w:t>d’escargots coniques marins</w:t>
      </w:r>
      <w:r w:rsidR="00E3674F" w:rsidRPr="00D83046">
        <w:rPr>
          <w:rFonts w:cs="Times New Roman"/>
          <w:kern w:val="22"/>
          <w:sz w:val="22"/>
          <w:lang w:val="fr-FR"/>
        </w:rPr>
        <w:t xml:space="preserve"> et </w:t>
      </w:r>
      <w:r w:rsidR="001B25BB">
        <w:rPr>
          <w:rFonts w:cs="Times New Roman"/>
          <w:kern w:val="22"/>
          <w:sz w:val="22"/>
          <w:lang w:val="fr-FR"/>
        </w:rPr>
        <w:t>de</w:t>
      </w:r>
      <w:r w:rsidR="009A3627">
        <w:rPr>
          <w:rFonts w:cs="Times New Roman"/>
          <w:kern w:val="22"/>
          <w:sz w:val="22"/>
          <w:lang w:val="fr-FR"/>
        </w:rPr>
        <w:t xml:space="preserve"> </w:t>
      </w:r>
      <w:r w:rsidR="00A14BDE">
        <w:rPr>
          <w:rFonts w:cs="Times New Roman"/>
          <w:kern w:val="22"/>
          <w:sz w:val="22"/>
          <w:lang w:val="fr-FR"/>
        </w:rPr>
        <w:t>tarentules</w:t>
      </w:r>
      <w:r w:rsidR="007311AD" w:rsidRPr="00D83046">
        <w:rPr>
          <w:rFonts w:cs="Times New Roman"/>
          <w:kern w:val="22"/>
          <w:sz w:val="22"/>
          <w:lang w:val="fr-FR"/>
        </w:rPr>
        <w:t xml:space="preserve">. </w:t>
      </w:r>
      <w:r w:rsidR="009A3627" w:rsidRPr="009A3627">
        <w:rPr>
          <w:rFonts w:cs="Times New Roman"/>
          <w:kern w:val="22"/>
          <w:sz w:val="22"/>
          <w:lang w:val="fr-FR"/>
        </w:rPr>
        <w:t>L</w:t>
      </w:r>
      <w:r w:rsidR="00E84134">
        <w:rPr>
          <w:rFonts w:cs="Times New Roman"/>
          <w:kern w:val="22"/>
          <w:sz w:val="22"/>
          <w:lang w:val="fr-FR"/>
        </w:rPr>
        <w:t>e brevet utilise</w:t>
      </w:r>
      <w:r w:rsidR="009A3627">
        <w:rPr>
          <w:rFonts w:cs="Times New Roman"/>
          <w:kern w:val="22"/>
          <w:sz w:val="22"/>
          <w:lang w:val="fr-FR"/>
        </w:rPr>
        <w:t xml:space="preserve"> un </w:t>
      </w:r>
      <w:r w:rsidR="007311AD" w:rsidRPr="009A3627">
        <w:rPr>
          <w:rFonts w:cs="Times New Roman"/>
          <w:kern w:val="22"/>
          <w:sz w:val="22"/>
          <w:lang w:val="fr-FR"/>
        </w:rPr>
        <w:t>peptide analog</w:t>
      </w:r>
      <w:r w:rsidR="004015E0">
        <w:rPr>
          <w:rFonts w:cs="Times New Roman"/>
          <w:kern w:val="22"/>
          <w:sz w:val="22"/>
          <w:lang w:val="fr-FR"/>
        </w:rPr>
        <w:t>ue à OSK1, une toxine contenue dans le venin du</w:t>
      </w:r>
      <w:r w:rsidR="009A3627">
        <w:rPr>
          <w:rFonts w:cs="Times New Roman"/>
          <w:kern w:val="22"/>
          <w:sz w:val="22"/>
          <w:lang w:val="fr-FR"/>
        </w:rPr>
        <w:t xml:space="preserve"> scorpion</w:t>
      </w:r>
      <w:r w:rsidR="007311AD" w:rsidRPr="009A3627">
        <w:rPr>
          <w:rFonts w:cs="Times New Roman"/>
          <w:kern w:val="22"/>
          <w:sz w:val="22"/>
          <w:lang w:val="fr-FR"/>
        </w:rPr>
        <w:t xml:space="preserve">, </w:t>
      </w:r>
      <w:r w:rsidR="009A3627">
        <w:rPr>
          <w:rFonts w:cs="Times New Roman"/>
          <w:kern w:val="22"/>
          <w:sz w:val="22"/>
          <w:lang w:val="fr-FR"/>
        </w:rPr>
        <w:t>qui a été découverte en utilisant des</w:t>
      </w:r>
      <w:r w:rsidR="002079BD" w:rsidRPr="009A3627">
        <w:rPr>
          <w:rFonts w:cs="Times New Roman"/>
          <w:kern w:val="22"/>
          <w:sz w:val="22"/>
          <w:lang w:val="fr-FR"/>
        </w:rPr>
        <w:t xml:space="preserve"> information</w:t>
      </w:r>
      <w:r w:rsidR="009A3627">
        <w:rPr>
          <w:rFonts w:cs="Times New Roman"/>
          <w:kern w:val="22"/>
          <w:sz w:val="22"/>
          <w:lang w:val="fr-FR"/>
        </w:rPr>
        <w:t xml:space="preserve">s structurelles provenant de différents </w:t>
      </w:r>
      <w:r w:rsidR="00D9629D" w:rsidRPr="009A3627">
        <w:rPr>
          <w:rFonts w:cs="Times New Roman"/>
          <w:kern w:val="22"/>
          <w:sz w:val="22"/>
          <w:lang w:val="fr-FR"/>
        </w:rPr>
        <w:t>organismes</w:t>
      </w:r>
      <w:r w:rsidR="002079BD" w:rsidRPr="009A3627">
        <w:rPr>
          <w:rFonts w:cs="Times New Roman"/>
          <w:kern w:val="22"/>
          <w:sz w:val="22"/>
          <w:lang w:val="fr-FR"/>
        </w:rPr>
        <w:t xml:space="preserve"> </w:t>
      </w:r>
      <w:r w:rsidR="00053E0E" w:rsidRPr="009A3627">
        <w:rPr>
          <w:rFonts w:cs="Times New Roman"/>
          <w:kern w:val="22"/>
          <w:sz w:val="22"/>
          <w:lang w:val="fr-FR"/>
        </w:rPr>
        <w:t>déposés</w:t>
      </w:r>
      <w:r w:rsidR="009A3627">
        <w:rPr>
          <w:rFonts w:cs="Times New Roman"/>
          <w:kern w:val="22"/>
          <w:sz w:val="22"/>
          <w:lang w:val="fr-FR"/>
        </w:rPr>
        <w:t xml:space="preserve"> dans la</w:t>
      </w:r>
      <w:r w:rsidR="002079BD" w:rsidRPr="009A3627">
        <w:rPr>
          <w:rFonts w:cs="Times New Roman"/>
          <w:kern w:val="22"/>
          <w:sz w:val="22"/>
          <w:lang w:val="fr-FR"/>
        </w:rPr>
        <w:t xml:space="preserve"> </w:t>
      </w:r>
      <w:r w:rsidR="001B7BB3">
        <w:rPr>
          <w:rFonts w:cs="Times New Roman"/>
          <w:kern w:val="22"/>
          <w:sz w:val="22"/>
          <w:lang w:val="fr-FR"/>
        </w:rPr>
        <w:t>Protein Data Bank</w:t>
      </w:r>
      <w:r w:rsidR="007311AD" w:rsidRPr="009A3627">
        <w:rPr>
          <w:rFonts w:cs="Times New Roman"/>
          <w:kern w:val="22"/>
          <w:sz w:val="22"/>
          <w:lang w:val="fr-FR"/>
        </w:rPr>
        <w:t xml:space="preserve">. </w:t>
      </w:r>
      <w:r w:rsidR="009A3627" w:rsidRPr="009A3627">
        <w:rPr>
          <w:rFonts w:cs="Times New Roman"/>
          <w:kern w:val="22"/>
          <w:sz w:val="22"/>
          <w:lang w:val="fr-FR"/>
        </w:rPr>
        <w:t>Ainsi</w:t>
      </w:r>
      <w:r w:rsidR="007311AD" w:rsidRPr="009A3627">
        <w:rPr>
          <w:rFonts w:cs="Times New Roman"/>
          <w:kern w:val="22"/>
          <w:sz w:val="22"/>
          <w:lang w:val="fr-FR"/>
        </w:rPr>
        <w:t>,</w:t>
      </w:r>
      <w:r w:rsidR="00345C7A">
        <w:rPr>
          <w:rFonts w:cs="Times New Roman"/>
          <w:kern w:val="22"/>
          <w:sz w:val="22"/>
          <w:lang w:val="fr-FR"/>
        </w:rPr>
        <w:t xml:space="preserve"> l’utilisation de cette base de données</w:t>
      </w:r>
      <w:r w:rsidR="009A3627" w:rsidRPr="009A3627">
        <w:rPr>
          <w:rFonts w:cs="Times New Roman"/>
          <w:kern w:val="22"/>
          <w:sz w:val="22"/>
          <w:lang w:val="fr-FR"/>
        </w:rPr>
        <w:t xml:space="preserve"> permet aux</w:t>
      </w:r>
      <w:r w:rsidR="004C1A58" w:rsidRPr="009A3627">
        <w:rPr>
          <w:rFonts w:cs="Times New Roman"/>
          <w:kern w:val="22"/>
          <w:sz w:val="22"/>
          <w:lang w:val="fr-FR"/>
        </w:rPr>
        <w:t xml:space="preserve"> </w:t>
      </w:r>
      <w:r w:rsidR="009A3627">
        <w:rPr>
          <w:rFonts w:cs="Times New Roman"/>
          <w:kern w:val="22"/>
          <w:sz w:val="22"/>
          <w:lang w:val="fr-FR"/>
        </w:rPr>
        <w:t xml:space="preserve">individus d’avoir </w:t>
      </w:r>
      <w:r w:rsidR="009620A7" w:rsidRPr="009A3627">
        <w:rPr>
          <w:rFonts w:cs="Times New Roman"/>
          <w:kern w:val="22"/>
          <w:sz w:val="22"/>
          <w:lang w:val="fr-FR"/>
        </w:rPr>
        <w:t xml:space="preserve">accès </w:t>
      </w:r>
      <w:r w:rsidR="009A3627">
        <w:rPr>
          <w:rFonts w:cs="Times New Roman"/>
          <w:kern w:val="22"/>
          <w:sz w:val="22"/>
          <w:lang w:val="fr-FR"/>
        </w:rPr>
        <w:t>à des centain</w:t>
      </w:r>
      <w:r w:rsidR="00E84134">
        <w:rPr>
          <w:rFonts w:cs="Times New Roman"/>
          <w:kern w:val="22"/>
          <w:sz w:val="22"/>
          <w:lang w:val="fr-FR"/>
        </w:rPr>
        <w:t xml:space="preserve">es de milliers de structures </w:t>
      </w:r>
      <w:r w:rsidR="009A3627">
        <w:rPr>
          <w:rFonts w:cs="Times New Roman"/>
          <w:kern w:val="22"/>
          <w:sz w:val="22"/>
          <w:lang w:val="fr-FR"/>
        </w:rPr>
        <w:t>biomolé</w:t>
      </w:r>
      <w:r w:rsidR="007311AD" w:rsidRPr="009A3627">
        <w:rPr>
          <w:rFonts w:cs="Times New Roman"/>
          <w:kern w:val="22"/>
          <w:sz w:val="22"/>
          <w:lang w:val="fr-FR"/>
        </w:rPr>
        <w:t>cul</w:t>
      </w:r>
      <w:r w:rsidR="00E84134">
        <w:rPr>
          <w:rFonts w:cs="Times New Roman"/>
          <w:kern w:val="22"/>
          <w:sz w:val="22"/>
          <w:lang w:val="fr-FR"/>
        </w:rPr>
        <w:t>air</w:t>
      </w:r>
      <w:r w:rsidR="007311AD" w:rsidRPr="009A3627">
        <w:rPr>
          <w:rFonts w:cs="Times New Roman"/>
          <w:kern w:val="22"/>
          <w:sz w:val="22"/>
          <w:lang w:val="fr-FR"/>
        </w:rPr>
        <w:t>e</w:t>
      </w:r>
      <w:r w:rsidR="009A3627">
        <w:rPr>
          <w:rFonts w:cs="Times New Roman"/>
          <w:kern w:val="22"/>
          <w:sz w:val="22"/>
          <w:lang w:val="fr-FR"/>
        </w:rPr>
        <w:t>s venant</w:t>
      </w:r>
      <w:r w:rsidR="00E84134">
        <w:rPr>
          <w:rFonts w:cs="Times New Roman"/>
          <w:kern w:val="22"/>
          <w:sz w:val="22"/>
          <w:lang w:val="fr-FR"/>
        </w:rPr>
        <w:t xml:space="preserve"> </w:t>
      </w:r>
      <w:r w:rsidR="00345C7A">
        <w:rPr>
          <w:rFonts w:cs="Times New Roman"/>
          <w:kern w:val="22"/>
          <w:sz w:val="22"/>
          <w:lang w:val="fr-FR"/>
        </w:rPr>
        <w:t>du monde entier. Il sera</w:t>
      </w:r>
      <w:r w:rsidR="009A3627">
        <w:rPr>
          <w:rFonts w:cs="Times New Roman"/>
          <w:kern w:val="22"/>
          <w:sz w:val="22"/>
          <w:lang w:val="fr-FR"/>
        </w:rPr>
        <w:t xml:space="preserve"> fonctionnellement imp</w:t>
      </w:r>
      <w:r w:rsidR="003648DD">
        <w:rPr>
          <w:rFonts w:cs="Times New Roman"/>
          <w:kern w:val="22"/>
          <w:sz w:val="22"/>
          <w:lang w:val="fr-FR"/>
        </w:rPr>
        <w:t xml:space="preserve">ossible d’exiger des </w:t>
      </w:r>
      <w:r w:rsidR="009A3627" w:rsidRPr="009A3627">
        <w:rPr>
          <w:rFonts w:cs="Times New Roman"/>
          <w:kern w:val="22"/>
          <w:sz w:val="22"/>
          <w:lang w:val="fr-FR"/>
        </w:rPr>
        <w:t>accords bilatéraux</w:t>
      </w:r>
      <w:r w:rsidR="003648DD">
        <w:rPr>
          <w:rFonts w:cs="Times New Roman"/>
          <w:kern w:val="22"/>
          <w:sz w:val="22"/>
          <w:lang w:val="fr-FR"/>
        </w:rPr>
        <w:t xml:space="preserve"> conclus avec </w:t>
      </w:r>
      <w:r w:rsidR="009A3627">
        <w:rPr>
          <w:rFonts w:cs="Times New Roman"/>
          <w:kern w:val="22"/>
          <w:sz w:val="22"/>
          <w:lang w:val="fr-FR"/>
        </w:rPr>
        <w:t>chaque</w:t>
      </w:r>
      <w:r w:rsidR="007311AD" w:rsidRPr="009A3627">
        <w:rPr>
          <w:rFonts w:cs="Times New Roman"/>
          <w:kern w:val="22"/>
          <w:sz w:val="22"/>
          <w:lang w:val="fr-FR"/>
        </w:rPr>
        <w:t xml:space="preserve"> </w:t>
      </w:r>
      <w:r w:rsidR="003648DD">
        <w:rPr>
          <w:rFonts w:cs="Times New Roman"/>
          <w:kern w:val="22"/>
          <w:sz w:val="22"/>
          <w:lang w:val="fr-FR"/>
        </w:rPr>
        <w:t>pays dans lequel des</w:t>
      </w:r>
      <w:r w:rsidR="003648DD" w:rsidRPr="009A3627">
        <w:rPr>
          <w:rFonts w:cs="Times New Roman"/>
          <w:kern w:val="22"/>
          <w:sz w:val="22"/>
          <w:lang w:val="fr-FR"/>
        </w:rPr>
        <w:t xml:space="preserve"> </w:t>
      </w:r>
      <w:r w:rsidR="003648DD">
        <w:rPr>
          <w:rFonts w:cs="Times New Roman"/>
          <w:kern w:val="22"/>
          <w:sz w:val="22"/>
          <w:lang w:val="fr-FR"/>
        </w:rPr>
        <w:t>structures ont été</w:t>
      </w:r>
      <w:r w:rsidR="003648DD" w:rsidRPr="009A3627">
        <w:rPr>
          <w:rFonts w:cs="Times New Roman"/>
          <w:kern w:val="22"/>
          <w:sz w:val="22"/>
          <w:lang w:val="fr-FR"/>
        </w:rPr>
        <w:t xml:space="preserve"> déposé</w:t>
      </w:r>
      <w:r w:rsidR="003648DD">
        <w:rPr>
          <w:rFonts w:cs="Times New Roman"/>
          <w:kern w:val="22"/>
          <w:sz w:val="22"/>
          <w:lang w:val="fr-FR"/>
        </w:rPr>
        <w:t>e</w:t>
      </w:r>
      <w:r w:rsidR="003648DD" w:rsidRPr="009A3627">
        <w:rPr>
          <w:rFonts w:cs="Times New Roman"/>
          <w:kern w:val="22"/>
          <w:sz w:val="22"/>
          <w:lang w:val="fr-FR"/>
        </w:rPr>
        <w:t xml:space="preserve">s ou </w:t>
      </w:r>
      <w:r w:rsidR="003648DD">
        <w:rPr>
          <w:rFonts w:cs="Times New Roman"/>
          <w:kern w:val="22"/>
          <w:sz w:val="22"/>
          <w:lang w:val="fr-FR"/>
        </w:rPr>
        <w:t xml:space="preserve">visualisées, </w:t>
      </w:r>
      <w:r w:rsidR="009A3627">
        <w:rPr>
          <w:rFonts w:cs="Times New Roman"/>
          <w:kern w:val="22"/>
          <w:sz w:val="22"/>
          <w:lang w:val="fr-FR"/>
        </w:rPr>
        <w:t xml:space="preserve">comprenant des </w:t>
      </w:r>
      <w:r w:rsidR="007732EE" w:rsidRPr="009A3627">
        <w:rPr>
          <w:rFonts w:cs="Times New Roman"/>
          <w:kern w:val="22"/>
          <w:sz w:val="22"/>
          <w:lang w:val="fr-FR"/>
        </w:rPr>
        <w:t>obligations relatives au partage des avantages</w:t>
      </w:r>
      <w:r w:rsidR="007311AD" w:rsidRPr="009A3627">
        <w:rPr>
          <w:rFonts w:cs="Times New Roman"/>
          <w:kern w:val="22"/>
          <w:sz w:val="22"/>
          <w:lang w:val="fr-FR"/>
        </w:rPr>
        <w:t>.</w:t>
      </w:r>
    </w:p>
    <w:p w14:paraId="204EDCFE" w14:textId="10264233" w:rsidR="003E3A50" w:rsidRPr="00367430" w:rsidRDefault="0058634A" w:rsidP="007311AD">
      <w:pPr>
        <w:rPr>
          <w:rFonts w:cs="Times New Roman"/>
          <w:i/>
          <w:kern w:val="22"/>
          <w:sz w:val="22"/>
          <w:lang w:val="fr-FR"/>
        </w:rPr>
      </w:pPr>
      <w:r>
        <w:rPr>
          <w:rFonts w:cs="Times New Roman"/>
          <w:i/>
          <w:kern w:val="22"/>
          <w:sz w:val="22"/>
          <w:lang w:val="fr-FR"/>
        </w:rPr>
        <w:t>Bibliothèques de</w:t>
      </w:r>
      <w:r w:rsidR="003A7DE8">
        <w:rPr>
          <w:rFonts w:cs="Times New Roman"/>
          <w:i/>
          <w:kern w:val="22"/>
          <w:sz w:val="22"/>
          <w:lang w:val="fr-FR"/>
        </w:rPr>
        <w:t xml:space="preserve"> produits naturels</w:t>
      </w:r>
    </w:p>
    <w:p w14:paraId="237988C1" w14:textId="1F4DD3D8" w:rsidR="0079048F" w:rsidRPr="002B7AA7" w:rsidRDefault="008A5BE1" w:rsidP="0079048F">
      <w:pPr>
        <w:rPr>
          <w:rFonts w:cs="Times New Roman"/>
          <w:kern w:val="22"/>
          <w:sz w:val="22"/>
          <w:lang w:val="fr-FR"/>
        </w:rPr>
      </w:pPr>
      <w:r w:rsidRPr="005C70CA">
        <w:rPr>
          <w:rFonts w:cs="Times New Roman"/>
          <w:kern w:val="22"/>
          <w:sz w:val="22"/>
          <w:lang w:val="fr-FR"/>
        </w:rPr>
        <w:t>Un</w:t>
      </w:r>
      <w:r w:rsidR="007D440B">
        <w:rPr>
          <w:rFonts w:cs="Times New Roman"/>
          <w:kern w:val="22"/>
          <w:sz w:val="22"/>
          <w:lang w:val="fr-FR"/>
        </w:rPr>
        <w:t>e</w:t>
      </w:r>
      <w:r w:rsidRPr="005C70CA">
        <w:rPr>
          <w:rFonts w:cs="Times New Roman"/>
          <w:kern w:val="22"/>
          <w:sz w:val="22"/>
          <w:lang w:val="fr-FR"/>
        </w:rPr>
        <w:t xml:space="preserve"> autre</w:t>
      </w:r>
      <w:r w:rsidR="0079048F" w:rsidRPr="005C70CA">
        <w:rPr>
          <w:rFonts w:cs="Times New Roman"/>
          <w:kern w:val="22"/>
          <w:sz w:val="22"/>
          <w:lang w:val="fr-FR"/>
        </w:rPr>
        <w:t xml:space="preserve"> </w:t>
      </w:r>
      <w:r w:rsidR="007D440B">
        <w:rPr>
          <w:rFonts w:cs="Times New Roman"/>
          <w:kern w:val="22"/>
          <w:sz w:val="22"/>
          <w:lang w:val="fr-FR"/>
        </w:rPr>
        <w:t xml:space="preserve">forme </w:t>
      </w:r>
      <w:r w:rsidR="00695B61" w:rsidRPr="005C70CA">
        <w:rPr>
          <w:rFonts w:cs="Times New Roman"/>
          <w:kern w:val="22"/>
          <w:sz w:val="22"/>
          <w:lang w:val="fr-FR"/>
        </w:rPr>
        <w:t xml:space="preserve">possible </w:t>
      </w:r>
      <w:r w:rsidR="00BC5F0A">
        <w:rPr>
          <w:rFonts w:cs="Times New Roman"/>
          <w:kern w:val="22"/>
          <w:sz w:val="22"/>
          <w:lang w:val="fr-FR"/>
        </w:rPr>
        <w:t>d’information de séquençage</w:t>
      </w:r>
      <w:r w:rsidR="00142D5A">
        <w:rPr>
          <w:rFonts w:cs="Times New Roman"/>
          <w:kern w:val="22"/>
          <w:sz w:val="22"/>
          <w:lang w:val="fr-FR"/>
        </w:rPr>
        <w:t xml:space="preserve"> numérique</w:t>
      </w:r>
      <w:r w:rsidR="00AC5B38">
        <w:rPr>
          <w:rFonts w:cs="Times New Roman"/>
          <w:kern w:val="22"/>
          <w:sz w:val="22"/>
          <w:lang w:val="fr-FR"/>
        </w:rPr>
        <w:t xml:space="preserve"> se trouve</w:t>
      </w:r>
      <w:r w:rsidR="002B7AA7">
        <w:rPr>
          <w:rFonts w:cs="Times New Roman"/>
          <w:kern w:val="22"/>
          <w:sz w:val="22"/>
          <w:lang w:val="fr-FR"/>
        </w:rPr>
        <w:t xml:space="preserve"> dans les</w:t>
      </w:r>
      <w:r w:rsidR="0079048F" w:rsidRPr="005C70CA">
        <w:rPr>
          <w:rFonts w:cs="Times New Roman"/>
          <w:kern w:val="22"/>
          <w:sz w:val="22"/>
          <w:lang w:val="fr-FR"/>
        </w:rPr>
        <w:t xml:space="preserve"> </w:t>
      </w:r>
      <w:r w:rsidR="00046703">
        <w:rPr>
          <w:rFonts w:cs="Times New Roman"/>
          <w:kern w:val="22"/>
          <w:sz w:val="22"/>
          <w:lang w:val="fr-FR"/>
        </w:rPr>
        <w:t>bases de données</w:t>
      </w:r>
      <w:r w:rsidR="00E3674F" w:rsidRPr="005C70CA">
        <w:rPr>
          <w:rFonts w:cs="Times New Roman"/>
          <w:kern w:val="22"/>
          <w:sz w:val="22"/>
          <w:lang w:val="fr-FR"/>
        </w:rPr>
        <w:t xml:space="preserve"> et </w:t>
      </w:r>
      <w:r w:rsidR="0079048F" w:rsidRPr="005C70CA">
        <w:rPr>
          <w:rFonts w:cs="Times New Roman"/>
          <w:kern w:val="22"/>
          <w:sz w:val="22"/>
          <w:lang w:val="fr-FR"/>
        </w:rPr>
        <w:t>collections</w:t>
      </w:r>
      <w:r w:rsidR="00B23971">
        <w:rPr>
          <w:rFonts w:cs="Times New Roman"/>
          <w:kern w:val="22"/>
          <w:sz w:val="22"/>
          <w:lang w:val="fr-FR"/>
        </w:rPr>
        <w:t xml:space="preserve"> de</w:t>
      </w:r>
      <w:r w:rsidR="002B7AA7">
        <w:rPr>
          <w:rFonts w:cs="Times New Roman"/>
          <w:kern w:val="22"/>
          <w:sz w:val="22"/>
          <w:lang w:val="fr-FR"/>
        </w:rPr>
        <w:t xml:space="preserve"> produits naturels</w:t>
      </w:r>
      <w:r w:rsidR="0079048F" w:rsidRPr="005C70CA">
        <w:rPr>
          <w:rFonts w:cs="Times New Roman"/>
          <w:kern w:val="22"/>
          <w:sz w:val="22"/>
          <w:lang w:val="fr-FR"/>
        </w:rPr>
        <w:t xml:space="preserve">. </w:t>
      </w:r>
      <w:r w:rsidR="00B23971">
        <w:rPr>
          <w:rFonts w:cs="Times New Roman"/>
          <w:kern w:val="22"/>
          <w:sz w:val="22"/>
          <w:lang w:val="fr-FR"/>
        </w:rPr>
        <w:t xml:space="preserve">Plus de 120 </w:t>
      </w:r>
      <w:r w:rsidR="00046703" w:rsidRPr="002B7AA7">
        <w:rPr>
          <w:rFonts w:cs="Times New Roman"/>
          <w:kern w:val="22"/>
          <w:sz w:val="22"/>
          <w:lang w:val="fr-FR"/>
        </w:rPr>
        <w:t>bases de données</w:t>
      </w:r>
      <w:r w:rsidR="00E3674F" w:rsidRPr="002B7AA7">
        <w:rPr>
          <w:rFonts w:cs="Times New Roman"/>
          <w:kern w:val="22"/>
          <w:sz w:val="22"/>
          <w:lang w:val="fr-FR"/>
        </w:rPr>
        <w:t xml:space="preserve"> et </w:t>
      </w:r>
      <w:r w:rsidR="0079048F" w:rsidRPr="002B7AA7">
        <w:rPr>
          <w:rFonts w:cs="Times New Roman"/>
          <w:kern w:val="22"/>
          <w:sz w:val="22"/>
          <w:lang w:val="fr-FR"/>
        </w:rPr>
        <w:t>collections</w:t>
      </w:r>
      <w:r w:rsidR="002B7AA7" w:rsidRPr="002B7AA7">
        <w:rPr>
          <w:rFonts w:cs="Times New Roman"/>
          <w:kern w:val="22"/>
          <w:sz w:val="22"/>
          <w:lang w:val="fr-FR"/>
        </w:rPr>
        <w:t xml:space="preserve"> </w:t>
      </w:r>
      <w:r w:rsidR="00B23971">
        <w:rPr>
          <w:rFonts w:cs="Times New Roman"/>
          <w:kern w:val="22"/>
          <w:sz w:val="22"/>
          <w:lang w:val="fr-FR"/>
        </w:rPr>
        <w:t xml:space="preserve">de ce type </w:t>
      </w:r>
      <w:r w:rsidR="002B7AA7" w:rsidRPr="002B7AA7">
        <w:rPr>
          <w:rFonts w:cs="Times New Roman"/>
          <w:kern w:val="22"/>
          <w:sz w:val="22"/>
          <w:lang w:val="fr-FR"/>
        </w:rPr>
        <w:t>ont</w:t>
      </w:r>
      <w:r w:rsidR="00B23971">
        <w:rPr>
          <w:rFonts w:cs="Times New Roman"/>
          <w:kern w:val="22"/>
          <w:sz w:val="22"/>
          <w:lang w:val="fr-FR"/>
        </w:rPr>
        <w:t xml:space="preserve"> été cré</w:t>
      </w:r>
      <w:r w:rsidR="002B7AA7">
        <w:rPr>
          <w:rFonts w:cs="Times New Roman"/>
          <w:kern w:val="22"/>
          <w:sz w:val="22"/>
          <w:lang w:val="fr-FR"/>
        </w:rPr>
        <w:t>é</w:t>
      </w:r>
      <w:r w:rsidR="00B23971">
        <w:rPr>
          <w:rFonts w:cs="Times New Roman"/>
          <w:kern w:val="22"/>
          <w:sz w:val="22"/>
          <w:lang w:val="fr-FR"/>
        </w:rPr>
        <w:t xml:space="preserve">es depuis 2000; 98 sont actuellement </w:t>
      </w:r>
      <w:r w:rsidR="0079048F" w:rsidRPr="002B7AA7">
        <w:rPr>
          <w:rFonts w:cs="Times New Roman"/>
          <w:kern w:val="22"/>
          <w:sz w:val="22"/>
          <w:lang w:val="fr-FR"/>
        </w:rPr>
        <w:t>accessible</w:t>
      </w:r>
      <w:r w:rsidR="002B7AA7">
        <w:rPr>
          <w:rFonts w:cs="Times New Roman"/>
          <w:kern w:val="22"/>
          <w:sz w:val="22"/>
          <w:lang w:val="fr-FR"/>
        </w:rPr>
        <w:t>s</w:t>
      </w:r>
      <w:r w:rsidR="00B23971">
        <w:rPr>
          <w:rFonts w:cs="Times New Roman"/>
          <w:kern w:val="22"/>
          <w:sz w:val="22"/>
          <w:lang w:val="fr-FR"/>
        </w:rPr>
        <w:t xml:space="preserve"> au public, dont </w:t>
      </w:r>
      <w:r w:rsidR="0079048F" w:rsidRPr="002B7AA7">
        <w:rPr>
          <w:rFonts w:cs="Times New Roman"/>
          <w:kern w:val="22"/>
          <w:sz w:val="22"/>
          <w:lang w:val="fr-FR"/>
        </w:rPr>
        <w:t>50</w:t>
      </w:r>
      <w:r w:rsidR="00AC5B38">
        <w:rPr>
          <w:rFonts w:cs="Times New Roman"/>
          <w:kern w:val="22"/>
          <w:sz w:val="22"/>
          <w:lang w:val="fr-FR"/>
        </w:rPr>
        <w:t xml:space="preserve"> d’entre elles sont accessibles à titre gratuit</w:t>
      </w:r>
      <w:r w:rsidR="0079048F" w:rsidRPr="002B7AA7">
        <w:rPr>
          <w:rFonts w:cs="Times New Roman"/>
          <w:kern w:val="22"/>
          <w:sz w:val="22"/>
          <w:lang w:val="fr-FR"/>
        </w:rPr>
        <w:t>.</w:t>
      </w:r>
      <w:r w:rsidR="0079048F" w:rsidRPr="002364AB">
        <w:rPr>
          <w:rFonts w:cs="Times New Roman"/>
          <w:kern w:val="22"/>
          <w:sz w:val="22"/>
          <w:vertAlign w:val="superscript"/>
          <w:lang w:val="en-GB"/>
        </w:rPr>
        <w:footnoteReference w:id="139"/>
      </w:r>
      <w:r w:rsidR="002B7AA7">
        <w:rPr>
          <w:rFonts w:cs="Times New Roman"/>
          <w:kern w:val="22"/>
          <w:sz w:val="22"/>
          <w:lang w:val="fr-FR"/>
        </w:rPr>
        <w:t xml:space="preserve"> Des </w:t>
      </w:r>
      <w:r w:rsidR="0079048F" w:rsidRPr="002B7AA7">
        <w:rPr>
          <w:rFonts w:cs="Times New Roman"/>
          <w:kern w:val="22"/>
          <w:sz w:val="22"/>
          <w:lang w:val="fr-FR"/>
        </w:rPr>
        <w:t>collections</w:t>
      </w:r>
      <w:r w:rsidR="002B7AA7" w:rsidRPr="002B7AA7">
        <w:rPr>
          <w:rFonts w:cs="Times New Roman"/>
          <w:kern w:val="22"/>
          <w:sz w:val="22"/>
          <w:lang w:val="fr-FR"/>
        </w:rPr>
        <w:t xml:space="preserve"> virtuelles de produits naturels sont utiles pour</w:t>
      </w:r>
      <w:r w:rsidR="002B7AA7">
        <w:rPr>
          <w:rFonts w:cs="Times New Roman"/>
          <w:kern w:val="22"/>
          <w:sz w:val="22"/>
          <w:lang w:val="fr-FR"/>
        </w:rPr>
        <w:t xml:space="preserve"> le</w:t>
      </w:r>
      <w:r w:rsidR="00784787">
        <w:rPr>
          <w:rFonts w:cs="Times New Roman"/>
          <w:kern w:val="22"/>
          <w:sz w:val="22"/>
          <w:lang w:val="fr-FR"/>
        </w:rPr>
        <w:t xml:space="preserve"> </w:t>
      </w:r>
      <w:r w:rsidR="002B7AA7">
        <w:rPr>
          <w:rFonts w:cs="Times New Roman"/>
          <w:kern w:val="22"/>
          <w:sz w:val="22"/>
          <w:lang w:val="fr-FR"/>
        </w:rPr>
        <w:t>premie</w:t>
      </w:r>
      <w:r w:rsidR="00784787">
        <w:rPr>
          <w:rFonts w:cs="Times New Roman"/>
          <w:kern w:val="22"/>
          <w:sz w:val="22"/>
          <w:lang w:val="fr-FR"/>
        </w:rPr>
        <w:t>r</w:t>
      </w:r>
      <w:r w:rsidR="002B7AA7">
        <w:rPr>
          <w:rFonts w:cs="Times New Roman"/>
          <w:kern w:val="22"/>
          <w:sz w:val="22"/>
          <w:lang w:val="fr-FR"/>
        </w:rPr>
        <w:t xml:space="preserve"> stade</w:t>
      </w:r>
      <w:r w:rsidR="00AC5B38">
        <w:rPr>
          <w:rFonts w:cs="Times New Roman"/>
          <w:kern w:val="22"/>
          <w:sz w:val="22"/>
          <w:lang w:val="fr-FR"/>
        </w:rPr>
        <w:t xml:space="preserve"> des </w:t>
      </w:r>
      <w:r w:rsidR="00784787">
        <w:rPr>
          <w:rFonts w:cs="Times New Roman"/>
          <w:kern w:val="22"/>
          <w:sz w:val="22"/>
          <w:lang w:val="fr-FR"/>
        </w:rPr>
        <w:t>analyses moléculaires exploratoires</w:t>
      </w:r>
      <w:r w:rsidR="0079048F" w:rsidRPr="002B7AA7">
        <w:rPr>
          <w:rFonts w:cs="Times New Roman"/>
          <w:kern w:val="22"/>
          <w:sz w:val="22"/>
          <w:lang w:val="fr-FR"/>
        </w:rPr>
        <w:t xml:space="preserve"> </w:t>
      </w:r>
      <w:r w:rsidR="00784787">
        <w:rPr>
          <w:rFonts w:cs="Times New Roman"/>
          <w:kern w:val="22"/>
          <w:sz w:val="22"/>
          <w:lang w:val="fr-FR"/>
        </w:rPr>
        <w:t>–</w:t>
      </w:r>
      <w:r w:rsidR="0079048F" w:rsidRPr="002B7AA7">
        <w:rPr>
          <w:rFonts w:cs="Times New Roman"/>
          <w:kern w:val="22"/>
          <w:sz w:val="22"/>
          <w:lang w:val="fr-FR"/>
        </w:rPr>
        <w:t xml:space="preserve"> </w:t>
      </w:r>
      <w:r w:rsidR="00784787">
        <w:rPr>
          <w:rFonts w:cs="Times New Roman"/>
          <w:kern w:val="22"/>
          <w:sz w:val="22"/>
          <w:lang w:val="fr-FR"/>
        </w:rPr>
        <w:t>sélection virtuelle de</w:t>
      </w:r>
      <w:r w:rsidR="0079048F" w:rsidRPr="002B7AA7">
        <w:rPr>
          <w:rFonts w:cs="Times New Roman"/>
          <w:kern w:val="22"/>
          <w:sz w:val="22"/>
          <w:lang w:val="fr-FR"/>
        </w:rPr>
        <w:t xml:space="preserve"> </w:t>
      </w:r>
      <w:r w:rsidR="002C0A2A" w:rsidRPr="002B7AA7">
        <w:rPr>
          <w:rFonts w:cs="Times New Roman"/>
          <w:kern w:val="22"/>
          <w:sz w:val="22"/>
          <w:lang w:val="fr-FR"/>
        </w:rPr>
        <w:t>structures moléculaires</w:t>
      </w:r>
      <w:r w:rsidR="0079048F" w:rsidRPr="002B7AA7">
        <w:rPr>
          <w:rFonts w:cs="Times New Roman"/>
          <w:kern w:val="22"/>
          <w:sz w:val="22"/>
          <w:lang w:val="fr-FR"/>
        </w:rPr>
        <w:t xml:space="preserve"> –</w:t>
      </w:r>
      <w:r w:rsidR="00784787">
        <w:rPr>
          <w:rFonts w:cs="Times New Roman"/>
          <w:kern w:val="22"/>
          <w:sz w:val="22"/>
          <w:lang w:val="fr-FR"/>
        </w:rPr>
        <w:t xml:space="preserve"> et</w:t>
      </w:r>
      <w:r w:rsidR="00AC5B38">
        <w:rPr>
          <w:rFonts w:cs="Times New Roman"/>
          <w:kern w:val="22"/>
          <w:sz w:val="22"/>
          <w:lang w:val="fr-FR"/>
        </w:rPr>
        <w:t xml:space="preserve"> pour</w:t>
      </w:r>
      <w:r w:rsidR="00784787">
        <w:rPr>
          <w:rFonts w:cs="Times New Roman"/>
          <w:kern w:val="22"/>
          <w:sz w:val="22"/>
          <w:lang w:val="fr-FR"/>
        </w:rPr>
        <w:t xml:space="preserve"> le dé</w:t>
      </w:r>
      <w:r w:rsidR="0079048F" w:rsidRPr="002B7AA7">
        <w:rPr>
          <w:rFonts w:cs="Times New Roman"/>
          <w:kern w:val="22"/>
          <w:sz w:val="22"/>
          <w:lang w:val="fr-FR"/>
        </w:rPr>
        <w:t>velop</w:t>
      </w:r>
      <w:r w:rsidR="00784787">
        <w:rPr>
          <w:rFonts w:cs="Times New Roman"/>
          <w:kern w:val="22"/>
          <w:sz w:val="22"/>
          <w:lang w:val="fr-FR"/>
        </w:rPr>
        <w:t xml:space="preserve">pement de </w:t>
      </w:r>
      <w:r w:rsidR="00D71F4E" w:rsidRPr="002B7AA7">
        <w:rPr>
          <w:rFonts w:cs="Times New Roman"/>
          <w:kern w:val="22"/>
          <w:sz w:val="22"/>
          <w:lang w:val="fr-FR"/>
        </w:rPr>
        <w:t xml:space="preserve">médicaments </w:t>
      </w:r>
      <w:r w:rsidR="00784787">
        <w:rPr>
          <w:rFonts w:cs="Times New Roman"/>
          <w:kern w:val="22"/>
          <w:sz w:val="22"/>
          <w:lang w:val="fr-FR"/>
        </w:rPr>
        <w:t xml:space="preserve">basés sur des produits naturels </w:t>
      </w:r>
      <w:r w:rsidR="0028742E" w:rsidRPr="002B7AA7">
        <w:rPr>
          <w:rFonts w:cs="Times New Roman"/>
          <w:kern w:val="22"/>
          <w:sz w:val="22"/>
          <w:lang w:val="fr-FR"/>
        </w:rPr>
        <w:t>ou</w:t>
      </w:r>
      <w:r w:rsidR="002518EB" w:rsidRPr="002B7AA7">
        <w:rPr>
          <w:rFonts w:cs="Times New Roman"/>
          <w:kern w:val="22"/>
          <w:sz w:val="22"/>
          <w:lang w:val="fr-FR"/>
        </w:rPr>
        <w:t xml:space="preserve"> d’autres </w:t>
      </w:r>
      <w:r w:rsidR="00AC5B38">
        <w:rPr>
          <w:rFonts w:cs="Times New Roman"/>
          <w:kern w:val="22"/>
          <w:sz w:val="22"/>
          <w:lang w:val="fr-FR"/>
        </w:rPr>
        <w:t>formes de composants actifs</w:t>
      </w:r>
      <w:r w:rsidR="0079048F" w:rsidRPr="002B7AA7">
        <w:rPr>
          <w:rFonts w:cs="Times New Roman"/>
          <w:kern w:val="22"/>
          <w:sz w:val="22"/>
          <w:lang w:val="fr-FR"/>
        </w:rPr>
        <w:t>.</w:t>
      </w:r>
      <w:r w:rsidR="0079048F" w:rsidRPr="002364AB">
        <w:rPr>
          <w:rFonts w:cs="Times New Roman"/>
          <w:kern w:val="22"/>
          <w:sz w:val="22"/>
          <w:vertAlign w:val="superscript"/>
          <w:lang w:val="en-GB"/>
        </w:rPr>
        <w:footnoteReference w:id="140"/>
      </w:r>
      <w:r w:rsidR="00AC5B38">
        <w:rPr>
          <w:rFonts w:cs="Times New Roman"/>
          <w:kern w:val="22"/>
          <w:sz w:val="22"/>
          <w:lang w:val="fr-FR"/>
        </w:rPr>
        <w:t xml:space="preserve"> L</w:t>
      </w:r>
      <w:r w:rsidR="003A579A">
        <w:rPr>
          <w:rFonts w:cs="Times New Roman"/>
          <w:kern w:val="22"/>
          <w:sz w:val="22"/>
          <w:lang w:val="fr-FR"/>
        </w:rPr>
        <w:t>’utilisation des</w:t>
      </w:r>
      <w:r w:rsidR="00784787">
        <w:rPr>
          <w:rFonts w:cs="Times New Roman"/>
          <w:kern w:val="22"/>
          <w:sz w:val="22"/>
          <w:lang w:val="fr-FR"/>
        </w:rPr>
        <w:t xml:space="preserve"> technologies </w:t>
      </w:r>
      <w:r w:rsidR="003A579A">
        <w:rPr>
          <w:rFonts w:cs="Times New Roman"/>
          <w:kern w:val="22"/>
          <w:sz w:val="22"/>
          <w:lang w:val="fr-FR"/>
        </w:rPr>
        <w:t xml:space="preserve"> </w:t>
      </w:r>
      <w:r w:rsidR="003A579A">
        <w:rPr>
          <w:rFonts w:cs="Times New Roman"/>
          <w:kern w:val="22"/>
          <w:sz w:val="22"/>
          <w:lang w:val="fr-FR"/>
        </w:rPr>
        <w:lastRenderedPageBreak/>
        <w:t>modernes d</w:t>
      </w:r>
      <w:r w:rsidR="00AC5B38">
        <w:rPr>
          <w:rFonts w:cs="Times New Roman"/>
          <w:kern w:val="22"/>
          <w:sz w:val="22"/>
          <w:lang w:val="fr-FR"/>
        </w:rPr>
        <w:t>e chimie numérique</w:t>
      </w:r>
      <w:r w:rsidR="00784787">
        <w:rPr>
          <w:rFonts w:cs="Times New Roman"/>
          <w:kern w:val="22"/>
          <w:sz w:val="22"/>
          <w:lang w:val="fr-FR"/>
        </w:rPr>
        <w:t xml:space="preserve"> de ce type peut</w:t>
      </w:r>
      <w:r w:rsidR="0079048F" w:rsidRPr="002B7AA7">
        <w:rPr>
          <w:rFonts w:cs="Times New Roman"/>
          <w:kern w:val="22"/>
          <w:sz w:val="22"/>
          <w:lang w:val="fr-FR"/>
        </w:rPr>
        <w:t xml:space="preserve"> </w:t>
      </w:r>
      <w:r w:rsidR="00707D5F" w:rsidRPr="002B7AA7">
        <w:rPr>
          <w:rFonts w:cs="Times New Roman"/>
          <w:kern w:val="22"/>
          <w:sz w:val="22"/>
          <w:lang w:val="fr-FR"/>
        </w:rPr>
        <w:t>accélérer</w:t>
      </w:r>
      <w:r w:rsidR="0079048F" w:rsidRPr="002B7AA7">
        <w:rPr>
          <w:rFonts w:cs="Times New Roman"/>
          <w:kern w:val="22"/>
          <w:sz w:val="22"/>
          <w:lang w:val="fr-FR"/>
        </w:rPr>
        <w:t xml:space="preserve"> </w:t>
      </w:r>
      <w:r w:rsidR="00784787">
        <w:rPr>
          <w:rFonts w:cs="Times New Roman"/>
          <w:kern w:val="22"/>
          <w:sz w:val="22"/>
          <w:lang w:val="fr-FR"/>
        </w:rPr>
        <w:t xml:space="preserve">les </w:t>
      </w:r>
      <w:r w:rsidR="00121FCD" w:rsidRPr="002B7AA7">
        <w:rPr>
          <w:rFonts w:cs="Times New Roman"/>
          <w:kern w:val="22"/>
          <w:sz w:val="22"/>
          <w:lang w:val="fr-FR"/>
        </w:rPr>
        <w:t>recherche</w:t>
      </w:r>
      <w:r w:rsidR="00784787">
        <w:rPr>
          <w:rFonts w:cs="Times New Roman"/>
          <w:kern w:val="22"/>
          <w:sz w:val="22"/>
          <w:lang w:val="fr-FR"/>
        </w:rPr>
        <w:t>s</w:t>
      </w:r>
      <w:r w:rsidR="00E3674F" w:rsidRPr="002B7AA7">
        <w:rPr>
          <w:rFonts w:cs="Times New Roman"/>
          <w:kern w:val="22"/>
          <w:sz w:val="22"/>
          <w:lang w:val="fr-FR"/>
        </w:rPr>
        <w:t xml:space="preserve"> et </w:t>
      </w:r>
      <w:r w:rsidR="00784787">
        <w:rPr>
          <w:rFonts w:cs="Times New Roman"/>
          <w:kern w:val="22"/>
          <w:sz w:val="22"/>
          <w:lang w:val="fr-FR"/>
        </w:rPr>
        <w:t>économiser du temps et de l’argent, avec des meilleurs résultats</w:t>
      </w:r>
      <w:r w:rsidR="0079048F" w:rsidRPr="002B7AA7">
        <w:rPr>
          <w:rFonts w:cs="Times New Roman"/>
          <w:kern w:val="22"/>
          <w:sz w:val="22"/>
          <w:lang w:val="fr-FR"/>
        </w:rPr>
        <w:t>.</w:t>
      </w:r>
      <w:r w:rsidR="0079048F" w:rsidRPr="002364AB">
        <w:rPr>
          <w:rFonts w:cs="Times New Roman"/>
          <w:kern w:val="22"/>
          <w:sz w:val="22"/>
          <w:vertAlign w:val="superscript"/>
          <w:lang w:val="en-GB"/>
        </w:rPr>
        <w:footnoteReference w:id="141"/>
      </w:r>
      <w:r w:rsidR="0079048F" w:rsidRPr="002B7AA7">
        <w:rPr>
          <w:rFonts w:cs="Times New Roman"/>
          <w:kern w:val="22"/>
          <w:sz w:val="22"/>
          <w:lang w:val="fr-FR"/>
        </w:rPr>
        <w:t xml:space="preserve"> </w:t>
      </w:r>
    </w:p>
    <w:p w14:paraId="00BC016A" w14:textId="37C20A5E" w:rsidR="0079048F" w:rsidRPr="00CA644E" w:rsidRDefault="00784787" w:rsidP="0079048F">
      <w:pPr>
        <w:rPr>
          <w:rFonts w:cs="Times New Roman"/>
          <w:kern w:val="22"/>
          <w:sz w:val="22"/>
          <w:lang w:val="fr-FR"/>
        </w:rPr>
      </w:pPr>
      <w:r>
        <w:rPr>
          <w:rFonts w:cs="Times New Roman"/>
          <w:kern w:val="22"/>
          <w:sz w:val="22"/>
          <w:lang w:val="fr-FR"/>
        </w:rPr>
        <w:t>De nombreuses</w:t>
      </w:r>
      <w:r w:rsidR="0079048F" w:rsidRPr="00C1348C">
        <w:rPr>
          <w:rFonts w:cs="Times New Roman"/>
          <w:kern w:val="22"/>
          <w:sz w:val="22"/>
          <w:lang w:val="fr-FR"/>
        </w:rPr>
        <w:t xml:space="preserve"> </w:t>
      </w:r>
      <w:r w:rsidR="007D440B" w:rsidRPr="00C1348C">
        <w:rPr>
          <w:rFonts w:cs="Times New Roman"/>
          <w:kern w:val="22"/>
          <w:sz w:val="22"/>
          <w:lang w:val="fr-FR"/>
        </w:rPr>
        <w:t>entreprises</w:t>
      </w:r>
      <w:r w:rsidR="006A6FC9">
        <w:rPr>
          <w:rFonts w:cs="Times New Roman"/>
          <w:kern w:val="22"/>
          <w:sz w:val="22"/>
          <w:lang w:val="fr-FR"/>
        </w:rPr>
        <w:t xml:space="preserve"> qui isolent des</w:t>
      </w:r>
      <w:r w:rsidR="0079048F" w:rsidRPr="00C1348C">
        <w:rPr>
          <w:rFonts w:cs="Times New Roman"/>
          <w:kern w:val="22"/>
          <w:sz w:val="22"/>
          <w:lang w:val="fr-FR"/>
        </w:rPr>
        <w:t xml:space="preserve"> </w:t>
      </w:r>
      <w:r w:rsidR="003A579A">
        <w:rPr>
          <w:rFonts w:cs="Times New Roman"/>
          <w:kern w:val="22"/>
          <w:sz w:val="22"/>
          <w:lang w:val="fr-FR"/>
        </w:rPr>
        <w:t xml:space="preserve">composés biochimiques </w:t>
      </w:r>
      <w:r w:rsidR="006A6FC9">
        <w:rPr>
          <w:rFonts w:cs="Times New Roman"/>
          <w:kern w:val="22"/>
          <w:sz w:val="22"/>
          <w:lang w:val="fr-FR"/>
        </w:rPr>
        <w:t>offrent des</w:t>
      </w:r>
      <w:r w:rsidR="0079048F" w:rsidRPr="00C1348C">
        <w:rPr>
          <w:rFonts w:cs="Times New Roman"/>
          <w:kern w:val="22"/>
          <w:sz w:val="22"/>
          <w:lang w:val="fr-FR"/>
        </w:rPr>
        <w:t xml:space="preserve"> catalogues</w:t>
      </w:r>
      <w:r w:rsidR="006A6FC9">
        <w:rPr>
          <w:rFonts w:cs="Times New Roman"/>
          <w:kern w:val="22"/>
          <w:sz w:val="22"/>
          <w:lang w:val="fr-FR"/>
        </w:rPr>
        <w:t xml:space="preserve"> de produits et, dans</w:t>
      </w:r>
      <w:r w:rsidR="00AA5919" w:rsidRPr="00C1348C">
        <w:rPr>
          <w:rFonts w:cs="Times New Roman"/>
          <w:kern w:val="22"/>
          <w:sz w:val="22"/>
          <w:lang w:val="fr-FR"/>
        </w:rPr>
        <w:t xml:space="preserve"> certains </w:t>
      </w:r>
      <w:r w:rsidR="00D04EC6" w:rsidRPr="00C1348C">
        <w:rPr>
          <w:rFonts w:cs="Times New Roman"/>
          <w:kern w:val="22"/>
          <w:sz w:val="22"/>
          <w:lang w:val="fr-FR"/>
        </w:rPr>
        <w:t>cas</w:t>
      </w:r>
      <w:r w:rsidR="0079048F" w:rsidRPr="00C1348C">
        <w:rPr>
          <w:rFonts w:cs="Times New Roman"/>
          <w:kern w:val="22"/>
          <w:sz w:val="22"/>
          <w:lang w:val="fr-FR"/>
        </w:rPr>
        <w:t xml:space="preserve">, </w:t>
      </w:r>
      <w:r w:rsidR="00CA644E" w:rsidRPr="00C1348C">
        <w:rPr>
          <w:rFonts w:cs="Times New Roman"/>
          <w:kern w:val="22"/>
          <w:sz w:val="22"/>
          <w:lang w:val="fr-FR"/>
        </w:rPr>
        <w:t>ces</w:t>
      </w:r>
      <w:r w:rsidR="002E1DDA">
        <w:rPr>
          <w:rFonts w:cs="Times New Roman"/>
          <w:kern w:val="22"/>
          <w:sz w:val="22"/>
          <w:lang w:val="fr-FR"/>
        </w:rPr>
        <w:t xml:space="preserve"> catalogues incluent </w:t>
      </w:r>
      <w:r w:rsidR="003A579A">
        <w:rPr>
          <w:rFonts w:cs="Times New Roman"/>
          <w:kern w:val="22"/>
          <w:sz w:val="22"/>
          <w:lang w:val="fr-FR"/>
        </w:rPr>
        <w:t>l</w:t>
      </w:r>
      <w:r w:rsidR="00AE0E59">
        <w:rPr>
          <w:rFonts w:cs="Times New Roman"/>
          <w:kern w:val="22"/>
          <w:sz w:val="22"/>
          <w:lang w:val="fr-FR"/>
        </w:rPr>
        <w:t xml:space="preserve">es </w:t>
      </w:r>
      <w:r w:rsidR="0079048F" w:rsidRPr="00C1348C">
        <w:rPr>
          <w:rFonts w:cs="Times New Roman"/>
          <w:kern w:val="22"/>
          <w:sz w:val="22"/>
          <w:lang w:val="fr-FR"/>
        </w:rPr>
        <w:t>structures</w:t>
      </w:r>
      <w:r w:rsidR="00E3674F" w:rsidRPr="00C1348C">
        <w:rPr>
          <w:rFonts w:cs="Times New Roman"/>
          <w:kern w:val="22"/>
          <w:sz w:val="22"/>
          <w:lang w:val="fr-FR"/>
        </w:rPr>
        <w:t xml:space="preserve"> </w:t>
      </w:r>
      <w:r w:rsidR="003A579A">
        <w:rPr>
          <w:rFonts w:cs="Times New Roman"/>
          <w:kern w:val="22"/>
          <w:sz w:val="22"/>
          <w:lang w:val="fr-FR"/>
        </w:rPr>
        <w:t>des composants</w:t>
      </w:r>
      <w:r w:rsidR="00AE0E59">
        <w:rPr>
          <w:rFonts w:cs="Times New Roman"/>
          <w:kern w:val="22"/>
          <w:sz w:val="22"/>
          <w:lang w:val="fr-FR"/>
        </w:rPr>
        <w:t xml:space="preserve"> </w:t>
      </w:r>
      <w:r w:rsidR="00E3674F" w:rsidRPr="00C1348C">
        <w:rPr>
          <w:rFonts w:cs="Times New Roman"/>
          <w:kern w:val="22"/>
          <w:sz w:val="22"/>
          <w:lang w:val="fr-FR"/>
        </w:rPr>
        <w:t xml:space="preserve">et </w:t>
      </w:r>
      <w:r w:rsidR="003A579A">
        <w:rPr>
          <w:rFonts w:cs="Times New Roman"/>
          <w:kern w:val="22"/>
          <w:sz w:val="22"/>
          <w:lang w:val="fr-FR"/>
        </w:rPr>
        <w:t xml:space="preserve">des </w:t>
      </w:r>
      <w:r w:rsidR="0079048F" w:rsidRPr="00C1348C">
        <w:rPr>
          <w:rFonts w:cs="Times New Roman"/>
          <w:kern w:val="22"/>
          <w:sz w:val="22"/>
          <w:lang w:val="fr-FR"/>
        </w:rPr>
        <w:t xml:space="preserve">annotations. </w:t>
      </w:r>
      <w:r w:rsidR="00CA644E" w:rsidRPr="00AE0E59">
        <w:rPr>
          <w:rFonts w:cs="Times New Roman"/>
          <w:kern w:val="22"/>
          <w:sz w:val="22"/>
          <w:lang w:val="fr-FR"/>
        </w:rPr>
        <w:t>Ces</w:t>
      </w:r>
      <w:r w:rsidR="0079048F" w:rsidRPr="00AE0E59">
        <w:rPr>
          <w:rFonts w:cs="Times New Roman"/>
          <w:kern w:val="22"/>
          <w:sz w:val="22"/>
          <w:lang w:val="fr-FR"/>
        </w:rPr>
        <w:t xml:space="preserve"> catalogues </w:t>
      </w:r>
      <w:r w:rsidR="00AE0E59" w:rsidRPr="00AE0E59">
        <w:rPr>
          <w:rFonts w:cs="Times New Roman"/>
          <w:kern w:val="22"/>
          <w:sz w:val="22"/>
          <w:lang w:val="fr-FR"/>
        </w:rPr>
        <w:t xml:space="preserve">sont souvent </w:t>
      </w:r>
      <w:r w:rsidR="00AE0E59">
        <w:rPr>
          <w:rFonts w:cs="Times New Roman"/>
          <w:kern w:val="22"/>
          <w:sz w:val="22"/>
          <w:lang w:val="fr-FR"/>
        </w:rPr>
        <w:t>cité</w:t>
      </w:r>
      <w:r w:rsidR="00AE0E59" w:rsidRPr="00AE0E59">
        <w:rPr>
          <w:rFonts w:cs="Times New Roman"/>
          <w:kern w:val="22"/>
          <w:sz w:val="22"/>
          <w:lang w:val="fr-FR"/>
        </w:rPr>
        <w:t xml:space="preserve">s dans les </w:t>
      </w:r>
      <w:r w:rsidR="00AE0E59">
        <w:rPr>
          <w:rFonts w:cs="Times New Roman"/>
          <w:kern w:val="22"/>
          <w:sz w:val="22"/>
          <w:lang w:val="fr-FR"/>
        </w:rPr>
        <w:t xml:space="preserve">publications scientifiques comme sources de </w:t>
      </w:r>
      <w:r w:rsidR="0079048F" w:rsidRPr="00AE0E59">
        <w:rPr>
          <w:rFonts w:cs="Times New Roman"/>
          <w:kern w:val="22"/>
          <w:sz w:val="22"/>
          <w:lang w:val="fr-FR"/>
        </w:rPr>
        <w:t>structures</w:t>
      </w:r>
      <w:r w:rsidR="00AE0E59">
        <w:rPr>
          <w:rFonts w:cs="Times New Roman"/>
          <w:kern w:val="22"/>
          <w:sz w:val="22"/>
          <w:lang w:val="fr-FR"/>
        </w:rPr>
        <w:t xml:space="preserve"> de produits naturels</w:t>
      </w:r>
      <w:r w:rsidR="003A579A">
        <w:rPr>
          <w:rFonts w:cs="Times New Roman"/>
          <w:kern w:val="22"/>
          <w:sz w:val="22"/>
          <w:lang w:val="fr-FR"/>
        </w:rPr>
        <w:t>, bien qu’</w:t>
      </w:r>
      <w:r w:rsidR="00AE0E59">
        <w:rPr>
          <w:rFonts w:cs="Times New Roman"/>
          <w:kern w:val="22"/>
          <w:sz w:val="22"/>
          <w:lang w:val="fr-FR"/>
        </w:rPr>
        <w:t>un certain nombre de catalogues so</w:t>
      </w:r>
      <w:r w:rsidR="003A579A">
        <w:rPr>
          <w:rFonts w:cs="Times New Roman"/>
          <w:kern w:val="22"/>
          <w:sz w:val="22"/>
          <w:lang w:val="fr-FR"/>
        </w:rPr>
        <w:t>ie</w:t>
      </w:r>
      <w:r w:rsidR="00AE0E59">
        <w:rPr>
          <w:rFonts w:cs="Times New Roman"/>
          <w:kern w:val="22"/>
          <w:sz w:val="22"/>
          <w:lang w:val="fr-FR"/>
        </w:rPr>
        <w:t xml:space="preserve">nt </w:t>
      </w:r>
      <w:r w:rsidR="0079048F" w:rsidRPr="00AE0E59">
        <w:rPr>
          <w:rFonts w:cs="Times New Roman"/>
          <w:kern w:val="22"/>
          <w:sz w:val="22"/>
          <w:lang w:val="fr-FR"/>
        </w:rPr>
        <w:t>accessible</w:t>
      </w:r>
      <w:r w:rsidR="00AE0E59">
        <w:rPr>
          <w:rFonts w:cs="Times New Roman"/>
          <w:kern w:val="22"/>
          <w:sz w:val="22"/>
          <w:lang w:val="fr-FR"/>
        </w:rPr>
        <w:t xml:space="preserve">s uniquement à la demande de </w:t>
      </w:r>
      <w:r w:rsidR="0079048F" w:rsidRPr="00AE0E59">
        <w:rPr>
          <w:rFonts w:cs="Times New Roman"/>
          <w:kern w:val="22"/>
          <w:sz w:val="22"/>
          <w:lang w:val="fr-FR"/>
        </w:rPr>
        <w:t>clients</w:t>
      </w:r>
      <w:r w:rsidR="00750F69">
        <w:rPr>
          <w:rFonts w:cs="Times New Roman"/>
          <w:kern w:val="22"/>
          <w:sz w:val="22"/>
          <w:lang w:val="fr-FR"/>
        </w:rPr>
        <w:t xml:space="preserve"> ou aux</w:t>
      </w:r>
      <w:r w:rsidR="003A579A">
        <w:rPr>
          <w:rFonts w:cs="Times New Roman"/>
          <w:kern w:val="22"/>
          <w:sz w:val="22"/>
          <w:lang w:val="fr-FR"/>
        </w:rPr>
        <w:t xml:space="preserve"> utilisateurs inscrit</w:t>
      </w:r>
      <w:r w:rsidR="00AE0E59">
        <w:rPr>
          <w:rFonts w:cs="Times New Roman"/>
          <w:kern w:val="22"/>
          <w:sz w:val="22"/>
          <w:lang w:val="fr-FR"/>
        </w:rPr>
        <w:t>s</w:t>
      </w:r>
      <w:r w:rsidR="0079048F" w:rsidRPr="00AE0E59">
        <w:rPr>
          <w:rFonts w:cs="Times New Roman"/>
          <w:kern w:val="22"/>
          <w:sz w:val="22"/>
          <w:lang w:val="fr-FR"/>
        </w:rPr>
        <w:t>.</w:t>
      </w:r>
      <w:r w:rsidR="0079048F" w:rsidRPr="002364AB">
        <w:rPr>
          <w:rFonts w:cs="Times New Roman"/>
          <w:kern w:val="22"/>
          <w:sz w:val="22"/>
          <w:vertAlign w:val="superscript"/>
          <w:lang w:val="en-GB"/>
        </w:rPr>
        <w:footnoteReference w:id="142"/>
      </w:r>
      <w:r w:rsidR="0079048F" w:rsidRPr="00AE0E59">
        <w:rPr>
          <w:rFonts w:cs="Times New Roman"/>
          <w:kern w:val="22"/>
          <w:sz w:val="22"/>
          <w:lang w:val="fr-FR"/>
        </w:rPr>
        <w:t xml:space="preserve"> </w:t>
      </w:r>
      <w:r w:rsidR="00AE0E59">
        <w:rPr>
          <w:rFonts w:cs="Times New Roman"/>
          <w:kern w:val="22"/>
          <w:sz w:val="22"/>
          <w:lang w:val="fr-FR"/>
        </w:rPr>
        <w:t xml:space="preserve">Un certain </w:t>
      </w:r>
      <w:r w:rsidR="00D6232E" w:rsidRPr="00E90B84">
        <w:rPr>
          <w:rFonts w:cs="Times New Roman"/>
          <w:kern w:val="22"/>
          <w:sz w:val="22"/>
          <w:lang w:val="fr-FR"/>
        </w:rPr>
        <w:t>nombre</w:t>
      </w:r>
      <w:r w:rsidR="003A579A">
        <w:rPr>
          <w:rFonts w:cs="Times New Roman"/>
          <w:kern w:val="22"/>
          <w:sz w:val="22"/>
          <w:lang w:val="fr-FR"/>
        </w:rPr>
        <w:t xml:space="preserve"> de</w:t>
      </w:r>
      <w:r w:rsidR="0079048F" w:rsidRPr="00E90B84">
        <w:rPr>
          <w:rFonts w:cs="Times New Roman"/>
          <w:kern w:val="22"/>
          <w:sz w:val="22"/>
          <w:lang w:val="fr-FR"/>
        </w:rPr>
        <w:t xml:space="preserve"> </w:t>
      </w:r>
      <w:r w:rsidR="008A5BE1" w:rsidRPr="00E90B84">
        <w:rPr>
          <w:rFonts w:cs="Times New Roman"/>
          <w:kern w:val="22"/>
          <w:sz w:val="22"/>
          <w:lang w:val="fr-FR"/>
        </w:rPr>
        <w:t>pays</w:t>
      </w:r>
      <w:r w:rsidR="0079048F" w:rsidRPr="00E90B84">
        <w:rPr>
          <w:rFonts w:cs="Times New Roman"/>
          <w:kern w:val="22"/>
          <w:sz w:val="22"/>
          <w:lang w:val="fr-FR"/>
        </w:rPr>
        <w:t xml:space="preserve"> </w:t>
      </w:r>
      <w:r w:rsidR="003A579A">
        <w:rPr>
          <w:rFonts w:cs="Times New Roman"/>
          <w:kern w:val="22"/>
          <w:sz w:val="22"/>
          <w:lang w:val="fr-FR"/>
        </w:rPr>
        <w:t>se sont employés à</w:t>
      </w:r>
      <w:r w:rsidR="0079048F" w:rsidRPr="00E90B84">
        <w:rPr>
          <w:rFonts w:cs="Times New Roman"/>
          <w:kern w:val="22"/>
          <w:sz w:val="22"/>
          <w:lang w:val="fr-FR"/>
        </w:rPr>
        <w:t xml:space="preserve"> catalogue</w:t>
      </w:r>
      <w:r w:rsidR="00AE0E59">
        <w:rPr>
          <w:rFonts w:cs="Times New Roman"/>
          <w:kern w:val="22"/>
          <w:sz w:val="22"/>
          <w:lang w:val="fr-FR"/>
        </w:rPr>
        <w:t>r les</w:t>
      </w:r>
      <w:r w:rsidR="0079048F" w:rsidRPr="00E90B84">
        <w:rPr>
          <w:rFonts w:cs="Times New Roman"/>
          <w:kern w:val="22"/>
          <w:sz w:val="22"/>
          <w:lang w:val="fr-FR"/>
        </w:rPr>
        <w:t xml:space="preserve"> </w:t>
      </w:r>
      <w:r w:rsidR="00AE0E59">
        <w:rPr>
          <w:rFonts w:cs="Times New Roman"/>
          <w:kern w:val="22"/>
          <w:sz w:val="22"/>
          <w:lang w:val="fr-FR"/>
        </w:rPr>
        <w:t>produits naturels</w:t>
      </w:r>
      <w:r w:rsidR="003A579A">
        <w:rPr>
          <w:rFonts w:cs="Times New Roman"/>
          <w:kern w:val="22"/>
          <w:sz w:val="22"/>
          <w:lang w:val="fr-FR"/>
        </w:rPr>
        <w:t xml:space="preserve"> qui relèvent de</w:t>
      </w:r>
      <w:r w:rsidR="00AE0E59">
        <w:rPr>
          <w:rFonts w:cs="Times New Roman"/>
          <w:kern w:val="22"/>
          <w:sz w:val="22"/>
          <w:lang w:val="fr-FR"/>
        </w:rPr>
        <w:t xml:space="preserve"> leur juridiction nationale, comme en </w:t>
      </w:r>
      <w:r w:rsidR="00AE0E59" w:rsidRPr="00E90B84">
        <w:rPr>
          <w:rFonts w:cs="Times New Roman"/>
          <w:kern w:val="22"/>
          <w:sz w:val="22"/>
          <w:lang w:val="fr-FR"/>
        </w:rPr>
        <w:t>Afrique du Sud (SANCDB</w:t>
      </w:r>
      <w:r w:rsidR="00AE0E59">
        <w:rPr>
          <w:rFonts w:cs="Times New Roman"/>
          <w:kern w:val="22"/>
          <w:sz w:val="22"/>
          <w:lang w:val="fr-FR"/>
        </w:rPr>
        <w:t>), au</w:t>
      </w:r>
      <w:r w:rsidR="0079048F" w:rsidRPr="00E90B84">
        <w:rPr>
          <w:rFonts w:cs="Times New Roman"/>
          <w:kern w:val="22"/>
          <w:sz w:val="22"/>
          <w:lang w:val="fr-FR"/>
        </w:rPr>
        <w:t xml:space="preserve"> </w:t>
      </w:r>
      <w:r w:rsidR="000C3696" w:rsidRPr="00E90B84">
        <w:rPr>
          <w:rFonts w:cs="Times New Roman"/>
          <w:kern w:val="22"/>
          <w:sz w:val="22"/>
          <w:lang w:val="fr-FR"/>
        </w:rPr>
        <w:t>Brésil</w:t>
      </w:r>
      <w:r w:rsidR="003A579A">
        <w:rPr>
          <w:rFonts w:cs="Times New Roman"/>
          <w:kern w:val="22"/>
          <w:sz w:val="22"/>
          <w:lang w:val="fr-FR"/>
        </w:rPr>
        <w:t xml:space="preserve"> (NUBBEDB) ou</w:t>
      </w:r>
      <w:r w:rsidR="0079048F" w:rsidRPr="00E90B84">
        <w:rPr>
          <w:rFonts w:cs="Times New Roman"/>
          <w:kern w:val="22"/>
          <w:sz w:val="22"/>
          <w:lang w:val="fr-FR"/>
        </w:rPr>
        <w:t xml:space="preserve"> </w:t>
      </w:r>
      <w:r w:rsidR="00AE0E59">
        <w:rPr>
          <w:rFonts w:cs="Times New Roman"/>
          <w:kern w:val="22"/>
          <w:sz w:val="22"/>
          <w:lang w:val="fr-FR"/>
        </w:rPr>
        <w:t xml:space="preserve">au </w:t>
      </w:r>
      <w:r w:rsidR="00E90B84" w:rsidRPr="00E90B84">
        <w:rPr>
          <w:rFonts w:cs="Times New Roman"/>
          <w:kern w:val="22"/>
          <w:sz w:val="22"/>
          <w:lang w:val="fr-FR"/>
        </w:rPr>
        <w:t>Mexique</w:t>
      </w:r>
      <w:r w:rsidR="0079048F" w:rsidRPr="00E90B84">
        <w:rPr>
          <w:rFonts w:cs="Times New Roman"/>
          <w:kern w:val="22"/>
          <w:sz w:val="22"/>
          <w:lang w:val="fr-FR"/>
        </w:rPr>
        <w:t xml:space="preserve"> (BIOFAQUIM). </w:t>
      </w:r>
      <w:r w:rsidR="00D6232E" w:rsidRPr="00CA644E">
        <w:rPr>
          <w:rFonts w:cs="Times New Roman"/>
          <w:kern w:val="22"/>
          <w:sz w:val="22"/>
          <w:lang w:val="fr-FR"/>
        </w:rPr>
        <w:t>Cependant</w:t>
      </w:r>
      <w:r w:rsidR="003A579A">
        <w:rPr>
          <w:rFonts w:cs="Times New Roman"/>
          <w:kern w:val="22"/>
          <w:sz w:val="22"/>
          <w:lang w:val="fr-FR"/>
        </w:rPr>
        <w:t>, certaines de</w:t>
      </w:r>
      <w:r w:rsidR="0079048F" w:rsidRPr="00CA644E">
        <w:rPr>
          <w:rFonts w:cs="Times New Roman"/>
          <w:kern w:val="22"/>
          <w:sz w:val="22"/>
          <w:lang w:val="fr-FR"/>
        </w:rPr>
        <w:t xml:space="preserve"> </w:t>
      </w:r>
      <w:r w:rsidR="00CA644E" w:rsidRPr="00CA644E">
        <w:rPr>
          <w:rFonts w:cs="Times New Roman"/>
          <w:kern w:val="22"/>
          <w:sz w:val="22"/>
          <w:lang w:val="fr-FR"/>
        </w:rPr>
        <w:t>ces</w:t>
      </w:r>
      <w:r w:rsidR="0079048F" w:rsidRPr="00CA644E">
        <w:rPr>
          <w:rFonts w:cs="Times New Roman"/>
          <w:kern w:val="22"/>
          <w:sz w:val="22"/>
          <w:lang w:val="fr-FR"/>
        </w:rPr>
        <w:t xml:space="preserve"> </w:t>
      </w:r>
      <w:r w:rsidR="00046703">
        <w:rPr>
          <w:rFonts w:cs="Times New Roman"/>
          <w:kern w:val="22"/>
          <w:sz w:val="22"/>
          <w:lang w:val="fr-FR"/>
        </w:rPr>
        <w:t>bases de données</w:t>
      </w:r>
      <w:r w:rsidR="0079048F" w:rsidRPr="00CA644E">
        <w:rPr>
          <w:rFonts w:cs="Times New Roman"/>
          <w:kern w:val="22"/>
          <w:sz w:val="22"/>
          <w:lang w:val="fr-FR"/>
        </w:rPr>
        <w:t xml:space="preserve"> </w:t>
      </w:r>
      <w:r w:rsidR="00AE0E59">
        <w:rPr>
          <w:rFonts w:cs="Times New Roman"/>
          <w:kern w:val="22"/>
          <w:sz w:val="22"/>
          <w:lang w:val="fr-FR"/>
        </w:rPr>
        <w:t xml:space="preserve">ont une portée beaucoup plus large </w:t>
      </w:r>
      <w:r w:rsidR="003A579A">
        <w:rPr>
          <w:rFonts w:cs="Times New Roman"/>
          <w:kern w:val="22"/>
          <w:sz w:val="22"/>
          <w:lang w:val="fr-FR"/>
        </w:rPr>
        <w:t xml:space="preserve">et </w:t>
      </w:r>
      <w:r w:rsidR="00AE0E59">
        <w:rPr>
          <w:rFonts w:cs="Times New Roman"/>
          <w:kern w:val="22"/>
          <w:sz w:val="22"/>
          <w:lang w:val="fr-FR"/>
        </w:rPr>
        <w:t xml:space="preserve">sont basées sur des recherches de publications sur Internet qui peuvent inclure des </w:t>
      </w:r>
      <w:r w:rsidR="00E3674F" w:rsidRPr="00CA644E">
        <w:rPr>
          <w:rFonts w:cs="Times New Roman"/>
          <w:kern w:val="22"/>
          <w:sz w:val="22"/>
          <w:lang w:val="fr-FR"/>
        </w:rPr>
        <w:t>connaissances traditionnelles</w:t>
      </w:r>
      <w:r w:rsidR="00AE0E59">
        <w:rPr>
          <w:rFonts w:cs="Times New Roman"/>
          <w:kern w:val="22"/>
          <w:sz w:val="22"/>
          <w:lang w:val="fr-FR"/>
        </w:rPr>
        <w:t xml:space="preserve"> documentées</w:t>
      </w:r>
      <w:r w:rsidR="0079048F" w:rsidRPr="00CA644E">
        <w:rPr>
          <w:rFonts w:cs="Times New Roman"/>
          <w:kern w:val="22"/>
          <w:sz w:val="22"/>
          <w:lang w:val="fr-FR"/>
        </w:rPr>
        <w:t xml:space="preserve">, </w:t>
      </w:r>
      <w:r w:rsidR="00AE0E59">
        <w:rPr>
          <w:rFonts w:cs="Times New Roman"/>
          <w:kern w:val="22"/>
          <w:sz w:val="22"/>
          <w:lang w:val="fr-FR"/>
        </w:rPr>
        <w:t>telles que la bibliothèque panafricaine de</w:t>
      </w:r>
      <w:r w:rsidR="0079048F" w:rsidRPr="00CA644E">
        <w:rPr>
          <w:rFonts w:cs="Times New Roman"/>
          <w:kern w:val="22"/>
          <w:sz w:val="22"/>
          <w:lang w:val="fr-FR"/>
        </w:rPr>
        <w:t xml:space="preserve"> </w:t>
      </w:r>
      <w:r w:rsidR="003A7DE8">
        <w:rPr>
          <w:rFonts w:cs="Times New Roman"/>
          <w:kern w:val="22"/>
          <w:sz w:val="22"/>
          <w:lang w:val="fr-FR"/>
        </w:rPr>
        <w:t>produits naturels</w:t>
      </w:r>
      <w:r w:rsidR="0079048F" w:rsidRPr="00CA644E">
        <w:rPr>
          <w:rFonts w:cs="Times New Roman"/>
          <w:kern w:val="22"/>
          <w:sz w:val="22"/>
          <w:lang w:val="fr-FR"/>
        </w:rPr>
        <w:t xml:space="preserve"> (p-ANAPL),</w:t>
      </w:r>
      <w:r w:rsidR="0079048F" w:rsidRPr="002364AB">
        <w:rPr>
          <w:rFonts w:cs="Times New Roman"/>
          <w:kern w:val="22"/>
          <w:sz w:val="22"/>
          <w:vertAlign w:val="superscript"/>
          <w:lang w:val="en-GB"/>
        </w:rPr>
        <w:footnoteReference w:id="143"/>
      </w:r>
      <w:r w:rsidR="0079048F" w:rsidRPr="00CA644E">
        <w:rPr>
          <w:rFonts w:cs="Times New Roman"/>
          <w:kern w:val="22"/>
          <w:sz w:val="22"/>
          <w:lang w:val="fr-FR"/>
        </w:rPr>
        <w:t xml:space="preserve"> AfroDB,</w:t>
      </w:r>
      <w:r w:rsidR="0079048F" w:rsidRPr="002364AB">
        <w:rPr>
          <w:rFonts w:cs="Times New Roman"/>
          <w:kern w:val="22"/>
          <w:sz w:val="22"/>
          <w:vertAlign w:val="superscript"/>
          <w:lang w:val="en-GB"/>
        </w:rPr>
        <w:footnoteReference w:id="144"/>
      </w:r>
      <w:r w:rsidR="0079048F" w:rsidRPr="00CA644E">
        <w:rPr>
          <w:rFonts w:cs="Times New Roman"/>
          <w:kern w:val="22"/>
          <w:sz w:val="22"/>
          <w:lang w:val="fr-FR"/>
        </w:rPr>
        <w:t xml:space="preserve"> NAN</w:t>
      </w:r>
      <w:r w:rsidR="003A579A">
        <w:rPr>
          <w:rFonts w:cs="Times New Roman"/>
          <w:kern w:val="22"/>
          <w:sz w:val="22"/>
          <w:lang w:val="fr-FR"/>
        </w:rPr>
        <w:t>PBD</w:t>
      </w:r>
      <w:r w:rsidR="0079048F" w:rsidRPr="00CA644E">
        <w:rPr>
          <w:rFonts w:cs="Times New Roman"/>
          <w:kern w:val="22"/>
          <w:sz w:val="22"/>
          <w:lang w:val="fr-FR"/>
        </w:rPr>
        <w:t>,</w:t>
      </w:r>
      <w:r w:rsidR="0079048F" w:rsidRPr="002364AB">
        <w:rPr>
          <w:rFonts w:cs="Times New Roman"/>
          <w:kern w:val="22"/>
          <w:sz w:val="22"/>
          <w:vertAlign w:val="superscript"/>
          <w:lang w:val="en-GB"/>
        </w:rPr>
        <w:footnoteReference w:id="145"/>
      </w:r>
      <w:r w:rsidR="00E3674F" w:rsidRPr="00CA644E">
        <w:rPr>
          <w:rFonts w:cs="Times New Roman"/>
          <w:kern w:val="22"/>
          <w:sz w:val="22"/>
          <w:lang w:val="fr-FR"/>
        </w:rPr>
        <w:t xml:space="preserve"> et </w:t>
      </w:r>
      <w:r w:rsidR="0079048F" w:rsidRPr="00CA644E">
        <w:rPr>
          <w:rFonts w:cs="Times New Roman"/>
          <w:kern w:val="22"/>
          <w:sz w:val="22"/>
          <w:lang w:val="fr-FR"/>
        </w:rPr>
        <w:t>Northeast Asian TM (TM-MC).</w:t>
      </w:r>
      <w:r w:rsidR="0079048F" w:rsidRPr="002364AB">
        <w:rPr>
          <w:rFonts w:cs="Times New Roman"/>
          <w:kern w:val="22"/>
          <w:sz w:val="22"/>
          <w:vertAlign w:val="superscript"/>
          <w:lang w:val="en-GB"/>
        </w:rPr>
        <w:footnoteReference w:id="146"/>
      </w:r>
    </w:p>
    <w:p w14:paraId="23E543B6" w14:textId="4BF88ECC" w:rsidR="00921E16" w:rsidRPr="00F86971" w:rsidRDefault="003A579A" w:rsidP="14AC87FF">
      <w:pPr>
        <w:rPr>
          <w:rFonts w:cs="Times New Roman"/>
          <w:i/>
          <w:iCs/>
          <w:kern w:val="22"/>
          <w:sz w:val="22"/>
          <w:lang w:val="fr-FR"/>
        </w:rPr>
      </w:pPr>
      <w:r>
        <w:rPr>
          <w:rFonts w:cs="Times New Roman"/>
          <w:i/>
          <w:iCs/>
          <w:kern w:val="22"/>
          <w:sz w:val="22"/>
          <w:lang w:val="fr-FR"/>
        </w:rPr>
        <w:t>“C</w:t>
      </w:r>
      <w:r w:rsidR="0058634A">
        <w:rPr>
          <w:rFonts w:cs="Times New Roman"/>
          <w:i/>
          <w:iCs/>
          <w:kern w:val="22"/>
          <w:sz w:val="22"/>
          <w:lang w:val="fr-FR"/>
        </w:rPr>
        <w:t>onception</w:t>
      </w:r>
      <w:r>
        <w:rPr>
          <w:rFonts w:cs="Times New Roman"/>
          <w:i/>
          <w:iCs/>
          <w:kern w:val="22"/>
          <w:sz w:val="22"/>
          <w:lang w:val="fr-FR"/>
        </w:rPr>
        <w:t xml:space="preserve"> autour</w:t>
      </w:r>
      <w:r w:rsidR="000F20E1">
        <w:rPr>
          <w:rFonts w:cs="Times New Roman"/>
          <w:i/>
          <w:iCs/>
          <w:kern w:val="22"/>
          <w:sz w:val="22"/>
          <w:lang w:val="fr-FR"/>
        </w:rPr>
        <w:t>” d’une</w:t>
      </w:r>
      <w:r w:rsidR="00B143C2">
        <w:rPr>
          <w:rFonts w:cs="Times New Roman"/>
          <w:i/>
          <w:iCs/>
          <w:kern w:val="22"/>
          <w:sz w:val="22"/>
          <w:lang w:val="fr-FR"/>
        </w:rPr>
        <w:t xml:space="preserve"> </w:t>
      </w:r>
      <w:r w:rsidR="000F20E1">
        <w:rPr>
          <w:rFonts w:cs="Times New Roman"/>
          <w:i/>
          <w:iCs/>
          <w:kern w:val="22"/>
          <w:sz w:val="22"/>
          <w:lang w:val="fr-FR"/>
        </w:rPr>
        <w:t>demande</w:t>
      </w:r>
      <w:r w:rsidR="00B143C2">
        <w:rPr>
          <w:rFonts w:cs="Times New Roman"/>
          <w:i/>
          <w:iCs/>
          <w:kern w:val="22"/>
          <w:sz w:val="22"/>
          <w:lang w:val="fr-FR"/>
        </w:rPr>
        <w:t xml:space="preserve"> de </w:t>
      </w:r>
      <w:r w:rsidR="00B43E38" w:rsidRPr="00F86971">
        <w:rPr>
          <w:rFonts w:cs="Times New Roman"/>
          <w:i/>
          <w:iCs/>
          <w:kern w:val="22"/>
          <w:sz w:val="22"/>
          <w:lang w:val="fr-FR"/>
        </w:rPr>
        <w:t>brevet</w:t>
      </w:r>
      <w:r w:rsidR="009D4AFE">
        <w:rPr>
          <w:rFonts w:cs="Times New Roman"/>
          <w:i/>
          <w:iCs/>
          <w:kern w:val="22"/>
          <w:sz w:val="22"/>
          <w:lang w:val="fr-FR"/>
        </w:rPr>
        <w:t xml:space="preserve"> pour </w:t>
      </w:r>
      <w:r w:rsidR="00B143C2">
        <w:rPr>
          <w:rFonts w:cs="Times New Roman"/>
          <w:i/>
          <w:iCs/>
          <w:kern w:val="22"/>
          <w:sz w:val="22"/>
          <w:lang w:val="fr-FR"/>
        </w:rPr>
        <w:t xml:space="preserve">une </w:t>
      </w:r>
      <w:r w:rsidR="14AC87FF" w:rsidRPr="00F86971">
        <w:rPr>
          <w:rFonts w:cs="Times New Roman"/>
          <w:i/>
          <w:iCs/>
          <w:kern w:val="22"/>
          <w:sz w:val="22"/>
          <w:lang w:val="fr-FR"/>
        </w:rPr>
        <w:t>invention bas</w:t>
      </w:r>
      <w:r w:rsidR="00F3205A">
        <w:rPr>
          <w:rFonts w:cs="Times New Roman"/>
          <w:i/>
          <w:iCs/>
          <w:kern w:val="22"/>
          <w:sz w:val="22"/>
          <w:lang w:val="fr-FR"/>
        </w:rPr>
        <w:t>ée sur l’</w:t>
      </w:r>
      <w:r w:rsidR="008627A9" w:rsidRPr="00F86971">
        <w:rPr>
          <w:rFonts w:cs="Times New Roman"/>
          <w:i/>
          <w:iCs/>
          <w:kern w:val="22"/>
          <w:sz w:val="22"/>
          <w:lang w:val="fr-FR"/>
        </w:rPr>
        <w:t>utilisation</w:t>
      </w:r>
      <w:r w:rsidR="002F47C3">
        <w:rPr>
          <w:rFonts w:cs="Times New Roman"/>
          <w:i/>
          <w:iCs/>
          <w:kern w:val="22"/>
          <w:sz w:val="22"/>
          <w:lang w:val="fr-FR"/>
        </w:rPr>
        <w:t xml:space="preserve"> </w:t>
      </w:r>
      <w:r w:rsidR="0058634A">
        <w:rPr>
          <w:rFonts w:cs="Times New Roman"/>
          <w:i/>
          <w:iCs/>
          <w:kern w:val="22"/>
          <w:sz w:val="22"/>
          <w:lang w:val="fr-FR"/>
        </w:rPr>
        <w:t>d</w:t>
      </w:r>
      <w:r w:rsidR="00F3205A">
        <w:rPr>
          <w:rFonts w:cs="Times New Roman"/>
          <w:i/>
          <w:iCs/>
          <w:kern w:val="22"/>
          <w:sz w:val="22"/>
          <w:lang w:val="fr-FR"/>
        </w:rPr>
        <w:t>’</w:t>
      </w:r>
      <w:r w:rsidR="00BC5F0A">
        <w:rPr>
          <w:rFonts w:cs="Times New Roman"/>
          <w:i/>
          <w:iCs/>
          <w:kern w:val="22"/>
          <w:sz w:val="22"/>
          <w:lang w:val="fr-FR"/>
        </w:rPr>
        <w:t>information</w:t>
      </w:r>
      <w:r>
        <w:rPr>
          <w:rFonts w:cs="Times New Roman"/>
          <w:i/>
          <w:iCs/>
          <w:kern w:val="22"/>
          <w:sz w:val="22"/>
          <w:lang w:val="fr-FR"/>
        </w:rPr>
        <w:t>s</w:t>
      </w:r>
      <w:r w:rsidR="00BC5F0A">
        <w:rPr>
          <w:rFonts w:cs="Times New Roman"/>
          <w:i/>
          <w:iCs/>
          <w:kern w:val="22"/>
          <w:sz w:val="22"/>
          <w:lang w:val="fr-FR"/>
        </w:rPr>
        <w:t xml:space="preserve"> de séquençage</w:t>
      </w:r>
      <w:r w:rsidR="00142D5A">
        <w:rPr>
          <w:rFonts w:cs="Times New Roman"/>
          <w:i/>
          <w:iCs/>
          <w:kern w:val="22"/>
          <w:sz w:val="22"/>
          <w:lang w:val="fr-FR"/>
        </w:rPr>
        <w:t xml:space="preserve"> numérique</w:t>
      </w:r>
      <w:r w:rsidR="0028742E" w:rsidRPr="00F86971">
        <w:rPr>
          <w:rFonts w:cs="Times New Roman"/>
          <w:i/>
          <w:iCs/>
          <w:kern w:val="22"/>
          <w:sz w:val="22"/>
          <w:lang w:val="fr-FR"/>
        </w:rPr>
        <w:t xml:space="preserve"> ou </w:t>
      </w:r>
      <w:r w:rsidR="00B143C2">
        <w:rPr>
          <w:rFonts w:cs="Times New Roman"/>
          <w:i/>
          <w:iCs/>
          <w:kern w:val="22"/>
          <w:sz w:val="22"/>
          <w:lang w:val="fr-FR"/>
        </w:rPr>
        <w:t>d’une ressource génétique tangible</w:t>
      </w:r>
    </w:p>
    <w:p w14:paraId="5F2F79AF" w14:textId="5E93B14D" w:rsidR="00525AC0" w:rsidRPr="00B143C2" w:rsidRDefault="00750F69" w:rsidP="00FE16B8">
      <w:pPr>
        <w:rPr>
          <w:rFonts w:cs="Times New Roman"/>
          <w:kern w:val="22"/>
          <w:sz w:val="22"/>
          <w:lang w:val="fr-FR"/>
        </w:rPr>
      </w:pPr>
      <w:r>
        <w:rPr>
          <w:rFonts w:cs="Times New Roman"/>
          <w:kern w:val="22"/>
          <w:sz w:val="22"/>
          <w:lang w:val="fr-FR"/>
        </w:rPr>
        <w:t>U</w:t>
      </w:r>
      <w:r w:rsidR="008A5BE1" w:rsidRPr="00F12D8A">
        <w:rPr>
          <w:rFonts w:cs="Times New Roman"/>
          <w:kern w:val="22"/>
          <w:sz w:val="22"/>
          <w:lang w:val="fr-FR"/>
        </w:rPr>
        <w:t>n autre</w:t>
      </w:r>
      <w:r w:rsidR="00DB1D95" w:rsidRPr="00F12D8A">
        <w:rPr>
          <w:rFonts w:cs="Times New Roman"/>
          <w:kern w:val="22"/>
          <w:sz w:val="22"/>
          <w:lang w:val="fr-FR"/>
        </w:rPr>
        <w:t xml:space="preserve"> </w:t>
      </w:r>
      <w:r w:rsidR="00E752CB" w:rsidRPr="00F12D8A">
        <w:rPr>
          <w:rFonts w:cs="Times New Roman"/>
          <w:kern w:val="22"/>
          <w:sz w:val="22"/>
          <w:lang w:val="fr-FR"/>
        </w:rPr>
        <w:t>scénario</w:t>
      </w:r>
      <w:r w:rsidR="00F12D8A" w:rsidRPr="00F12D8A">
        <w:rPr>
          <w:rFonts w:cs="Times New Roman"/>
          <w:kern w:val="22"/>
          <w:sz w:val="22"/>
          <w:lang w:val="fr-FR"/>
        </w:rPr>
        <w:t xml:space="preserve"> dans lequel</w:t>
      </w:r>
      <w:r>
        <w:rPr>
          <w:rFonts w:cs="Times New Roman"/>
          <w:kern w:val="22"/>
          <w:sz w:val="22"/>
          <w:lang w:val="fr-FR"/>
        </w:rPr>
        <w:t xml:space="preserve"> des </w:t>
      </w:r>
      <w:r w:rsidR="00BC5F0A">
        <w:rPr>
          <w:rFonts w:cs="Times New Roman"/>
          <w:kern w:val="22"/>
          <w:sz w:val="22"/>
          <w:lang w:val="fr-FR"/>
        </w:rPr>
        <w:t>information</w:t>
      </w:r>
      <w:r>
        <w:rPr>
          <w:rFonts w:cs="Times New Roman"/>
          <w:kern w:val="22"/>
          <w:sz w:val="22"/>
          <w:lang w:val="fr-FR"/>
        </w:rPr>
        <w:t>s</w:t>
      </w:r>
      <w:r w:rsidR="00BC5F0A">
        <w:rPr>
          <w:rFonts w:cs="Times New Roman"/>
          <w:kern w:val="22"/>
          <w:sz w:val="22"/>
          <w:lang w:val="fr-FR"/>
        </w:rPr>
        <w:t xml:space="preserve"> de séquençage</w:t>
      </w:r>
      <w:r w:rsidR="00142D5A">
        <w:rPr>
          <w:rFonts w:cs="Times New Roman"/>
          <w:kern w:val="22"/>
          <w:sz w:val="22"/>
          <w:lang w:val="fr-FR"/>
        </w:rPr>
        <w:t xml:space="preserve"> numérique</w:t>
      </w:r>
      <w:r w:rsidR="00DB1D95" w:rsidRPr="00F12D8A">
        <w:rPr>
          <w:rFonts w:cs="Times New Roman"/>
          <w:kern w:val="22"/>
          <w:sz w:val="22"/>
          <w:lang w:val="fr-FR"/>
        </w:rPr>
        <w:t xml:space="preserve"> </w:t>
      </w:r>
      <w:r w:rsidR="00F12D8A" w:rsidRPr="00F12D8A">
        <w:rPr>
          <w:rFonts w:cs="Times New Roman"/>
          <w:kern w:val="22"/>
          <w:sz w:val="22"/>
          <w:lang w:val="fr-FR"/>
        </w:rPr>
        <w:t>pourrai</w:t>
      </w:r>
      <w:r>
        <w:rPr>
          <w:rFonts w:cs="Times New Roman"/>
          <w:kern w:val="22"/>
          <w:sz w:val="22"/>
          <w:lang w:val="fr-FR"/>
        </w:rPr>
        <w:t>en</w:t>
      </w:r>
      <w:r w:rsidR="00F12D8A" w:rsidRPr="00F12D8A">
        <w:rPr>
          <w:rFonts w:cs="Times New Roman"/>
          <w:kern w:val="22"/>
          <w:sz w:val="22"/>
          <w:lang w:val="fr-FR"/>
        </w:rPr>
        <w:t>t être utilisée</w:t>
      </w:r>
      <w:r>
        <w:rPr>
          <w:rFonts w:cs="Times New Roman"/>
          <w:kern w:val="22"/>
          <w:sz w:val="22"/>
          <w:lang w:val="fr-FR"/>
        </w:rPr>
        <w:t>s</w:t>
      </w:r>
      <w:r w:rsidR="00F12D8A" w:rsidRPr="00F12D8A">
        <w:rPr>
          <w:rFonts w:cs="Times New Roman"/>
          <w:kern w:val="22"/>
          <w:sz w:val="22"/>
          <w:lang w:val="fr-FR"/>
        </w:rPr>
        <w:t xml:space="preserve"> sans </w:t>
      </w:r>
      <w:r>
        <w:rPr>
          <w:rFonts w:cs="Times New Roman"/>
          <w:kern w:val="22"/>
          <w:sz w:val="22"/>
          <w:lang w:val="fr-FR"/>
        </w:rPr>
        <w:t xml:space="preserve">nécessiter </w:t>
      </w:r>
      <w:r w:rsidR="00F12D8A" w:rsidRPr="00F12D8A">
        <w:rPr>
          <w:rFonts w:cs="Times New Roman"/>
          <w:kern w:val="22"/>
          <w:sz w:val="22"/>
          <w:lang w:val="fr-FR"/>
        </w:rPr>
        <w:t xml:space="preserve">un accès physique à une </w:t>
      </w:r>
      <w:r w:rsidR="00BE4772" w:rsidRPr="00F12D8A">
        <w:rPr>
          <w:rFonts w:cs="Times New Roman"/>
          <w:kern w:val="22"/>
          <w:sz w:val="22"/>
          <w:lang w:val="fr-FR"/>
        </w:rPr>
        <w:t xml:space="preserve">ressource génétique </w:t>
      </w:r>
      <w:r w:rsidR="00F12D8A" w:rsidRPr="00F12D8A">
        <w:rPr>
          <w:rFonts w:cs="Times New Roman"/>
          <w:kern w:val="22"/>
          <w:sz w:val="22"/>
          <w:lang w:val="fr-FR"/>
        </w:rPr>
        <w:t>est le cas où une</w:t>
      </w:r>
      <w:r w:rsidR="00AD37E2">
        <w:rPr>
          <w:rFonts w:cs="Times New Roman"/>
          <w:kern w:val="22"/>
          <w:sz w:val="22"/>
          <w:lang w:val="fr-FR"/>
        </w:rPr>
        <w:t xml:space="preserve"> </w:t>
      </w:r>
      <w:r w:rsidR="00F12D8A">
        <w:rPr>
          <w:rFonts w:cs="Times New Roman"/>
          <w:kern w:val="22"/>
          <w:sz w:val="22"/>
          <w:lang w:val="fr-FR"/>
        </w:rPr>
        <w:t>entité</w:t>
      </w:r>
      <w:r>
        <w:rPr>
          <w:rFonts w:cs="Times New Roman"/>
          <w:kern w:val="22"/>
          <w:sz w:val="22"/>
          <w:lang w:val="fr-FR"/>
        </w:rPr>
        <w:t xml:space="preserve"> choisit une</w:t>
      </w:r>
      <w:r w:rsidR="00DB1D95" w:rsidRPr="00F12D8A">
        <w:rPr>
          <w:rFonts w:cs="Times New Roman"/>
          <w:kern w:val="22"/>
          <w:sz w:val="22"/>
          <w:lang w:val="fr-FR"/>
        </w:rPr>
        <w:t xml:space="preserve"> </w:t>
      </w:r>
      <w:r w:rsidR="00D60FDF" w:rsidRPr="00F12D8A">
        <w:rPr>
          <w:rFonts w:cs="Times New Roman"/>
          <w:kern w:val="22"/>
          <w:sz w:val="22"/>
          <w:lang w:val="fr-FR"/>
        </w:rPr>
        <w:t>‘</w:t>
      </w:r>
      <w:r w:rsidR="00142D5A">
        <w:rPr>
          <w:rFonts w:cs="Times New Roman"/>
          <w:kern w:val="22"/>
          <w:sz w:val="22"/>
          <w:lang w:val="fr-FR"/>
        </w:rPr>
        <w:t>conception</w:t>
      </w:r>
      <w:r>
        <w:rPr>
          <w:rFonts w:cs="Times New Roman"/>
          <w:kern w:val="22"/>
          <w:sz w:val="22"/>
          <w:lang w:val="fr-FR"/>
        </w:rPr>
        <w:t xml:space="preserve"> autour</w:t>
      </w:r>
      <w:r w:rsidR="00D60FDF" w:rsidRPr="00F12D8A">
        <w:rPr>
          <w:rFonts w:cs="Times New Roman"/>
          <w:kern w:val="22"/>
          <w:sz w:val="22"/>
          <w:lang w:val="fr-FR"/>
        </w:rPr>
        <w:t>’</w:t>
      </w:r>
      <w:r w:rsidR="00B143C2">
        <w:rPr>
          <w:rFonts w:cs="Times New Roman"/>
          <w:kern w:val="22"/>
          <w:sz w:val="22"/>
          <w:lang w:val="fr-FR"/>
        </w:rPr>
        <w:t xml:space="preserve"> d’une demande de</w:t>
      </w:r>
      <w:r w:rsidR="00DB1D95" w:rsidRPr="00F12D8A">
        <w:rPr>
          <w:rFonts w:cs="Times New Roman"/>
          <w:kern w:val="22"/>
          <w:sz w:val="22"/>
          <w:lang w:val="fr-FR"/>
        </w:rPr>
        <w:t xml:space="preserve"> </w:t>
      </w:r>
      <w:r w:rsidR="00B43E38" w:rsidRPr="00F12D8A">
        <w:rPr>
          <w:rFonts w:cs="Times New Roman"/>
          <w:kern w:val="22"/>
          <w:sz w:val="22"/>
          <w:lang w:val="fr-FR"/>
        </w:rPr>
        <w:t>brevet</w:t>
      </w:r>
      <w:r w:rsidR="009D4AFE">
        <w:rPr>
          <w:rFonts w:cs="Times New Roman"/>
          <w:kern w:val="22"/>
          <w:sz w:val="22"/>
          <w:lang w:val="fr-FR"/>
        </w:rPr>
        <w:t xml:space="preserve"> pour</w:t>
      </w:r>
      <w:r w:rsidR="00B143C2">
        <w:rPr>
          <w:rFonts w:cs="Times New Roman"/>
          <w:kern w:val="22"/>
          <w:sz w:val="22"/>
          <w:lang w:val="fr-FR"/>
        </w:rPr>
        <w:t xml:space="preserve"> une</w:t>
      </w:r>
      <w:r>
        <w:rPr>
          <w:rFonts w:cs="Times New Roman"/>
          <w:kern w:val="22"/>
          <w:sz w:val="22"/>
          <w:lang w:val="fr-FR"/>
        </w:rPr>
        <w:t xml:space="preserve"> invention basée sur</w:t>
      </w:r>
      <w:r w:rsidR="00B143C2">
        <w:rPr>
          <w:rFonts w:cs="Times New Roman"/>
          <w:kern w:val="22"/>
          <w:sz w:val="22"/>
          <w:lang w:val="fr-FR"/>
        </w:rPr>
        <w:t xml:space="preserve"> l’</w:t>
      </w:r>
      <w:r w:rsidR="008627A9" w:rsidRPr="00F12D8A">
        <w:rPr>
          <w:rFonts w:cs="Times New Roman"/>
          <w:kern w:val="22"/>
          <w:sz w:val="22"/>
          <w:lang w:val="fr-FR"/>
        </w:rPr>
        <w:t>utilisation</w:t>
      </w:r>
      <w:r w:rsidR="00B143C2">
        <w:rPr>
          <w:rFonts w:cs="Times New Roman"/>
          <w:kern w:val="22"/>
          <w:sz w:val="22"/>
          <w:lang w:val="fr-FR"/>
        </w:rPr>
        <w:t xml:space="preserve"> </w:t>
      </w:r>
      <w:r>
        <w:rPr>
          <w:rFonts w:cs="Times New Roman"/>
          <w:kern w:val="22"/>
          <w:sz w:val="22"/>
          <w:lang w:val="fr-FR"/>
        </w:rPr>
        <w:t>d’</w:t>
      </w:r>
      <w:r w:rsidR="00BC5F0A">
        <w:rPr>
          <w:rFonts w:cs="Times New Roman"/>
          <w:kern w:val="22"/>
          <w:sz w:val="22"/>
          <w:lang w:val="fr-FR"/>
        </w:rPr>
        <w:t>information</w:t>
      </w:r>
      <w:r>
        <w:rPr>
          <w:rFonts w:cs="Times New Roman"/>
          <w:kern w:val="22"/>
          <w:sz w:val="22"/>
          <w:lang w:val="fr-FR"/>
        </w:rPr>
        <w:t>s</w:t>
      </w:r>
      <w:r w:rsidR="00BC5F0A">
        <w:rPr>
          <w:rFonts w:cs="Times New Roman"/>
          <w:kern w:val="22"/>
          <w:sz w:val="22"/>
          <w:lang w:val="fr-FR"/>
        </w:rPr>
        <w:t xml:space="preserve"> de séquençage</w:t>
      </w:r>
      <w:r w:rsidR="00142D5A">
        <w:rPr>
          <w:rFonts w:cs="Times New Roman"/>
          <w:kern w:val="22"/>
          <w:sz w:val="22"/>
          <w:lang w:val="fr-FR"/>
        </w:rPr>
        <w:t xml:space="preserve"> numérique</w:t>
      </w:r>
      <w:r w:rsidR="0028742E" w:rsidRPr="00F12D8A">
        <w:rPr>
          <w:rFonts w:cs="Times New Roman"/>
          <w:kern w:val="22"/>
          <w:sz w:val="22"/>
          <w:lang w:val="fr-FR"/>
        </w:rPr>
        <w:t xml:space="preserve"> ou </w:t>
      </w:r>
      <w:r w:rsidR="00B143C2">
        <w:rPr>
          <w:rFonts w:cs="Times New Roman"/>
          <w:kern w:val="22"/>
          <w:sz w:val="22"/>
          <w:lang w:val="fr-FR"/>
        </w:rPr>
        <w:t>d’une</w:t>
      </w:r>
      <w:r w:rsidR="00DB1D95" w:rsidRPr="00F12D8A">
        <w:rPr>
          <w:rFonts w:cs="Times New Roman"/>
          <w:kern w:val="22"/>
          <w:sz w:val="22"/>
          <w:lang w:val="fr-FR"/>
        </w:rPr>
        <w:t xml:space="preserve"> </w:t>
      </w:r>
      <w:r w:rsidR="00B143C2">
        <w:rPr>
          <w:rFonts w:cs="Times New Roman"/>
          <w:kern w:val="22"/>
          <w:sz w:val="22"/>
          <w:lang w:val="fr-FR"/>
        </w:rPr>
        <w:t>ressource génétique tangible</w:t>
      </w:r>
      <w:r w:rsidR="00DB1D95" w:rsidRPr="00F12D8A">
        <w:rPr>
          <w:rFonts w:cs="Times New Roman"/>
          <w:kern w:val="22"/>
          <w:sz w:val="22"/>
          <w:lang w:val="fr-FR"/>
        </w:rPr>
        <w:t xml:space="preserve">. </w:t>
      </w:r>
      <w:r w:rsidR="00B143C2" w:rsidRPr="00B143C2">
        <w:rPr>
          <w:rFonts w:cs="Times New Roman"/>
          <w:kern w:val="22"/>
          <w:sz w:val="22"/>
          <w:lang w:val="fr-FR"/>
        </w:rPr>
        <w:t xml:space="preserve">Effectuer une </w:t>
      </w:r>
      <w:r>
        <w:rPr>
          <w:rFonts w:cs="Times New Roman"/>
          <w:kern w:val="22"/>
          <w:sz w:val="22"/>
          <w:lang w:val="fr-FR"/>
        </w:rPr>
        <w:t>‘</w:t>
      </w:r>
      <w:r w:rsidR="00B143C2" w:rsidRPr="00B143C2">
        <w:rPr>
          <w:rFonts w:cs="Times New Roman"/>
          <w:kern w:val="22"/>
          <w:sz w:val="22"/>
          <w:lang w:val="fr-FR"/>
        </w:rPr>
        <w:t>conception autour</w:t>
      </w:r>
      <w:r>
        <w:rPr>
          <w:rFonts w:cs="Times New Roman"/>
          <w:kern w:val="22"/>
          <w:sz w:val="22"/>
          <w:lang w:val="fr-FR"/>
        </w:rPr>
        <w:t>’</w:t>
      </w:r>
      <w:r w:rsidR="00B143C2" w:rsidRPr="00B143C2">
        <w:rPr>
          <w:rFonts w:cs="Times New Roman"/>
          <w:kern w:val="22"/>
          <w:sz w:val="22"/>
          <w:lang w:val="fr-FR"/>
        </w:rPr>
        <w:t xml:space="preserve"> d’une demande de</w:t>
      </w:r>
      <w:r w:rsidR="00DB1D95" w:rsidRPr="00B143C2">
        <w:rPr>
          <w:rFonts w:cs="Times New Roman"/>
          <w:kern w:val="22"/>
          <w:sz w:val="22"/>
          <w:lang w:val="fr-FR"/>
        </w:rPr>
        <w:t xml:space="preserve"> </w:t>
      </w:r>
      <w:r w:rsidR="00B43E38" w:rsidRPr="00B143C2">
        <w:rPr>
          <w:rFonts w:cs="Times New Roman"/>
          <w:kern w:val="22"/>
          <w:sz w:val="22"/>
          <w:lang w:val="fr-FR"/>
        </w:rPr>
        <w:t>brevet</w:t>
      </w:r>
      <w:r w:rsidR="00DB1D95" w:rsidRPr="00B143C2">
        <w:rPr>
          <w:rFonts w:cs="Times New Roman"/>
          <w:kern w:val="22"/>
          <w:sz w:val="22"/>
          <w:lang w:val="fr-FR"/>
        </w:rPr>
        <w:t xml:space="preserve"> </w:t>
      </w:r>
      <w:r w:rsidR="00B143C2">
        <w:rPr>
          <w:rFonts w:cs="Times New Roman"/>
          <w:kern w:val="22"/>
          <w:sz w:val="22"/>
          <w:lang w:val="fr-FR"/>
        </w:rPr>
        <w:t>est u</w:t>
      </w:r>
      <w:r>
        <w:rPr>
          <w:rFonts w:cs="Times New Roman"/>
          <w:kern w:val="22"/>
          <w:sz w:val="22"/>
          <w:lang w:val="fr-FR"/>
        </w:rPr>
        <w:t>n outil de concurrence classique qui</w:t>
      </w:r>
      <w:r w:rsidR="00CA2F1D">
        <w:rPr>
          <w:rFonts w:cs="Times New Roman"/>
          <w:kern w:val="22"/>
          <w:sz w:val="22"/>
          <w:lang w:val="fr-FR"/>
        </w:rPr>
        <w:t xml:space="preserve"> comprend</w:t>
      </w:r>
      <w:r w:rsidR="00DB1D95" w:rsidRPr="00B143C2">
        <w:rPr>
          <w:rFonts w:cs="Times New Roman"/>
          <w:kern w:val="22"/>
          <w:sz w:val="22"/>
          <w:lang w:val="fr-FR"/>
        </w:rPr>
        <w:t xml:space="preserve"> “</w:t>
      </w:r>
      <w:r w:rsidR="00CA2F1D">
        <w:rPr>
          <w:rFonts w:cs="Times New Roman"/>
          <w:kern w:val="22"/>
          <w:sz w:val="22"/>
          <w:lang w:val="fr-FR"/>
        </w:rPr>
        <w:t>la suppression d’</w:t>
      </w:r>
      <w:r w:rsidR="00B143C2">
        <w:rPr>
          <w:rFonts w:cs="Times New Roman"/>
          <w:kern w:val="22"/>
          <w:sz w:val="22"/>
          <w:lang w:val="fr-FR"/>
        </w:rPr>
        <w:t xml:space="preserve">un </w:t>
      </w:r>
      <w:r w:rsidR="00130D0F" w:rsidRPr="00B143C2">
        <w:rPr>
          <w:rFonts w:cs="Times New Roman"/>
          <w:kern w:val="22"/>
          <w:sz w:val="22"/>
          <w:lang w:val="fr-FR"/>
        </w:rPr>
        <w:t>élément</w:t>
      </w:r>
      <w:r w:rsidR="0028742E" w:rsidRPr="00B143C2">
        <w:rPr>
          <w:rFonts w:cs="Times New Roman"/>
          <w:kern w:val="22"/>
          <w:sz w:val="22"/>
          <w:lang w:val="fr-FR"/>
        </w:rPr>
        <w:t xml:space="preserve"> ou </w:t>
      </w:r>
      <w:r w:rsidR="00CA2F1D">
        <w:rPr>
          <w:rFonts w:cs="Times New Roman"/>
          <w:kern w:val="22"/>
          <w:sz w:val="22"/>
          <w:lang w:val="fr-FR"/>
        </w:rPr>
        <w:t>d’</w:t>
      </w:r>
      <w:r w:rsidR="009D4AFE">
        <w:rPr>
          <w:rFonts w:cs="Times New Roman"/>
          <w:kern w:val="22"/>
          <w:sz w:val="22"/>
          <w:lang w:val="fr-FR"/>
        </w:rPr>
        <w:t>une étape prévu</w:t>
      </w:r>
      <w:r>
        <w:rPr>
          <w:rFonts w:cs="Times New Roman"/>
          <w:kern w:val="22"/>
          <w:sz w:val="22"/>
          <w:lang w:val="fr-FR"/>
        </w:rPr>
        <w:t xml:space="preserve">s dans la </w:t>
      </w:r>
      <w:r w:rsidR="00B143C2">
        <w:rPr>
          <w:rFonts w:cs="Times New Roman"/>
          <w:kern w:val="22"/>
          <w:sz w:val="22"/>
          <w:lang w:val="fr-FR"/>
        </w:rPr>
        <w:t>demande de brevet</w:t>
      </w:r>
      <w:r w:rsidR="00525AC0" w:rsidRPr="00B143C2">
        <w:rPr>
          <w:rFonts w:cs="Times New Roman"/>
          <w:kern w:val="22"/>
          <w:sz w:val="22"/>
          <w:lang w:val="fr-FR"/>
        </w:rPr>
        <w:t>”</w:t>
      </w:r>
      <w:r>
        <w:rPr>
          <w:rFonts w:cs="Times New Roman"/>
          <w:kern w:val="22"/>
          <w:sz w:val="22"/>
          <w:lang w:val="fr-FR"/>
        </w:rPr>
        <w:t xml:space="preserve">, dans le but de </w:t>
      </w:r>
      <w:r w:rsidR="00CA2F1D">
        <w:rPr>
          <w:rFonts w:cs="Times New Roman"/>
          <w:kern w:val="22"/>
          <w:sz w:val="22"/>
          <w:lang w:val="fr-FR"/>
        </w:rPr>
        <w:t>re</w:t>
      </w:r>
      <w:r w:rsidR="00B143C2">
        <w:rPr>
          <w:rFonts w:cs="Times New Roman"/>
          <w:kern w:val="22"/>
          <w:sz w:val="22"/>
          <w:lang w:val="fr-FR"/>
        </w:rPr>
        <w:t>produire un avantage technologi</w:t>
      </w:r>
      <w:r>
        <w:rPr>
          <w:rFonts w:cs="Times New Roman"/>
          <w:kern w:val="22"/>
          <w:sz w:val="22"/>
          <w:lang w:val="fr-FR"/>
        </w:rPr>
        <w:t xml:space="preserve">que breveté, </w:t>
      </w:r>
      <w:r w:rsidR="00CA2F1D">
        <w:rPr>
          <w:rFonts w:cs="Times New Roman"/>
          <w:kern w:val="22"/>
          <w:sz w:val="22"/>
          <w:lang w:val="fr-FR"/>
        </w:rPr>
        <w:t>tout en évitant une</w:t>
      </w:r>
      <w:r>
        <w:rPr>
          <w:rFonts w:cs="Times New Roman"/>
          <w:kern w:val="22"/>
          <w:sz w:val="22"/>
          <w:lang w:val="fr-FR"/>
        </w:rPr>
        <w:t xml:space="preserve"> responsabilité pour</w:t>
      </w:r>
      <w:r w:rsidR="00B143C2">
        <w:rPr>
          <w:rFonts w:cs="Times New Roman"/>
          <w:kern w:val="22"/>
          <w:sz w:val="22"/>
          <w:lang w:val="fr-FR"/>
        </w:rPr>
        <w:t xml:space="preserve"> </w:t>
      </w:r>
      <w:r w:rsidR="00A14BDE">
        <w:rPr>
          <w:rFonts w:cs="Times New Roman"/>
          <w:kern w:val="22"/>
          <w:sz w:val="22"/>
          <w:lang w:val="fr-FR"/>
        </w:rPr>
        <w:t>non-respect</w:t>
      </w:r>
      <w:r w:rsidR="00CA2F1D">
        <w:rPr>
          <w:rFonts w:cs="Times New Roman"/>
          <w:kern w:val="22"/>
          <w:sz w:val="22"/>
          <w:lang w:val="fr-FR"/>
        </w:rPr>
        <w:t xml:space="preserve"> d’une condition prescrite dans la demande de</w:t>
      </w:r>
      <w:r>
        <w:rPr>
          <w:rFonts w:cs="Times New Roman"/>
          <w:kern w:val="22"/>
          <w:sz w:val="22"/>
          <w:lang w:val="fr-FR"/>
        </w:rPr>
        <w:t xml:space="preserve"> brevet</w:t>
      </w:r>
      <w:r w:rsidR="00805085" w:rsidRPr="00B143C2">
        <w:rPr>
          <w:rFonts w:cs="Times New Roman"/>
          <w:kern w:val="22"/>
          <w:sz w:val="22"/>
          <w:lang w:val="fr-FR"/>
        </w:rPr>
        <w:t>.</w:t>
      </w:r>
      <w:r w:rsidR="00525AC0" w:rsidRPr="002364AB">
        <w:rPr>
          <w:rFonts w:cs="Times New Roman"/>
          <w:kern w:val="22"/>
          <w:sz w:val="22"/>
          <w:vertAlign w:val="superscript"/>
          <w:lang w:val="en-GB"/>
        </w:rPr>
        <w:footnoteReference w:id="147"/>
      </w:r>
      <w:r w:rsidR="00805085" w:rsidRPr="00B143C2">
        <w:rPr>
          <w:rFonts w:cs="Times New Roman"/>
          <w:kern w:val="22"/>
          <w:sz w:val="22"/>
          <w:lang w:val="fr-FR"/>
        </w:rPr>
        <w:t xml:space="preserve"> </w:t>
      </w:r>
    </w:p>
    <w:p w14:paraId="3B7AB248" w14:textId="0A1F0B08" w:rsidR="00116765" w:rsidRPr="00142D5A" w:rsidRDefault="00B143C2" w:rsidP="00FE16B8">
      <w:pPr>
        <w:rPr>
          <w:rFonts w:cs="Times New Roman"/>
          <w:kern w:val="22"/>
          <w:sz w:val="22"/>
          <w:lang w:val="fr-FR"/>
        </w:rPr>
      </w:pPr>
      <w:r w:rsidRPr="00B143C2">
        <w:rPr>
          <w:rFonts w:cs="Times New Roman"/>
          <w:kern w:val="22"/>
          <w:sz w:val="22"/>
          <w:lang w:val="fr-FR"/>
        </w:rPr>
        <w:t>Une activité i</w:t>
      </w:r>
      <w:r w:rsidR="00805085" w:rsidRPr="00B143C2">
        <w:rPr>
          <w:rFonts w:cs="Times New Roman"/>
          <w:kern w:val="22"/>
          <w:sz w:val="22"/>
          <w:lang w:val="fr-FR"/>
        </w:rPr>
        <w:t>ntention</w:t>
      </w:r>
      <w:r w:rsidRPr="00B143C2">
        <w:rPr>
          <w:rFonts w:cs="Times New Roman"/>
          <w:kern w:val="22"/>
          <w:sz w:val="22"/>
          <w:lang w:val="fr-FR"/>
        </w:rPr>
        <w:t>ne</w:t>
      </w:r>
      <w:r w:rsidR="00805085" w:rsidRPr="00B143C2">
        <w:rPr>
          <w:rFonts w:cs="Times New Roman"/>
          <w:kern w:val="22"/>
          <w:sz w:val="22"/>
          <w:lang w:val="fr-FR"/>
        </w:rPr>
        <w:t>l</w:t>
      </w:r>
      <w:r w:rsidR="00CA2F1D">
        <w:rPr>
          <w:rFonts w:cs="Times New Roman"/>
          <w:kern w:val="22"/>
          <w:sz w:val="22"/>
          <w:lang w:val="fr-FR"/>
        </w:rPr>
        <w:t>le de ‘conception autour’</w:t>
      </w:r>
      <w:r w:rsidRPr="00B143C2">
        <w:rPr>
          <w:rFonts w:cs="Times New Roman"/>
          <w:kern w:val="22"/>
          <w:sz w:val="22"/>
          <w:lang w:val="fr-FR"/>
        </w:rPr>
        <w:t xml:space="preserve"> d’une demande de brevet est généralement encourag</w:t>
      </w:r>
      <w:r w:rsidR="00CA2F1D">
        <w:rPr>
          <w:rFonts w:cs="Times New Roman"/>
          <w:kern w:val="22"/>
          <w:sz w:val="22"/>
          <w:lang w:val="fr-FR"/>
        </w:rPr>
        <w:t>é</w:t>
      </w:r>
      <w:r w:rsidRPr="00B143C2">
        <w:rPr>
          <w:rFonts w:cs="Times New Roman"/>
          <w:kern w:val="22"/>
          <w:sz w:val="22"/>
          <w:lang w:val="fr-FR"/>
        </w:rPr>
        <w:t>e et considérée comme bénéfique pour</w:t>
      </w:r>
      <w:r w:rsidR="00CA2F1D">
        <w:rPr>
          <w:rFonts w:cs="Times New Roman"/>
          <w:kern w:val="22"/>
          <w:sz w:val="22"/>
          <w:lang w:val="fr-FR"/>
        </w:rPr>
        <w:t xml:space="preserve"> les entreprises,</w:t>
      </w:r>
      <w:r>
        <w:rPr>
          <w:rFonts w:cs="Times New Roman"/>
          <w:kern w:val="22"/>
          <w:sz w:val="22"/>
          <w:lang w:val="fr-FR"/>
        </w:rPr>
        <w:t xml:space="preserve"> en raison du fait qu’elle aboutit souvent à des </w:t>
      </w:r>
      <w:r w:rsidR="00525AC0" w:rsidRPr="00B143C2">
        <w:rPr>
          <w:rFonts w:cs="Times New Roman"/>
          <w:kern w:val="22"/>
          <w:sz w:val="22"/>
          <w:lang w:val="fr-FR"/>
        </w:rPr>
        <w:t>innovation</w:t>
      </w:r>
      <w:r w:rsidR="001F5A36">
        <w:rPr>
          <w:rFonts w:cs="Times New Roman"/>
          <w:kern w:val="22"/>
          <w:sz w:val="22"/>
          <w:lang w:val="fr-FR"/>
        </w:rPr>
        <w:t xml:space="preserve">s prenant la forme de la </w:t>
      </w:r>
      <w:r>
        <w:rPr>
          <w:rFonts w:cs="Times New Roman"/>
          <w:kern w:val="22"/>
          <w:sz w:val="22"/>
          <w:lang w:val="fr-FR"/>
        </w:rPr>
        <w:t xml:space="preserve">nouvelle </w:t>
      </w:r>
      <w:r w:rsidR="001423FA">
        <w:rPr>
          <w:rFonts w:cs="Times New Roman"/>
          <w:kern w:val="22"/>
          <w:sz w:val="22"/>
          <w:lang w:val="fr-FR"/>
        </w:rPr>
        <w:t>‘conception autour’</w:t>
      </w:r>
      <w:r w:rsidR="00525AC0" w:rsidRPr="00B143C2">
        <w:rPr>
          <w:rFonts w:cs="Times New Roman"/>
          <w:kern w:val="22"/>
          <w:sz w:val="22"/>
          <w:lang w:val="fr-FR"/>
        </w:rPr>
        <w:t>.</w:t>
      </w:r>
      <w:r w:rsidR="00525AC0" w:rsidRPr="002364AB">
        <w:rPr>
          <w:rStyle w:val="FootnoteReference"/>
          <w:rFonts w:cs="Times New Roman"/>
          <w:kern w:val="22"/>
          <w:sz w:val="22"/>
          <w:lang w:val="en-GB"/>
        </w:rPr>
        <w:footnoteReference w:id="148"/>
      </w:r>
      <w:r w:rsidR="00525AC0" w:rsidRPr="00B143C2">
        <w:rPr>
          <w:rFonts w:cs="Times New Roman"/>
          <w:kern w:val="22"/>
          <w:sz w:val="22"/>
          <w:lang w:val="fr-FR"/>
        </w:rPr>
        <w:t xml:space="preserve"> </w:t>
      </w:r>
      <w:r>
        <w:rPr>
          <w:rFonts w:cs="Times New Roman"/>
          <w:kern w:val="22"/>
          <w:sz w:val="22"/>
          <w:lang w:val="fr-FR"/>
        </w:rPr>
        <w:t>De même que</w:t>
      </w:r>
      <w:r w:rsidR="00752105" w:rsidRPr="00B143C2">
        <w:rPr>
          <w:rFonts w:cs="Times New Roman"/>
          <w:kern w:val="22"/>
          <w:sz w:val="22"/>
          <w:lang w:val="fr-FR"/>
        </w:rPr>
        <w:t xml:space="preserve"> </w:t>
      </w:r>
      <w:r w:rsidR="00BC5F0A">
        <w:rPr>
          <w:rFonts w:cs="Times New Roman"/>
          <w:kern w:val="22"/>
          <w:sz w:val="22"/>
          <w:lang w:val="fr-FR"/>
        </w:rPr>
        <w:t>l’information de séquençage</w:t>
      </w:r>
      <w:r w:rsidR="00142D5A">
        <w:rPr>
          <w:rFonts w:cs="Times New Roman"/>
          <w:kern w:val="22"/>
          <w:sz w:val="22"/>
          <w:lang w:val="fr-FR"/>
        </w:rPr>
        <w:t xml:space="preserve"> numérique</w:t>
      </w:r>
      <w:r w:rsidR="00752105" w:rsidRPr="00B143C2">
        <w:rPr>
          <w:rFonts w:cs="Times New Roman"/>
          <w:kern w:val="22"/>
          <w:sz w:val="22"/>
          <w:lang w:val="fr-FR"/>
        </w:rPr>
        <w:t xml:space="preserve"> </w:t>
      </w:r>
      <w:r w:rsidR="00142D5A">
        <w:rPr>
          <w:rFonts w:cs="Times New Roman"/>
          <w:kern w:val="22"/>
          <w:sz w:val="22"/>
          <w:lang w:val="fr-FR"/>
        </w:rPr>
        <w:t>peut être obtenue dans une</w:t>
      </w:r>
      <w:r w:rsidR="00087211" w:rsidRPr="00B143C2">
        <w:rPr>
          <w:rFonts w:cs="Times New Roman"/>
          <w:kern w:val="22"/>
          <w:sz w:val="22"/>
          <w:lang w:val="fr-FR"/>
        </w:rPr>
        <w:t xml:space="preserve"> </w:t>
      </w:r>
      <w:r w:rsidR="00046703" w:rsidRPr="00B143C2">
        <w:rPr>
          <w:rFonts w:cs="Times New Roman"/>
          <w:kern w:val="22"/>
          <w:sz w:val="22"/>
          <w:lang w:val="fr-FR"/>
        </w:rPr>
        <w:t>base de données</w:t>
      </w:r>
      <w:r w:rsidR="0028742E" w:rsidRPr="00B143C2">
        <w:rPr>
          <w:rFonts w:cs="Times New Roman"/>
          <w:kern w:val="22"/>
          <w:sz w:val="22"/>
          <w:lang w:val="fr-FR"/>
        </w:rPr>
        <w:t xml:space="preserve"> ou </w:t>
      </w:r>
      <w:r w:rsidR="00087211" w:rsidRPr="00B143C2">
        <w:rPr>
          <w:rFonts w:cs="Times New Roman"/>
          <w:kern w:val="22"/>
          <w:sz w:val="22"/>
          <w:lang w:val="fr-FR"/>
        </w:rPr>
        <w:t>publication</w:t>
      </w:r>
      <w:r w:rsidR="00142D5A">
        <w:rPr>
          <w:rFonts w:cs="Times New Roman"/>
          <w:kern w:val="22"/>
          <w:sz w:val="22"/>
          <w:lang w:val="fr-FR"/>
        </w:rPr>
        <w:t>,</w:t>
      </w:r>
      <w:r w:rsidR="00502805">
        <w:rPr>
          <w:rFonts w:cs="Times New Roman"/>
          <w:kern w:val="22"/>
          <w:sz w:val="22"/>
          <w:lang w:val="fr-FR"/>
        </w:rPr>
        <w:t xml:space="preserve"> puis</w:t>
      </w:r>
      <w:r w:rsidR="00142D5A">
        <w:rPr>
          <w:rFonts w:cs="Times New Roman"/>
          <w:kern w:val="22"/>
          <w:sz w:val="22"/>
          <w:lang w:val="fr-FR"/>
        </w:rPr>
        <w:t xml:space="preserve"> </w:t>
      </w:r>
      <w:r w:rsidR="001F55AB" w:rsidRPr="00B143C2">
        <w:rPr>
          <w:rFonts w:cs="Times New Roman"/>
          <w:kern w:val="22"/>
          <w:sz w:val="22"/>
          <w:lang w:val="fr-FR"/>
        </w:rPr>
        <w:t>utilisé</w:t>
      </w:r>
      <w:r w:rsidR="00450CAE">
        <w:rPr>
          <w:rFonts w:cs="Times New Roman"/>
          <w:kern w:val="22"/>
          <w:sz w:val="22"/>
          <w:lang w:val="fr-FR"/>
        </w:rPr>
        <w:t>e pour</w:t>
      </w:r>
      <w:r w:rsidR="00142D5A">
        <w:rPr>
          <w:rFonts w:cs="Times New Roman"/>
          <w:kern w:val="22"/>
          <w:sz w:val="22"/>
          <w:lang w:val="fr-FR"/>
        </w:rPr>
        <w:t xml:space="preserve"> le développement d’une</w:t>
      </w:r>
      <w:r w:rsidR="00087211" w:rsidRPr="00B143C2">
        <w:rPr>
          <w:rFonts w:cs="Times New Roman"/>
          <w:kern w:val="22"/>
          <w:sz w:val="22"/>
          <w:lang w:val="fr-FR"/>
        </w:rPr>
        <w:t xml:space="preserve"> invention, </w:t>
      </w:r>
      <w:r w:rsidR="00502805">
        <w:rPr>
          <w:rFonts w:cs="Times New Roman"/>
          <w:kern w:val="22"/>
          <w:sz w:val="22"/>
          <w:lang w:val="fr-FR"/>
        </w:rPr>
        <w:t>une tierce partie pourra</w:t>
      </w:r>
      <w:r w:rsidR="00142D5A">
        <w:rPr>
          <w:rFonts w:cs="Times New Roman"/>
          <w:kern w:val="22"/>
          <w:sz w:val="22"/>
          <w:lang w:val="fr-FR"/>
        </w:rPr>
        <w:t xml:space="preserve"> obtenir des </w:t>
      </w:r>
      <w:r w:rsidR="00B545AA" w:rsidRPr="00B143C2">
        <w:rPr>
          <w:rFonts w:cs="Times New Roman"/>
          <w:kern w:val="22"/>
          <w:sz w:val="22"/>
          <w:lang w:val="fr-FR"/>
        </w:rPr>
        <w:t>information</w:t>
      </w:r>
      <w:r w:rsidR="00142D5A">
        <w:rPr>
          <w:rFonts w:cs="Times New Roman"/>
          <w:kern w:val="22"/>
          <w:sz w:val="22"/>
          <w:lang w:val="fr-FR"/>
        </w:rPr>
        <w:t xml:space="preserve">s provenant d’une </w:t>
      </w:r>
      <w:r w:rsidR="00B545AA" w:rsidRPr="00B143C2">
        <w:rPr>
          <w:rFonts w:cs="Times New Roman"/>
          <w:kern w:val="22"/>
          <w:sz w:val="22"/>
          <w:lang w:val="fr-FR"/>
        </w:rPr>
        <w:t>invention</w:t>
      </w:r>
      <w:r w:rsidR="00142D5A">
        <w:rPr>
          <w:rFonts w:cs="Times New Roman"/>
          <w:kern w:val="22"/>
          <w:sz w:val="22"/>
          <w:lang w:val="fr-FR"/>
        </w:rPr>
        <w:t xml:space="preserve"> brevetée</w:t>
      </w:r>
      <w:r w:rsidR="00B545AA" w:rsidRPr="00B143C2">
        <w:rPr>
          <w:rFonts w:cs="Times New Roman"/>
          <w:kern w:val="22"/>
          <w:sz w:val="22"/>
          <w:lang w:val="fr-FR"/>
        </w:rPr>
        <w:t xml:space="preserve"> </w:t>
      </w:r>
      <w:r w:rsidR="00502805">
        <w:rPr>
          <w:rFonts w:cs="Times New Roman"/>
          <w:kern w:val="22"/>
          <w:sz w:val="22"/>
          <w:lang w:val="fr-FR"/>
        </w:rPr>
        <w:t xml:space="preserve">ayant utilisé </w:t>
      </w:r>
      <w:r w:rsidR="00450CAE">
        <w:rPr>
          <w:rFonts w:cs="Times New Roman"/>
          <w:kern w:val="22"/>
          <w:sz w:val="22"/>
          <w:lang w:val="fr-FR"/>
        </w:rPr>
        <w:t xml:space="preserve">des </w:t>
      </w:r>
      <w:r w:rsidR="00BC5F0A">
        <w:rPr>
          <w:rFonts w:cs="Times New Roman"/>
          <w:kern w:val="22"/>
          <w:sz w:val="22"/>
          <w:lang w:val="fr-FR"/>
        </w:rPr>
        <w:t>information</w:t>
      </w:r>
      <w:r w:rsidR="00450CAE">
        <w:rPr>
          <w:rFonts w:cs="Times New Roman"/>
          <w:kern w:val="22"/>
          <w:sz w:val="22"/>
          <w:lang w:val="fr-FR"/>
        </w:rPr>
        <w:t>s</w:t>
      </w:r>
      <w:r w:rsidR="00BC5F0A">
        <w:rPr>
          <w:rFonts w:cs="Times New Roman"/>
          <w:kern w:val="22"/>
          <w:sz w:val="22"/>
          <w:lang w:val="fr-FR"/>
        </w:rPr>
        <w:t xml:space="preserve"> de séquençage</w:t>
      </w:r>
      <w:r w:rsidR="00502805">
        <w:rPr>
          <w:rFonts w:cs="Times New Roman"/>
          <w:kern w:val="22"/>
          <w:sz w:val="22"/>
          <w:lang w:val="fr-FR"/>
        </w:rPr>
        <w:t xml:space="preserve"> numérique</w:t>
      </w:r>
      <w:r w:rsidR="00B545AA" w:rsidRPr="00B143C2">
        <w:rPr>
          <w:rFonts w:cs="Times New Roman"/>
          <w:kern w:val="22"/>
          <w:sz w:val="22"/>
          <w:lang w:val="fr-FR"/>
        </w:rPr>
        <w:t xml:space="preserve"> </w:t>
      </w:r>
      <w:r w:rsidR="00450CAE">
        <w:rPr>
          <w:rFonts w:cs="Times New Roman"/>
          <w:kern w:val="22"/>
          <w:sz w:val="22"/>
          <w:lang w:val="fr-FR"/>
        </w:rPr>
        <w:t xml:space="preserve">pour </w:t>
      </w:r>
      <w:r w:rsidR="00502805">
        <w:rPr>
          <w:rFonts w:cs="Times New Roman"/>
          <w:kern w:val="22"/>
          <w:sz w:val="22"/>
          <w:lang w:val="fr-FR"/>
        </w:rPr>
        <w:t xml:space="preserve">mettre au point </w:t>
      </w:r>
      <w:r w:rsidR="00142D5A">
        <w:rPr>
          <w:rFonts w:cs="Times New Roman"/>
          <w:kern w:val="22"/>
          <w:sz w:val="22"/>
          <w:lang w:val="fr-FR"/>
        </w:rPr>
        <w:t xml:space="preserve">une nouvelle </w:t>
      </w:r>
      <w:r w:rsidR="00851C66" w:rsidRPr="00B143C2">
        <w:rPr>
          <w:rFonts w:cs="Times New Roman"/>
          <w:kern w:val="22"/>
          <w:sz w:val="22"/>
          <w:lang w:val="fr-FR"/>
        </w:rPr>
        <w:t>invention</w:t>
      </w:r>
      <w:r w:rsidR="00B545AA" w:rsidRPr="00B143C2">
        <w:rPr>
          <w:rFonts w:cs="Times New Roman"/>
          <w:kern w:val="22"/>
          <w:sz w:val="22"/>
          <w:lang w:val="fr-FR"/>
        </w:rPr>
        <w:t>.</w:t>
      </w:r>
      <w:r w:rsidR="00AA5919" w:rsidRPr="00B143C2">
        <w:rPr>
          <w:rFonts w:cs="Times New Roman"/>
          <w:kern w:val="22"/>
          <w:sz w:val="22"/>
          <w:lang w:val="fr-FR"/>
        </w:rPr>
        <w:t xml:space="preserve"> </w:t>
      </w:r>
      <w:r w:rsidR="00142D5A" w:rsidRPr="00142D5A">
        <w:rPr>
          <w:rFonts w:cs="Times New Roman"/>
          <w:kern w:val="22"/>
          <w:sz w:val="22"/>
          <w:lang w:val="fr-FR"/>
        </w:rPr>
        <w:t>C</w:t>
      </w:r>
      <w:r w:rsidR="00176298" w:rsidRPr="00142D5A">
        <w:rPr>
          <w:rFonts w:cs="Times New Roman"/>
          <w:kern w:val="22"/>
          <w:sz w:val="22"/>
          <w:lang w:val="fr-FR"/>
        </w:rPr>
        <w:t>ertaines Parties</w:t>
      </w:r>
      <w:r w:rsidR="00C06974" w:rsidRPr="00142D5A">
        <w:rPr>
          <w:rFonts w:cs="Times New Roman"/>
          <w:kern w:val="22"/>
          <w:sz w:val="22"/>
          <w:lang w:val="fr-FR"/>
        </w:rPr>
        <w:t xml:space="preserve"> </w:t>
      </w:r>
      <w:r w:rsidR="00450CAE">
        <w:rPr>
          <w:rFonts w:cs="Times New Roman"/>
          <w:kern w:val="22"/>
          <w:sz w:val="22"/>
          <w:lang w:val="fr-FR"/>
        </w:rPr>
        <w:t>pourront conclure</w:t>
      </w:r>
      <w:r w:rsidR="00502805">
        <w:rPr>
          <w:rFonts w:cs="Times New Roman"/>
          <w:kern w:val="22"/>
          <w:sz w:val="22"/>
          <w:lang w:val="fr-FR"/>
        </w:rPr>
        <w:t xml:space="preserve"> que,</w:t>
      </w:r>
      <w:r w:rsidR="00450CAE">
        <w:rPr>
          <w:rFonts w:cs="Times New Roman"/>
          <w:kern w:val="22"/>
          <w:sz w:val="22"/>
          <w:lang w:val="fr-FR"/>
        </w:rPr>
        <w:t xml:space="preserve"> </w:t>
      </w:r>
      <w:r w:rsidR="00142D5A" w:rsidRPr="00142D5A">
        <w:rPr>
          <w:rFonts w:cs="Times New Roman"/>
          <w:kern w:val="22"/>
          <w:sz w:val="22"/>
          <w:lang w:val="fr-FR"/>
        </w:rPr>
        <w:t>en analysant l’</w:t>
      </w:r>
      <w:r w:rsidR="00525AC0" w:rsidRPr="00142D5A">
        <w:rPr>
          <w:rFonts w:cs="Times New Roman"/>
          <w:kern w:val="22"/>
          <w:sz w:val="22"/>
          <w:lang w:val="fr-FR"/>
        </w:rPr>
        <w:t>invention</w:t>
      </w:r>
      <w:r w:rsidR="00142D5A">
        <w:rPr>
          <w:rFonts w:cs="Times New Roman"/>
          <w:kern w:val="22"/>
          <w:sz w:val="22"/>
          <w:lang w:val="fr-FR"/>
        </w:rPr>
        <w:t xml:space="preserve"> </w:t>
      </w:r>
      <w:r w:rsidR="00450CAE">
        <w:rPr>
          <w:rFonts w:cs="Times New Roman"/>
          <w:kern w:val="22"/>
          <w:sz w:val="22"/>
          <w:lang w:val="fr-FR"/>
        </w:rPr>
        <w:t xml:space="preserve">décrite </w:t>
      </w:r>
      <w:r w:rsidR="00142D5A">
        <w:rPr>
          <w:rFonts w:cs="Times New Roman"/>
          <w:kern w:val="22"/>
          <w:sz w:val="22"/>
          <w:lang w:val="fr-FR"/>
        </w:rPr>
        <w:t>dans la demande de</w:t>
      </w:r>
      <w:r w:rsidR="00525AC0" w:rsidRPr="00142D5A">
        <w:rPr>
          <w:rFonts w:cs="Times New Roman"/>
          <w:kern w:val="22"/>
          <w:sz w:val="22"/>
          <w:lang w:val="fr-FR"/>
        </w:rPr>
        <w:t xml:space="preserve"> </w:t>
      </w:r>
      <w:r w:rsidR="00450CAE">
        <w:rPr>
          <w:rFonts w:cs="Times New Roman"/>
          <w:kern w:val="22"/>
          <w:sz w:val="22"/>
          <w:lang w:val="fr-FR"/>
        </w:rPr>
        <w:t>brevet</w:t>
      </w:r>
      <w:r w:rsidR="00502805">
        <w:rPr>
          <w:rFonts w:cs="Times New Roman"/>
          <w:kern w:val="22"/>
          <w:sz w:val="22"/>
          <w:lang w:val="fr-FR"/>
        </w:rPr>
        <w:t xml:space="preserve"> qui intègre</w:t>
      </w:r>
      <w:r w:rsidR="00142D5A">
        <w:rPr>
          <w:rFonts w:cs="Times New Roman"/>
          <w:kern w:val="22"/>
          <w:sz w:val="22"/>
          <w:lang w:val="fr-FR"/>
        </w:rPr>
        <w:t xml:space="preserve"> intentionnellement </w:t>
      </w:r>
      <w:r w:rsidR="00AA5919" w:rsidRPr="00142D5A">
        <w:rPr>
          <w:rFonts w:cs="Times New Roman"/>
          <w:kern w:val="22"/>
          <w:sz w:val="22"/>
          <w:lang w:val="fr-FR"/>
        </w:rPr>
        <w:t xml:space="preserve">certains </w:t>
      </w:r>
      <w:r w:rsidR="00142D5A">
        <w:rPr>
          <w:rFonts w:cs="Times New Roman"/>
          <w:kern w:val="22"/>
          <w:sz w:val="22"/>
          <w:lang w:val="fr-FR"/>
        </w:rPr>
        <w:t>de ses</w:t>
      </w:r>
      <w:r w:rsidR="00525AC0" w:rsidRPr="00142D5A">
        <w:rPr>
          <w:rFonts w:cs="Times New Roman"/>
          <w:kern w:val="22"/>
          <w:sz w:val="22"/>
          <w:lang w:val="fr-FR"/>
        </w:rPr>
        <w:t xml:space="preserve"> </w:t>
      </w:r>
      <w:r w:rsidR="00130D0F" w:rsidRPr="00142D5A">
        <w:rPr>
          <w:rFonts w:cs="Times New Roman"/>
          <w:kern w:val="22"/>
          <w:sz w:val="22"/>
          <w:lang w:val="fr-FR"/>
        </w:rPr>
        <w:t>élément</w:t>
      </w:r>
      <w:r w:rsidR="00502805">
        <w:rPr>
          <w:rFonts w:cs="Times New Roman"/>
          <w:kern w:val="22"/>
          <w:sz w:val="22"/>
          <w:lang w:val="fr-FR"/>
        </w:rPr>
        <w:t>s,</w:t>
      </w:r>
      <w:r w:rsidR="00450CAE">
        <w:rPr>
          <w:rFonts w:cs="Times New Roman"/>
          <w:kern w:val="22"/>
          <w:sz w:val="22"/>
          <w:lang w:val="fr-FR"/>
        </w:rPr>
        <w:t xml:space="preserve"> </w:t>
      </w:r>
      <w:r w:rsidR="00142D5A">
        <w:rPr>
          <w:rFonts w:cs="Times New Roman"/>
          <w:kern w:val="22"/>
          <w:sz w:val="22"/>
          <w:lang w:val="fr-FR"/>
        </w:rPr>
        <w:t xml:space="preserve">les </w:t>
      </w:r>
      <w:r w:rsidR="00053E0E" w:rsidRPr="00142D5A">
        <w:rPr>
          <w:rFonts w:cs="Times New Roman"/>
          <w:kern w:val="22"/>
          <w:sz w:val="22"/>
          <w:lang w:val="fr-FR"/>
        </w:rPr>
        <w:t>entités</w:t>
      </w:r>
      <w:r w:rsidR="00502805">
        <w:rPr>
          <w:rFonts w:cs="Times New Roman"/>
          <w:kern w:val="22"/>
          <w:sz w:val="22"/>
          <w:lang w:val="fr-FR"/>
        </w:rPr>
        <w:t xml:space="preserve"> qui procèdent</w:t>
      </w:r>
      <w:r w:rsidR="00450CAE">
        <w:rPr>
          <w:rFonts w:cs="Times New Roman"/>
          <w:kern w:val="22"/>
          <w:sz w:val="22"/>
          <w:lang w:val="fr-FR"/>
        </w:rPr>
        <w:t xml:space="preserve"> à une ‘</w:t>
      </w:r>
      <w:r w:rsidR="00142D5A">
        <w:rPr>
          <w:rFonts w:cs="Times New Roman"/>
          <w:kern w:val="22"/>
          <w:sz w:val="22"/>
          <w:lang w:val="fr-FR"/>
        </w:rPr>
        <w:t>conce</w:t>
      </w:r>
      <w:r w:rsidR="00450CAE">
        <w:rPr>
          <w:rFonts w:cs="Times New Roman"/>
          <w:kern w:val="22"/>
          <w:sz w:val="22"/>
          <w:lang w:val="fr-FR"/>
        </w:rPr>
        <w:t>ption autour’</w:t>
      </w:r>
      <w:r w:rsidR="00142D5A">
        <w:rPr>
          <w:rFonts w:cs="Times New Roman"/>
          <w:kern w:val="22"/>
          <w:sz w:val="22"/>
          <w:lang w:val="fr-FR"/>
        </w:rPr>
        <w:t xml:space="preserve"> </w:t>
      </w:r>
      <w:r w:rsidR="001F55AB" w:rsidRPr="00142D5A">
        <w:rPr>
          <w:rFonts w:cs="Times New Roman"/>
          <w:kern w:val="22"/>
          <w:sz w:val="22"/>
          <w:lang w:val="fr-FR"/>
        </w:rPr>
        <w:t xml:space="preserve">ont utilisé </w:t>
      </w:r>
      <w:r w:rsidR="00450CAE">
        <w:rPr>
          <w:rFonts w:cs="Times New Roman"/>
          <w:kern w:val="22"/>
          <w:sz w:val="22"/>
          <w:lang w:val="fr-FR"/>
        </w:rPr>
        <w:t>d</w:t>
      </w:r>
      <w:r w:rsidR="00142D5A">
        <w:rPr>
          <w:rFonts w:cs="Times New Roman"/>
          <w:kern w:val="22"/>
          <w:sz w:val="22"/>
          <w:lang w:val="fr-FR"/>
        </w:rPr>
        <w:t>es</w:t>
      </w:r>
      <w:r w:rsidR="00525AC0" w:rsidRPr="00142D5A">
        <w:rPr>
          <w:rFonts w:cs="Times New Roman"/>
          <w:kern w:val="22"/>
          <w:sz w:val="22"/>
          <w:lang w:val="fr-FR"/>
        </w:rPr>
        <w:t xml:space="preserve"> </w:t>
      </w:r>
      <w:r w:rsidR="00E3674F" w:rsidRPr="00142D5A">
        <w:rPr>
          <w:rFonts w:cs="Times New Roman"/>
          <w:kern w:val="22"/>
          <w:sz w:val="22"/>
          <w:lang w:val="fr-FR"/>
        </w:rPr>
        <w:t>ressources génétiques</w:t>
      </w:r>
      <w:r w:rsidR="00142D5A">
        <w:rPr>
          <w:rFonts w:cs="Times New Roman"/>
          <w:kern w:val="22"/>
          <w:sz w:val="22"/>
          <w:lang w:val="fr-FR"/>
        </w:rPr>
        <w:t xml:space="preserve"> pour créer l’</w:t>
      </w:r>
      <w:r w:rsidR="00525AC0" w:rsidRPr="00142D5A">
        <w:rPr>
          <w:rFonts w:cs="Times New Roman"/>
          <w:kern w:val="22"/>
          <w:sz w:val="22"/>
          <w:lang w:val="fr-FR"/>
        </w:rPr>
        <w:t>invention</w:t>
      </w:r>
      <w:r w:rsidR="00142D5A">
        <w:rPr>
          <w:rFonts w:cs="Times New Roman"/>
          <w:kern w:val="22"/>
          <w:sz w:val="22"/>
          <w:lang w:val="fr-FR"/>
        </w:rPr>
        <w:t xml:space="preserve"> brevetée</w:t>
      </w:r>
      <w:r w:rsidR="00524705">
        <w:rPr>
          <w:rFonts w:cs="Times New Roman"/>
          <w:kern w:val="22"/>
          <w:sz w:val="22"/>
          <w:lang w:val="fr-FR"/>
        </w:rPr>
        <w:t>,</w:t>
      </w:r>
      <w:r w:rsidR="00E3674F" w:rsidRPr="00142D5A">
        <w:rPr>
          <w:rFonts w:cs="Times New Roman"/>
          <w:kern w:val="22"/>
          <w:sz w:val="22"/>
          <w:lang w:val="fr-FR"/>
        </w:rPr>
        <w:t xml:space="preserve"> et</w:t>
      </w:r>
      <w:r w:rsidR="00524705">
        <w:rPr>
          <w:rFonts w:cs="Times New Roman"/>
          <w:kern w:val="22"/>
          <w:sz w:val="22"/>
          <w:lang w:val="fr-FR"/>
        </w:rPr>
        <w:t xml:space="preserve"> un</w:t>
      </w:r>
      <w:r w:rsidR="00E3674F" w:rsidRPr="00142D5A">
        <w:rPr>
          <w:rFonts w:cs="Times New Roman"/>
          <w:kern w:val="22"/>
          <w:sz w:val="22"/>
          <w:lang w:val="fr-FR"/>
        </w:rPr>
        <w:t xml:space="preserve"> partage des </w:t>
      </w:r>
      <w:r w:rsidR="007D7761">
        <w:rPr>
          <w:rFonts w:cs="Times New Roman"/>
          <w:kern w:val="22"/>
          <w:sz w:val="22"/>
          <w:lang w:val="fr-FR"/>
        </w:rPr>
        <w:t>avantages résultant</w:t>
      </w:r>
      <w:r w:rsidR="00450CAE">
        <w:rPr>
          <w:rFonts w:cs="Times New Roman"/>
          <w:kern w:val="22"/>
          <w:sz w:val="22"/>
          <w:lang w:val="fr-FR"/>
        </w:rPr>
        <w:t xml:space="preserve"> de la nouvelle ‘</w:t>
      </w:r>
      <w:r w:rsidR="00142D5A">
        <w:rPr>
          <w:rFonts w:cs="Times New Roman"/>
          <w:kern w:val="22"/>
          <w:sz w:val="22"/>
          <w:lang w:val="fr-FR"/>
        </w:rPr>
        <w:t>conception</w:t>
      </w:r>
      <w:r w:rsidR="00525AC0" w:rsidRPr="00142D5A">
        <w:rPr>
          <w:rFonts w:cs="Times New Roman"/>
          <w:kern w:val="22"/>
          <w:sz w:val="22"/>
          <w:lang w:val="fr-FR"/>
        </w:rPr>
        <w:t xml:space="preserve"> </w:t>
      </w:r>
      <w:r w:rsidR="00450CAE">
        <w:rPr>
          <w:rFonts w:cs="Times New Roman"/>
          <w:kern w:val="22"/>
          <w:sz w:val="22"/>
          <w:lang w:val="fr-FR"/>
        </w:rPr>
        <w:t>autour’</w:t>
      </w:r>
      <w:r w:rsidR="00142D5A">
        <w:rPr>
          <w:rFonts w:cs="Times New Roman"/>
          <w:kern w:val="22"/>
          <w:sz w:val="22"/>
          <w:lang w:val="fr-FR"/>
        </w:rPr>
        <w:t xml:space="preserve"> peut être exigé en vertu de leurs lois</w:t>
      </w:r>
      <w:r w:rsidR="00450CAE">
        <w:rPr>
          <w:rFonts w:cs="Times New Roman"/>
          <w:kern w:val="22"/>
          <w:sz w:val="22"/>
          <w:lang w:val="fr-FR"/>
        </w:rPr>
        <w:t xml:space="preserve"> nationales</w:t>
      </w:r>
      <w:r w:rsidR="00142D5A">
        <w:rPr>
          <w:rFonts w:cs="Times New Roman"/>
          <w:kern w:val="22"/>
          <w:sz w:val="22"/>
          <w:lang w:val="fr-FR"/>
        </w:rPr>
        <w:t xml:space="preserve"> sur l’</w:t>
      </w:r>
      <w:r w:rsidR="00A70F9B" w:rsidRPr="00142D5A">
        <w:rPr>
          <w:rFonts w:cs="Times New Roman"/>
          <w:kern w:val="22"/>
          <w:sz w:val="22"/>
          <w:lang w:val="fr-FR"/>
        </w:rPr>
        <w:t xml:space="preserve">accès et </w:t>
      </w:r>
      <w:r w:rsidR="00142D5A">
        <w:rPr>
          <w:rFonts w:cs="Times New Roman"/>
          <w:kern w:val="22"/>
          <w:sz w:val="22"/>
          <w:lang w:val="fr-FR"/>
        </w:rPr>
        <w:t xml:space="preserve">le </w:t>
      </w:r>
      <w:r w:rsidR="00A70F9B" w:rsidRPr="00142D5A">
        <w:rPr>
          <w:rFonts w:cs="Times New Roman"/>
          <w:kern w:val="22"/>
          <w:sz w:val="22"/>
          <w:lang w:val="fr-FR"/>
        </w:rPr>
        <w:t>partage des avantages</w:t>
      </w:r>
      <w:r w:rsidR="00757F9A" w:rsidRPr="00142D5A">
        <w:rPr>
          <w:rFonts w:cs="Times New Roman"/>
          <w:kern w:val="22"/>
          <w:sz w:val="22"/>
          <w:lang w:val="fr-FR"/>
        </w:rPr>
        <w:t>.</w:t>
      </w:r>
      <w:r w:rsidR="00525AC0" w:rsidRPr="00142D5A">
        <w:rPr>
          <w:rFonts w:cs="Times New Roman"/>
          <w:kern w:val="22"/>
          <w:sz w:val="22"/>
          <w:lang w:val="fr-FR"/>
        </w:rPr>
        <w:t xml:space="preserve"> </w:t>
      </w:r>
      <w:r w:rsidR="00D6232E" w:rsidRPr="00142D5A">
        <w:rPr>
          <w:rFonts w:cs="Times New Roman"/>
          <w:kern w:val="22"/>
          <w:sz w:val="22"/>
          <w:lang w:val="fr-FR"/>
        </w:rPr>
        <w:t>Cependant</w:t>
      </w:r>
      <w:r w:rsidR="00C06974" w:rsidRPr="00142D5A">
        <w:rPr>
          <w:rFonts w:cs="Times New Roman"/>
          <w:kern w:val="22"/>
          <w:sz w:val="22"/>
          <w:lang w:val="fr-FR"/>
        </w:rPr>
        <w:t xml:space="preserve">, </w:t>
      </w:r>
      <w:r w:rsidR="00142D5A">
        <w:rPr>
          <w:rFonts w:cs="Times New Roman"/>
          <w:kern w:val="22"/>
          <w:sz w:val="22"/>
          <w:lang w:val="fr-FR"/>
        </w:rPr>
        <w:t xml:space="preserve">des </w:t>
      </w:r>
      <w:r w:rsidR="00F4156B" w:rsidRPr="00142D5A">
        <w:rPr>
          <w:rFonts w:cs="Times New Roman"/>
          <w:kern w:val="22"/>
          <w:sz w:val="22"/>
          <w:lang w:val="fr-FR"/>
        </w:rPr>
        <w:t>négociation</w:t>
      </w:r>
      <w:r w:rsidR="00142D5A">
        <w:rPr>
          <w:rFonts w:cs="Times New Roman"/>
          <w:kern w:val="22"/>
          <w:sz w:val="22"/>
          <w:lang w:val="fr-FR"/>
        </w:rPr>
        <w:t xml:space="preserve">s bilatérales ne sont pas toujours </w:t>
      </w:r>
      <w:r w:rsidR="00757F9A" w:rsidRPr="00142D5A">
        <w:rPr>
          <w:rFonts w:cs="Times New Roman"/>
          <w:kern w:val="22"/>
          <w:sz w:val="22"/>
          <w:lang w:val="fr-FR"/>
        </w:rPr>
        <w:t>possible</w:t>
      </w:r>
      <w:r w:rsidR="00524705">
        <w:rPr>
          <w:rFonts w:cs="Times New Roman"/>
          <w:kern w:val="22"/>
          <w:sz w:val="22"/>
          <w:lang w:val="fr-FR"/>
        </w:rPr>
        <w:t>s, lorsque l’identité du</w:t>
      </w:r>
      <w:r w:rsidR="00757F9A" w:rsidRPr="00142D5A">
        <w:rPr>
          <w:rFonts w:cs="Times New Roman"/>
          <w:kern w:val="22"/>
          <w:sz w:val="22"/>
          <w:lang w:val="fr-FR"/>
        </w:rPr>
        <w:t xml:space="preserve"> </w:t>
      </w:r>
      <w:r w:rsidR="00695005" w:rsidRPr="00142D5A">
        <w:rPr>
          <w:rFonts w:cs="Times New Roman"/>
          <w:kern w:val="22"/>
          <w:sz w:val="22"/>
          <w:lang w:val="fr-FR"/>
        </w:rPr>
        <w:t>pays fournisseur des</w:t>
      </w:r>
      <w:r w:rsidR="00525AC0" w:rsidRPr="00142D5A">
        <w:rPr>
          <w:rFonts w:cs="Times New Roman"/>
          <w:kern w:val="22"/>
          <w:sz w:val="22"/>
          <w:lang w:val="fr-FR"/>
        </w:rPr>
        <w:t xml:space="preserve"> </w:t>
      </w:r>
      <w:r w:rsidR="00E3674F" w:rsidRPr="00142D5A">
        <w:rPr>
          <w:rFonts w:cs="Times New Roman"/>
          <w:kern w:val="22"/>
          <w:sz w:val="22"/>
          <w:lang w:val="fr-FR"/>
        </w:rPr>
        <w:t>ressources génétiques</w:t>
      </w:r>
      <w:r w:rsidR="00142D5A">
        <w:rPr>
          <w:rFonts w:cs="Times New Roman"/>
          <w:kern w:val="22"/>
          <w:sz w:val="22"/>
          <w:lang w:val="fr-FR"/>
        </w:rPr>
        <w:t xml:space="preserve"> n’est pas</w:t>
      </w:r>
      <w:r w:rsidR="00524705">
        <w:rPr>
          <w:rFonts w:cs="Times New Roman"/>
          <w:kern w:val="22"/>
          <w:sz w:val="22"/>
          <w:lang w:val="fr-FR"/>
        </w:rPr>
        <w:t xml:space="preserve"> </w:t>
      </w:r>
      <w:r w:rsidR="00502805">
        <w:rPr>
          <w:rFonts w:cs="Times New Roman"/>
          <w:kern w:val="22"/>
          <w:sz w:val="22"/>
          <w:lang w:val="fr-FR"/>
        </w:rPr>
        <w:t>connu</w:t>
      </w:r>
      <w:r w:rsidR="00524705">
        <w:rPr>
          <w:rFonts w:cs="Times New Roman"/>
          <w:kern w:val="22"/>
          <w:sz w:val="22"/>
          <w:lang w:val="fr-FR"/>
        </w:rPr>
        <w:t xml:space="preserve">e, ou </w:t>
      </w:r>
      <w:r w:rsidR="00502805">
        <w:rPr>
          <w:rFonts w:cs="Times New Roman"/>
          <w:kern w:val="22"/>
          <w:sz w:val="22"/>
          <w:lang w:val="fr-FR"/>
        </w:rPr>
        <w:t>lorsque</w:t>
      </w:r>
      <w:r w:rsidR="00142D5A">
        <w:rPr>
          <w:rFonts w:cs="Times New Roman"/>
          <w:kern w:val="22"/>
          <w:sz w:val="22"/>
          <w:lang w:val="fr-FR"/>
        </w:rPr>
        <w:t xml:space="preserve"> de </w:t>
      </w:r>
      <w:r w:rsidR="00525AC0" w:rsidRPr="00142D5A">
        <w:rPr>
          <w:rFonts w:cs="Times New Roman"/>
          <w:kern w:val="22"/>
          <w:sz w:val="22"/>
          <w:lang w:val="fr-FR"/>
        </w:rPr>
        <w:t>multiple</w:t>
      </w:r>
      <w:r w:rsidR="00142D5A">
        <w:rPr>
          <w:rFonts w:cs="Times New Roman"/>
          <w:kern w:val="22"/>
          <w:sz w:val="22"/>
          <w:lang w:val="fr-FR"/>
        </w:rPr>
        <w:t>s</w:t>
      </w:r>
      <w:r w:rsidR="00525AC0" w:rsidRPr="00142D5A">
        <w:rPr>
          <w:rFonts w:cs="Times New Roman"/>
          <w:kern w:val="22"/>
          <w:sz w:val="22"/>
          <w:lang w:val="fr-FR"/>
        </w:rPr>
        <w:t xml:space="preserve"> </w:t>
      </w:r>
      <w:r w:rsidR="00651FB0" w:rsidRPr="00142D5A">
        <w:rPr>
          <w:rFonts w:cs="Times New Roman"/>
          <w:kern w:val="22"/>
          <w:sz w:val="22"/>
          <w:lang w:val="fr-FR"/>
        </w:rPr>
        <w:t>espèces</w:t>
      </w:r>
      <w:r w:rsidR="00142D5A">
        <w:rPr>
          <w:rFonts w:cs="Times New Roman"/>
          <w:kern w:val="22"/>
          <w:sz w:val="22"/>
          <w:lang w:val="fr-FR"/>
        </w:rPr>
        <w:t xml:space="preserve"> provenant de </w:t>
      </w:r>
      <w:r w:rsidR="00502805">
        <w:rPr>
          <w:rFonts w:cs="Times New Roman"/>
          <w:kern w:val="22"/>
          <w:sz w:val="22"/>
          <w:lang w:val="fr-FR"/>
        </w:rPr>
        <w:t>différents endroits ont été utilisées</w:t>
      </w:r>
      <w:r w:rsidR="00525AC0" w:rsidRPr="00142D5A">
        <w:rPr>
          <w:rFonts w:cs="Times New Roman"/>
          <w:kern w:val="22"/>
          <w:sz w:val="22"/>
          <w:lang w:val="fr-FR"/>
        </w:rPr>
        <w:t>.</w:t>
      </w:r>
      <w:r w:rsidR="00B110DC" w:rsidRPr="002364AB">
        <w:rPr>
          <w:rStyle w:val="FootnoteReference"/>
          <w:rFonts w:cs="Times New Roman"/>
          <w:kern w:val="22"/>
          <w:sz w:val="22"/>
          <w:lang w:val="en-GB"/>
        </w:rPr>
        <w:footnoteReference w:id="149"/>
      </w:r>
    </w:p>
    <w:p w14:paraId="29797C3B" w14:textId="43AA8273" w:rsidR="00FC5588" w:rsidRPr="0072393B" w:rsidRDefault="008627A9" w:rsidP="00707D9C">
      <w:pPr>
        <w:pStyle w:val="Heading3"/>
        <w:rPr>
          <w:kern w:val="22"/>
          <w:sz w:val="22"/>
          <w:szCs w:val="22"/>
          <w:lang w:val="fr-FR"/>
        </w:rPr>
      </w:pPr>
      <w:bookmarkStart w:id="147" w:name="_Toc31040297"/>
      <w:bookmarkStart w:id="148" w:name="_Toc31056865"/>
      <w:bookmarkStart w:id="149" w:name="_Toc32490881"/>
      <w:bookmarkStart w:id="150" w:name="_Toc34249592"/>
      <w:bookmarkStart w:id="151" w:name="_Toc39580433"/>
      <w:bookmarkStart w:id="152" w:name="_Toc48914802"/>
      <w:r w:rsidRPr="0072393B">
        <w:rPr>
          <w:kern w:val="22"/>
          <w:sz w:val="22"/>
          <w:szCs w:val="22"/>
          <w:lang w:val="fr-FR"/>
        </w:rPr>
        <w:lastRenderedPageBreak/>
        <w:t>Utilisation</w:t>
      </w:r>
      <w:r w:rsidR="00AD37E2">
        <w:rPr>
          <w:kern w:val="22"/>
          <w:sz w:val="22"/>
          <w:szCs w:val="22"/>
          <w:lang w:val="fr-FR"/>
        </w:rPr>
        <w:t xml:space="preserve"> de c</w:t>
      </w:r>
      <w:r w:rsidR="0058634A">
        <w:rPr>
          <w:kern w:val="22"/>
          <w:sz w:val="22"/>
          <w:szCs w:val="22"/>
          <w:lang w:val="fr-FR"/>
        </w:rPr>
        <w:t>omposé</w:t>
      </w:r>
      <w:r w:rsidR="0072393B" w:rsidRPr="0072393B">
        <w:rPr>
          <w:kern w:val="22"/>
          <w:sz w:val="22"/>
          <w:szCs w:val="22"/>
          <w:lang w:val="fr-FR"/>
        </w:rPr>
        <w:t>s génétiques</w:t>
      </w:r>
      <w:r w:rsidR="00FC5588" w:rsidRPr="0072393B">
        <w:rPr>
          <w:kern w:val="22"/>
          <w:sz w:val="22"/>
          <w:szCs w:val="22"/>
          <w:lang w:val="fr-FR"/>
        </w:rPr>
        <w:t xml:space="preserve"> </w:t>
      </w:r>
      <w:r w:rsidR="0058634A">
        <w:rPr>
          <w:kern w:val="22"/>
          <w:sz w:val="22"/>
          <w:szCs w:val="22"/>
          <w:lang w:val="fr-FR"/>
        </w:rPr>
        <w:t>provenant</w:t>
      </w:r>
      <w:r w:rsidR="00F3205A">
        <w:rPr>
          <w:kern w:val="22"/>
          <w:sz w:val="22"/>
          <w:szCs w:val="22"/>
          <w:lang w:val="fr-FR"/>
        </w:rPr>
        <w:t xml:space="preserve"> de multiples </w:t>
      </w:r>
      <w:r w:rsidR="0072393B" w:rsidRPr="0072393B">
        <w:rPr>
          <w:kern w:val="22"/>
          <w:sz w:val="22"/>
          <w:szCs w:val="22"/>
          <w:lang w:val="fr-FR"/>
        </w:rPr>
        <w:t>organismes</w:t>
      </w:r>
      <w:bookmarkEnd w:id="147"/>
      <w:bookmarkEnd w:id="148"/>
      <w:bookmarkEnd w:id="149"/>
      <w:bookmarkEnd w:id="150"/>
      <w:bookmarkEnd w:id="151"/>
      <w:bookmarkEnd w:id="152"/>
    </w:p>
    <w:p w14:paraId="58CA9E98" w14:textId="4E089491" w:rsidR="00527AA2" w:rsidRPr="00A273AB" w:rsidRDefault="00A273AB" w:rsidP="00A349E9">
      <w:pPr>
        <w:spacing w:after="120"/>
        <w:rPr>
          <w:rFonts w:eastAsia="Batang" w:cs="Times New Roman"/>
          <w:kern w:val="22"/>
          <w:sz w:val="22"/>
          <w:lang w:val="fr-FR"/>
        </w:rPr>
      </w:pPr>
      <w:r>
        <w:rPr>
          <w:rFonts w:eastAsia="Batang" w:cs="Times New Roman"/>
          <w:kern w:val="22"/>
          <w:sz w:val="22"/>
          <w:lang w:val="fr-FR"/>
        </w:rPr>
        <w:t>Des approches plus récentes en matière de</w:t>
      </w:r>
      <w:r w:rsidR="00DB2D77" w:rsidRPr="00121FCD">
        <w:rPr>
          <w:rFonts w:eastAsia="Batang" w:cs="Times New Roman"/>
          <w:kern w:val="22"/>
          <w:sz w:val="22"/>
          <w:lang w:val="fr-FR"/>
        </w:rPr>
        <w:t xml:space="preserve"> </w:t>
      </w:r>
      <w:r w:rsidR="00121FCD" w:rsidRPr="00121FCD">
        <w:rPr>
          <w:rFonts w:eastAsia="Batang" w:cs="Times New Roman"/>
          <w:kern w:val="22"/>
          <w:sz w:val="22"/>
          <w:lang w:val="fr-FR"/>
        </w:rPr>
        <w:t>recherche</w:t>
      </w:r>
      <w:r w:rsidR="00DB2D77" w:rsidRPr="00121FCD">
        <w:rPr>
          <w:rFonts w:eastAsia="Batang" w:cs="Times New Roman"/>
          <w:kern w:val="22"/>
          <w:sz w:val="22"/>
          <w:lang w:val="fr-FR"/>
        </w:rPr>
        <w:t xml:space="preserve">, </w:t>
      </w:r>
      <w:r w:rsidR="00733DB1" w:rsidRPr="00121FCD">
        <w:rPr>
          <w:rFonts w:eastAsia="Batang" w:cs="Times New Roman"/>
          <w:kern w:val="22"/>
          <w:sz w:val="22"/>
          <w:lang w:val="fr-FR"/>
        </w:rPr>
        <w:t>tel</w:t>
      </w:r>
      <w:r>
        <w:rPr>
          <w:rFonts w:eastAsia="Batang" w:cs="Times New Roman"/>
          <w:kern w:val="22"/>
          <w:sz w:val="22"/>
          <w:lang w:val="fr-FR"/>
        </w:rPr>
        <w:t>le</w:t>
      </w:r>
      <w:r w:rsidR="00733DB1" w:rsidRPr="00121FCD">
        <w:rPr>
          <w:rFonts w:eastAsia="Batang" w:cs="Times New Roman"/>
          <w:kern w:val="22"/>
          <w:sz w:val="22"/>
          <w:lang w:val="fr-FR"/>
        </w:rPr>
        <w:t>s que</w:t>
      </w:r>
      <w:r w:rsidR="00DB2D77" w:rsidRPr="00121FCD">
        <w:rPr>
          <w:rFonts w:eastAsia="Batang" w:cs="Times New Roman"/>
          <w:kern w:val="22"/>
          <w:sz w:val="22"/>
          <w:lang w:val="fr-FR"/>
        </w:rPr>
        <w:t xml:space="preserve"> </w:t>
      </w:r>
      <w:r>
        <w:rPr>
          <w:rFonts w:eastAsia="Batang" w:cs="Times New Roman"/>
          <w:kern w:val="22"/>
          <w:sz w:val="22"/>
          <w:lang w:val="fr-FR"/>
        </w:rPr>
        <w:t xml:space="preserve">la </w:t>
      </w:r>
      <w:r w:rsidR="00FB0054" w:rsidRPr="00121FCD">
        <w:rPr>
          <w:rFonts w:eastAsia="Batang" w:cs="Times New Roman"/>
          <w:kern w:val="22"/>
          <w:sz w:val="22"/>
          <w:lang w:val="fr-FR"/>
        </w:rPr>
        <w:t>biologie de synthèse</w:t>
      </w:r>
      <w:r w:rsidR="00DB2D77" w:rsidRPr="00121FCD">
        <w:rPr>
          <w:rFonts w:eastAsia="Batang" w:cs="Times New Roman"/>
          <w:kern w:val="22"/>
          <w:sz w:val="22"/>
          <w:lang w:val="fr-FR"/>
        </w:rPr>
        <w:t xml:space="preserve">, </w:t>
      </w:r>
      <w:r>
        <w:rPr>
          <w:rFonts w:eastAsia="Batang" w:cs="Times New Roman"/>
          <w:kern w:val="22"/>
          <w:sz w:val="22"/>
          <w:lang w:val="fr-FR"/>
        </w:rPr>
        <w:t>peuvent aussi inclure des</w:t>
      </w:r>
      <w:r w:rsidR="00DB2D77" w:rsidRPr="00121FCD">
        <w:rPr>
          <w:rFonts w:eastAsia="Batang" w:cs="Times New Roman"/>
          <w:kern w:val="22"/>
          <w:sz w:val="22"/>
          <w:lang w:val="fr-FR"/>
        </w:rPr>
        <w:t xml:space="preserve"> </w:t>
      </w:r>
      <w:r w:rsidR="00E752CB" w:rsidRPr="00121FCD">
        <w:rPr>
          <w:rFonts w:eastAsia="Batang" w:cs="Times New Roman"/>
          <w:kern w:val="22"/>
          <w:sz w:val="22"/>
          <w:lang w:val="fr-FR"/>
        </w:rPr>
        <w:t>scénario</w:t>
      </w:r>
      <w:r w:rsidR="00DB2D77" w:rsidRPr="00121FCD">
        <w:rPr>
          <w:rFonts w:eastAsia="Batang" w:cs="Times New Roman"/>
          <w:kern w:val="22"/>
          <w:sz w:val="22"/>
          <w:lang w:val="fr-FR"/>
        </w:rPr>
        <w:t xml:space="preserve">s </w:t>
      </w:r>
      <w:r>
        <w:rPr>
          <w:rFonts w:eastAsia="Batang" w:cs="Times New Roman"/>
          <w:kern w:val="22"/>
          <w:sz w:val="22"/>
          <w:lang w:val="fr-FR"/>
        </w:rPr>
        <w:t>dans lesquels un modèle bilatéral de</w:t>
      </w:r>
      <w:r w:rsidR="00DB2D77" w:rsidRPr="00121FCD">
        <w:rPr>
          <w:rFonts w:eastAsia="Batang" w:cs="Times New Roman"/>
          <w:kern w:val="22"/>
          <w:sz w:val="22"/>
          <w:lang w:val="fr-FR"/>
        </w:rPr>
        <w:t xml:space="preserve"> </w:t>
      </w:r>
      <w:r w:rsidR="00E3674F" w:rsidRPr="00121FCD">
        <w:rPr>
          <w:rFonts w:eastAsia="Batang" w:cs="Times New Roman"/>
          <w:kern w:val="22"/>
          <w:sz w:val="22"/>
          <w:lang w:val="fr-FR"/>
        </w:rPr>
        <w:t>partage des avantages</w:t>
      </w:r>
      <w:r w:rsidR="00DB2D77" w:rsidRPr="00121FCD">
        <w:rPr>
          <w:rFonts w:eastAsia="Batang" w:cs="Times New Roman"/>
          <w:kern w:val="22"/>
          <w:sz w:val="22"/>
          <w:lang w:val="fr-FR"/>
        </w:rPr>
        <w:t xml:space="preserve"> </w:t>
      </w:r>
      <w:r>
        <w:rPr>
          <w:rFonts w:eastAsia="Batang" w:cs="Times New Roman"/>
          <w:kern w:val="22"/>
          <w:sz w:val="22"/>
          <w:lang w:val="fr-FR"/>
        </w:rPr>
        <w:t xml:space="preserve">est impossible ou infaisable en pratique. </w:t>
      </w:r>
      <w:r w:rsidRPr="00A273AB">
        <w:rPr>
          <w:rFonts w:eastAsia="Batang" w:cs="Times New Roman"/>
          <w:kern w:val="22"/>
          <w:sz w:val="22"/>
          <w:lang w:val="fr-FR"/>
        </w:rPr>
        <w:t>La b</w:t>
      </w:r>
      <w:r w:rsidR="00FB0054" w:rsidRPr="00A273AB">
        <w:rPr>
          <w:rFonts w:eastAsia="Batang" w:cs="Times New Roman"/>
          <w:kern w:val="22"/>
          <w:sz w:val="22"/>
          <w:lang w:val="fr-FR"/>
        </w:rPr>
        <w:t>iologie de synthèse</w:t>
      </w:r>
      <w:r w:rsidRPr="00A273AB">
        <w:rPr>
          <w:rFonts w:eastAsia="Batang" w:cs="Times New Roman"/>
          <w:kern w:val="22"/>
          <w:sz w:val="22"/>
          <w:lang w:val="fr-FR"/>
        </w:rPr>
        <w:t xml:space="preserve"> est fondée sur l’idée que tout sys</w:t>
      </w:r>
      <w:r>
        <w:rPr>
          <w:rFonts w:eastAsia="Batang" w:cs="Times New Roman"/>
          <w:kern w:val="22"/>
          <w:sz w:val="22"/>
          <w:lang w:val="fr-FR"/>
        </w:rPr>
        <w:t>tème</w:t>
      </w:r>
      <w:r w:rsidR="00A65869" w:rsidRPr="00A273AB">
        <w:rPr>
          <w:rFonts w:eastAsia="Batang" w:cs="Times New Roman"/>
          <w:kern w:val="22"/>
          <w:sz w:val="22"/>
          <w:lang w:val="fr-FR"/>
        </w:rPr>
        <w:t xml:space="preserve"> </w:t>
      </w:r>
      <w:r>
        <w:rPr>
          <w:rFonts w:eastAsia="Batang" w:cs="Times New Roman"/>
          <w:kern w:val="22"/>
          <w:sz w:val="22"/>
          <w:lang w:val="fr-FR"/>
        </w:rPr>
        <w:t>biologique</w:t>
      </w:r>
      <w:r w:rsidR="00A65869" w:rsidRPr="00A273AB">
        <w:rPr>
          <w:rFonts w:eastAsia="Batang" w:cs="Times New Roman"/>
          <w:kern w:val="22"/>
          <w:sz w:val="22"/>
          <w:lang w:val="fr-FR"/>
        </w:rPr>
        <w:t xml:space="preserve"> </w:t>
      </w:r>
      <w:r>
        <w:rPr>
          <w:rFonts w:eastAsia="Batang" w:cs="Times New Roman"/>
          <w:kern w:val="22"/>
          <w:sz w:val="22"/>
          <w:lang w:val="fr-FR"/>
        </w:rPr>
        <w:t>peut être con</w:t>
      </w:r>
      <w:r w:rsidR="00CA2F1D">
        <w:rPr>
          <w:rFonts w:eastAsia="Batang" w:cs="Times New Roman"/>
          <w:kern w:val="22"/>
          <w:sz w:val="22"/>
          <w:lang w:val="fr-FR"/>
        </w:rPr>
        <w:t>sidéré comme un ensemble</w:t>
      </w:r>
      <w:r>
        <w:rPr>
          <w:rFonts w:eastAsia="Batang" w:cs="Times New Roman"/>
          <w:kern w:val="22"/>
          <w:sz w:val="22"/>
          <w:lang w:val="fr-FR"/>
        </w:rPr>
        <w:t xml:space="preserve"> d’</w:t>
      </w:r>
      <w:r w:rsidR="00130D0F" w:rsidRPr="00A273AB">
        <w:rPr>
          <w:rFonts w:eastAsia="Batang" w:cs="Times New Roman"/>
          <w:kern w:val="22"/>
          <w:sz w:val="22"/>
          <w:lang w:val="fr-FR"/>
        </w:rPr>
        <w:t>élément</w:t>
      </w:r>
      <w:r w:rsidR="00A65869" w:rsidRPr="00A273AB">
        <w:rPr>
          <w:rFonts w:eastAsia="Batang" w:cs="Times New Roman"/>
          <w:kern w:val="22"/>
          <w:sz w:val="22"/>
          <w:lang w:val="fr-FR"/>
        </w:rPr>
        <w:t>s</w:t>
      </w:r>
      <w:r w:rsidR="0028742E" w:rsidRPr="00A273AB">
        <w:rPr>
          <w:rFonts w:eastAsia="Batang" w:cs="Times New Roman"/>
          <w:kern w:val="22"/>
          <w:sz w:val="22"/>
          <w:lang w:val="fr-FR"/>
        </w:rPr>
        <w:t xml:space="preserve"> ou </w:t>
      </w:r>
      <w:r w:rsidR="00CA2F1D">
        <w:rPr>
          <w:rFonts w:eastAsia="Batang" w:cs="Times New Roman"/>
          <w:kern w:val="22"/>
          <w:sz w:val="22"/>
          <w:lang w:val="fr-FR"/>
        </w:rPr>
        <w:t xml:space="preserve">de </w:t>
      </w:r>
      <w:r w:rsidR="00A65869" w:rsidRPr="00A273AB">
        <w:rPr>
          <w:rFonts w:eastAsia="Batang" w:cs="Times New Roman"/>
          <w:kern w:val="22"/>
          <w:sz w:val="22"/>
          <w:lang w:val="fr-FR"/>
        </w:rPr>
        <w:t>part</w:t>
      </w:r>
      <w:r>
        <w:rPr>
          <w:rFonts w:eastAsia="Batang" w:cs="Times New Roman"/>
          <w:kern w:val="22"/>
          <w:sz w:val="22"/>
          <w:lang w:val="fr-FR"/>
        </w:rPr>
        <w:t>ie</w:t>
      </w:r>
      <w:r w:rsidR="00A65869" w:rsidRPr="00A273AB">
        <w:rPr>
          <w:rFonts w:eastAsia="Batang" w:cs="Times New Roman"/>
          <w:kern w:val="22"/>
          <w:sz w:val="22"/>
          <w:lang w:val="fr-FR"/>
        </w:rPr>
        <w:t>s</w:t>
      </w:r>
      <w:r>
        <w:rPr>
          <w:rFonts w:eastAsia="Batang" w:cs="Times New Roman"/>
          <w:kern w:val="22"/>
          <w:sz w:val="22"/>
          <w:lang w:val="fr-FR"/>
        </w:rPr>
        <w:t xml:space="preserve"> fonctionnels, qui peuvent être </w:t>
      </w:r>
      <w:r w:rsidR="00CA2F1D">
        <w:rPr>
          <w:rFonts w:eastAsia="Batang" w:cs="Times New Roman"/>
          <w:kern w:val="22"/>
          <w:sz w:val="22"/>
          <w:lang w:val="fr-FR"/>
        </w:rPr>
        <w:t>organisés d’une nouvelle façon</w:t>
      </w:r>
      <w:r>
        <w:rPr>
          <w:rFonts w:eastAsia="Batang" w:cs="Times New Roman"/>
          <w:kern w:val="22"/>
          <w:sz w:val="22"/>
          <w:lang w:val="fr-FR"/>
        </w:rPr>
        <w:t xml:space="preserve"> afin de modifier des</w:t>
      </w:r>
      <w:r w:rsidR="00A65869" w:rsidRPr="00A273AB">
        <w:rPr>
          <w:rFonts w:eastAsia="Batang" w:cs="Times New Roman"/>
          <w:kern w:val="22"/>
          <w:sz w:val="22"/>
          <w:lang w:val="fr-FR"/>
        </w:rPr>
        <w:t xml:space="preserve"> </w:t>
      </w:r>
      <w:r w:rsidR="00707D5F" w:rsidRPr="00A273AB">
        <w:rPr>
          <w:rFonts w:eastAsia="Batang" w:cs="Times New Roman"/>
          <w:kern w:val="22"/>
          <w:sz w:val="22"/>
          <w:lang w:val="fr-FR"/>
        </w:rPr>
        <w:t>organismes vivants</w:t>
      </w:r>
      <w:r w:rsidR="0028742E" w:rsidRPr="00A273AB">
        <w:rPr>
          <w:rFonts w:eastAsia="Batang" w:cs="Times New Roman"/>
          <w:kern w:val="22"/>
          <w:sz w:val="22"/>
          <w:lang w:val="fr-FR"/>
        </w:rPr>
        <w:t xml:space="preserve"> ou </w:t>
      </w:r>
      <w:r>
        <w:rPr>
          <w:rFonts w:eastAsia="Calibri"/>
          <w:kern w:val="22"/>
          <w:sz w:val="22"/>
          <w:lang w:val="fr-FR"/>
        </w:rPr>
        <w:t>de créer des</w:t>
      </w:r>
      <w:r w:rsidR="001562C2" w:rsidRPr="00A273AB">
        <w:rPr>
          <w:rFonts w:eastAsia="Calibri"/>
          <w:kern w:val="22"/>
          <w:sz w:val="22"/>
          <w:lang w:val="fr-FR"/>
        </w:rPr>
        <w:t xml:space="preserve"> </w:t>
      </w:r>
      <w:r w:rsidR="00D9629D" w:rsidRPr="00A273AB">
        <w:rPr>
          <w:rFonts w:eastAsia="Calibri"/>
          <w:kern w:val="22"/>
          <w:sz w:val="22"/>
          <w:lang w:val="fr-FR"/>
        </w:rPr>
        <w:t>produit</w:t>
      </w:r>
      <w:r w:rsidR="001562C2" w:rsidRPr="00A273AB">
        <w:rPr>
          <w:rFonts w:eastAsia="Calibri"/>
          <w:kern w:val="22"/>
          <w:sz w:val="22"/>
          <w:lang w:val="fr-FR"/>
        </w:rPr>
        <w:t>s</w:t>
      </w:r>
      <w:r w:rsidR="0028742E" w:rsidRPr="00A273AB">
        <w:rPr>
          <w:rFonts w:eastAsia="Calibri"/>
          <w:kern w:val="22"/>
          <w:sz w:val="22"/>
          <w:lang w:val="fr-FR"/>
        </w:rPr>
        <w:t xml:space="preserve"> ou </w:t>
      </w:r>
      <w:r>
        <w:rPr>
          <w:rFonts w:eastAsia="Calibri"/>
          <w:kern w:val="22"/>
          <w:sz w:val="22"/>
          <w:lang w:val="fr-FR"/>
        </w:rPr>
        <w:t>composé</w:t>
      </w:r>
      <w:r w:rsidR="001562C2" w:rsidRPr="00A273AB">
        <w:rPr>
          <w:rFonts w:eastAsia="Calibri"/>
          <w:kern w:val="22"/>
          <w:sz w:val="22"/>
          <w:lang w:val="fr-FR"/>
        </w:rPr>
        <w:t>s</w:t>
      </w:r>
      <w:r>
        <w:rPr>
          <w:rFonts w:eastAsia="Calibri"/>
          <w:kern w:val="22"/>
          <w:sz w:val="22"/>
          <w:lang w:val="fr-FR"/>
        </w:rPr>
        <w:t xml:space="preserve"> synthétiques</w:t>
      </w:r>
      <w:r w:rsidR="00A65869" w:rsidRPr="00A273AB">
        <w:rPr>
          <w:rFonts w:eastAsia="Batang" w:cs="Times New Roman"/>
          <w:kern w:val="22"/>
          <w:sz w:val="22"/>
          <w:lang w:val="fr-FR"/>
        </w:rPr>
        <w:t>.</w:t>
      </w:r>
      <w:r w:rsidR="00A65869" w:rsidRPr="002364AB">
        <w:rPr>
          <w:rStyle w:val="FootnoteReference"/>
          <w:kern w:val="22"/>
          <w:sz w:val="22"/>
          <w:lang w:val="en-GB"/>
        </w:rPr>
        <w:footnoteReference w:id="150"/>
      </w:r>
      <w:r w:rsidR="00A65869" w:rsidRPr="00A273AB">
        <w:rPr>
          <w:rFonts w:eastAsia="Batang" w:cs="Times New Roman"/>
          <w:kern w:val="22"/>
          <w:sz w:val="22"/>
          <w:lang w:val="fr-FR"/>
        </w:rPr>
        <w:t xml:space="preserve"> </w:t>
      </w:r>
      <w:r w:rsidRPr="00A273AB">
        <w:rPr>
          <w:rFonts w:eastAsia="Batang" w:cs="Times New Roman"/>
          <w:kern w:val="22"/>
          <w:sz w:val="22"/>
          <w:lang w:val="fr-FR"/>
        </w:rPr>
        <w:t>La</w:t>
      </w:r>
      <w:r>
        <w:rPr>
          <w:rFonts w:eastAsia="Batang" w:cs="Times New Roman"/>
          <w:kern w:val="22"/>
          <w:sz w:val="22"/>
          <w:lang w:val="fr-FR"/>
        </w:rPr>
        <w:t xml:space="preserve"> réunion </w:t>
      </w:r>
      <w:r w:rsidR="009B471E">
        <w:rPr>
          <w:rFonts w:eastAsia="Batang" w:cs="Times New Roman"/>
          <w:kern w:val="22"/>
          <w:sz w:val="22"/>
          <w:lang w:val="fr-FR"/>
        </w:rPr>
        <w:t>de</w:t>
      </w:r>
      <w:r w:rsidR="009F4D85" w:rsidRPr="00A273AB">
        <w:rPr>
          <w:rFonts w:eastAsia="Batang" w:cs="Times New Roman"/>
          <w:kern w:val="22"/>
          <w:sz w:val="22"/>
          <w:lang w:val="fr-FR"/>
        </w:rPr>
        <w:t xml:space="preserve"> </w:t>
      </w:r>
      <w:r w:rsidR="00B40C10" w:rsidRPr="00A273AB">
        <w:rPr>
          <w:rFonts w:eastAsia="Batang" w:cs="Times New Roman"/>
          <w:kern w:val="22"/>
          <w:sz w:val="22"/>
          <w:lang w:val="fr-FR"/>
        </w:rPr>
        <w:t xml:space="preserve">2015 </w:t>
      </w:r>
      <w:r w:rsidR="009B471E">
        <w:rPr>
          <w:rFonts w:eastAsia="Batang" w:cs="Times New Roman"/>
          <w:kern w:val="22"/>
          <w:sz w:val="22"/>
          <w:lang w:val="fr-FR"/>
        </w:rPr>
        <w:t xml:space="preserve">du </w:t>
      </w:r>
      <w:r>
        <w:rPr>
          <w:rFonts w:cs="Times New Roman"/>
          <w:kern w:val="22"/>
          <w:sz w:val="22"/>
          <w:lang w:val="fr-FR"/>
        </w:rPr>
        <w:t>Groupe spécial d’experts techniques</w:t>
      </w:r>
      <w:r w:rsidR="00D60FDF" w:rsidRPr="00A273AB">
        <w:rPr>
          <w:rFonts w:eastAsia="Batang" w:cs="Times New Roman"/>
          <w:kern w:val="22"/>
          <w:sz w:val="22"/>
          <w:lang w:val="fr-FR"/>
        </w:rPr>
        <w:t xml:space="preserve"> </w:t>
      </w:r>
      <w:r w:rsidR="009B471E">
        <w:rPr>
          <w:rFonts w:eastAsia="Batang" w:cs="Times New Roman"/>
          <w:kern w:val="22"/>
          <w:sz w:val="22"/>
          <w:lang w:val="fr-FR"/>
        </w:rPr>
        <w:t>sur la b</w:t>
      </w:r>
      <w:r w:rsidR="00FB0054" w:rsidRPr="00A273AB">
        <w:rPr>
          <w:rFonts w:eastAsia="Batang" w:cs="Times New Roman"/>
          <w:kern w:val="22"/>
          <w:sz w:val="22"/>
          <w:lang w:val="fr-FR"/>
        </w:rPr>
        <w:t>iologie de synthèse</w:t>
      </w:r>
      <w:r w:rsidR="009F4D85" w:rsidRPr="00A273AB">
        <w:rPr>
          <w:rFonts w:eastAsia="Batang" w:cs="Times New Roman"/>
          <w:kern w:val="22"/>
          <w:sz w:val="22"/>
          <w:lang w:val="fr-FR"/>
        </w:rPr>
        <w:t xml:space="preserve"> </w:t>
      </w:r>
      <w:r w:rsidR="00030EFE">
        <w:rPr>
          <w:rFonts w:eastAsia="Batang" w:cs="Times New Roman"/>
          <w:kern w:val="22"/>
          <w:sz w:val="22"/>
          <w:lang w:val="fr-FR"/>
        </w:rPr>
        <w:t>a défini ce concept</w:t>
      </w:r>
      <w:r w:rsidR="009B471E">
        <w:rPr>
          <w:rFonts w:eastAsia="Batang" w:cs="Times New Roman"/>
          <w:kern w:val="22"/>
          <w:sz w:val="22"/>
          <w:lang w:val="fr-FR"/>
        </w:rPr>
        <w:t xml:space="preserve"> comme </w:t>
      </w:r>
      <w:r w:rsidR="00FE3AFD">
        <w:rPr>
          <w:rFonts w:eastAsia="Batang" w:cs="Times New Roman"/>
          <w:kern w:val="22"/>
          <w:sz w:val="22"/>
          <w:lang w:val="fr-FR"/>
        </w:rPr>
        <w:t xml:space="preserve"> “un</w:t>
      </w:r>
      <w:r w:rsidR="009F4D85" w:rsidRPr="00A273AB">
        <w:rPr>
          <w:rFonts w:eastAsia="Batang" w:cs="Times New Roman"/>
          <w:kern w:val="22"/>
          <w:sz w:val="22"/>
          <w:lang w:val="fr-FR"/>
        </w:rPr>
        <w:t xml:space="preserve"> </w:t>
      </w:r>
      <w:r w:rsidR="00FE3AFD">
        <w:rPr>
          <w:rFonts w:eastAsia="Batang" w:cs="Times New Roman"/>
          <w:kern w:val="22"/>
          <w:sz w:val="22"/>
          <w:lang w:val="fr-FR"/>
        </w:rPr>
        <w:t>développem</w:t>
      </w:r>
      <w:r w:rsidR="009F4D85" w:rsidRPr="00A273AB">
        <w:rPr>
          <w:rFonts w:eastAsia="Batang" w:cs="Times New Roman"/>
          <w:kern w:val="22"/>
          <w:sz w:val="22"/>
          <w:lang w:val="fr-FR"/>
        </w:rPr>
        <w:t>ent</w:t>
      </w:r>
      <w:r w:rsidR="00E3674F" w:rsidRPr="00A273AB">
        <w:rPr>
          <w:rFonts w:eastAsia="Batang" w:cs="Times New Roman"/>
          <w:kern w:val="22"/>
          <w:sz w:val="22"/>
          <w:lang w:val="fr-FR"/>
        </w:rPr>
        <w:t xml:space="preserve"> </w:t>
      </w:r>
      <w:r w:rsidR="00853D47">
        <w:rPr>
          <w:rFonts w:eastAsia="Batang" w:cs="Times New Roman"/>
          <w:kern w:val="22"/>
          <w:sz w:val="22"/>
          <w:lang w:val="fr-FR"/>
        </w:rPr>
        <w:t xml:space="preserve">supplémentaire </w:t>
      </w:r>
      <w:r w:rsidR="00E3674F" w:rsidRPr="00A273AB">
        <w:rPr>
          <w:rFonts w:eastAsia="Batang" w:cs="Times New Roman"/>
          <w:kern w:val="22"/>
          <w:sz w:val="22"/>
          <w:lang w:val="fr-FR"/>
        </w:rPr>
        <w:t xml:space="preserve">et </w:t>
      </w:r>
      <w:r w:rsidR="00FE3AFD">
        <w:rPr>
          <w:rFonts w:eastAsia="Batang" w:cs="Times New Roman"/>
          <w:kern w:val="22"/>
          <w:sz w:val="22"/>
          <w:lang w:val="fr-FR"/>
        </w:rPr>
        <w:t xml:space="preserve">une nouvelle dimension de la biotechnologie </w:t>
      </w:r>
      <w:r w:rsidR="00AF5481">
        <w:rPr>
          <w:rFonts w:eastAsia="Batang" w:cs="Times New Roman"/>
          <w:kern w:val="22"/>
          <w:sz w:val="22"/>
          <w:lang w:val="fr-FR"/>
        </w:rPr>
        <w:t>moderne</w:t>
      </w:r>
      <w:r w:rsidR="00FE3AFD">
        <w:rPr>
          <w:rFonts w:eastAsia="Batang" w:cs="Times New Roman"/>
          <w:kern w:val="22"/>
          <w:sz w:val="22"/>
          <w:lang w:val="fr-FR"/>
        </w:rPr>
        <w:t xml:space="preserve"> qui co</w:t>
      </w:r>
      <w:r w:rsidR="00AF5481">
        <w:rPr>
          <w:rFonts w:eastAsia="Batang" w:cs="Times New Roman"/>
          <w:kern w:val="22"/>
          <w:sz w:val="22"/>
          <w:lang w:val="fr-FR"/>
        </w:rPr>
        <w:t>njugu</w:t>
      </w:r>
      <w:r w:rsidR="00FE3AFD">
        <w:rPr>
          <w:rFonts w:eastAsia="Batang" w:cs="Times New Roman"/>
          <w:kern w:val="22"/>
          <w:sz w:val="22"/>
          <w:lang w:val="fr-FR"/>
        </w:rPr>
        <w:t>e</w:t>
      </w:r>
      <w:r w:rsidR="00AF5481">
        <w:rPr>
          <w:rFonts w:eastAsia="Batang" w:cs="Times New Roman"/>
          <w:kern w:val="22"/>
          <w:sz w:val="22"/>
          <w:lang w:val="fr-FR"/>
        </w:rPr>
        <w:t>nt</w:t>
      </w:r>
      <w:r w:rsidR="00FE3AFD">
        <w:rPr>
          <w:rFonts w:eastAsia="Batang" w:cs="Times New Roman"/>
          <w:kern w:val="22"/>
          <w:sz w:val="22"/>
          <w:lang w:val="fr-FR"/>
        </w:rPr>
        <w:t xml:space="preserve"> la </w:t>
      </w:r>
      <w:r w:rsidR="009F4D85" w:rsidRPr="00A273AB">
        <w:rPr>
          <w:rFonts w:eastAsia="Batang" w:cs="Times New Roman"/>
          <w:kern w:val="22"/>
          <w:sz w:val="22"/>
          <w:lang w:val="fr-FR"/>
        </w:rPr>
        <w:t xml:space="preserve">science, </w:t>
      </w:r>
      <w:r w:rsidR="00FE3AFD">
        <w:rPr>
          <w:rFonts w:eastAsia="Batang" w:cs="Times New Roman"/>
          <w:kern w:val="22"/>
          <w:sz w:val="22"/>
          <w:lang w:val="fr-FR"/>
        </w:rPr>
        <w:t>la technologie</w:t>
      </w:r>
      <w:r w:rsidR="00E3674F" w:rsidRPr="00A273AB">
        <w:rPr>
          <w:rFonts w:eastAsia="Batang" w:cs="Times New Roman"/>
          <w:kern w:val="22"/>
          <w:sz w:val="22"/>
          <w:lang w:val="fr-FR"/>
        </w:rPr>
        <w:t xml:space="preserve"> et </w:t>
      </w:r>
      <w:r w:rsidR="00FE3AFD">
        <w:rPr>
          <w:rFonts w:eastAsia="Batang" w:cs="Times New Roman"/>
          <w:kern w:val="22"/>
          <w:sz w:val="22"/>
          <w:lang w:val="fr-FR"/>
        </w:rPr>
        <w:t>l</w:t>
      </w:r>
      <w:r w:rsidR="00AF5481">
        <w:rPr>
          <w:rFonts w:eastAsia="Batang" w:cs="Times New Roman"/>
          <w:kern w:val="22"/>
          <w:sz w:val="22"/>
          <w:lang w:val="fr-FR"/>
        </w:rPr>
        <w:t>’ingénierie pour</w:t>
      </w:r>
      <w:r w:rsidR="009F4D85" w:rsidRPr="00A273AB">
        <w:rPr>
          <w:rFonts w:eastAsia="Batang" w:cs="Times New Roman"/>
          <w:kern w:val="22"/>
          <w:sz w:val="22"/>
          <w:lang w:val="fr-FR"/>
        </w:rPr>
        <w:t xml:space="preserve"> </w:t>
      </w:r>
      <w:r w:rsidR="00707D5F" w:rsidRPr="00A273AB">
        <w:rPr>
          <w:rFonts w:eastAsia="Batang" w:cs="Times New Roman"/>
          <w:kern w:val="22"/>
          <w:sz w:val="22"/>
          <w:lang w:val="fr-FR"/>
        </w:rPr>
        <w:t>faciliter</w:t>
      </w:r>
      <w:r w:rsidR="00E3674F" w:rsidRPr="00A273AB">
        <w:rPr>
          <w:rFonts w:eastAsia="Batang" w:cs="Times New Roman"/>
          <w:kern w:val="22"/>
          <w:sz w:val="22"/>
          <w:lang w:val="fr-FR"/>
        </w:rPr>
        <w:t xml:space="preserve"> et </w:t>
      </w:r>
      <w:r w:rsidR="00707D5F" w:rsidRPr="00A273AB">
        <w:rPr>
          <w:rFonts w:eastAsia="Batang" w:cs="Times New Roman"/>
          <w:kern w:val="22"/>
          <w:sz w:val="22"/>
          <w:lang w:val="fr-FR"/>
        </w:rPr>
        <w:t>accélérer</w:t>
      </w:r>
      <w:r w:rsidR="00AF5481">
        <w:rPr>
          <w:rFonts w:eastAsia="Batang" w:cs="Times New Roman"/>
          <w:kern w:val="22"/>
          <w:sz w:val="22"/>
          <w:lang w:val="fr-FR"/>
        </w:rPr>
        <w:t xml:space="preserve"> la compréhension, la conception, la reconception, la fabrication et/ou la modification de</w:t>
      </w:r>
      <w:r w:rsidR="009F4D85" w:rsidRPr="00A273AB">
        <w:rPr>
          <w:rFonts w:eastAsia="Batang" w:cs="Times New Roman"/>
          <w:kern w:val="22"/>
          <w:sz w:val="22"/>
          <w:lang w:val="fr-FR"/>
        </w:rPr>
        <w:t xml:space="preserve"> </w:t>
      </w:r>
      <w:r w:rsidR="004478A5" w:rsidRPr="00A273AB">
        <w:rPr>
          <w:rFonts w:eastAsia="Batang" w:cs="Times New Roman"/>
          <w:kern w:val="22"/>
          <w:sz w:val="22"/>
          <w:lang w:val="fr-FR"/>
        </w:rPr>
        <w:t>matériel génétique</w:t>
      </w:r>
      <w:r w:rsidR="009F4D85" w:rsidRPr="00A273AB">
        <w:rPr>
          <w:rFonts w:eastAsia="Batang" w:cs="Times New Roman"/>
          <w:kern w:val="22"/>
          <w:sz w:val="22"/>
          <w:lang w:val="fr-FR"/>
        </w:rPr>
        <w:t xml:space="preserve">, </w:t>
      </w:r>
      <w:r w:rsidR="00AF5481">
        <w:rPr>
          <w:rFonts w:eastAsia="Batang" w:cs="Times New Roman"/>
          <w:kern w:val="22"/>
          <w:sz w:val="22"/>
          <w:lang w:val="fr-FR"/>
        </w:rPr>
        <w:t>d’</w:t>
      </w:r>
      <w:r w:rsidR="00707D5F" w:rsidRPr="00A273AB">
        <w:rPr>
          <w:rFonts w:eastAsia="Batang" w:cs="Times New Roman"/>
          <w:kern w:val="22"/>
          <w:sz w:val="22"/>
          <w:lang w:val="fr-FR"/>
        </w:rPr>
        <w:t>organismes vivants</w:t>
      </w:r>
      <w:r w:rsidR="00853D47">
        <w:rPr>
          <w:rFonts w:eastAsia="Batang" w:cs="Times New Roman"/>
          <w:kern w:val="22"/>
          <w:sz w:val="22"/>
          <w:lang w:val="fr-FR"/>
        </w:rPr>
        <w:t xml:space="preserve"> et</w:t>
      </w:r>
      <w:r w:rsidR="00E3674F" w:rsidRPr="00A273AB">
        <w:rPr>
          <w:rFonts w:eastAsia="Batang" w:cs="Times New Roman"/>
          <w:kern w:val="22"/>
          <w:sz w:val="22"/>
          <w:lang w:val="fr-FR"/>
        </w:rPr>
        <w:t xml:space="preserve"> </w:t>
      </w:r>
      <w:r w:rsidR="00AF5481">
        <w:rPr>
          <w:rFonts w:eastAsia="Batang" w:cs="Times New Roman"/>
          <w:kern w:val="22"/>
          <w:sz w:val="22"/>
          <w:lang w:val="fr-FR"/>
        </w:rPr>
        <w:t xml:space="preserve">de systèmes </w:t>
      </w:r>
      <w:r w:rsidRPr="00A273AB">
        <w:rPr>
          <w:rFonts w:eastAsia="Batang" w:cs="Times New Roman"/>
          <w:kern w:val="22"/>
          <w:sz w:val="22"/>
          <w:lang w:val="fr-FR"/>
        </w:rPr>
        <w:t>biologique</w:t>
      </w:r>
      <w:r w:rsidR="009F4D85" w:rsidRPr="00A273AB">
        <w:rPr>
          <w:rFonts w:eastAsia="Batang" w:cs="Times New Roman"/>
          <w:kern w:val="22"/>
          <w:sz w:val="22"/>
          <w:lang w:val="fr-FR"/>
        </w:rPr>
        <w:t>s.”</w:t>
      </w:r>
      <w:r w:rsidR="00A65869" w:rsidRPr="002364AB">
        <w:rPr>
          <w:rStyle w:val="FootnoteReference"/>
          <w:kern w:val="22"/>
          <w:sz w:val="22"/>
          <w:lang w:val="en-GB"/>
        </w:rPr>
        <w:footnoteReference w:id="151"/>
      </w:r>
      <w:r w:rsidR="00A65869" w:rsidRPr="00A273AB">
        <w:rPr>
          <w:rFonts w:eastAsia="Batang" w:cs="Times New Roman"/>
          <w:kern w:val="22"/>
          <w:sz w:val="22"/>
          <w:lang w:val="fr-FR"/>
        </w:rPr>
        <w:t xml:space="preserve">  </w:t>
      </w:r>
    </w:p>
    <w:p w14:paraId="03CBF38B" w14:textId="2993DCFF" w:rsidR="00A65869" w:rsidRPr="00A273AB" w:rsidRDefault="00AB6A02" w:rsidP="00A349E9">
      <w:pPr>
        <w:spacing w:after="120"/>
        <w:rPr>
          <w:rFonts w:eastAsia="Batang" w:cs="Times New Roman"/>
          <w:kern w:val="22"/>
          <w:sz w:val="22"/>
          <w:lang w:val="fr-FR"/>
        </w:rPr>
      </w:pPr>
      <w:r w:rsidRPr="00A273AB">
        <w:rPr>
          <w:rFonts w:eastAsia="Batang" w:cs="Times New Roman"/>
          <w:kern w:val="22"/>
          <w:sz w:val="22"/>
          <w:lang w:val="fr-FR"/>
        </w:rPr>
        <w:t>Plusieurs</w:t>
      </w:r>
      <w:r w:rsidR="0015773C" w:rsidRPr="00A273AB">
        <w:rPr>
          <w:rFonts w:eastAsia="Batang" w:cs="Times New Roman"/>
          <w:kern w:val="22"/>
          <w:sz w:val="22"/>
          <w:lang w:val="fr-FR"/>
        </w:rPr>
        <w:t xml:space="preserve"> technologies</w:t>
      </w:r>
      <w:r w:rsidR="00E3674F" w:rsidRPr="00A273AB">
        <w:rPr>
          <w:rFonts w:eastAsia="Batang" w:cs="Times New Roman"/>
          <w:kern w:val="22"/>
          <w:sz w:val="22"/>
          <w:lang w:val="fr-FR"/>
        </w:rPr>
        <w:t xml:space="preserve"> et </w:t>
      </w:r>
      <w:r w:rsidR="00707D5F" w:rsidRPr="00A273AB">
        <w:rPr>
          <w:rFonts w:eastAsia="Batang" w:cs="Times New Roman"/>
          <w:kern w:val="22"/>
          <w:sz w:val="22"/>
          <w:lang w:val="fr-FR"/>
        </w:rPr>
        <w:t>outils</w:t>
      </w:r>
      <w:r w:rsidR="0015773C" w:rsidRPr="00A273AB">
        <w:rPr>
          <w:rFonts w:eastAsia="Batang" w:cs="Times New Roman"/>
          <w:kern w:val="22"/>
          <w:sz w:val="22"/>
          <w:lang w:val="fr-FR"/>
        </w:rPr>
        <w:t xml:space="preserve"> </w:t>
      </w:r>
      <w:r w:rsidR="009B471E">
        <w:rPr>
          <w:rFonts w:eastAsia="Batang" w:cs="Times New Roman"/>
          <w:kern w:val="22"/>
          <w:sz w:val="22"/>
          <w:lang w:val="fr-FR"/>
        </w:rPr>
        <w:t>permettent</w:t>
      </w:r>
      <w:r w:rsidR="00253783" w:rsidRPr="00A273AB">
        <w:rPr>
          <w:rFonts w:eastAsia="Batang" w:cs="Times New Roman"/>
          <w:kern w:val="22"/>
          <w:sz w:val="22"/>
          <w:lang w:val="fr-FR"/>
        </w:rPr>
        <w:t xml:space="preserve"> </w:t>
      </w:r>
      <w:r w:rsidR="00030EFE">
        <w:rPr>
          <w:rFonts w:eastAsia="Batang" w:cs="Times New Roman"/>
          <w:kern w:val="22"/>
          <w:sz w:val="22"/>
          <w:lang w:val="fr-FR"/>
        </w:rPr>
        <w:t xml:space="preserve">une </w:t>
      </w:r>
      <w:r w:rsidR="009D43F1" w:rsidRPr="00A273AB">
        <w:rPr>
          <w:rFonts w:eastAsia="Batang" w:cs="Times New Roman"/>
          <w:kern w:val="22"/>
          <w:sz w:val="22"/>
          <w:lang w:val="fr-FR"/>
        </w:rPr>
        <w:t>utilisation</w:t>
      </w:r>
      <w:r w:rsidR="00253783" w:rsidRPr="00A273AB">
        <w:rPr>
          <w:rFonts w:eastAsia="Batang" w:cs="Times New Roman"/>
          <w:kern w:val="22"/>
          <w:sz w:val="22"/>
          <w:lang w:val="fr-FR"/>
        </w:rPr>
        <w:t xml:space="preserve"> </w:t>
      </w:r>
      <w:r w:rsidR="009B471E">
        <w:rPr>
          <w:rFonts w:eastAsia="Batang" w:cs="Times New Roman"/>
          <w:kern w:val="22"/>
          <w:sz w:val="22"/>
          <w:lang w:val="fr-FR"/>
        </w:rPr>
        <w:t xml:space="preserve">de la </w:t>
      </w:r>
      <w:r w:rsidR="00FB0054" w:rsidRPr="00A273AB">
        <w:rPr>
          <w:rFonts w:eastAsia="Batang" w:cs="Times New Roman"/>
          <w:kern w:val="22"/>
          <w:sz w:val="22"/>
          <w:lang w:val="fr-FR"/>
        </w:rPr>
        <w:t>biologie de synthèse</w:t>
      </w:r>
      <w:r w:rsidR="0015773C" w:rsidRPr="00A273AB">
        <w:rPr>
          <w:rFonts w:eastAsia="Batang" w:cs="Times New Roman"/>
          <w:kern w:val="22"/>
          <w:sz w:val="22"/>
          <w:lang w:val="fr-FR"/>
        </w:rPr>
        <w:t xml:space="preserve">, </w:t>
      </w:r>
      <w:r w:rsidR="00B43E38" w:rsidRPr="00A273AB">
        <w:rPr>
          <w:rFonts w:eastAsia="Batang" w:cs="Times New Roman"/>
          <w:kern w:val="22"/>
          <w:sz w:val="22"/>
          <w:lang w:val="fr-FR"/>
        </w:rPr>
        <w:t>y compris</w:t>
      </w:r>
      <w:r w:rsidR="009B471E">
        <w:rPr>
          <w:rFonts w:eastAsia="Batang" w:cs="Times New Roman"/>
          <w:kern w:val="22"/>
          <w:sz w:val="22"/>
          <w:lang w:val="fr-FR"/>
        </w:rPr>
        <w:t xml:space="preserve"> les </w:t>
      </w:r>
      <w:r w:rsidR="00046703" w:rsidRPr="00A273AB">
        <w:rPr>
          <w:rFonts w:eastAsia="Batang" w:cs="Times New Roman"/>
          <w:kern w:val="22"/>
          <w:sz w:val="22"/>
          <w:lang w:val="fr-FR"/>
        </w:rPr>
        <w:t>bases de données</w:t>
      </w:r>
      <w:r w:rsidR="009B471E">
        <w:rPr>
          <w:rFonts w:eastAsia="Batang" w:cs="Times New Roman"/>
          <w:kern w:val="22"/>
          <w:sz w:val="22"/>
          <w:lang w:val="fr-FR"/>
        </w:rPr>
        <w:t xml:space="preserve"> sur les génomes</w:t>
      </w:r>
      <w:r w:rsidR="0015773C" w:rsidRPr="00A273AB">
        <w:rPr>
          <w:rFonts w:eastAsia="Batang" w:cs="Times New Roman"/>
          <w:kern w:val="22"/>
          <w:sz w:val="22"/>
          <w:lang w:val="fr-FR"/>
        </w:rPr>
        <w:t xml:space="preserve">, </w:t>
      </w:r>
      <w:r w:rsidR="00030EFE">
        <w:rPr>
          <w:rFonts w:eastAsia="Batang" w:cs="Times New Roman"/>
          <w:kern w:val="22"/>
          <w:sz w:val="22"/>
          <w:lang w:val="fr-FR"/>
        </w:rPr>
        <w:t>les registres d</w:t>
      </w:r>
      <w:r w:rsidR="001423FA">
        <w:rPr>
          <w:rFonts w:eastAsia="Batang" w:cs="Times New Roman"/>
          <w:kern w:val="22"/>
          <w:sz w:val="22"/>
          <w:lang w:val="fr-FR"/>
        </w:rPr>
        <w:t>e composants</w:t>
      </w:r>
      <w:r w:rsidR="00030EFE">
        <w:rPr>
          <w:rFonts w:eastAsia="Batang" w:cs="Times New Roman"/>
          <w:kern w:val="22"/>
          <w:sz w:val="22"/>
          <w:lang w:val="fr-FR"/>
        </w:rPr>
        <w:t xml:space="preserve"> </w:t>
      </w:r>
      <w:r w:rsidR="00A273AB" w:rsidRPr="00A273AB">
        <w:rPr>
          <w:rFonts w:eastAsia="Batang" w:cs="Times New Roman"/>
          <w:kern w:val="22"/>
          <w:sz w:val="22"/>
          <w:lang w:val="fr-FR"/>
        </w:rPr>
        <w:t>biologique</w:t>
      </w:r>
      <w:r w:rsidR="009B471E">
        <w:rPr>
          <w:rFonts w:eastAsia="Batang" w:cs="Times New Roman"/>
          <w:kern w:val="22"/>
          <w:sz w:val="22"/>
          <w:lang w:val="fr-FR"/>
        </w:rPr>
        <w:t>s</w:t>
      </w:r>
      <w:r w:rsidR="0015773C" w:rsidRPr="00A273AB">
        <w:rPr>
          <w:rFonts w:eastAsia="Batang" w:cs="Times New Roman"/>
          <w:kern w:val="22"/>
          <w:sz w:val="22"/>
          <w:lang w:val="fr-FR"/>
        </w:rPr>
        <w:t xml:space="preserve">, </w:t>
      </w:r>
      <w:r w:rsidR="00030EFE">
        <w:rPr>
          <w:rFonts w:eastAsia="Batang" w:cs="Times New Roman"/>
          <w:kern w:val="22"/>
          <w:sz w:val="22"/>
          <w:lang w:val="fr-FR"/>
        </w:rPr>
        <w:t>les méthodes classiques</w:t>
      </w:r>
      <w:r w:rsidR="009B471E">
        <w:rPr>
          <w:rFonts w:eastAsia="Batang" w:cs="Times New Roman"/>
          <w:kern w:val="22"/>
          <w:sz w:val="22"/>
          <w:lang w:val="fr-FR"/>
        </w:rPr>
        <w:t xml:space="preserve"> d’assemblage physique de </w:t>
      </w:r>
      <w:r w:rsidR="00974B88" w:rsidRPr="00A273AB">
        <w:rPr>
          <w:rFonts w:eastAsia="Batang" w:cs="Times New Roman"/>
          <w:kern w:val="22"/>
          <w:sz w:val="22"/>
          <w:lang w:val="fr-FR"/>
        </w:rPr>
        <w:t>séquences d’ADN</w:t>
      </w:r>
      <w:r w:rsidR="009B471E">
        <w:rPr>
          <w:rFonts w:eastAsia="Batang" w:cs="Times New Roman"/>
          <w:kern w:val="22"/>
          <w:sz w:val="22"/>
          <w:lang w:val="fr-FR"/>
        </w:rPr>
        <w:t xml:space="preserve">, des </w:t>
      </w:r>
      <w:r w:rsidR="0015773C" w:rsidRPr="00A273AB">
        <w:rPr>
          <w:rFonts w:eastAsia="Batang" w:cs="Times New Roman"/>
          <w:kern w:val="22"/>
          <w:sz w:val="22"/>
          <w:lang w:val="fr-FR"/>
        </w:rPr>
        <w:t>services</w:t>
      </w:r>
      <w:r w:rsidR="009B471E">
        <w:rPr>
          <w:rFonts w:eastAsia="Batang" w:cs="Times New Roman"/>
          <w:kern w:val="22"/>
          <w:sz w:val="22"/>
          <w:lang w:val="fr-FR"/>
        </w:rPr>
        <w:t xml:space="preserve"> commerciaux pour la </w:t>
      </w:r>
      <w:r w:rsidR="009A31EC">
        <w:rPr>
          <w:rFonts w:eastAsia="Batang" w:cs="Times New Roman"/>
          <w:kern w:val="22"/>
          <w:sz w:val="22"/>
          <w:lang w:val="fr-FR"/>
        </w:rPr>
        <w:t>synthèse</w:t>
      </w:r>
      <w:r w:rsidR="00E3674F" w:rsidRPr="00A273AB">
        <w:rPr>
          <w:rFonts w:eastAsia="Batang" w:cs="Times New Roman"/>
          <w:kern w:val="22"/>
          <w:sz w:val="22"/>
          <w:lang w:val="fr-FR"/>
        </w:rPr>
        <w:t xml:space="preserve"> et </w:t>
      </w:r>
      <w:r w:rsidR="00853D47">
        <w:rPr>
          <w:rFonts w:eastAsia="Batang" w:cs="Times New Roman"/>
          <w:kern w:val="22"/>
          <w:sz w:val="22"/>
          <w:lang w:val="fr-FR"/>
        </w:rPr>
        <w:t xml:space="preserve">le </w:t>
      </w:r>
      <w:r w:rsidR="009A31EC">
        <w:rPr>
          <w:rFonts w:eastAsia="Batang" w:cs="Times New Roman"/>
          <w:kern w:val="22"/>
          <w:sz w:val="22"/>
          <w:lang w:val="fr-FR"/>
        </w:rPr>
        <w:t>séquençage</w:t>
      </w:r>
      <w:r w:rsidR="009B471E">
        <w:rPr>
          <w:rFonts w:eastAsia="Batang" w:cs="Times New Roman"/>
          <w:kern w:val="22"/>
          <w:sz w:val="22"/>
          <w:lang w:val="fr-FR"/>
        </w:rPr>
        <w:t xml:space="preserve"> d’ADN</w:t>
      </w:r>
      <w:r w:rsidR="0015773C" w:rsidRPr="00A273AB">
        <w:rPr>
          <w:rFonts w:eastAsia="Batang" w:cs="Times New Roman"/>
          <w:kern w:val="22"/>
          <w:sz w:val="22"/>
          <w:lang w:val="fr-FR"/>
        </w:rPr>
        <w:t>,</w:t>
      </w:r>
      <w:r w:rsidR="00E3674F" w:rsidRPr="00A273AB">
        <w:rPr>
          <w:rFonts w:eastAsia="Batang" w:cs="Times New Roman"/>
          <w:kern w:val="22"/>
          <w:sz w:val="22"/>
          <w:lang w:val="fr-FR"/>
        </w:rPr>
        <w:t xml:space="preserve"> et </w:t>
      </w:r>
      <w:r w:rsidR="00030EFE">
        <w:rPr>
          <w:rFonts w:eastAsia="Batang" w:cs="Times New Roman"/>
          <w:kern w:val="22"/>
          <w:sz w:val="22"/>
          <w:lang w:val="fr-FR"/>
        </w:rPr>
        <w:t>des méthodes bio-numéri</w:t>
      </w:r>
      <w:r w:rsidR="009A31EC">
        <w:rPr>
          <w:rFonts w:eastAsia="Batang" w:cs="Times New Roman"/>
          <w:kern w:val="22"/>
          <w:sz w:val="22"/>
          <w:lang w:val="fr-FR"/>
        </w:rPr>
        <w:t>que</w:t>
      </w:r>
      <w:r w:rsidR="00030EFE">
        <w:rPr>
          <w:rFonts w:eastAsia="Batang" w:cs="Times New Roman"/>
          <w:kern w:val="22"/>
          <w:sz w:val="22"/>
          <w:lang w:val="fr-FR"/>
        </w:rPr>
        <w:t>s avancées</w:t>
      </w:r>
      <w:r w:rsidR="0015773C" w:rsidRPr="00A273AB">
        <w:rPr>
          <w:rFonts w:eastAsia="Batang" w:cs="Times New Roman"/>
          <w:kern w:val="22"/>
          <w:sz w:val="22"/>
          <w:lang w:val="fr-FR"/>
        </w:rPr>
        <w:t>.</w:t>
      </w:r>
      <w:r w:rsidR="0015773C" w:rsidRPr="002364AB">
        <w:rPr>
          <w:rStyle w:val="FootnoteReference"/>
          <w:rFonts w:eastAsia="Batang" w:cs="Times New Roman"/>
          <w:kern w:val="22"/>
          <w:sz w:val="22"/>
          <w:lang w:val="en-GB"/>
        </w:rPr>
        <w:footnoteReference w:id="152"/>
      </w:r>
      <w:r w:rsidR="0015773C" w:rsidRPr="00A273AB">
        <w:rPr>
          <w:rFonts w:eastAsia="Batang" w:cs="Times New Roman"/>
          <w:kern w:val="22"/>
          <w:sz w:val="22"/>
          <w:lang w:val="fr-FR"/>
        </w:rPr>
        <w:t xml:space="preserve"> </w:t>
      </w:r>
      <w:r w:rsidR="00CA644E" w:rsidRPr="00A273AB">
        <w:rPr>
          <w:rFonts w:eastAsia="Batang" w:cs="Times New Roman"/>
          <w:kern w:val="22"/>
          <w:sz w:val="22"/>
          <w:lang w:val="fr-FR"/>
        </w:rPr>
        <w:t>Ces</w:t>
      </w:r>
      <w:r w:rsidR="0015773C" w:rsidRPr="00A273AB">
        <w:rPr>
          <w:rFonts w:eastAsia="Batang" w:cs="Times New Roman"/>
          <w:kern w:val="22"/>
          <w:sz w:val="22"/>
          <w:lang w:val="fr-FR"/>
        </w:rPr>
        <w:t xml:space="preserve"> </w:t>
      </w:r>
      <w:r w:rsidR="00FB2FE9" w:rsidRPr="00A273AB">
        <w:rPr>
          <w:rFonts w:eastAsia="Batang" w:cs="Times New Roman"/>
          <w:kern w:val="22"/>
          <w:sz w:val="22"/>
          <w:lang w:val="fr-FR"/>
        </w:rPr>
        <w:t>ressources</w:t>
      </w:r>
      <w:r w:rsidR="009A31EC">
        <w:rPr>
          <w:rFonts w:eastAsia="Batang" w:cs="Times New Roman"/>
          <w:kern w:val="22"/>
          <w:sz w:val="22"/>
          <w:lang w:val="fr-FR"/>
        </w:rPr>
        <w:t xml:space="preserve"> permettent aux</w:t>
      </w:r>
      <w:r w:rsidR="0015773C" w:rsidRPr="00A273AB">
        <w:rPr>
          <w:rFonts w:eastAsia="Batang" w:cs="Times New Roman"/>
          <w:kern w:val="22"/>
          <w:sz w:val="22"/>
          <w:lang w:val="fr-FR"/>
        </w:rPr>
        <w:t xml:space="preserve"> </w:t>
      </w:r>
      <w:r w:rsidR="008A362D" w:rsidRPr="00A273AB">
        <w:rPr>
          <w:rFonts w:eastAsia="Batang" w:cs="Times New Roman"/>
          <w:kern w:val="22"/>
          <w:sz w:val="22"/>
          <w:lang w:val="fr-FR"/>
        </w:rPr>
        <w:t>chercheurs</w:t>
      </w:r>
      <w:r w:rsidR="00A65869" w:rsidRPr="00A273AB">
        <w:rPr>
          <w:rFonts w:eastAsia="Batang" w:cs="Times New Roman"/>
          <w:kern w:val="22"/>
          <w:sz w:val="22"/>
          <w:lang w:val="fr-FR"/>
        </w:rPr>
        <w:t xml:space="preserve"> </w:t>
      </w:r>
      <w:r w:rsidR="009A31EC">
        <w:rPr>
          <w:rFonts w:eastAsia="Batang" w:cs="Times New Roman"/>
          <w:kern w:val="22"/>
          <w:sz w:val="22"/>
          <w:lang w:val="fr-FR"/>
        </w:rPr>
        <w:t>d’utiliser des</w:t>
      </w:r>
      <w:r w:rsidR="00424B6E" w:rsidRPr="00A273AB">
        <w:rPr>
          <w:rFonts w:eastAsia="Batang" w:cs="Times New Roman"/>
          <w:kern w:val="22"/>
          <w:sz w:val="22"/>
          <w:lang w:val="fr-FR"/>
        </w:rPr>
        <w:t xml:space="preserve"> </w:t>
      </w:r>
      <w:r w:rsidR="00974B88" w:rsidRPr="00A273AB">
        <w:rPr>
          <w:rFonts w:eastAsia="Batang" w:cs="Times New Roman"/>
          <w:kern w:val="22"/>
          <w:sz w:val="22"/>
          <w:lang w:val="fr-FR"/>
        </w:rPr>
        <w:t>séquences d’ADN</w:t>
      </w:r>
      <w:r w:rsidR="00A65869" w:rsidRPr="00A273AB">
        <w:rPr>
          <w:rFonts w:eastAsia="Batang" w:cs="Times New Roman"/>
          <w:kern w:val="22"/>
          <w:sz w:val="22"/>
          <w:lang w:val="fr-FR"/>
        </w:rPr>
        <w:t xml:space="preserve"> </w:t>
      </w:r>
      <w:r w:rsidR="009A31EC">
        <w:rPr>
          <w:rFonts w:eastAsia="Batang" w:cs="Times New Roman"/>
          <w:kern w:val="22"/>
          <w:sz w:val="22"/>
          <w:lang w:val="fr-FR"/>
        </w:rPr>
        <w:t xml:space="preserve">provenant </w:t>
      </w:r>
      <w:r w:rsidR="008D43E2">
        <w:rPr>
          <w:rFonts w:eastAsia="Batang" w:cs="Times New Roman"/>
          <w:kern w:val="22"/>
          <w:sz w:val="22"/>
          <w:lang w:val="fr-FR"/>
        </w:rPr>
        <w:t>de multiples or</w:t>
      </w:r>
      <w:r w:rsidR="00030EFE">
        <w:rPr>
          <w:rFonts w:eastAsia="Batang" w:cs="Times New Roman"/>
          <w:kern w:val="22"/>
          <w:sz w:val="22"/>
          <w:lang w:val="fr-FR"/>
        </w:rPr>
        <w:t>ganismes</w:t>
      </w:r>
      <w:r w:rsidR="006A2300" w:rsidRPr="00A273AB">
        <w:rPr>
          <w:rFonts w:eastAsia="Batang" w:cs="Times New Roman"/>
          <w:kern w:val="22"/>
          <w:sz w:val="22"/>
          <w:lang w:val="fr-FR"/>
        </w:rPr>
        <w:t>, accessible</w:t>
      </w:r>
      <w:r w:rsidR="009A31EC">
        <w:rPr>
          <w:rFonts w:eastAsia="Batang" w:cs="Times New Roman"/>
          <w:kern w:val="22"/>
          <w:sz w:val="22"/>
          <w:lang w:val="fr-FR"/>
        </w:rPr>
        <w:t>s dans des</w:t>
      </w:r>
      <w:r w:rsidR="006A2300" w:rsidRPr="00A273AB">
        <w:rPr>
          <w:rFonts w:eastAsia="Batang" w:cs="Times New Roman"/>
          <w:kern w:val="22"/>
          <w:sz w:val="22"/>
          <w:lang w:val="fr-FR"/>
        </w:rPr>
        <w:t xml:space="preserve"> </w:t>
      </w:r>
      <w:r w:rsidR="00046703" w:rsidRPr="00A273AB">
        <w:rPr>
          <w:rFonts w:eastAsia="Batang" w:cs="Times New Roman"/>
          <w:kern w:val="22"/>
          <w:sz w:val="22"/>
          <w:lang w:val="fr-FR"/>
        </w:rPr>
        <w:t>bases de données</w:t>
      </w:r>
      <w:r w:rsidR="009A31EC">
        <w:rPr>
          <w:rFonts w:eastAsia="Batang" w:cs="Times New Roman"/>
          <w:kern w:val="22"/>
          <w:sz w:val="22"/>
          <w:lang w:val="fr-FR"/>
        </w:rPr>
        <w:t xml:space="preserve"> publiques ou privées</w:t>
      </w:r>
      <w:r w:rsidR="006A2300" w:rsidRPr="00A273AB">
        <w:rPr>
          <w:rFonts w:eastAsia="Batang" w:cs="Times New Roman"/>
          <w:kern w:val="22"/>
          <w:sz w:val="22"/>
          <w:lang w:val="fr-FR"/>
        </w:rPr>
        <w:t>,</w:t>
      </w:r>
      <w:r w:rsidR="00853D47">
        <w:rPr>
          <w:rFonts w:eastAsia="Batang" w:cs="Times New Roman"/>
          <w:kern w:val="22"/>
          <w:sz w:val="22"/>
          <w:lang w:val="fr-FR"/>
        </w:rPr>
        <w:t xml:space="preserve"> pour mettre au point</w:t>
      </w:r>
      <w:r w:rsidR="00030EFE">
        <w:rPr>
          <w:rFonts w:eastAsia="Batang" w:cs="Times New Roman"/>
          <w:kern w:val="22"/>
          <w:sz w:val="22"/>
          <w:lang w:val="fr-FR"/>
        </w:rPr>
        <w:t xml:space="preserve"> des nouvelles voies de </w:t>
      </w:r>
      <w:r w:rsidR="009A31EC">
        <w:rPr>
          <w:rFonts w:eastAsia="Batang" w:cs="Times New Roman"/>
          <w:kern w:val="22"/>
          <w:sz w:val="22"/>
          <w:lang w:val="fr-FR"/>
        </w:rPr>
        <w:t>synthèse</w:t>
      </w:r>
      <w:r w:rsidR="00030EFE">
        <w:rPr>
          <w:rFonts w:eastAsia="Batang" w:cs="Times New Roman"/>
          <w:kern w:val="22"/>
          <w:sz w:val="22"/>
          <w:lang w:val="fr-FR"/>
        </w:rPr>
        <w:t xml:space="preserve"> biologique</w:t>
      </w:r>
      <w:r w:rsidR="00853D47">
        <w:rPr>
          <w:rFonts w:eastAsia="Batang" w:cs="Times New Roman"/>
          <w:kern w:val="22"/>
          <w:sz w:val="22"/>
          <w:lang w:val="fr-FR"/>
        </w:rPr>
        <w:t>, reconcevoir</w:t>
      </w:r>
      <w:r w:rsidR="00030EFE">
        <w:rPr>
          <w:rFonts w:eastAsia="Batang" w:cs="Times New Roman"/>
          <w:kern w:val="22"/>
          <w:sz w:val="22"/>
          <w:lang w:val="fr-FR"/>
        </w:rPr>
        <w:t xml:space="preserve"> des nouveaux </w:t>
      </w:r>
      <w:r w:rsidR="009A31EC">
        <w:rPr>
          <w:rFonts w:eastAsia="Batang" w:cs="Times New Roman"/>
          <w:kern w:val="22"/>
          <w:sz w:val="22"/>
          <w:lang w:val="fr-FR"/>
        </w:rPr>
        <w:t xml:space="preserve">systèmes </w:t>
      </w:r>
      <w:r w:rsidR="00A273AB" w:rsidRPr="00A273AB">
        <w:rPr>
          <w:rFonts w:eastAsia="Batang" w:cs="Times New Roman"/>
          <w:kern w:val="22"/>
          <w:sz w:val="22"/>
          <w:lang w:val="fr-FR"/>
        </w:rPr>
        <w:t>biologique</w:t>
      </w:r>
      <w:r w:rsidR="009A31EC">
        <w:rPr>
          <w:rFonts w:eastAsia="Batang" w:cs="Times New Roman"/>
          <w:kern w:val="22"/>
          <w:sz w:val="22"/>
          <w:lang w:val="fr-FR"/>
        </w:rPr>
        <w:t>s</w:t>
      </w:r>
      <w:r w:rsidR="00853D47">
        <w:rPr>
          <w:rFonts w:eastAsia="Batang" w:cs="Times New Roman"/>
          <w:kern w:val="22"/>
          <w:sz w:val="22"/>
          <w:lang w:val="fr-FR"/>
        </w:rPr>
        <w:t>,</w:t>
      </w:r>
      <w:r w:rsidR="009A31EC">
        <w:rPr>
          <w:rFonts w:eastAsia="Batang" w:cs="Times New Roman"/>
          <w:kern w:val="22"/>
          <w:sz w:val="22"/>
          <w:lang w:val="fr-FR"/>
        </w:rPr>
        <w:t xml:space="preserve"> et</w:t>
      </w:r>
      <w:r w:rsidR="002518EB" w:rsidRPr="00A273AB">
        <w:rPr>
          <w:rFonts w:eastAsia="Batang" w:cs="Times New Roman"/>
          <w:kern w:val="22"/>
          <w:sz w:val="22"/>
          <w:lang w:val="fr-FR"/>
        </w:rPr>
        <w:t xml:space="preserve"> </w:t>
      </w:r>
      <w:r w:rsidR="00853D47">
        <w:rPr>
          <w:rFonts w:eastAsia="Batang" w:cs="Times New Roman"/>
          <w:kern w:val="22"/>
          <w:sz w:val="22"/>
          <w:lang w:val="fr-FR"/>
        </w:rPr>
        <w:t xml:space="preserve">dans </w:t>
      </w:r>
      <w:r w:rsidR="002518EB" w:rsidRPr="00A273AB">
        <w:rPr>
          <w:rFonts w:eastAsia="Batang" w:cs="Times New Roman"/>
          <w:kern w:val="22"/>
          <w:sz w:val="22"/>
          <w:lang w:val="fr-FR"/>
        </w:rPr>
        <w:t xml:space="preserve">d’autres </w:t>
      </w:r>
      <w:r w:rsidR="0017009E" w:rsidRPr="00A273AB">
        <w:rPr>
          <w:rFonts w:eastAsia="Batang" w:cs="Times New Roman"/>
          <w:kern w:val="22"/>
          <w:sz w:val="22"/>
          <w:lang w:val="fr-FR"/>
        </w:rPr>
        <w:t>applications</w:t>
      </w:r>
      <w:r w:rsidR="00853D47">
        <w:rPr>
          <w:rFonts w:eastAsia="Batang" w:cs="Times New Roman"/>
          <w:kern w:val="22"/>
          <w:sz w:val="22"/>
          <w:lang w:val="fr-FR"/>
        </w:rPr>
        <w:t xml:space="preserve"> biotechnologiques de pointe</w:t>
      </w:r>
      <w:r w:rsidR="00A65869" w:rsidRPr="00A273AB">
        <w:rPr>
          <w:rFonts w:eastAsia="Batang" w:cs="Times New Roman"/>
          <w:kern w:val="22"/>
          <w:sz w:val="22"/>
          <w:lang w:val="fr-FR"/>
        </w:rPr>
        <w:t xml:space="preserve">.  </w:t>
      </w:r>
    </w:p>
    <w:p w14:paraId="0BEB8E44" w14:textId="6EE96FE0" w:rsidR="00E42DC6" w:rsidRPr="009A31EC" w:rsidRDefault="008A5BE1" w:rsidP="00E42DC6">
      <w:pPr>
        <w:spacing w:after="120"/>
        <w:rPr>
          <w:rFonts w:eastAsia="Batang" w:cs="Times New Roman"/>
          <w:kern w:val="22"/>
          <w:sz w:val="22"/>
          <w:lang w:val="fr-FR"/>
        </w:rPr>
      </w:pPr>
      <w:r w:rsidRPr="009A31EC">
        <w:rPr>
          <w:rFonts w:eastAsia="Batang" w:cs="Times New Roman"/>
          <w:kern w:val="22"/>
          <w:sz w:val="22"/>
          <w:lang w:val="fr-FR"/>
        </w:rPr>
        <w:t>À titre d’exemple</w:t>
      </w:r>
      <w:r w:rsidR="000124D5">
        <w:rPr>
          <w:rFonts w:eastAsia="Batang" w:cs="Times New Roman"/>
          <w:kern w:val="22"/>
          <w:sz w:val="22"/>
          <w:lang w:val="fr-FR"/>
        </w:rPr>
        <w:t xml:space="preserve">, </w:t>
      </w:r>
      <w:r w:rsidR="009A31EC" w:rsidRPr="009A31EC">
        <w:rPr>
          <w:rFonts w:eastAsia="Batang" w:cs="Times New Roman"/>
          <w:kern w:val="22"/>
          <w:sz w:val="22"/>
          <w:lang w:val="fr-FR"/>
        </w:rPr>
        <w:t>une</w:t>
      </w:r>
      <w:r w:rsidR="00E42DC6" w:rsidRPr="009A31EC">
        <w:rPr>
          <w:rFonts w:eastAsia="Batang" w:cs="Times New Roman"/>
          <w:kern w:val="22"/>
          <w:sz w:val="22"/>
          <w:lang w:val="fr-FR"/>
        </w:rPr>
        <w:t xml:space="preserve"> </w:t>
      </w:r>
      <w:r w:rsidR="002518EB" w:rsidRPr="009A31EC">
        <w:rPr>
          <w:rFonts w:eastAsia="Batang" w:cs="Times New Roman"/>
          <w:kern w:val="22"/>
          <w:sz w:val="22"/>
          <w:lang w:val="fr-FR"/>
        </w:rPr>
        <w:t>communication</w:t>
      </w:r>
      <w:r w:rsidR="009A31EC">
        <w:rPr>
          <w:rFonts w:eastAsia="Batang" w:cs="Times New Roman"/>
          <w:kern w:val="22"/>
          <w:sz w:val="22"/>
          <w:lang w:val="fr-FR"/>
        </w:rPr>
        <w:t xml:space="preserve"> de </w:t>
      </w:r>
      <w:r w:rsidR="00707D5F" w:rsidRPr="009A31EC">
        <w:rPr>
          <w:rFonts w:eastAsia="Batang" w:cs="Times New Roman"/>
          <w:kern w:val="22"/>
          <w:sz w:val="22"/>
          <w:lang w:val="fr-FR"/>
        </w:rPr>
        <w:t xml:space="preserve">la </w:t>
      </w:r>
      <w:r w:rsidR="00BD0571">
        <w:rPr>
          <w:rFonts w:eastAsia="Batang" w:cs="Times New Roman"/>
          <w:kern w:val="22"/>
          <w:sz w:val="22"/>
          <w:lang w:val="fr-FR"/>
        </w:rPr>
        <w:t xml:space="preserve">Chambre de commerce </w:t>
      </w:r>
      <w:r w:rsidR="00A14BDE">
        <w:rPr>
          <w:rFonts w:eastAsia="Batang" w:cs="Times New Roman"/>
          <w:kern w:val="22"/>
          <w:sz w:val="22"/>
          <w:lang w:val="fr-FR"/>
        </w:rPr>
        <w:t>internationale</w:t>
      </w:r>
      <w:r w:rsidR="00707D5F" w:rsidRPr="009A31EC">
        <w:rPr>
          <w:rFonts w:eastAsia="Batang" w:cs="Times New Roman"/>
          <w:kern w:val="22"/>
          <w:sz w:val="22"/>
          <w:lang w:val="fr-FR"/>
        </w:rPr>
        <w:t xml:space="preserve"> (</w:t>
      </w:r>
      <w:r w:rsidR="00C93236" w:rsidRPr="009A31EC">
        <w:rPr>
          <w:rFonts w:eastAsia="Batang" w:cs="Times New Roman"/>
          <w:kern w:val="22"/>
          <w:sz w:val="22"/>
          <w:lang w:val="fr-FR"/>
        </w:rPr>
        <w:t>CC</w:t>
      </w:r>
      <w:r w:rsidR="00707D5F" w:rsidRPr="009A31EC">
        <w:rPr>
          <w:rFonts w:eastAsia="Batang" w:cs="Times New Roman"/>
          <w:kern w:val="22"/>
          <w:sz w:val="22"/>
          <w:lang w:val="fr-FR"/>
        </w:rPr>
        <w:t>I</w:t>
      </w:r>
      <w:r w:rsidR="00C93236" w:rsidRPr="009A31EC">
        <w:rPr>
          <w:rFonts w:eastAsia="Batang" w:cs="Times New Roman"/>
          <w:kern w:val="22"/>
          <w:sz w:val="22"/>
          <w:lang w:val="fr-FR"/>
        </w:rPr>
        <w:t>)</w:t>
      </w:r>
      <w:r w:rsidR="000124D5">
        <w:rPr>
          <w:rFonts w:eastAsia="Batang" w:cs="Times New Roman"/>
          <w:kern w:val="22"/>
          <w:sz w:val="22"/>
          <w:lang w:val="fr-FR"/>
        </w:rPr>
        <w:t xml:space="preserve"> qui s’oppose à l’</w:t>
      </w:r>
      <w:r w:rsidR="009A31EC">
        <w:rPr>
          <w:rFonts w:eastAsia="Batang" w:cs="Times New Roman"/>
          <w:kern w:val="22"/>
          <w:sz w:val="22"/>
          <w:lang w:val="fr-FR"/>
        </w:rPr>
        <w:t xml:space="preserve">inclusion </w:t>
      </w:r>
      <w:r w:rsidR="00BC5F0A">
        <w:rPr>
          <w:rFonts w:eastAsia="Batang" w:cs="Times New Roman"/>
          <w:kern w:val="22"/>
          <w:sz w:val="22"/>
          <w:lang w:val="fr-FR"/>
        </w:rPr>
        <w:t>de l’information de séquençage</w:t>
      </w:r>
      <w:r w:rsidR="00142D5A">
        <w:rPr>
          <w:rFonts w:eastAsia="Batang" w:cs="Times New Roman"/>
          <w:kern w:val="22"/>
          <w:sz w:val="22"/>
          <w:lang w:val="fr-FR"/>
        </w:rPr>
        <w:t xml:space="preserve"> numérique</w:t>
      </w:r>
      <w:r w:rsidR="00A90E4B" w:rsidRPr="009A31EC">
        <w:rPr>
          <w:rFonts w:eastAsia="Batang" w:cs="Times New Roman"/>
          <w:kern w:val="22"/>
          <w:sz w:val="22"/>
          <w:lang w:val="fr-FR"/>
        </w:rPr>
        <w:t xml:space="preserve"> </w:t>
      </w:r>
      <w:r w:rsidR="00934A20" w:rsidRPr="009A31EC">
        <w:rPr>
          <w:rFonts w:eastAsia="Batang" w:cs="Times New Roman"/>
          <w:kern w:val="22"/>
          <w:sz w:val="22"/>
          <w:lang w:val="fr-FR"/>
        </w:rPr>
        <w:t>dans le champ d’application</w:t>
      </w:r>
      <w:r w:rsidR="00A90E4B" w:rsidRPr="009A31EC">
        <w:rPr>
          <w:rFonts w:eastAsia="Batang" w:cs="Times New Roman"/>
          <w:kern w:val="22"/>
          <w:sz w:val="22"/>
          <w:lang w:val="fr-FR"/>
        </w:rPr>
        <w:t xml:space="preserve"> </w:t>
      </w:r>
      <w:r w:rsidR="00770AB8" w:rsidRPr="009A31EC">
        <w:rPr>
          <w:rFonts w:eastAsia="Batang" w:cs="Times New Roman"/>
          <w:kern w:val="22"/>
          <w:sz w:val="22"/>
          <w:lang w:val="fr-FR"/>
        </w:rPr>
        <w:t>du Pro</w:t>
      </w:r>
      <w:r w:rsidR="00E3674F" w:rsidRPr="009A31EC">
        <w:rPr>
          <w:rFonts w:eastAsia="Batang" w:cs="Times New Roman"/>
          <w:kern w:val="22"/>
          <w:sz w:val="22"/>
          <w:lang w:val="fr-FR"/>
        </w:rPr>
        <w:t>tocole de Nagoya</w:t>
      </w:r>
      <w:r w:rsidR="000124D5">
        <w:rPr>
          <w:rFonts w:eastAsia="Batang" w:cs="Times New Roman"/>
          <w:kern w:val="22"/>
          <w:sz w:val="22"/>
          <w:lang w:val="fr-FR"/>
        </w:rPr>
        <w:t xml:space="preserve"> indique que</w:t>
      </w:r>
      <w:r w:rsidR="009A31EC">
        <w:rPr>
          <w:rFonts w:eastAsia="Batang" w:cs="Times New Roman"/>
          <w:kern w:val="22"/>
          <w:sz w:val="22"/>
          <w:lang w:val="fr-FR"/>
        </w:rPr>
        <w:t xml:space="preserve"> “dans les projets</w:t>
      </w:r>
      <w:r w:rsidR="00E42DC6" w:rsidRPr="009A31EC">
        <w:rPr>
          <w:rFonts w:eastAsia="Batang" w:cs="Times New Roman"/>
          <w:kern w:val="22"/>
          <w:sz w:val="22"/>
          <w:lang w:val="fr-FR"/>
        </w:rPr>
        <w:t xml:space="preserve"> </w:t>
      </w:r>
      <w:r w:rsidR="00C50762">
        <w:rPr>
          <w:rFonts w:eastAsia="Batang" w:cs="Times New Roman"/>
          <w:kern w:val="22"/>
          <w:sz w:val="22"/>
          <w:lang w:val="fr-FR"/>
        </w:rPr>
        <w:t>bio-numériq</w:t>
      </w:r>
      <w:r w:rsidR="009A31EC">
        <w:rPr>
          <w:rFonts w:eastAsia="Batang" w:cs="Times New Roman"/>
          <w:kern w:val="22"/>
          <w:sz w:val="22"/>
          <w:lang w:val="fr-FR"/>
        </w:rPr>
        <w:t>ues de pointe</w:t>
      </w:r>
      <w:r w:rsidR="00E42DC6" w:rsidRPr="009A31EC">
        <w:rPr>
          <w:rFonts w:eastAsia="Batang" w:cs="Times New Roman"/>
          <w:kern w:val="22"/>
          <w:sz w:val="22"/>
          <w:lang w:val="fr-FR"/>
        </w:rPr>
        <w:t xml:space="preserve">, </w:t>
      </w:r>
      <w:r w:rsidR="009A31EC">
        <w:rPr>
          <w:rFonts w:eastAsia="Batang" w:cs="Times New Roman"/>
          <w:kern w:val="22"/>
          <w:sz w:val="22"/>
          <w:lang w:val="fr-FR"/>
        </w:rPr>
        <w:t>des centaines de milliers</w:t>
      </w:r>
      <w:r w:rsidR="00E42DC6" w:rsidRPr="009A31EC">
        <w:rPr>
          <w:rFonts w:eastAsia="Batang" w:cs="Times New Roman"/>
          <w:kern w:val="22"/>
          <w:sz w:val="22"/>
          <w:lang w:val="fr-FR"/>
        </w:rPr>
        <w:t xml:space="preserve"> </w:t>
      </w:r>
      <w:r w:rsidR="00A90E4B" w:rsidRPr="009A31EC">
        <w:rPr>
          <w:rFonts w:eastAsia="Batang" w:cs="Times New Roman"/>
          <w:kern w:val="22"/>
          <w:sz w:val="22"/>
          <w:lang w:val="fr-FR"/>
        </w:rPr>
        <w:t xml:space="preserve">. . . </w:t>
      </w:r>
      <w:r w:rsidR="009A31EC">
        <w:rPr>
          <w:rFonts w:eastAsia="Batang" w:cs="Times New Roman"/>
          <w:kern w:val="22"/>
          <w:sz w:val="22"/>
          <w:lang w:val="fr-FR"/>
        </w:rPr>
        <w:t xml:space="preserve">de </w:t>
      </w:r>
      <w:r w:rsidR="00974B88" w:rsidRPr="009A31EC">
        <w:rPr>
          <w:rFonts w:eastAsia="Batang" w:cs="Times New Roman"/>
          <w:kern w:val="22"/>
          <w:sz w:val="22"/>
          <w:lang w:val="fr-FR"/>
        </w:rPr>
        <w:t>séquence</w:t>
      </w:r>
      <w:r w:rsidR="00E42DC6" w:rsidRPr="009A31EC">
        <w:rPr>
          <w:rFonts w:eastAsia="Batang" w:cs="Times New Roman"/>
          <w:kern w:val="22"/>
          <w:sz w:val="22"/>
          <w:lang w:val="fr-FR"/>
        </w:rPr>
        <w:t xml:space="preserve">s </w:t>
      </w:r>
      <w:r w:rsidR="009A31EC">
        <w:rPr>
          <w:rFonts w:eastAsia="Batang" w:cs="Times New Roman"/>
          <w:kern w:val="22"/>
          <w:sz w:val="22"/>
          <w:lang w:val="fr-FR"/>
        </w:rPr>
        <w:t xml:space="preserve">peuvent être </w:t>
      </w:r>
      <w:r w:rsidR="001F55AB" w:rsidRPr="009A31EC">
        <w:rPr>
          <w:rFonts w:eastAsia="Batang" w:cs="Times New Roman"/>
          <w:kern w:val="22"/>
          <w:sz w:val="22"/>
          <w:lang w:val="fr-FR"/>
        </w:rPr>
        <w:t>utilisé</w:t>
      </w:r>
      <w:r w:rsidR="009A31EC">
        <w:rPr>
          <w:rFonts w:eastAsia="Batang" w:cs="Times New Roman"/>
          <w:kern w:val="22"/>
          <w:sz w:val="22"/>
          <w:lang w:val="fr-FR"/>
        </w:rPr>
        <w:t>es pour</w:t>
      </w:r>
      <w:r w:rsidR="001F55AB" w:rsidRPr="009A31EC">
        <w:rPr>
          <w:rFonts w:eastAsia="Batang" w:cs="Times New Roman"/>
          <w:kern w:val="22"/>
          <w:sz w:val="22"/>
          <w:lang w:val="fr-FR"/>
        </w:rPr>
        <w:t xml:space="preserve"> </w:t>
      </w:r>
      <w:r w:rsidR="009A31EC">
        <w:rPr>
          <w:rFonts w:eastAsia="Batang" w:cs="Times New Roman"/>
          <w:kern w:val="22"/>
          <w:sz w:val="22"/>
          <w:lang w:val="fr-FR"/>
        </w:rPr>
        <w:t>dé</w:t>
      </w:r>
      <w:r w:rsidR="00E42DC6" w:rsidRPr="009A31EC">
        <w:rPr>
          <w:rFonts w:eastAsia="Batang" w:cs="Times New Roman"/>
          <w:kern w:val="22"/>
          <w:sz w:val="22"/>
          <w:lang w:val="fr-FR"/>
        </w:rPr>
        <w:t>velop</w:t>
      </w:r>
      <w:r w:rsidR="009A31EC">
        <w:rPr>
          <w:rFonts w:eastAsia="Batang" w:cs="Times New Roman"/>
          <w:kern w:val="22"/>
          <w:sz w:val="22"/>
          <w:lang w:val="fr-FR"/>
        </w:rPr>
        <w:t xml:space="preserve">per un </w:t>
      </w:r>
      <w:r w:rsidR="00D9629D" w:rsidRPr="009A31EC">
        <w:rPr>
          <w:rFonts w:eastAsia="Batang" w:cs="Times New Roman"/>
          <w:kern w:val="22"/>
          <w:sz w:val="22"/>
          <w:lang w:val="fr-FR"/>
        </w:rPr>
        <w:t>produit</w:t>
      </w:r>
      <w:r w:rsidR="000124D5">
        <w:rPr>
          <w:rFonts w:eastAsia="Batang" w:cs="Times New Roman"/>
          <w:kern w:val="22"/>
          <w:sz w:val="22"/>
          <w:lang w:val="fr-FR"/>
        </w:rPr>
        <w:t xml:space="preserve"> commercial spécifique</w:t>
      </w:r>
      <w:r w:rsidR="00E42DC6" w:rsidRPr="009A31EC">
        <w:rPr>
          <w:rFonts w:eastAsia="Batang" w:cs="Times New Roman"/>
          <w:kern w:val="22"/>
          <w:sz w:val="22"/>
          <w:lang w:val="fr-FR"/>
        </w:rPr>
        <w:t xml:space="preserve">. </w:t>
      </w:r>
      <w:r w:rsidR="009A31EC" w:rsidRPr="009A31EC">
        <w:rPr>
          <w:rFonts w:eastAsia="Batang" w:cs="Times New Roman"/>
          <w:kern w:val="22"/>
          <w:sz w:val="22"/>
          <w:lang w:val="fr-FR"/>
        </w:rPr>
        <w:t xml:space="preserve">Le </w:t>
      </w:r>
      <w:r w:rsidR="00D9629D" w:rsidRPr="009A31EC">
        <w:rPr>
          <w:rFonts w:eastAsia="Batang" w:cs="Times New Roman"/>
          <w:kern w:val="22"/>
          <w:sz w:val="22"/>
          <w:lang w:val="fr-FR"/>
        </w:rPr>
        <w:t>produit</w:t>
      </w:r>
      <w:r w:rsidR="009A31EC" w:rsidRPr="009A31EC">
        <w:rPr>
          <w:rFonts w:eastAsia="Batang" w:cs="Times New Roman"/>
          <w:kern w:val="22"/>
          <w:sz w:val="22"/>
          <w:lang w:val="fr-FR"/>
        </w:rPr>
        <w:t xml:space="preserve"> final contient une </w:t>
      </w:r>
      <w:r w:rsidR="00974B88" w:rsidRPr="009A31EC">
        <w:rPr>
          <w:rFonts w:eastAsia="Batang" w:cs="Times New Roman"/>
          <w:kern w:val="22"/>
          <w:sz w:val="22"/>
          <w:lang w:val="fr-FR"/>
        </w:rPr>
        <w:t>séquence</w:t>
      </w:r>
      <w:r w:rsidR="009A31EC" w:rsidRPr="009A31EC">
        <w:rPr>
          <w:rFonts w:eastAsia="Batang" w:cs="Times New Roman"/>
          <w:kern w:val="22"/>
          <w:sz w:val="22"/>
          <w:lang w:val="fr-FR"/>
        </w:rPr>
        <w:t xml:space="preserve"> qui représente une “moyenn</w:t>
      </w:r>
      <w:r w:rsidR="009A31EC">
        <w:rPr>
          <w:rFonts w:eastAsia="Batang" w:cs="Times New Roman"/>
          <w:kern w:val="22"/>
          <w:sz w:val="22"/>
          <w:lang w:val="fr-FR"/>
        </w:rPr>
        <w:t>e” d</w:t>
      </w:r>
      <w:r w:rsidR="00C50762">
        <w:rPr>
          <w:rFonts w:eastAsia="Batang" w:cs="Times New Roman"/>
          <w:kern w:val="22"/>
          <w:sz w:val="22"/>
          <w:lang w:val="fr-FR"/>
        </w:rPr>
        <w:t xml:space="preserve">e toutes les </w:t>
      </w:r>
      <w:r w:rsidR="00974B88" w:rsidRPr="009A31EC">
        <w:rPr>
          <w:rFonts w:eastAsia="Batang" w:cs="Times New Roman"/>
          <w:kern w:val="22"/>
          <w:sz w:val="22"/>
          <w:lang w:val="fr-FR"/>
        </w:rPr>
        <w:t>séquence</w:t>
      </w:r>
      <w:r w:rsidR="00E42DC6" w:rsidRPr="009A31EC">
        <w:rPr>
          <w:rFonts w:eastAsia="Batang" w:cs="Times New Roman"/>
          <w:kern w:val="22"/>
          <w:sz w:val="22"/>
          <w:lang w:val="fr-FR"/>
        </w:rPr>
        <w:t>s</w:t>
      </w:r>
      <w:r w:rsidR="00C50762">
        <w:rPr>
          <w:rFonts w:eastAsia="Batang" w:cs="Times New Roman"/>
          <w:kern w:val="22"/>
          <w:sz w:val="22"/>
          <w:lang w:val="fr-FR"/>
        </w:rPr>
        <w:t xml:space="preserve"> de saisie</w:t>
      </w:r>
      <w:r w:rsidR="00E42DC6" w:rsidRPr="009A31EC">
        <w:rPr>
          <w:rFonts w:eastAsia="Batang" w:cs="Times New Roman"/>
          <w:kern w:val="22"/>
          <w:sz w:val="22"/>
          <w:lang w:val="fr-FR"/>
        </w:rPr>
        <w:t xml:space="preserve">; </w:t>
      </w:r>
      <w:r w:rsidR="009A31EC">
        <w:rPr>
          <w:rFonts w:eastAsia="Batang" w:cs="Times New Roman"/>
          <w:kern w:val="22"/>
          <w:sz w:val="22"/>
          <w:lang w:val="fr-FR"/>
        </w:rPr>
        <w:t>[en conséquence,</w:t>
      </w:r>
      <w:r w:rsidR="00A90E4B" w:rsidRPr="009A31EC">
        <w:rPr>
          <w:rFonts w:eastAsia="Batang" w:cs="Times New Roman"/>
          <w:kern w:val="22"/>
          <w:sz w:val="22"/>
          <w:lang w:val="fr-FR"/>
        </w:rPr>
        <w:t>]</w:t>
      </w:r>
      <w:r w:rsidR="009A31EC">
        <w:rPr>
          <w:rFonts w:eastAsia="Batang" w:cs="Times New Roman"/>
          <w:kern w:val="22"/>
          <w:sz w:val="22"/>
          <w:lang w:val="fr-FR"/>
        </w:rPr>
        <w:t xml:space="preserve"> i</w:t>
      </w:r>
      <w:r w:rsidR="000124D5">
        <w:rPr>
          <w:rFonts w:eastAsia="Batang" w:cs="Times New Roman"/>
          <w:kern w:val="22"/>
          <w:sz w:val="22"/>
          <w:lang w:val="fr-FR"/>
        </w:rPr>
        <w:t>l est quasiment impossible de calculer</w:t>
      </w:r>
      <w:r w:rsidR="009A31EC">
        <w:rPr>
          <w:rFonts w:eastAsia="Batang" w:cs="Times New Roman"/>
          <w:kern w:val="22"/>
          <w:sz w:val="22"/>
          <w:lang w:val="fr-FR"/>
        </w:rPr>
        <w:t xml:space="preserve"> la valeur </w:t>
      </w:r>
      <w:r w:rsidR="00E42DC6" w:rsidRPr="009A31EC">
        <w:rPr>
          <w:rFonts w:eastAsia="Batang" w:cs="Times New Roman"/>
          <w:kern w:val="22"/>
          <w:sz w:val="22"/>
          <w:lang w:val="fr-FR"/>
        </w:rPr>
        <w:t>relative</w:t>
      </w:r>
      <w:r w:rsidR="00C50762">
        <w:rPr>
          <w:rFonts w:eastAsia="Batang" w:cs="Times New Roman"/>
          <w:kern w:val="22"/>
          <w:sz w:val="22"/>
          <w:lang w:val="fr-FR"/>
        </w:rPr>
        <w:t xml:space="preserve"> de chaque </w:t>
      </w:r>
      <w:r w:rsidR="009A31EC">
        <w:rPr>
          <w:rFonts w:eastAsia="Batang" w:cs="Times New Roman"/>
          <w:kern w:val="22"/>
          <w:sz w:val="22"/>
          <w:lang w:val="fr-FR"/>
        </w:rPr>
        <w:t xml:space="preserve">séquence </w:t>
      </w:r>
      <w:r w:rsidR="00C50762">
        <w:rPr>
          <w:rFonts w:eastAsia="Batang" w:cs="Times New Roman"/>
          <w:kern w:val="22"/>
          <w:sz w:val="22"/>
          <w:lang w:val="fr-FR"/>
        </w:rPr>
        <w:t>de saisie individuelle</w:t>
      </w:r>
      <w:r w:rsidR="00E42DC6" w:rsidRPr="009A31EC">
        <w:rPr>
          <w:rFonts w:eastAsia="Batang" w:cs="Times New Roman"/>
          <w:kern w:val="22"/>
          <w:sz w:val="22"/>
          <w:lang w:val="fr-FR"/>
        </w:rPr>
        <w:t>.”</w:t>
      </w:r>
      <w:r w:rsidR="00E42DC6" w:rsidRPr="002364AB">
        <w:rPr>
          <w:rStyle w:val="FootnoteReference"/>
          <w:kern w:val="22"/>
          <w:sz w:val="22"/>
          <w:lang w:val="en-GB"/>
        </w:rPr>
        <w:footnoteReference w:id="153"/>
      </w:r>
      <w:r w:rsidR="00E42DC6" w:rsidRPr="009A31EC">
        <w:rPr>
          <w:rFonts w:eastAsia="Batang" w:cs="Times New Roman"/>
          <w:kern w:val="22"/>
          <w:sz w:val="22"/>
          <w:lang w:val="fr-FR"/>
        </w:rPr>
        <w:t xml:space="preserve"> </w:t>
      </w:r>
    </w:p>
    <w:p w14:paraId="7D04886A" w14:textId="2491343D" w:rsidR="006A0294" w:rsidRPr="00CE3A0E" w:rsidRDefault="007B5F4A" w:rsidP="00E42DC6">
      <w:pPr>
        <w:spacing w:after="120"/>
        <w:rPr>
          <w:rFonts w:eastAsia="Batang" w:cs="Times New Roman"/>
          <w:kern w:val="22"/>
          <w:sz w:val="22"/>
          <w:lang w:val="fr-FR"/>
        </w:rPr>
      </w:pPr>
      <w:r>
        <w:rPr>
          <w:rFonts w:eastAsia="Batang" w:cs="Times New Roman"/>
          <w:kern w:val="22"/>
          <w:sz w:val="22"/>
          <w:lang w:val="fr-FR"/>
        </w:rPr>
        <w:t>Les</w:t>
      </w:r>
      <w:r w:rsidR="006A0294" w:rsidRPr="00CE3A0E">
        <w:rPr>
          <w:rFonts w:eastAsia="Batang" w:cs="Times New Roman"/>
          <w:kern w:val="22"/>
          <w:sz w:val="22"/>
          <w:lang w:val="fr-FR"/>
        </w:rPr>
        <w:t xml:space="preserve"> </w:t>
      </w:r>
      <w:r w:rsidR="009D43F1" w:rsidRPr="00CE3A0E">
        <w:rPr>
          <w:rFonts w:eastAsia="Batang" w:cs="Times New Roman"/>
          <w:kern w:val="22"/>
          <w:sz w:val="22"/>
          <w:lang w:val="fr-FR"/>
        </w:rPr>
        <w:t>exemple</w:t>
      </w:r>
      <w:r w:rsidR="005D7A6F" w:rsidRPr="00CE3A0E">
        <w:rPr>
          <w:rFonts w:eastAsia="Batang" w:cs="Times New Roman"/>
          <w:kern w:val="22"/>
          <w:sz w:val="22"/>
          <w:lang w:val="fr-FR"/>
        </w:rPr>
        <w:t>s</w:t>
      </w:r>
      <w:r>
        <w:rPr>
          <w:rFonts w:eastAsia="Batang" w:cs="Times New Roman"/>
          <w:kern w:val="22"/>
          <w:sz w:val="22"/>
          <w:lang w:val="fr-FR"/>
        </w:rPr>
        <w:t xml:space="preserve"> ci-après illustrent l’</w:t>
      </w:r>
      <w:r w:rsidR="008627A9" w:rsidRPr="00CE3A0E">
        <w:rPr>
          <w:rFonts w:eastAsia="Batang" w:cs="Times New Roman"/>
          <w:kern w:val="22"/>
          <w:sz w:val="22"/>
          <w:lang w:val="fr-FR"/>
        </w:rPr>
        <w:t>utilisation</w:t>
      </w:r>
      <w:r>
        <w:rPr>
          <w:rFonts w:eastAsia="Batang" w:cs="Times New Roman"/>
          <w:kern w:val="22"/>
          <w:sz w:val="22"/>
          <w:lang w:val="fr-FR"/>
        </w:rPr>
        <w:t xml:space="preserve"> </w:t>
      </w:r>
      <w:r w:rsidR="000124D5">
        <w:rPr>
          <w:rFonts w:eastAsia="Batang" w:cs="Times New Roman"/>
          <w:kern w:val="22"/>
          <w:sz w:val="22"/>
          <w:lang w:val="fr-FR"/>
        </w:rPr>
        <w:t>d</w:t>
      </w:r>
      <w:r w:rsidR="00BC5F0A">
        <w:rPr>
          <w:rFonts w:eastAsia="Batang" w:cs="Times New Roman"/>
          <w:kern w:val="22"/>
          <w:sz w:val="22"/>
          <w:lang w:val="fr-FR"/>
        </w:rPr>
        <w:t>’information</w:t>
      </w:r>
      <w:r w:rsidR="000124D5">
        <w:rPr>
          <w:rFonts w:eastAsia="Batang" w:cs="Times New Roman"/>
          <w:kern w:val="22"/>
          <w:sz w:val="22"/>
          <w:lang w:val="fr-FR"/>
        </w:rPr>
        <w:t>s</w:t>
      </w:r>
      <w:r w:rsidR="00BC5F0A">
        <w:rPr>
          <w:rFonts w:eastAsia="Batang" w:cs="Times New Roman"/>
          <w:kern w:val="22"/>
          <w:sz w:val="22"/>
          <w:lang w:val="fr-FR"/>
        </w:rPr>
        <w:t xml:space="preserve"> de séquençage</w:t>
      </w:r>
      <w:r w:rsidR="00142D5A">
        <w:rPr>
          <w:rFonts w:eastAsia="Batang" w:cs="Times New Roman"/>
          <w:kern w:val="22"/>
          <w:sz w:val="22"/>
          <w:lang w:val="fr-FR"/>
        </w:rPr>
        <w:t xml:space="preserve"> numérique</w:t>
      </w:r>
      <w:r>
        <w:rPr>
          <w:rFonts w:eastAsia="Batang" w:cs="Times New Roman"/>
          <w:kern w:val="22"/>
          <w:sz w:val="22"/>
          <w:lang w:val="fr-FR"/>
        </w:rPr>
        <w:t xml:space="preserve"> provenant de</w:t>
      </w:r>
      <w:r w:rsidR="005D7A6F" w:rsidRPr="00CE3A0E">
        <w:rPr>
          <w:rFonts w:eastAsia="Batang" w:cs="Times New Roman"/>
          <w:kern w:val="22"/>
          <w:sz w:val="22"/>
          <w:lang w:val="fr-FR"/>
        </w:rPr>
        <w:t xml:space="preserve"> </w:t>
      </w:r>
      <w:r w:rsidR="0072393B" w:rsidRPr="00CE3A0E">
        <w:rPr>
          <w:rFonts w:eastAsia="Batang" w:cs="Times New Roman"/>
          <w:kern w:val="22"/>
          <w:sz w:val="22"/>
          <w:lang w:val="fr-FR"/>
        </w:rPr>
        <w:t>plusieurs organismes</w:t>
      </w:r>
      <w:r w:rsidR="00FA67C5" w:rsidRPr="00CE3A0E">
        <w:rPr>
          <w:rFonts w:eastAsia="Batang" w:cs="Times New Roman"/>
          <w:kern w:val="22"/>
          <w:sz w:val="22"/>
          <w:lang w:val="fr-FR"/>
        </w:rPr>
        <w:t>.</w:t>
      </w:r>
    </w:p>
    <w:p w14:paraId="642CE083" w14:textId="7853C075" w:rsidR="00442FE9" w:rsidRPr="00CE3A0E" w:rsidRDefault="00CE3A0E" w:rsidP="00E42DC6">
      <w:pPr>
        <w:spacing w:after="120"/>
        <w:rPr>
          <w:rFonts w:eastAsia="Batang" w:cs="Times New Roman"/>
          <w:i/>
          <w:kern w:val="22"/>
          <w:sz w:val="22"/>
          <w:lang w:val="fr-FR"/>
        </w:rPr>
      </w:pPr>
      <w:r>
        <w:rPr>
          <w:rFonts w:eastAsia="Batang" w:cs="Times New Roman"/>
          <w:i/>
          <w:kern w:val="22"/>
          <w:sz w:val="22"/>
          <w:lang w:val="fr-FR"/>
        </w:rPr>
        <w:t>Glycosides de stéviol</w:t>
      </w:r>
    </w:p>
    <w:p w14:paraId="4FD0C2FA" w14:textId="51170457" w:rsidR="00DF688E" w:rsidRPr="0050199C" w:rsidRDefault="007759FA" w:rsidP="00C93236">
      <w:pPr>
        <w:spacing w:after="120"/>
        <w:rPr>
          <w:rFonts w:eastAsia="Batang" w:cs="Times New Roman"/>
          <w:kern w:val="22"/>
          <w:sz w:val="22"/>
          <w:lang w:val="fr-FR"/>
        </w:rPr>
      </w:pPr>
      <w:r>
        <w:rPr>
          <w:rFonts w:eastAsia="Batang" w:cs="Times New Roman"/>
          <w:kern w:val="22"/>
          <w:sz w:val="22"/>
          <w:lang w:val="fr-FR"/>
        </w:rPr>
        <w:t>Un plus petit nombre</w:t>
      </w:r>
      <w:r w:rsidR="00C50762">
        <w:rPr>
          <w:rFonts w:eastAsia="Batang" w:cs="Times New Roman"/>
          <w:kern w:val="22"/>
          <w:sz w:val="22"/>
          <w:lang w:val="fr-FR"/>
        </w:rPr>
        <w:t xml:space="preserve"> d’organismes différents, mais</w:t>
      </w:r>
      <w:r>
        <w:rPr>
          <w:rFonts w:eastAsia="Batang" w:cs="Times New Roman"/>
          <w:kern w:val="22"/>
          <w:sz w:val="22"/>
          <w:lang w:val="fr-FR"/>
        </w:rPr>
        <w:t xml:space="preserve"> néanm</w:t>
      </w:r>
      <w:r w:rsidR="00C50762">
        <w:rPr>
          <w:rFonts w:eastAsia="Batang" w:cs="Times New Roman"/>
          <w:kern w:val="22"/>
          <w:sz w:val="22"/>
          <w:lang w:val="fr-FR"/>
        </w:rPr>
        <w:t>oins significatif,</w:t>
      </w:r>
      <w:r>
        <w:rPr>
          <w:rFonts w:eastAsia="Batang" w:cs="Times New Roman"/>
          <w:kern w:val="22"/>
          <w:sz w:val="22"/>
          <w:lang w:val="fr-FR"/>
        </w:rPr>
        <w:t xml:space="preserve"> peut être u</w:t>
      </w:r>
      <w:r w:rsidR="001A462C">
        <w:rPr>
          <w:rFonts w:eastAsia="Batang" w:cs="Times New Roman"/>
          <w:kern w:val="22"/>
          <w:sz w:val="22"/>
          <w:lang w:val="fr-FR"/>
        </w:rPr>
        <w:t xml:space="preserve">tilisé également en évitant une utilisation effective </w:t>
      </w:r>
      <w:r>
        <w:rPr>
          <w:rFonts w:eastAsia="Batang" w:cs="Times New Roman"/>
          <w:kern w:val="22"/>
          <w:sz w:val="22"/>
          <w:lang w:val="fr-FR"/>
        </w:rPr>
        <w:t xml:space="preserve">de l’approche bilatérale en matière de </w:t>
      </w:r>
      <w:r w:rsidR="00E3674F" w:rsidRPr="001F55AB">
        <w:rPr>
          <w:rFonts w:eastAsia="Batang" w:cs="Times New Roman"/>
          <w:kern w:val="22"/>
          <w:sz w:val="22"/>
          <w:lang w:val="fr-FR"/>
        </w:rPr>
        <w:t>partage des avantages</w:t>
      </w:r>
      <w:r w:rsidR="00C93236" w:rsidRPr="001F55AB">
        <w:rPr>
          <w:rFonts w:eastAsia="Batang" w:cs="Times New Roman"/>
          <w:kern w:val="22"/>
          <w:sz w:val="22"/>
          <w:lang w:val="fr-FR"/>
        </w:rPr>
        <w:t xml:space="preserve">. </w:t>
      </w:r>
      <w:r w:rsidR="00FB2403">
        <w:rPr>
          <w:rFonts w:eastAsia="Batang" w:cs="Times New Roman"/>
          <w:kern w:val="22"/>
          <w:sz w:val="22"/>
          <w:lang w:val="fr-FR"/>
        </w:rPr>
        <w:t>On citera par exemple le</w:t>
      </w:r>
      <w:r w:rsidR="00805085" w:rsidRPr="007759FA">
        <w:rPr>
          <w:rFonts w:eastAsia="Batang" w:cs="Times New Roman"/>
          <w:kern w:val="22"/>
          <w:sz w:val="22"/>
          <w:lang w:val="fr-FR"/>
        </w:rPr>
        <w:t xml:space="preserve"> </w:t>
      </w:r>
      <w:r w:rsidR="00B43E38" w:rsidRPr="007759FA">
        <w:rPr>
          <w:rFonts w:eastAsia="Batang" w:cs="Times New Roman"/>
          <w:kern w:val="22"/>
          <w:sz w:val="22"/>
          <w:lang w:val="fr-FR"/>
        </w:rPr>
        <w:t>brevet</w:t>
      </w:r>
      <w:r w:rsidR="00805085" w:rsidRPr="007759FA">
        <w:rPr>
          <w:rFonts w:eastAsia="Batang" w:cs="Times New Roman"/>
          <w:kern w:val="22"/>
          <w:sz w:val="22"/>
          <w:lang w:val="fr-FR"/>
        </w:rPr>
        <w:t xml:space="preserve"> </w:t>
      </w:r>
      <w:r w:rsidR="001A462C">
        <w:rPr>
          <w:rFonts w:eastAsia="Batang" w:cs="Times New Roman"/>
          <w:kern w:val="22"/>
          <w:sz w:val="22"/>
          <w:lang w:val="fr-FR"/>
        </w:rPr>
        <w:t>américain No. 9284</w:t>
      </w:r>
      <w:r w:rsidR="00DF688E" w:rsidRPr="007759FA">
        <w:rPr>
          <w:rFonts w:eastAsia="Batang" w:cs="Times New Roman"/>
          <w:kern w:val="22"/>
          <w:sz w:val="22"/>
          <w:lang w:val="fr-FR"/>
        </w:rPr>
        <w:t>570</w:t>
      </w:r>
      <w:r>
        <w:rPr>
          <w:rFonts w:eastAsia="Batang" w:cs="Times New Roman"/>
          <w:kern w:val="22"/>
          <w:sz w:val="22"/>
          <w:lang w:val="fr-FR"/>
        </w:rPr>
        <w:t xml:space="preserve">, qui décrit la </w:t>
      </w:r>
      <w:r w:rsidR="00AA68B5" w:rsidRPr="007759FA">
        <w:rPr>
          <w:rFonts w:eastAsia="Batang" w:cs="Times New Roman"/>
          <w:kern w:val="22"/>
          <w:sz w:val="22"/>
          <w:lang w:val="fr-FR"/>
        </w:rPr>
        <w:t>production</w:t>
      </w:r>
      <w:r>
        <w:rPr>
          <w:rFonts w:eastAsia="Batang" w:cs="Times New Roman"/>
          <w:kern w:val="22"/>
          <w:sz w:val="22"/>
          <w:lang w:val="fr-FR"/>
        </w:rPr>
        <w:t xml:space="preserve"> de </w:t>
      </w:r>
      <w:r w:rsidR="00CE3A0E" w:rsidRPr="007759FA">
        <w:rPr>
          <w:rFonts w:eastAsia="Batang" w:cs="Times New Roman"/>
          <w:kern w:val="22"/>
          <w:sz w:val="22"/>
          <w:lang w:val="fr-FR"/>
        </w:rPr>
        <w:t>glycosides de stéviol</w:t>
      </w:r>
      <w:r w:rsidR="00805085" w:rsidRPr="007759FA">
        <w:rPr>
          <w:rFonts w:eastAsia="Batang" w:cs="Times New Roman"/>
          <w:kern w:val="22"/>
          <w:sz w:val="22"/>
          <w:lang w:val="fr-FR"/>
        </w:rPr>
        <w:t xml:space="preserve"> </w:t>
      </w:r>
      <w:r w:rsidR="00FB2403">
        <w:rPr>
          <w:rFonts w:eastAsia="Batang" w:cs="Times New Roman"/>
          <w:kern w:val="22"/>
          <w:sz w:val="22"/>
          <w:lang w:val="fr-FR"/>
        </w:rPr>
        <w:t xml:space="preserve">synthétiques, en </w:t>
      </w:r>
      <w:r w:rsidR="00805085" w:rsidRPr="007759FA">
        <w:rPr>
          <w:rFonts w:eastAsia="Batang" w:cs="Times New Roman"/>
          <w:kern w:val="22"/>
          <w:sz w:val="22"/>
          <w:lang w:val="fr-FR"/>
        </w:rPr>
        <w:t>re</w:t>
      </w:r>
      <w:r w:rsidR="00FB2403">
        <w:rPr>
          <w:rFonts w:eastAsia="Batang" w:cs="Times New Roman"/>
          <w:kern w:val="22"/>
          <w:sz w:val="22"/>
          <w:lang w:val="fr-FR"/>
        </w:rPr>
        <w:t>mplacement</w:t>
      </w:r>
      <w:r>
        <w:rPr>
          <w:rFonts w:eastAsia="Batang" w:cs="Times New Roman"/>
          <w:kern w:val="22"/>
          <w:sz w:val="22"/>
          <w:lang w:val="fr-FR"/>
        </w:rPr>
        <w:t xml:space="preserve"> des sté</w:t>
      </w:r>
      <w:r w:rsidR="00805085" w:rsidRPr="007759FA">
        <w:rPr>
          <w:rFonts w:eastAsia="Batang" w:cs="Times New Roman"/>
          <w:kern w:val="22"/>
          <w:sz w:val="22"/>
          <w:lang w:val="fr-FR"/>
        </w:rPr>
        <w:t>via</w:t>
      </w:r>
      <w:r>
        <w:rPr>
          <w:rFonts w:eastAsia="Batang" w:cs="Times New Roman"/>
          <w:kern w:val="22"/>
          <w:sz w:val="22"/>
          <w:lang w:val="fr-FR"/>
        </w:rPr>
        <w:t>s</w:t>
      </w:r>
      <w:r w:rsidR="00E3674F" w:rsidRPr="007759FA">
        <w:rPr>
          <w:rFonts w:eastAsia="Batang" w:cs="Times New Roman"/>
          <w:kern w:val="22"/>
          <w:sz w:val="22"/>
          <w:lang w:val="fr-FR"/>
        </w:rPr>
        <w:t xml:space="preserve"> et</w:t>
      </w:r>
      <w:r>
        <w:rPr>
          <w:rFonts w:eastAsia="Batang" w:cs="Times New Roman"/>
          <w:kern w:val="22"/>
          <w:sz w:val="22"/>
          <w:lang w:val="fr-FR"/>
        </w:rPr>
        <w:t xml:space="preserve"> </w:t>
      </w:r>
      <w:r w:rsidR="002518EB" w:rsidRPr="007759FA">
        <w:rPr>
          <w:rFonts w:eastAsia="Batang" w:cs="Times New Roman"/>
          <w:kern w:val="22"/>
          <w:sz w:val="22"/>
          <w:lang w:val="fr-FR"/>
        </w:rPr>
        <w:t xml:space="preserve">autres </w:t>
      </w:r>
      <w:r w:rsidR="001A462C">
        <w:rPr>
          <w:rFonts w:eastAsia="Batang" w:cs="Times New Roman"/>
          <w:kern w:val="22"/>
          <w:sz w:val="22"/>
          <w:lang w:val="fr-FR"/>
        </w:rPr>
        <w:t>édulcorants</w:t>
      </w:r>
      <w:r w:rsidR="004A7D73">
        <w:rPr>
          <w:rFonts w:eastAsia="Batang" w:cs="Times New Roman"/>
          <w:kern w:val="22"/>
          <w:sz w:val="22"/>
          <w:lang w:val="fr-FR"/>
        </w:rPr>
        <w:t>, au moyen d’une levure artificielle</w:t>
      </w:r>
      <w:r w:rsidR="00805085" w:rsidRPr="007759FA">
        <w:rPr>
          <w:rFonts w:eastAsia="Batang" w:cs="Times New Roman"/>
          <w:kern w:val="22"/>
          <w:sz w:val="22"/>
          <w:lang w:val="fr-FR"/>
        </w:rPr>
        <w:t xml:space="preserve">, </w:t>
      </w:r>
      <w:r w:rsidR="004A7D73">
        <w:rPr>
          <w:rFonts w:eastAsia="Batang" w:cs="Times New Roman"/>
          <w:kern w:val="22"/>
          <w:sz w:val="22"/>
          <w:lang w:val="fr-FR"/>
        </w:rPr>
        <w:t xml:space="preserve">le </w:t>
      </w:r>
      <w:r w:rsidR="00805085" w:rsidRPr="007759FA">
        <w:rPr>
          <w:rFonts w:eastAsia="Batang" w:cs="Times New Roman"/>
          <w:i/>
          <w:kern w:val="22"/>
          <w:sz w:val="22"/>
          <w:lang w:val="fr-FR"/>
        </w:rPr>
        <w:t>E</w:t>
      </w:r>
      <w:r w:rsidR="00280084" w:rsidRPr="007759FA">
        <w:rPr>
          <w:rFonts w:eastAsia="Batang" w:cs="Times New Roman"/>
          <w:i/>
          <w:kern w:val="22"/>
          <w:sz w:val="22"/>
          <w:lang w:val="fr-FR"/>
        </w:rPr>
        <w:t xml:space="preserve">scherichia </w:t>
      </w:r>
      <w:r w:rsidR="00805085" w:rsidRPr="007759FA">
        <w:rPr>
          <w:rFonts w:eastAsia="Batang" w:cs="Times New Roman"/>
          <w:i/>
          <w:kern w:val="22"/>
          <w:sz w:val="22"/>
          <w:lang w:val="fr-FR"/>
        </w:rPr>
        <w:t>coli</w:t>
      </w:r>
      <w:r w:rsidR="00805085" w:rsidRPr="007759FA">
        <w:rPr>
          <w:rFonts w:eastAsia="Batang" w:cs="Times New Roman"/>
          <w:kern w:val="22"/>
          <w:sz w:val="22"/>
          <w:lang w:val="fr-FR"/>
        </w:rPr>
        <w:t>,</w:t>
      </w:r>
      <w:r w:rsidR="0028742E" w:rsidRPr="007759FA">
        <w:rPr>
          <w:rFonts w:eastAsia="Batang" w:cs="Times New Roman"/>
          <w:kern w:val="22"/>
          <w:sz w:val="22"/>
          <w:lang w:val="fr-FR"/>
        </w:rPr>
        <w:t xml:space="preserve"> ou </w:t>
      </w:r>
      <w:r w:rsidR="0050199C">
        <w:rPr>
          <w:rFonts w:eastAsia="Batang" w:cs="Times New Roman"/>
          <w:kern w:val="22"/>
          <w:sz w:val="22"/>
          <w:lang w:val="fr-FR"/>
        </w:rPr>
        <w:t>de</w:t>
      </w:r>
      <w:r w:rsidR="00805085" w:rsidRPr="007759FA">
        <w:rPr>
          <w:rFonts w:eastAsia="Batang" w:cs="Times New Roman"/>
          <w:kern w:val="22"/>
          <w:sz w:val="22"/>
          <w:lang w:val="fr-FR"/>
        </w:rPr>
        <w:t xml:space="preserve"> cell</w:t>
      </w:r>
      <w:r w:rsidR="0050199C">
        <w:rPr>
          <w:rFonts w:eastAsia="Batang" w:cs="Times New Roman"/>
          <w:kern w:val="22"/>
          <w:sz w:val="22"/>
          <w:lang w:val="fr-FR"/>
        </w:rPr>
        <w:t>ule</w:t>
      </w:r>
      <w:r w:rsidR="00805085" w:rsidRPr="007759FA">
        <w:rPr>
          <w:rFonts w:eastAsia="Batang" w:cs="Times New Roman"/>
          <w:kern w:val="22"/>
          <w:sz w:val="22"/>
          <w:lang w:val="fr-FR"/>
        </w:rPr>
        <w:t>s</w:t>
      </w:r>
      <w:r w:rsidR="0050199C">
        <w:rPr>
          <w:rFonts w:eastAsia="Batang" w:cs="Times New Roman"/>
          <w:kern w:val="22"/>
          <w:sz w:val="22"/>
          <w:lang w:val="fr-FR"/>
        </w:rPr>
        <w:t xml:space="preserve"> végétales, pour exprimer des nouveaux gènes </w:t>
      </w:r>
      <w:r w:rsidR="00805085" w:rsidRPr="007759FA">
        <w:rPr>
          <w:rFonts w:eastAsia="Batang" w:cs="Times New Roman"/>
          <w:kern w:val="22"/>
          <w:sz w:val="22"/>
          <w:lang w:val="fr-FR"/>
        </w:rPr>
        <w:t>recombinant</w:t>
      </w:r>
      <w:r w:rsidR="0050199C">
        <w:rPr>
          <w:rFonts w:eastAsia="Batang" w:cs="Times New Roman"/>
          <w:kern w:val="22"/>
          <w:sz w:val="22"/>
          <w:lang w:val="fr-FR"/>
        </w:rPr>
        <w:t xml:space="preserve">s qui </w:t>
      </w:r>
      <w:r w:rsidR="001A462C">
        <w:rPr>
          <w:rFonts w:eastAsia="Batang" w:cs="Times New Roman"/>
          <w:kern w:val="22"/>
          <w:sz w:val="22"/>
          <w:lang w:val="fr-FR"/>
        </w:rPr>
        <w:t xml:space="preserve">encodent </w:t>
      </w:r>
      <w:r w:rsidR="0050199C">
        <w:rPr>
          <w:rFonts w:eastAsia="Batang" w:cs="Times New Roman"/>
          <w:kern w:val="22"/>
          <w:sz w:val="22"/>
          <w:lang w:val="fr-FR"/>
        </w:rPr>
        <w:t>des enzymes de stéviol biosynthétiques</w:t>
      </w:r>
      <w:r w:rsidR="00FB2403">
        <w:rPr>
          <w:rFonts w:eastAsia="Batang" w:cs="Times New Roman"/>
          <w:kern w:val="22"/>
          <w:sz w:val="22"/>
          <w:lang w:val="fr-FR"/>
        </w:rPr>
        <w:t>,</w:t>
      </w:r>
      <w:r w:rsidR="0050199C">
        <w:rPr>
          <w:rFonts w:eastAsia="Batang" w:cs="Times New Roman"/>
          <w:kern w:val="22"/>
          <w:sz w:val="22"/>
          <w:lang w:val="fr-FR"/>
        </w:rPr>
        <w:t xml:space="preserve"> afin de produire du sté</w:t>
      </w:r>
      <w:r w:rsidR="00805085" w:rsidRPr="007759FA">
        <w:rPr>
          <w:rFonts w:eastAsia="Batang" w:cs="Times New Roman"/>
          <w:kern w:val="22"/>
          <w:sz w:val="22"/>
          <w:lang w:val="fr-FR"/>
        </w:rPr>
        <w:t>viol</w:t>
      </w:r>
      <w:r w:rsidR="0028742E" w:rsidRPr="007759FA">
        <w:rPr>
          <w:rFonts w:eastAsia="Batang" w:cs="Times New Roman"/>
          <w:kern w:val="22"/>
          <w:sz w:val="22"/>
          <w:lang w:val="fr-FR"/>
        </w:rPr>
        <w:t xml:space="preserve"> ou </w:t>
      </w:r>
      <w:r w:rsidR="0050199C">
        <w:rPr>
          <w:rFonts w:eastAsia="Batang" w:cs="Times New Roman"/>
          <w:kern w:val="22"/>
          <w:sz w:val="22"/>
          <w:lang w:val="fr-FR"/>
        </w:rPr>
        <w:t xml:space="preserve">des </w:t>
      </w:r>
      <w:r w:rsidR="00CE3A0E" w:rsidRPr="007759FA">
        <w:rPr>
          <w:rFonts w:eastAsia="Batang" w:cs="Times New Roman"/>
          <w:kern w:val="22"/>
          <w:sz w:val="22"/>
          <w:lang w:val="fr-FR"/>
        </w:rPr>
        <w:t>glycosides de stéviol</w:t>
      </w:r>
      <w:r w:rsidR="00805085" w:rsidRPr="007759FA">
        <w:rPr>
          <w:rFonts w:eastAsia="Batang" w:cs="Times New Roman"/>
          <w:kern w:val="22"/>
          <w:sz w:val="22"/>
          <w:lang w:val="fr-FR"/>
        </w:rPr>
        <w:t xml:space="preserve">. </w:t>
      </w:r>
      <w:r w:rsidR="0050199C" w:rsidRPr="0050199C">
        <w:rPr>
          <w:rFonts w:eastAsia="Batang" w:cs="Times New Roman"/>
          <w:kern w:val="22"/>
          <w:sz w:val="22"/>
          <w:lang w:val="fr-FR"/>
        </w:rPr>
        <w:t>Le</w:t>
      </w:r>
      <w:r w:rsidR="00805085" w:rsidRPr="0050199C">
        <w:rPr>
          <w:rFonts w:eastAsia="Batang" w:cs="Times New Roman"/>
          <w:kern w:val="22"/>
          <w:sz w:val="22"/>
          <w:lang w:val="fr-FR"/>
        </w:rPr>
        <w:t xml:space="preserve"> process</w:t>
      </w:r>
      <w:r w:rsidR="0050199C" w:rsidRPr="0050199C">
        <w:rPr>
          <w:rFonts w:eastAsia="Batang" w:cs="Times New Roman"/>
          <w:kern w:val="22"/>
          <w:sz w:val="22"/>
          <w:lang w:val="fr-FR"/>
        </w:rPr>
        <w:t>us</w:t>
      </w:r>
      <w:r w:rsidR="00805085" w:rsidRPr="0050199C">
        <w:rPr>
          <w:rFonts w:eastAsia="Batang" w:cs="Times New Roman"/>
          <w:kern w:val="22"/>
          <w:sz w:val="22"/>
          <w:lang w:val="fr-FR"/>
        </w:rPr>
        <w:t xml:space="preserve"> </w:t>
      </w:r>
      <w:r w:rsidR="0050199C">
        <w:rPr>
          <w:rFonts w:eastAsia="Batang" w:cs="Times New Roman"/>
          <w:kern w:val="22"/>
          <w:sz w:val="22"/>
          <w:lang w:val="fr-FR"/>
        </w:rPr>
        <w:t xml:space="preserve">mentionne </w:t>
      </w:r>
      <w:r w:rsidR="00424B6E" w:rsidRPr="0050199C">
        <w:rPr>
          <w:rFonts w:eastAsia="Batang" w:cs="Times New Roman"/>
          <w:kern w:val="22"/>
          <w:sz w:val="22"/>
          <w:lang w:val="fr-FR"/>
        </w:rPr>
        <w:t>l’utilisation</w:t>
      </w:r>
      <w:r w:rsidR="00FB2403">
        <w:rPr>
          <w:rFonts w:eastAsia="Batang" w:cs="Times New Roman"/>
          <w:kern w:val="22"/>
          <w:sz w:val="22"/>
          <w:lang w:val="fr-FR"/>
        </w:rPr>
        <w:t xml:space="preserve"> possibl</w:t>
      </w:r>
      <w:r w:rsidR="0050199C">
        <w:rPr>
          <w:rFonts w:eastAsia="Batang" w:cs="Times New Roman"/>
          <w:kern w:val="22"/>
          <w:sz w:val="22"/>
          <w:lang w:val="fr-FR"/>
        </w:rPr>
        <w:t>e de</w:t>
      </w:r>
      <w:r w:rsidR="00424B6E" w:rsidRPr="0050199C">
        <w:rPr>
          <w:rFonts w:eastAsia="Batang" w:cs="Times New Roman"/>
          <w:kern w:val="22"/>
          <w:sz w:val="22"/>
          <w:lang w:val="fr-FR"/>
        </w:rPr>
        <w:t xml:space="preserve"> </w:t>
      </w:r>
      <w:r w:rsidR="001B6AFA" w:rsidRPr="0050199C">
        <w:rPr>
          <w:rFonts w:eastAsia="Batang" w:cs="Times New Roman"/>
          <w:kern w:val="22"/>
          <w:sz w:val="22"/>
          <w:lang w:val="fr-FR"/>
        </w:rPr>
        <w:t>gènes</w:t>
      </w:r>
      <w:r w:rsidR="0028742E" w:rsidRPr="0050199C">
        <w:rPr>
          <w:rFonts w:eastAsia="Batang" w:cs="Times New Roman"/>
          <w:kern w:val="22"/>
          <w:sz w:val="22"/>
          <w:lang w:val="fr-FR"/>
        </w:rPr>
        <w:t xml:space="preserve"> ou </w:t>
      </w:r>
      <w:r w:rsidR="0050199C">
        <w:rPr>
          <w:rFonts w:eastAsia="Batang" w:cs="Times New Roman"/>
          <w:kern w:val="22"/>
          <w:sz w:val="22"/>
          <w:lang w:val="fr-FR"/>
        </w:rPr>
        <w:t>de voies de biosynthèse provenant de plus de 30</w:t>
      </w:r>
      <w:r w:rsidR="00805085" w:rsidRPr="0050199C">
        <w:rPr>
          <w:rFonts w:eastAsia="Batang" w:cs="Times New Roman"/>
          <w:kern w:val="22"/>
          <w:sz w:val="22"/>
          <w:lang w:val="fr-FR"/>
        </w:rPr>
        <w:t xml:space="preserve"> </w:t>
      </w:r>
      <w:r w:rsidR="00D9629D" w:rsidRPr="0050199C">
        <w:rPr>
          <w:rFonts w:eastAsia="Batang" w:cs="Times New Roman"/>
          <w:kern w:val="22"/>
          <w:sz w:val="22"/>
          <w:lang w:val="fr-FR"/>
        </w:rPr>
        <w:t>organismes</w:t>
      </w:r>
      <w:r w:rsidR="00805085" w:rsidRPr="0050199C">
        <w:rPr>
          <w:rFonts w:eastAsia="Batang" w:cs="Times New Roman"/>
          <w:kern w:val="22"/>
          <w:sz w:val="22"/>
          <w:lang w:val="fr-FR"/>
        </w:rPr>
        <w:t xml:space="preserve"> </w:t>
      </w:r>
      <w:r w:rsidR="0050199C">
        <w:rPr>
          <w:rFonts w:eastAsia="Batang" w:cs="Times New Roman"/>
          <w:kern w:val="22"/>
          <w:sz w:val="22"/>
          <w:lang w:val="fr-FR"/>
        </w:rPr>
        <w:t>différents, dont</w:t>
      </w:r>
      <w:r w:rsidR="00805085" w:rsidRPr="0050199C">
        <w:rPr>
          <w:rFonts w:eastAsia="Batang" w:cs="Times New Roman"/>
          <w:kern w:val="22"/>
          <w:sz w:val="22"/>
          <w:lang w:val="fr-FR"/>
        </w:rPr>
        <w:t xml:space="preserve"> </w:t>
      </w:r>
      <w:r w:rsidR="0050199C">
        <w:rPr>
          <w:rFonts w:eastAsia="Batang" w:cs="Times New Roman"/>
          <w:iCs/>
          <w:kern w:val="22"/>
          <w:sz w:val="22"/>
          <w:lang w:val="fr-FR"/>
        </w:rPr>
        <w:t>une bactérie</w:t>
      </w:r>
      <w:r w:rsidR="00280084" w:rsidRPr="0050199C">
        <w:rPr>
          <w:rFonts w:eastAsia="Batang" w:cs="Times New Roman"/>
          <w:i/>
          <w:iCs/>
          <w:kern w:val="22"/>
          <w:sz w:val="22"/>
          <w:lang w:val="fr-FR"/>
        </w:rPr>
        <w:t xml:space="preserve"> (Kitasatospora griseola), </w:t>
      </w:r>
      <w:r w:rsidR="001A462C">
        <w:rPr>
          <w:rFonts w:eastAsia="Batang" w:cs="Times New Roman"/>
          <w:iCs/>
          <w:kern w:val="22"/>
          <w:sz w:val="22"/>
          <w:lang w:val="fr-FR"/>
        </w:rPr>
        <w:t>l’</w:t>
      </w:r>
      <w:r w:rsidR="0050199C">
        <w:rPr>
          <w:rFonts w:eastAsia="Batang" w:cs="Times New Roman"/>
          <w:iCs/>
          <w:kern w:val="22"/>
          <w:sz w:val="22"/>
          <w:lang w:val="fr-FR"/>
        </w:rPr>
        <w:t>être humain</w:t>
      </w:r>
      <w:r w:rsidR="00280084" w:rsidRPr="0050199C">
        <w:rPr>
          <w:rFonts w:eastAsia="Batang" w:cs="Times New Roman"/>
          <w:i/>
          <w:iCs/>
          <w:kern w:val="22"/>
          <w:sz w:val="22"/>
          <w:lang w:val="fr-FR"/>
        </w:rPr>
        <w:t xml:space="preserve"> (Homo sapiens), </w:t>
      </w:r>
      <w:r w:rsidR="001A462C">
        <w:rPr>
          <w:rFonts w:eastAsia="Batang" w:cs="Times New Roman"/>
          <w:iCs/>
          <w:kern w:val="22"/>
          <w:sz w:val="22"/>
          <w:lang w:val="fr-FR"/>
        </w:rPr>
        <w:t>une mouche à</w:t>
      </w:r>
      <w:r w:rsidR="0050199C">
        <w:rPr>
          <w:rFonts w:eastAsia="Batang" w:cs="Times New Roman"/>
          <w:iCs/>
          <w:kern w:val="22"/>
          <w:sz w:val="22"/>
          <w:lang w:val="fr-FR"/>
        </w:rPr>
        <w:t xml:space="preserve"> f</w:t>
      </w:r>
      <w:r w:rsidR="001A462C">
        <w:rPr>
          <w:rFonts w:eastAsia="Batang" w:cs="Times New Roman"/>
          <w:iCs/>
          <w:kern w:val="22"/>
          <w:sz w:val="22"/>
          <w:lang w:val="fr-FR"/>
        </w:rPr>
        <w:t>ruit</w:t>
      </w:r>
      <w:r w:rsidR="00280084" w:rsidRPr="0050199C">
        <w:rPr>
          <w:rFonts w:eastAsia="Batang" w:cs="Times New Roman"/>
          <w:i/>
          <w:iCs/>
          <w:kern w:val="22"/>
          <w:sz w:val="22"/>
          <w:lang w:val="fr-FR"/>
        </w:rPr>
        <w:t xml:space="preserve"> (Drosophila </w:t>
      </w:r>
      <w:r w:rsidR="00280084" w:rsidRPr="0050199C">
        <w:rPr>
          <w:rFonts w:eastAsia="Batang" w:cs="Times New Roman"/>
          <w:i/>
          <w:iCs/>
          <w:kern w:val="22"/>
          <w:sz w:val="22"/>
          <w:lang w:val="fr-FR"/>
        </w:rPr>
        <w:lastRenderedPageBreak/>
        <w:t xml:space="preserve">melanogaster), </w:t>
      </w:r>
      <w:r w:rsidR="00FB2403" w:rsidRPr="00FB2403">
        <w:rPr>
          <w:rFonts w:eastAsia="Batang" w:cs="Times New Roman"/>
          <w:iCs/>
          <w:kern w:val="22"/>
          <w:sz w:val="22"/>
          <w:lang w:val="fr-FR"/>
        </w:rPr>
        <w:t>la poule de jungle rouge</w:t>
      </w:r>
      <w:r w:rsidR="00280084" w:rsidRPr="0050199C">
        <w:rPr>
          <w:rFonts w:eastAsia="Batang" w:cs="Times New Roman"/>
          <w:i/>
          <w:iCs/>
          <w:kern w:val="22"/>
          <w:sz w:val="22"/>
          <w:lang w:val="fr-FR"/>
        </w:rPr>
        <w:t xml:space="preserve"> (Gallus gallus),</w:t>
      </w:r>
      <w:r w:rsidR="00E3674F" w:rsidRPr="0050199C">
        <w:rPr>
          <w:rFonts w:eastAsia="Batang" w:cs="Times New Roman"/>
          <w:i/>
          <w:iCs/>
          <w:kern w:val="22"/>
          <w:sz w:val="22"/>
          <w:lang w:val="fr-FR"/>
        </w:rPr>
        <w:t xml:space="preserve"> </w:t>
      </w:r>
      <w:r w:rsidR="00E3674F" w:rsidRPr="001A462C">
        <w:rPr>
          <w:rFonts w:eastAsia="Batang" w:cs="Times New Roman"/>
          <w:iCs/>
          <w:kern w:val="22"/>
          <w:sz w:val="22"/>
          <w:lang w:val="fr-FR"/>
        </w:rPr>
        <w:t>et</w:t>
      </w:r>
      <w:r w:rsidR="00E3674F" w:rsidRPr="0050199C">
        <w:rPr>
          <w:rFonts w:eastAsia="Batang" w:cs="Times New Roman"/>
          <w:i/>
          <w:iCs/>
          <w:kern w:val="22"/>
          <w:sz w:val="22"/>
          <w:lang w:val="fr-FR"/>
        </w:rPr>
        <w:t xml:space="preserve"> </w:t>
      </w:r>
      <w:r w:rsidR="0050199C">
        <w:rPr>
          <w:rFonts w:eastAsia="Batang" w:cs="Times New Roman"/>
          <w:kern w:val="22"/>
          <w:sz w:val="22"/>
          <w:lang w:val="fr-FR"/>
        </w:rPr>
        <w:t>le tabac</w:t>
      </w:r>
      <w:r w:rsidR="00280084" w:rsidRPr="0050199C">
        <w:rPr>
          <w:rFonts w:eastAsia="Batang" w:cs="Times New Roman"/>
          <w:kern w:val="22"/>
          <w:sz w:val="22"/>
          <w:lang w:val="fr-FR"/>
        </w:rPr>
        <w:t xml:space="preserve"> (</w:t>
      </w:r>
      <w:r w:rsidR="00280084" w:rsidRPr="0050199C">
        <w:rPr>
          <w:rFonts w:eastAsia="Batang" w:cs="Times New Roman"/>
          <w:i/>
          <w:iCs/>
          <w:kern w:val="22"/>
          <w:sz w:val="22"/>
          <w:lang w:val="fr-FR"/>
        </w:rPr>
        <w:t xml:space="preserve">Nicotiana attenuate), </w:t>
      </w:r>
      <w:r w:rsidR="0050199C">
        <w:rPr>
          <w:rFonts w:eastAsia="Batang" w:cs="Times New Roman"/>
          <w:kern w:val="22"/>
          <w:sz w:val="22"/>
          <w:lang w:val="fr-FR"/>
        </w:rPr>
        <w:t xml:space="preserve">pour créer des </w:t>
      </w:r>
      <w:r w:rsidR="00D9629D" w:rsidRPr="0050199C">
        <w:rPr>
          <w:rFonts w:eastAsia="Batang" w:cs="Times New Roman"/>
          <w:kern w:val="22"/>
          <w:sz w:val="22"/>
          <w:lang w:val="fr-FR"/>
        </w:rPr>
        <w:t>produit</w:t>
      </w:r>
      <w:r w:rsidR="0050199C">
        <w:rPr>
          <w:rFonts w:eastAsia="Batang" w:cs="Times New Roman"/>
          <w:kern w:val="22"/>
          <w:sz w:val="22"/>
          <w:lang w:val="fr-FR"/>
        </w:rPr>
        <w:t>s u</w:t>
      </w:r>
      <w:r w:rsidR="00D51025">
        <w:rPr>
          <w:rFonts w:eastAsia="Batang" w:cs="Times New Roman"/>
          <w:kern w:val="22"/>
          <w:sz w:val="22"/>
          <w:lang w:val="fr-FR"/>
        </w:rPr>
        <w:t xml:space="preserve">tilisés comme édulcorants </w:t>
      </w:r>
      <w:r w:rsidR="0050199C">
        <w:rPr>
          <w:rFonts w:eastAsia="Batang" w:cs="Times New Roman"/>
          <w:kern w:val="22"/>
          <w:sz w:val="22"/>
          <w:lang w:val="fr-FR"/>
        </w:rPr>
        <w:t>commerciaux</w:t>
      </w:r>
      <w:r w:rsidR="00805085" w:rsidRPr="0050199C">
        <w:rPr>
          <w:rFonts w:eastAsia="Batang" w:cs="Times New Roman"/>
          <w:kern w:val="22"/>
          <w:sz w:val="22"/>
          <w:lang w:val="fr-FR"/>
        </w:rPr>
        <w:t xml:space="preserve"> </w:t>
      </w:r>
      <w:r w:rsidR="0050199C">
        <w:rPr>
          <w:rFonts w:eastAsia="Batang" w:cs="Times New Roman"/>
          <w:kern w:val="22"/>
          <w:sz w:val="22"/>
          <w:lang w:val="fr-FR"/>
        </w:rPr>
        <w:t xml:space="preserve">dans les </w:t>
      </w:r>
      <w:r w:rsidR="00D9629D" w:rsidRPr="0050199C">
        <w:rPr>
          <w:rFonts w:eastAsia="Batang" w:cs="Times New Roman"/>
          <w:kern w:val="22"/>
          <w:sz w:val="22"/>
          <w:lang w:val="fr-FR"/>
        </w:rPr>
        <w:t>produit</w:t>
      </w:r>
      <w:r w:rsidR="00805085" w:rsidRPr="0050199C">
        <w:rPr>
          <w:rFonts w:eastAsia="Batang" w:cs="Times New Roman"/>
          <w:kern w:val="22"/>
          <w:sz w:val="22"/>
          <w:lang w:val="fr-FR"/>
        </w:rPr>
        <w:t>s</w:t>
      </w:r>
      <w:r w:rsidR="00E3674F" w:rsidRPr="0050199C">
        <w:rPr>
          <w:rFonts w:eastAsia="Batang" w:cs="Times New Roman"/>
          <w:kern w:val="22"/>
          <w:sz w:val="22"/>
          <w:lang w:val="fr-FR"/>
        </w:rPr>
        <w:t xml:space="preserve"> </w:t>
      </w:r>
      <w:r w:rsidR="00D51025">
        <w:rPr>
          <w:rFonts w:eastAsia="Batang" w:cs="Times New Roman"/>
          <w:kern w:val="22"/>
          <w:sz w:val="22"/>
          <w:lang w:val="fr-FR"/>
        </w:rPr>
        <w:t xml:space="preserve">alimentaires </w:t>
      </w:r>
      <w:r w:rsidR="00E3674F" w:rsidRPr="0050199C">
        <w:rPr>
          <w:rFonts w:eastAsia="Batang" w:cs="Times New Roman"/>
          <w:kern w:val="22"/>
          <w:sz w:val="22"/>
          <w:lang w:val="fr-FR"/>
        </w:rPr>
        <w:t xml:space="preserve">et </w:t>
      </w:r>
      <w:r w:rsidR="0050199C">
        <w:rPr>
          <w:rFonts w:eastAsia="Batang" w:cs="Times New Roman"/>
          <w:kern w:val="22"/>
          <w:sz w:val="22"/>
          <w:lang w:val="fr-FR"/>
        </w:rPr>
        <w:t>les supplé</w:t>
      </w:r>
      <w:r w:rsidR="00805085" w:rsidRPr="0050199C">
        <w:rPr>
          <w:rFonts w:eastAsia="Batang" w:cs="Times New Roman"/>
          <w:kern w:val="22"/>
          <w:sz w:val="22"/>
          <w:lang w:val="fr-FR"/>
        </w:rPr>
        <w:t>ments</w:t>
      </w:r>
      <w:r w:rsidR="0050199C">
        <w:rPr>
          <w:rFonts w:eastAsia="Batang" w:cs="Times New Roman"/>
          <w:kern w:val="22"/>
          <w:sz w:val="22"/>
          <w:lang w:val="fr-FR"/>
        </w:rPr>
        <w:t xml:space="preserve"> alimentaires</w:t>
      </w:r>
      <w:r w:rsidR="00805085" w:rsidRPr="0050199C">
        <w:rPr>
          <w:rFonts w:eastAsia="Batang" w:cs="Times New Roman"/>
          <w:kern w:val="22"/>
          <w:sz w:val="22"/>
          <w:lang w:val="fr-FR"/>
        </w:rPr>
        <w:t>.</w:t>
      </w:r>
      <w:r w:rsidR="00805085" w:rsidRPr="002364AB">
        <w:rPr>
          <w:rStyle w:val="FootnoteReference"/>
          <w:kern w:val="22"/>
          <w:sz w:val="22"/>
          <w:lang w:val="en-GB"/>
        </w:rPr>
        <w:footnoteReference w:id="154"/>
      </w:r>
      <w:r w:rsidR="00805085" w:rsidRPr="0050199C">
        <w:rPr>
          <w:rFonts w:eastAsia="Batang" w:cs="Times New Roman"/>
          <w:kern w:val="22"/>
          <w:sz w:val="22"/>
          <w:lang w:val="fr-FR"/>
        </w:rPr>
        <w:t xml:space="preserve"> </w:t>
      </w:r>
    </w:p>
    <w:p w14:paraId="3E5F0F7E" w14:textId="6038E630" w:rsidR="00B35566" w:rsidRPr="004F329F" w:rsidRDefault="001C530D" w:rsidP="00C93236">
      <w:pPr>
        <w:spacing w:after="120"/>
        <w:rPr>
          <w:rFonts w:eastAsia="Batang" w:cs="Times New Roman"/>
          <w:kern w:val="22"/>
          <w:sz w:val="22"/>
          <w:lang w:val="fr-FR"/>
        </w:rPr>
      </w:pPr>
      <w:r>
        <w:rPr>
          <w:rFonts w:eastAsia="Batang" w:cs="Times New Roman"/>
          <w:kern w:val="22"/>
          <w:sz w:val="22"/>
          <w:lang w:val="fr-FR"/>
        </w:rPr>
        <w:t>Au-delà d</w:t>
      </w:r>
      <w:r w:rsidR="009D43F1" w:rsidRPr="004F329F">
        <w:rPr>
          <w:rFonts w:eastAsia="Batang" w:cs="Times New Roman"/>
          <w:kern w:val="22"/>
          <w:sz w:val="22"/>
          <w:lang w:val="fr-FR"/>
        </w:rPr>
        <w:t>’</w:t>
      </w:r>
      <w:r>
        <w:rPr>
          <w:rFonts w:eastAsia="Batang" w:cs="Times New Roman"/>
          <w:kern w:val="22"/>
          <w:sz w:val="22"/>
          <w:lang w:val="fr-FR"/>
        </w:rPr>
        <w:t xml:space="preserve">une </w:t>
      </w:r>
      <w:r w:rsidR="009D43F1" w:rsidRPr="004F329F">
        <w:rPr>
          <w:rFonts w:eastAsia="Batang" w:cs="Times New Roman"/>
          <w:kern w:val="22"/>
          <w:sz w:val="22"/>
          <w:lang w:val="fr-FR"/>
        </w:rPr>
        <w:t>utilisation</w:t>
      </w:r>
      <w:r w:rsidR="008B72CB">
        <w:rPr>
          <w:rFonts w:eastAsia="Batang" w:cs="Times New Roman"/>
          <w:kern w:val="22"/>
          <w:sz w:val="22"/>
          <w:lang w:val="fr-FR"/>
        </w:rPr>
        <w:t xml:space="preserve"> d’</w:t>
      </w:r>
      <w:r w:rsidR="00D9629D" w:rsidRPr="004F329F">
        <w:rPr>
          <w:rFonts w:eastAsia="Batang" w:cs="Times New Roman"/>
          <w:kern w:val="22"/>
          <w:sz w:val="22"/>
          <w:lang w:val="fr-FR"/>
        </w:rPr>
        <w:t>organismes</w:t>
      </w:r>
      <w:r w:rsidR="008B72CB">
        <w:rPr>
          <w:rFonts w:eastAsia="Batang" w:cs="Times New Roman"/>
          <w:kern w:val="22"/>
          <w:sz w:val="22"/>
          <w:lang w:val="fr-FR"/>
        </w:rPr>
        <w:t xml:space="preserve"> types comme la levure</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E</w:t>
      </w:r>
      <w:r w:rsidR="002079BD" w:rsidRPr="004F329F">
        <w:rPr>
          <w:rFonts w:eastAsia="Batang" w:cs="Times New Roman"/>
          <w:i/>
          <w:kern w:val="22"/>
          <w:sz w:val="22"/>
          <w:lang w:val="fr-FR"/>
        </w:rPr>
        <w:t>.</w:t>
      </w:r>
      <w:r w:rsidR="00DF688E" w:rsidRPr="004F329F">
        <w:rPr>
          <w:rFonts w:eastAsia="Batang" w:cs="Times New Roman"/>
          <w:i/>
          <w:kern w:val="22"/>
          <w:sz w:val="22"/>
          <w:lang w:val="fr-FR"/>
        </w:rPr>
        <w:t xml:space="preserve"> coli</w:t>
      </w:r>
      <w:r w:rsidR="00DF688E" w:rsidRPr="004F329F">
        <w:rPr>
          <w:rFonts w:eastAsia="Batang" w:cs="Times New Roman"/>
          <w:kern w:val="22"/>
          <w:sz w:val="22"/>
          <w:lang w:val="fr-FR"/>
        </w:rPr>
        <w:t>,</w:t>
      </w:r>
      <w:r w:rsidR="0028742E" w:rsidRPr="004F329F">
        <w:rPr>
          <w:rFonts w:eastAsia="Batang" w:cs="Times New Roman"/>
          <w:kern w:val="22"/>
          <w:sz w:val="22"/>
          <w:lang w:val="fr-FR"/>
        </w:rPr>
        <w:t xml:space="preserve"> ou </w:t>
      </w:r>
      <w:r w:rsidR="00D51025">
        <w:rPr>
          <w:rFonts w:eastAsia="Batang" w:cs="Times New Roman"/>
          <w:kern w:val="22"/>
          <w:sz w:val="22"/>
          <w:lang w:val="fr-FR"/>
        </w:rPr>
        <w:t xml:space="preserve">de </w:t>
      </w:r>
      <w:r w:rsidR="00DF688E" w:rsidRPr="004F329F">
        <w:rPr>
          <w:rFonts w:eastAsia="Batang" w:cs="Times New Roman"/>
          <w:kern w:val="22"/>
          <w:sz w:val="22"/>
          <w:lang w:val="fr-FR"/>
        </w:rPr>
        <w:t>cell</w:t>
      </w:r>
      <w:r w:rsidR="00D51025">
        <w:rPr>
          <w:rFonts w:eastAsia="Batang" w:cs="Times New Roman"/>
          <w:kern w:val="22"/>
          <w:sz w:val="22"/>
          <w:lang w:val="fr-FR"/>
        </w:rPr>
        <w:t>ule</w:t>
      </w:r>
      <w:r w:rsidR="00DF688E" w:rsidRPr="004F329F">
        <w:rPr>
          <w:rFonts w:eastAsia="Batang" w:cs="Times New Roman"/>
          <w:kern w:val="22"/>
          <w:sz w:val="22"/>
          <w:lang w:val="fr-FR"/>
        </w:rPr>
        <w:t>s</w:t>
      </w:r>
      <w:r>
        <w:rPr>
          <w:rFonts w:eastAsia="Batang" w:cs="Times New Roman"/>
          <w:kern w:val="22"/>
          <w:sz w:val="22"/>
          <w:lang w:val="fr-FR"/>
        </w:rPr>
        <w:t xml:space="preserve"> végétales</w:t>
      </w:r>
      <w:r w:rsidR="00D51025">
        <w:rPr>
          <w:rFonts w:eastAsia="Batang" w:cs="Times New Roman"/>
          <w:kern w:val="22"/>
          <w:sz w:val="22"/>
          <w:lang w:val="fr-FR"/>
        </w:rPr>
        <w:t>, le</w:t>
      </w:r>
      <w:r w:rsidR="00DF688E" w:rsidRPr="004F329F">
        <w:rPr>
          <w:rFonts w:eastAsia="Batang" w:cs="Times New Roman"/>
          <w:kern w:val="22"/>
          <w:sz w:val="22"/>
          <w:lang w:val="fr-FR"/>
        </w:rPr>
        <w:t xml:space="preserve"> </w:t>
      </w:r>
      <w:r w:rsidR="00B43E38" w:rsidRPr="004F329F">
        <w:rPr>
          <w:rFonts w:eastAsia="Batang" w:cs="Times New Roman"/>
          <w:kern w:val="22"/>
          <w:sz w:val="22"/>
          <w:lang w:val="fr-FR"/>
        </w:rPr>
        <w:t>brevet</w:t>
      </w:r>
      <w:r w:rsidR="00D51025">
        <w:rPr>
          <w:rFonts w:eastAsia="Batang" w:cs="Times New Roman"/>
          <w:kern w:val="22"/>
          <w:sz w:val="22"/>
          <w:lang w:val="fr-FR"/>
        </w:rPr>
        <w:t xml:space="preserve"> décrit également la </w:t>
      </w:r>
      <w:r w:rsidR="00AA68B5" w:rsidRPr="004F329F">
        <w:rPr>
          <w:rFonts w:eastAsia="Batang" w:cs="Times New Roman"/>
          <w:kern w:val="22"/>
          <w:sz w:val="22"/>
          <w:lang w:val="fr-FR"/>
        </w:rPr>
        <w:t>production</w:t>
      </w:r>
      <w:r w:rsidR="00D51025">
        <w:rPr>
          <w:rFonts w:eastAsia="Batang" w:cs="Times New Roman"/>
          <w:kern w:val="22"/>
          <w:sz w:val="22"/>
          <w:lang w:val="fr-FR"/>
        </w:rPr>
        <w:t xml:space="preserve"> de</w:t>
      </w:r>
      <w:r w:rsidR="00DF688E" w:rsidRPr="004F329F">
        <w:rPr>
          <w:rFonts w:eastAsia="Batang" w:cs="Times New Roman"/>
          <w:kern w:val="22"/>
          <w:sz w:val="22"/>
          <w:lang w:val="fr-FR"/>
        </w:rPr>
        <w:t xml:space="preserve"> </w:t>
      </w:r>
      <w:r w:rsidR="00CE3A0E" w:rsidRPr="004F329F">
        <w:rPr>
          <w:rFonts w:eastAsia="Batang" w:cs="Times New Roman"/>
          <w:kern w:val="22"/>
          <w:sz w:val="22"/>
          <w:lang w:val="fr-FR"/>
        </w:rPr>
        <w:t>glycosides de stéviol</w:t>
      </w:r>
      <w:r w:rsidR="00DF688E" w:rsidRPr="004F329F">
        <w:rPr>
          <w:rFonts w:eastAsia="Batang" w:cs="Times New Roman"/>
          <w:kern w:val="22"/>
          <w:sz w:val="22"/>
          <w:lang w:val="fr-FR"/>
        </w:rPr>
        <w:t xml:space="preserve"> </w:t>
      </w:r>
      <w:r w:rsidR="00D51025">
        <w:rPr>
          <w:rFonts w:eastAsia="Batang" w:cs="Times New Roman"/>
          <w:kern w:val="22"/>
          <w:sz w:val="22"/>
          <w:lang w:val="fr-FR"/>
        </w:rPr>
        <w:t xml:space="preserve">dans plus de </w:t>
      </w:r>
      <w:r w:rsidR="00DF688E" w:rsidRPr="004F329F">
        <w:rPr>
          <w:rFonts w:eastAsia="Batang" w:cs="Times New Roman"/>
          <w:kern w:val="22"/>
          <w:sz w:val="22"/>
          <w:lang w:val="fr-FR"/>
        </w:rPr>
        <w:t xml:space="preserve">20 </w:t>
      </w:r>
      <w:r>
        <w:rPr>
          <w:rFonts w:eastAsia="Batang" w:cs="Times New Roman"/>
          <w:kern w:val="22"/>
          <w:sz w:val="22"/>
          <w:lang w:val="fr-FR"/>
        </w:rPr>
        <w:t xml:space="preserve">cellules fongiques </w:t>
      </w:r>
      <w:r w:rsidR="00D51025">
        <w:rPr>
          <w:rFonts w:eastAsia="Batang" w:cs="Times New Roman"/>
          <w:kern w:val="22"/>
          <w:sz w:val="22"/>
          <w:lang w:val="fr-FR"/>
        </w:rPr>
        <w:t>diffé</w:t>
      </w:r>
      <w:r w:rsidR="00DF688E" w:rsidRPr="004F329F">
        <w:rPr>
          <w:rFonts w:eastAsia="Batang" w:cs="Times New Roman"/>
          <w:kern w:val="22"/>
          <w:sz w:val="22"/>
          <w:lang w:val="fr-FR"/>
        </w:rPr>
        <w:t>rent</w:t>
      </w:r>
      <w:r>
        <w:rPr>
          <w:rFonts w:eastAsia="Batang" w:cs="Times New Roman"/>
          <w:kern w:val="22"/>
          <w:sz w:val="22"/>
          <w:lang w:val="fr-FR"/>
        </w:rPr>
        <w:t>es, y compris</w:t>
      </w:r>
      <w:r w:rsidR="00D51025">
        <w:rPr>
          <w:rFonts w:eastAsia="Batang" w:cs="Times New Roman"/>
          <w:kern w:val="22"/>
          <w:sz w:val="22"/>
          <w:lang w:val="fr-FR"/>
        </w:rPr>
        <w:t xml:space="preserve"> </w:t>
      </w:r>
      <w:r w:rsidR="007B5F4A" w:rsidRPr="004F329F">
        <w:rPr>
          <w:rFonts w:eastAsia="Batang" w:cs="Times New Roman"/>
          <w:kern w:val="22"/>
          <w:sz w:val="22"/>
          <w:lang w:val="fr-FR"/>
        </w:rPr>
        <w:t>:</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Schizosaccharomyces</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Pichia</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Pafia</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Kluyveromyces</w:t>
      </w:r>
      <w:r w:rsidR="00DF688E" w:rsidRPr="004F329F">
        <w:rPr>
          <w:rFonts w:eastAsia="Batang" w:cs="Times New Roman"/>
          <w:kern w:val="22"/>
          <w:sz w:val="22"/>
          <w:lang w:val="fr-FR"/>
        </w:rPr>
        <w:t xml:space="preserve">, </w:t>
      </w:r>
      <w:r w:rsidR="00D51025">
        <w:rPr>
          <w:rFonts w:eastAsia="Batang" w:cs="Times New Roman"/>
          <w:i/>
          <w:kern w:val="22"/>
          <w:sz w:val="22"/>
          <w:lang w:val="fr-FR"/>
        </w:rPr>
        <w:t>Candida</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Talaromyces</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Brettanomyces</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Pachysolen</w:t>
      </w:r>
      <w:r w:rsidR="00DF688E" w:rsidRPr="004F329F">
        <w:rPr>
          <w:rFonts w:eastAsia="Batang" w:cs="Times New Roman"/>
          <w:kern w:val="22"/>
          <w:sz w:val="22"/>
          <w:lang w:val="fr-FR"/>
        </w:rPr>
        <w:t xml:space="preserve">, </w:t>
      </w:r>
      <w:r w:rsidR="00D51025">
        <w:rPr>
          <w:rFonts w:eastAsia="Batang" w:cs="Times New Roman"/>
          <w:i/>
          <w:kern w:val="22"/>
          <w:sz w:val="22"/>
          <w:lang w:val="fr-FR"/>
        </w:rPr>
        <w:t>Debaryomyces</w:t>
      </w:r>
      <w:r w:rsidR="00DF688E" w:rsidRPr="004F329F">
        <w:rPr>
          <w:rFonts w:eastAsia="Batang" w:cs="Times New Roman"/>
          <w:kern w:val="22"/>
          <w:sz w:val="22"/>
          <w:lang w:val="fr-FR"/>
        </w:rPr>
        <w:t>,</w:t>
      </w:r>
      <w:r w:rsidR="00E3674F" w:rsidRPr="004F329F">
        <w:rPr>
          <w:rFonts w:eastAsia="Batang" w:cs="Times New Roman"/>
          <w:kern w:val="22"/>
          <w:sz w:val="22"/>
          <w:lang w:val="fr-FR"/>
        </w:rPr>
        <w:t xml:space="preserve"> et </w:t>
      </w:r>
      <w:r w:rsidR="00DF688E" w:rsidRPr="004F329F">
        <w:rPr>
          <w:rFonts w:eastAsia="Batang" w:cs="Times New Roman"/>
          <w:i/>
          <w:kern w:val="22"/>
          <w:sz w:val="22"/>
          <w:lang w:val="fr-FR"/>
        </w:rPr>
        <w:t>Yarrowia</w:t>
      </w:r>
      <w:r w:rsidR="00D51025">
        <w:rPr>
          <w:rFonts w:eastAsia="Batang" w:cs="Times New Roman"/>
          <w:i/>
          <w:kern w:val="22"/>
          <w:sz w:val="22"/>
          <w:lang w:val="fr-FR"/>
        </w:rPr>
        <w:t>.</w:t>
      </w:r>
      <w:r w:rsidR="00D51025">
        <w:rPr>
          <w:rFonts w:eastAsia="Batang" w:cs="Times New Roman"/>
          <w:kern w:val="22"/>
          <w:sz w:val="22"/>
          <w:lang w:val="fr-FR"/>
        </w:rPr>
        <w:t xml:space="preserve"> Il décrit aussi</w:t>
      </w:r>
      <w:r w:rsidR="00DF688E" w:rsidRPr="004F329F">
        <w:rPr>
          <w:rFonts w:eastAsia="Batang" w:cs="Times New Roman"/>
          <w:kern w:val="22"/>
          <w:sz w:val="22"/>
          <w:lang w:val="fr-FR"/>
        </w:rPr>
        <w:t xml:space="preserve"> </w:t>
      </w:r>
      <w:r w:rsidR="009D43F1" w:rsidRPr="004F329F">
        <w:rPr>
          <w:rFonts w:eastAsia="Batang" w:cs="Times New Roman"/>
          <w:kern w:val="22"/>
          <w:sz w:val="22"/>
          <w:lang w:val="fr-FR"/>
        </w:rPr>
        <w:t>l’utilisation</w:t>
      </w:r>
      <w:r w:rsidR="00D51025">
        <w:rPr>
          <w:rFonts w:eastAsia="Batang" w:cs="Times New Roman"/>
          <w:kern w:val="22"/>
          <w:sz w:val="22"/>
          <w:lang w:val="fr-FR"/>
        </w:rPr>
        <w:t xml:space="preserve"> de plus</w:t>
      </w:r>
      <w:r w:rsidR="00DF688E" w:rsidRPr="004F329F">
        <w:rPr>
          <w:rFonts w:eastAsia="Batang" w:cs="Times New Roman"/>
          <w:kern w:val="22"/>
          <w:sz w:val="22"/>
          <w:lang w:val="fr-FR"/>
        </w:rPr>
        <w:t xml:space="preserve"> 15 </w:t>
      </w:r>
      <w:r w:rsidR="00D51025">
        <w:rPr>
          <w:rFonts w:eastAsia="Batang" w:cs="Times New Roman"/>
          <w:kern w:val="22"/>
          <w:sz w:val="22"/>
          <w:lang w:val="fr-FR"/>
        </w:rPr>
        <w:t>espèc</w:t>
      </w:r>
      <w:r>
        <w:rPr>
          <w:rFonts w:eastAsia="Batang" w:cs="Times New Roman"/>
          <w:kern w:val="22"/>
          <w:sz w:val="22"/>
          <w:lang w:val="fr-FR"/>
        </w:rPr>
        <w:t>es bactériennes distinctes, y compris</w:t>
      </w:r>
      <w:r w:rsidR="00D51025">
        <w:rPr>
          <w:rFonts w:eastAsia="Batang" w:cs="Times New Roman"/>
          <w:kern w:val="22"/>
          <w:sz w:val="22"/>
          <w:lang w:val="fr-FR"/>
        </w:rPr>
        <w:t> :</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Zymonas</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Acetobacter</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Citrobacter</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Synechocystis</w:t>
      </w:r>
      <w:r w:rsidR="00DF688E" w:rsidRPr="004F329F">
        <w:rPr>
          <w:rFonts w:eastAsia="Batang" w:cs="Times New Roman"/>
          <w:kern w:val="22"/>
          <w:sz w:val="22"/>
          <w:lang w:val="fr-FR"/>
        </w:rPr>
        <w:t xml:space="preserve">, </w:t>
      </w:r>
      <w:r w:rsidR="00D51025">
        <w:rPr>
          <w:rFonts w:eastAsia="Batang" w:cs="Times New Roman"/>
          <w:i/>
          <w:kern w:val="22"/>
          <w:sz w:val="22"/>
          <w:lang w:val="fr-FR"/>
        </w:rPr>
        <w:t>Rhizobium</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Clostridium</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Corynebacterium</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Streptococcus</w:t>
      </w:r>
      <w:r w:rsidR="00DF688E" w:rsidRPr="004F329F">
        <w:rPr>
          <w:rFonts w:eastAsia="Batang" w:cs="Times New Roman"/>
          <w:kern w:val="22"/>
          <w:sz w:val="22"/>
          <w:lang w:val="fr-FR"/>
        </w:rPr>
        <w:t xml:space="preserve">, </w:t>
      </w:r>
      <w:r w:rsidR="00DF688E" w:rsidRPr="004F329F">
        <w:rPr>
          <w:rFonts w:eastAsia="Batang" w:cs="Times New Roman"/>
          <w:i/>
          <w:kern w:val="22"/>
          <w:sz w:val="22"/>
          <w:lang w:val="fr-FR"/>
        </w:rPr>
        <w:t>Xanthomonas</w:t>
      </w:r>
      <w:r w:rsidR="00DF688E" w:rsidRPr="004F329F">
        <w:rPr>
          <w:rFonts w:eastAsia="Batang" w:cs="Times New Roman"/>
          <w:kern w:val="22"/>
          <w:sz w:val="22"/>
          <w:lang w:val="fr-FR"/>
        </w:rPr>
        <w:t xml:space="preserve">, </w:t>
      </w:r>
      <w:r w:rsidR="00D51025">
        <w:rPr>
          <w:rFonts w:eastAsia="Batang" w:cs="Times New Roman"/>
          <w:i/>
          <w:kern w:val="22"/>
          <w:sz w:val="22"/>
          <w:lang w:val="fr-FR"/>
        </w:rPr>
        <w:t>Lactobacillus</w:t>
      </w:r>
      <w:r w:rsidR="00DF688E" w:rsidRPr="004F329F">
        <w:rPr>
          <w:rFonts w:eastAsia="Batang" w:cs="Times New Roman"/>
          <w:kern w:val="22"/>
          <w:sz w:val="22"/>
          <w:lang w:val="fr-FR"/>
        </w:rPr>
        <w:t xml:space="preserve">, </w:t>
      </w:r>
      <w:r w:rsidR="00D51025">
        <w:rPr>
          <w:rFonts w:eastAsia="Batang" w:cs="Times New Roman"/>
          <w:kern w:val="22"/>
          <w:sz w:val="22"/>
          <w:lang w:val="fr-FR"/>
        </w:rPr>
        <w:t xml:space="preserve">et </w:t>
      </w:r>
      <w:r w:rsidR="00DF688E" w:rsidRPr="004F329F">
        <w:rPr>
          <w:rFonts w:eastAsia="Batang" w:cs="Times New Roman"/>
          <w:i/>
          <w:kern w:val="22"/>
          <w:sz w:val="22"/>
          <w:lang w:val="fr-FR"/>
        </w:rPr>
        <w:t>Lactococcus</w:t>
      </w:r>
      <w:r w:rsidR="00D51025">
        <w:rPr>
          <w:rFonts w:eastAsia="Batang" w:cs="Times New Roman"/>
          <w:i/>
          <w:kern w:val="22"/>
          <w:sz w:val="22"/>
          <w:lang w:val="fr-FR"/>
        </w:rPr>
        <w:t>.</w:t>
      </w:r>
      <w:r w:rsidR="00D51025">
        <w:rPr>
          <w:rFonts w:eastAsia="Batang" w:cs="Times New Roman"/>
          <w:kern w:val="22"/>
          <w:sz w:val="22"/>
          <w:lang w:val="fr-FR"/>
        </w:rPr>
        <w:t xml:space="preserve"> </w:t>
      </w:r>
      <w:r w:rsidR="004F329F" w:rsidRPr="004F329F">
        <w:rPr>
          <w:rFonts w:eastAsia="Batang" w:cs="Times New Roman"/>
          <w:kern w:val="22"/>
          <w:sz w:val="22"/>
          <w:lang w:val="fr-FR"/>
        </w:rPr>
        <w:t xml:space="preserve">Aucune de </w:t>
      </w:r>
      <w:r w:rsidR="00CA644E" w:rsidRPr="004F329F">
        <w:rPr>
          <w:rFonts w:eastAsia="Batang" w:cs="Times New Roman"/>
          <w:kern w:val="22"/>
          <w:sz w:val="22"/>
          <w:lang w:val="fr-FR"/>
        </w:rPr>
        <w:t>ces</w:t>
      </w:r>
      <w:r w:rsidR="00DF688E" w:rsidRPr="004F329F">
        <w:rPr>
          <w:rFonts w:eastAsia="Batang" w:cs="Times New Roman"/>
          <w:kern w:val="22"/>
          <w:sz w:val="22"/>
          <w:lang w:val="fr-FR"/>
        </w:rPr>
        <w:t xml:space="preserve"> </w:t>
      </w:r>
      <w:r w:rsidR="00651FB0" w:rsidRPr="004F329F">
        <w:rPr>
          <w:rFonts w:eastAsia="Batang" w:cs="Times New Roman"/>
          <w:kern w:val="22"/>
          <w:sz w:val="22"/>
          <w:lang w:val="fr-FR"/>
        </w:rPr>
        <w:t>espèces</w:t>
      </w:r>
      <w:r w:rsidR="004F329F" w:rsidRPr="004F329F">
        <w:rPr>
          <w:rFonts w:eastAsia="Batang" w:cs="Times New Roman"/>
          <w:kern w:val="22"/>
          <w:sz w:val="22"/>
          <w:lang w:val="fr-FR"/>
        </w:rPr>
        <w:t xml:space="preserve"> de champignon</w:t>
      </w:r>
      <w:r>
        <w:rPr>
          <w:rFonts w:eastAsia="Batang" w:cs="Times New Roman"/>
          <w:kern w:val="22"/>
          <w:sz w:val="22"/>
          <w:lang w:val="fr-FR"/>
        </w:rPr>
        <w:t>s</w:t>
      </w:r>
      <w:r w:rsidR="004F329F" w:rsidRPr="004F329F">
        <w:rPr>
          <w:rFonts w:eastAsia="Batang" w:cs="Times New Roman"/>
          <w:kern w:val="22"/>
          <w:sz w:val="22"/>
          <w:lang w:val="fr-FR"/>
        </w:rPr>
        <w:t xml:space="preserve"> et bactéri</w:t>
      </w:r>
      <w:r w:rsidR="004F329F">
        <w:rPr>
          <w:rFonts w:eastAsia="Batang" w:cs="Times New Roman"/>
          <w:kern w:val="22"/>
          <w:sz w:val="22"/>
          <w:lang w:val="fr-FR"/>
        </w:rPr>
        <w:t>es ne sont considéré</w:t>
      </w:r>
      <w:r w:rsidR="001A462C">
        <w:rPr>
          <w:rFonts w:eastAsia="Batang" w:cs="Times New Roman"/>
          <w:kern w:val="22"/>
          <w:sz w:val="22"/>
          <w:lang w:val="fr-FR"/>
        </w:rPr>
        <w:t>e</w:t>
      </w:r>
      <w:r w:rsidR="004F329F">
        <w:rPr>
          <w:rFonts w:eastAsia="Batang" w:cs="Times New Roman"/>
          <w:kern w:val="22"/>
          <w:sz w:val="22"/>
          <w:lang w:val="fr-FR"/>
        </w:rPr>
        <w:t xml:space="preserve">s </w:t>
      </w:r>
      <w:r w:rsidR="001A462C">
        <w:rPr>
          <w:rFonts w:eastAsia="Batang" w:cs="Times New Roman"/>
          <w:kern w:val="22"/>
          <w:sz w:val="22"/>
          <w:lang w:val="fr-FR"/>
        </w:rPr>
        <w:t>habitue</w:t>
      </w:r>
      <w:r w:rsidR="004F1D8A" w:rsidRPr="004F329F">
        <w:rPr>
          <w:rFonts w:eastAsia="Batang" w:cs="Times New Roman"/>
          <w:kern w:val="22"/>
          <w:sz w:val="22"/>
          <w:lang w:val="fr-FR"/>
        </w:rPr>
        <w:t>llement</w:t>
      </w:r>
      <w:r w:rsidR="00DF688E" w:rsidRPr="004F329F">
        <w:rPr>
          <w:rFonts w:eastAsia="Batang" w:cs="Times New Roman"/>
          <w:kern w:val="22"/>
          <w:sz w:val="22"/>
          <w:lang w:val="fr-FR"/>
        </w:rPr>
        <w:t xml:space="preserve"> </w:t>
      </w:r>
      <w:r w:rsidR="004F329F">
        <w:rPr>
          <w:rFonts w:eastAsia="Batang" w:cs="Times New Roman"/>
          <w:kern w:val="22"/>
          <w:sz w:val="22"/>
          <w:lang w:val="fr-FR"/>
        </w:rPr>
        <w:t xml:space="preserve">comme des </w:t>
      </w:r>
      <w:r w:rsidR="00D9629D" w:rsidRPr="004F329F">
        <w:rPr>
          <w:rFonts w:eastAsia="Batang" w:cs="Times New Roman"/>
          <w:kern w:val="22"/>
          <w:sz w:val="22"/>
          <w:lang w:val="fr-FR"/>
        </w:rPr>
        <w:t>organismes</w:t>
      </w:r>
      <w:r w:rsidR="004F329F">
        <w:rPr>
          <w:rFonts w:eastAsia="Batang" w:cs="Times New Roman"/>
          <w:kern w:val="22"/>
          <w:sz w:val="22"/>
          <w:lang w:val="fr-FR"/>
        </w:rPr>
        <w:t xml:space="preserve"> types</w:t>
      </w:r>
      <w:r w:rsidR="00DF688E" w:rsidRPr="004F329F">
        <w:rPr>
          <w:rFonts w:eastAsia="Batang" w:cs="Times New Roman"/>
          <w:kern w:val="22"/>
          <w:sz w:val="22"/>
          <w:lang w:val="fr-FR"/>
        </w:rPr>
        <w:t>.</w:t>
      </w:r>
      <w:r w:rsidR="00A65869" w:rsidRPr="002364AB">
        <w:rPr>
          <w:rStyle w:val="FootnoteReference"/>
          <w:kern w:val="22"/>
          <w:sz w:val="22"/>
          <w:lang w:val="en-GB"/>
        </w:rPr>
        <w:footnoteReference w:id="155"/>
      </w:r>
      <w:r w:rsidR="00A65869" w:rsidRPr="004F329F">
        <w:rPr>
          <w:rFonts w:eastAsia="Batang" w:cs="Times New Roman"/>
          <w:kern w:val="22"/>
          <w:sz w:val="22"/>
          <w:lang w:val="fr-FR"/>
        </w:rPr>
        <w:t xml:space="preserve"> </w:t>
      </w:r>
    </w:p>
    <w:p w14:paraId="771A8EEC" w14:textId="18649069" w:rsidR="00442FE9" w:rsidRPr="00D51025" w:rsidRDefault="00D9629D" w:rsidP="008713DC">
      <w:pPr>
        <w:spacing w:after="120"/>
        <w:rPr>
          <w:rFonts w:eastAsia="Batang" w:cs="Times New Roman"/>
          <w:i/>
          <w:kern w:val="22"/>
          <w:sz w:val="22"/>
          <w:lang w:val="fr-FR"/>
        </w:rPr>
      </w:pPr>
      <w:r w:rsidRPr="00D51025">
        <w:rPr>
          <w:rFonts w:eastAsia="Batang" w:cs="Times New Roman"/>
          <w:i/>
          <w:kern w:val="22"/>
          <w:sz w:val="22"/>
          <w:lang w:val="fr-FR"/>
        </w:rPr>
        <w:t>Acide glucarique-D</w:t>
      </w:r>
    </w:p>
    <w:p w14:paraId="21BCCF11" w14:textId="0CEA24BC" w:rsidR="008713DC" w:rsidRPr="000D1B1A" w:rsidRDefault="00707D5F" w:rsidP="14AC87FF">
      <w:pPr>
        <w:spacing w:after="120"/>
        <w:rPr>
          <w:rFonts w:eastAsia="Batang" w:cs="Times New Roman"/>
          <w:kern w:val="22"/>
          <w:sz w:val="22"/>
          <w:lang w:val="fr-FR"/>
        </w:rPr>
      </w:pPr>
      <w:r w:rsidRPr="00D51025">
        <w:rPr>
          <w:rFonts w:eastAsia="Batang" w:cs="Times New Roman"/>
          <w:kern w:val="22"/>
          <w:sz w:val="22"/>
          <w:lang w:val="fr-FR"/>
        </w:rPr>
        <w:t xml:space="preserve">Un </w:t>
      </w:r>
      <w:r w:rsidR="009D43F1" w:rsidRPr="00D51025">
        <w:rPr>
          <w:rFonts w:eastAsia="Batang" w:cs="Times New Roman"/>
          <w:kern w:val="22"/>
          <w:sz w:val="22"/>
          <w:lang w:val="fr-FR"/>
        </w:rPr>
        <w:t>exemple</w:t>
      </w:r>
      <w:r w:rsidR="00551033" w:rsidRPr="00D51025">
        <w:rPr>
          <w:rFonts w:eastAsia="Batang" w:cs="Times New Roman"/>
          <w:kern w:val="22"/>
          <w:sz w:val="22"/>
          <w:lang w:val="fr-FR"/>
        </w:rPr>
        <w:t xml:space="preserve"> </w:t>
      </w:r>
      <w:r w:rsidR="00CC3521">
        <w:rPr>
          <w:rFonts w:eastAsia="Batang" w:cs="Times New Roman"/>
          <w:kern w:val="22"/>
          <w:sz w:val="22"/>
          <w:lang w:val="fr-FR"/>
        </w:rPr>
        <w:t>similaire</w:t>
      </w:r>
      <w:r w:rsidRPr="00D51025">
        <w:rPr>
          <w:rFonts w:eastAsia="Batang" w:cs="Times New Roman"/>
          <w:kern w:val="22"/>
          <w:sz w:val="22"/>
          <w:lang w:val="fr-FR"/>
        </w:rPr>
        <w:t xml:space="preserve"> </w:t>
      </w:r>
      <w:r w:rsidR="00733DB1" w:rsidRPr="00D51025">
        <w:rPr>
          <w:rFonts w:eastAsia="Batang" w:cs="Times New Roman"/>
          <w:kern w:val="22"/>
          <w:sz w:val="22"/>
          <w:lang w:val="fr-FR"/>
        </w:rPr>
        <w:t>concerne</w:t>
      </w:r>
      <w:r w:rsidR="00A14BDE">
        <w:rPr>
          <w:rFonts w:eastAsia="Batang" w:cs="Times New Roman"/>
          <w:kern w:val="22"/>
          <w:sz w:val="22"/>
          <w:lang w:val="fr-FR"/>
        </w:rPr>
        <w:t xml:space="preserve"> le succès de l’</w:t>
      </w:r>
      <w:r w:rsidR="00D51025" w:rsidRPr="00D51025">
        <w:rPr>
          <w:rFonts w:eastAsia="Batang" w:cs="Times New Roman"/>
          <w:kern w:val="22"/>
          <w:sz w:val="22"/>
          <w:lang w:val="fr-FR"/>
        </w:rPr>
        <w:t>améli</w:t>
      </w:r>
      <w:r w:rsidR="00A14BDE">
        <w:rPr>
          <w:rFonts w:eastAsia="Batang" w:cs="Times New Roman"/>
          <w:kern w:val="22"/>
          <w:sz w:val="22"/>
          <w:lang w:val="fr-FR"/>
        </w:rPr>
        <w:t>oration</w:t>
      </w:r>
      <w:r w:rsidR="00CC3521">
        <w:rPr>
          <w:rFonts w:eastAsia="Batang" w:cs="Times New Roman"/>
          <w:kern w:val="22"/>
          <w:sz w:val="22"/>
          <w:lang w:val="fr-FR"/>
        </w:rPr>
        <w:t xml:space="preserve"> de la production d</w:t>
      </w:r>
      <w:r w:rsidR="00D9629D" w:rsidRPr="00D51025">
        <w:rPr>
          <w:rFonts w:eastAsia="Batang" w:cs="Times New Roman"/>
          <w:kern w:val="22"/>
          <w:sz w:val="22"/>
          <w:lang w:val="fr-FR"/>
        </w:rPr>
        <w:t>’acide glucarique-D</w:t>
      </w:r>
      <w:r w:rsidR="00D51025">
        <w:rPr>
          <w:rFonts w:eastAsia="Batang" w:cs="Times New Roman"/>
          <w:kern w:val="22"/>
          <w:sz w:val="22"/>
          <w:lang w:val="fr-FR"/>
        </w:rPr>
        <w:t xml:space="preserve"> par</w:t>
      </w:r>
      <w:r w:rsidR="00A65869" w:rsidRPr="00D51025">
        <w:rPr>
          <w:rFonts w:eastAsia="Batang" w:cs="Times New Roman"/>
          <w:kern w:val="22"/>
          <w:sz w:val="22"/>
          <w:lang w:val="fr-FR"/>
        </w:rPr>
        <w:t xml:space="preserve"> </w:t>
      </w:r>
      <w:r w:rsidR="00805085" w:rsidRPr="00D51025">
        <w:rPr>
          <w:rFonts w:eastAsia="Batang" w:cs="Times New Roman"/>
          <w:kern w:val="22"/>
          <w:sz w:val="22"/>
          <w:lang w:val="fr-FR"/>
        </w:rPr>
        <w:t>Moon</w:t>
      </w:r>
      <w:r w:rsidR="00E3674F" w:rsidRPr="00D51025">
        <w:rPr>
          <w:rFonts w:eastAsia="Batang" w:cs="Times New Roman"/>
          <w:kern w:val="22"/>
          <w:sz w:val="22"/>
          <w:lang w:val="fr-FR"/>
        </w:rPr>
        <w:t xml:space="preserve"> et </w:t>
      </w:r>
      <w:r w:rsidR="00D51025">
        <w:rPr>
          <w:rFonts w:eastAsia="Batang" w:cs="Times New Roman"/>
          <w:kern w:val="22"/>
          <w:sz w:val="22"/>
          <w:lang w:val="fr-FR"/>
        </w:rPr>
        <w:t>al.</w:t>
      </w:r>
      <w:r w:rsidR="00805085" w:rsidRPr="00D51025">
        <w:rPr>
          <w:rFonts w:eastAsia="Batang" w:cs="Times New Roman"/>
          <w:kern w:val="22"/>
          <w:sz w:val="22"/>
          <w:lang w:val="fr-FR"/>
        </w:rPr>
        <w:t xml:space="preserve">, </w:t>
      </w:r>
      <w:r w:rsidR="00CC3521">
        <w:rPr>
          <w:rFonts w:eastAsia="Batang" w:cs="Times New Roman"/>
          <w:kern w:val="22"/>
          <w:sz w:val="22"/>
          <w:lang w:val="fr-FR"/>
        </w:rPr>
        <w:t>ayant consisté à créer</w:t>
      </w:r>
      <w:r w:rsidR="00D51025">
        <w:rPr>
          <w:rFonts w:eastAsia="Batang" w:cs="Times New Roman"/>
          <w:kern w:val="22"/>
          <w:sz w:val="22"/>
          <w:lang w:val="fr-FR"/>
        </w:rPr>
        <w:t xml:space="preserve"> une </w:t>
      </w:r>
      <w:r w:rsidR="00822439">
        <w:rPr>
          <w:rFonts w:eastAsia="Batang" w:cs="Times New Roman"/>
          <w:kern w:val="22"/>
          <w:sz w:val="22"/>
          <w:lang w:val="fr-FR"/>
        </w:rPr>
        <w:t>voie de synthèse biologique</w:t>
      </w:r>
      <w:r w:rsidR="00D51025">
        <w:rPr>
          <w:rFonts w:eastAsia="Batang" w:cs="Times New Roman"/>
          <w:kern w:val="22"/>
          <w:sz w:val="22"/>
          <w:lang w:val="fr-FR"/>
        </w:rPr>
        <w:t xml:space="preserve"> pour produir</w:t>
      </w:r>
      <w:r w:rsidR="00A65869" w:rsidRPr="00D51025">
        <w:rPr>
          <w:rFonts w:eastAsia="Batang" w:cs="Times New Roman"/>
          <w:kern w:val="22"/>
          <w:sz w:val="22"/>
          <w:lang w:val="fr-FR"/>
        </w:rPr>
        <w:t xml:space="preserve">e </w:t>
      </w:r>
      <w:r w:rsidR="00D51025">
        <w:rPr>
          <w:rFonts w:eastAsia="Batang" w:cs="Times New Roman"/>
          <w:kern w:val="22"/>
          <w:sz w:val="22"/>
          <w:lang w:val="fr-FR"/>
        </w:rPr>
        <w:t xml:space="preserve">de </w:t>
      </w:r>
      <w:r w:rsidR="00AA5919" w:rsidRPr="00D51025">
        <w:rPr>
          <w:rFonts w:eastAsia="Batang" w:cs="Times New Roman"/>
          <w:kern w:val="22"/>
          <w:sz w:val="22"/>
          <w:lang w:val="fr-FR"/>
        </w:rPr>
        <w:t>l’acide glucarique</w:t>
      </w:r>
      <w:r w:rsidR="00D51025">
        <w:rPr>
          <w:rFonts w:eastAsia="Batang" w:cs="Times New Roman"/>
          <w:kern w:val="22"/>
          <w:sz w:val="22"/>
          <w:lang w:val="fr-FR"/>
        </w:rPr>
        <w:t xml:space="preserve"> dans l’espèce</w:t>
      </w:r>
      <w:r w:rsidR="00A65869" w:rsidRPr="00D51025">
        <w:rPr>
          <w:rFonts w:eastAsia="Batang" w:cs="Times New Roman"/>
          <w:kern w:val="22"/>
          <w:sz w:val="22"/>
          <w:lang w:val="fr-FR"/>
        </w:rPr>
        <w:t xml:space="preserve"> </w:t>
      </w:r>
      <w:r w:rsidR="00A65869" w:rsidRPr="00D51025">
        <w:rPr>
          <w:rFonts w:eastAsia="Batang" w:cs="Times New Roman"/>
          <w:i/>
          <w:iCs/>
          <w:kern w:val="22"/>
          <w:sz w:val="22"/>
          <w:lang w:val="fr-FR"/>
        </w:rPr>
        <w:t>E.</w:t>
      </w:r>
      <w:r w:rsidR="00E1230C" w:rsidRPr="00D51025">
        <w:rPr>
          <w:rFonts w:eastAsia="Batang" w:cs="Times New Roman"/>
          <w:i/>
          <w:iCs/>
          <w:kern w:val="22"/>
          <w:sz w:val="22"/>
          <w:lang w:val="fr-FR"/>
        </w:rPr>
        <w:t xml:space="preserve"> </w:t>
      </w:r>
      <w:r w:rsidR="00A65869" w:rsidRPr="00D51025">
        <w:rPr>
          <w:rFonts w:eastAsia="Batang" w:cs="Times New Roman"/>
          <w:i/>
          <w:iCs/>
          <w:kern w:val="22"/>
          <w:sz w:val="22"/>
          <w:lang w:val="fr-FR"/>
        </w:rPr>
        <w:t>coli</w:t>
      </w:r>
      <w:r w:rsidR="00A65869" w:rsidRPr="00D51025">
        <w:rPr>
          <w:rFonts w:eastAsia="Batang" w:cs="Times New Roman"/>
          <w:kern w:val="22"/>
          <w:sz w:val="22"/>
          <w:lang w:val="fr-FR"/>
        </w:rPr>
        <w:t xml:space="preserve">. </w:t>
      </w:r>
      <w:r w:rsidR="00D51025" w:rsidRPr="00D51025">
        <w:rPr>
          <w:rFonts w:eastAsia="Batang" w:cs="Times New Roman"/>
          <w:kern w:val="22"/>
          <w:sz w:val="22"/>
          <w:lang w:val="fr-FR"/>
        </w:rPr>
        <w:t>La</w:t>
      </w:r>
      <w:r w:rsidR="00D51025">
        <w:rPr>
          <w:rFonts w:eastAsia="Batang" w:cs="Times New Roman"/>
          <w:kern w:val="22"/>
          <w:sz w:val="22"/>
          <w:lang w:val="fr-FR"/>
        </w:rPr>
        <w:t xml:space="preserve"> mé</w:t>
      </w:r>
      <w:r w:rsidR="00A65869" w:rsidRPr="00D51025">
        <w:rPr>
          <w:rFonts w:eastAsia="Batang" w:cs="Times New Roman"/>
          <w:kern w:val="22"/>
          <w:sz w:val="22"/>
          <w:lang w:val="fr-FR"/>
        </w:rPr>
        <w:t>thod</w:t>
      </w:r>
      <w:r w:rsidR="00D51025">
        <w:rPr>
          <w:rFonts w:eastAsia="Batang" w:cs="Times New Roman"/>
          <w:kern w:val="22"/>
          <w:sz w:val="22"/>
          <w:lang w:val="fr-FR"/>
        </w:rPr>
        <w:t xml:space="preserve">e </w:t>
      </w:r>
      <w:r w:rsidR="00CC3521">
        <w:rPr>
          <w:rFonts w:eastAsia="Batang" w:cs="Times New Roman"/>
          <w:kern w:val="22"/>
          <w:sz w:val="22"/>
          <w:lang w:val="fr-FR"/>
        </w:rPr>
        <w:t xml:space="preserve">inclut de “combiner des </w:t>
      </w:r>
      <w:r w:rsidR="00D51025">
        <w:rPr>
          <w:rFonts w:eastAsia="Batang" w:cs="Times New Roman"/>
          <w:kern w:val="22"/>
          <w:sz w:val="22"/>
          <w:lang w:val="fr-FR"/>
        </w:rPr>
        <w:t>composantes</w:t>
      </w:r>
      <w:r w:rsidR="00A65869" w:rsidRPr="00D51025">
        <w:rPr>
          <w:rFonts w:eastAsia="Batang" w:cs="Times New Roman"/>
          <w:kern w:val="22"/>
          <w:sz w:val="22"/>
          <w:lang w:val="fr-FR"/>
        </w:rPr>
        <w:t xml:space="preserve"> </w:t>
      </w:r>
      <w:r w:rsidR="00A273AB" w:rsidRPr="00D51025">
        <w:rPr>
          <w:rFonts w:eastAsia="Batang" w:cs="Times New Roman"/>
          <w:kern w:val="22"/>
          <w:sz w:val="22"/>
          <w:lang w:val="fr-FR"/>
        </w:rPr>
        <w:t>biologique</w:t>
      </w:r>
      <w:r w:rsidR="00D51025">
        <w:rPr>
          <w:rFonts w:eastAsia="Batang" w:cs="Times New Roman"/>
          <w:kern w:val="22"/>
          <w:sz w:val="22"/>
          <w:lang w:val="fr-FR"/>
        </w:rPr>
        <w:t>s provenant d’organismes disparate</w:t>
      </w:r>
      <w:r w:rsidR="00D9629D" w:rsidRPr="00D51025">
        <w:rPr>
          <w:rFonts w:eastAsia="Batang" w:cs="Times New Roman"/>
          <w:kern w:val="22"/>
          <w:sz w:val="22"/>
          <w:lang w:val="fr-FR"/>
        </w:rPr>
        <w:t>s</w:t>
      </w:r>
      <w:r w:rsidR="00A65869" w:rsidRPr="00D51025">
        <w:rPr>
          <w:rFonts w:eastAsia="Batang" w:cs="Times New Roman"/>
          <w:kern w:val="22"/>
          <w:sz w:val="22"/>
          <w:lang w:val="fr-FR"/>
        </w:rPr>
        <w:t xml:space="preserve">”, </w:t>
      </w:r>
      <w:r w:rsidR="00C76BB2">
        <w:rPr>
          <w:rFonts w:eastAsia="Batang" w:cs="Times New Roman"/>
          <w:kern w:val="22"/>
          <w:sz w:val="22"/>
          <w:lang w:val="fr-FR"/>
        </w:rPr>
        <w:t>à savoir, du</w:t>
      </w:r>
      <w:r w:rsidR="00C7575F">
        <w:rPr>
          <w:rFonts w:eastAsia="Batang" w:cs="Times New Roman"/>
          <w:kern w:val="22"/>
          <w:sz w:val="22"/>
          <w:lang w:val="fr-FR"/>
        </w:rPr>
        <w:t xml:space="preserve"> </w:t>
      </w:r>
      <w:r w:rsidR="00A65869" w:rsidRPr="00D51025">
        <w:rPr>
          <w:rFonts w:eastAsia="Batang" w:cs="Times New Roman"/>
          <w:kern w:val="22"/>
          <w:sz w:val="22"/>
          <w:lang w:val="fr-FR"/>
        </w:rPr>
        <w:t>myo‐inositol‐1‐phosphate synthase (I</w:t>
      </w:r>
      <w:r w:rsidR="002079BD" w:rsidRPr="00D51025">
        <w:rPr>
          <w:rFonts w:eastAsia="Batang" w:cs="Times New Roman"/>
          <w:kern w:val="22"/>
          <w:sz w:val="22"/>
          <w:lang w:val="fr-FR"/>
        </w:rPr>
        <w:t>NO</w:t>
      </w:r>
      <w:r w:rsidR="00D51025">
        <w:rPr>
          <w:rFonts w:eastAsia="Batang" w:cs="Times New Roman"/>
          <w:kern w:val="22"/>
          <w:sz w:val="22"/>
          <w:lang w:val="fr-FR"/>
        </w:rPr>
        <w:t>) provenant de</w:t>
      </w:r>
      <w:r w:rsidR="00A65869" w:rsidRPr="00D51025">
        <w:rPr>
          <w:rFonts w:eastAsia="Batang" w:cs="Times New Roman"/>
          <w:kern w:val="22"/>
          <w:sz w:val="22"/>
          <w:lang w:val="fr-FR"/>
        </w:rPr>
        <w:t> </w:t>
      </w:r>
      <w:r w:rsidR="00A65869" w:rsidRPr="00D51025">
        <w:rPr>
          <w:rFonts w:eastAsia="Batang" w:cs="Times New Roman"/>
          <w:i/>
          <w:iCs/>
          <w:kern w:val="22"/>
          <w:sz w:val="22"/>
          <w:lang w:val="fr-FR"/>
        </w:rPr>
        <w:t xml:space="preserve">Saccharomyces cerevisiae </w:t>
      </w:r>
      <w:r w:rsidR="00D51025">
        <w:rPr>
          <w:rFonts w:eastAsia="Batang" w:cs="Times New Roman"/>
          <w:iCs/>
          <w:kern w:val="22"/>
          <w:sz w:val="22"/>
          <w:lang w:val="fr-FR"/>
        </w:rPr>
        <w:t>(levure</w:t>
      </w:r>
      <w:r w:rsidR="00A65869" w:rsidRPr="00D51025">
        <w:rPr>
          <w:rFonts w:eastAsia="Batang" w:cs="Times New Roman"/>
          <w:iCs/>
          <w:kern w:val="22"/>
          <w:sz w:val="22"/>
          <w:lang w:val="fr-FR"/>
        </w:rPr>
        <w:t>)</w:t>
      </w:r>
      <w:r w:rsidR="00A65869" w:rsidRPr="00D51025">
        <w:rPr>
          <w:rFonts w:eastAsia="Batang" w:cs="Times New Roman"/>
          <w:kern w:val="22"/>
          <w:sz w:val="22"/>
          <w:lang w:val="fr-FR"/>
        </w:rPr>
        <w:t xml:space="preserve">, </w:t>
      </w:r>
      <w:r w:rsidR="00CC3521">
        <w:rPr>
          <w:rFonts w:eastAsia="Batang" w:cs="Times New Roman"/>
          <w:kern w:val="22"/>
          <w:sz w:val="22"/>
          <w:lang w:val="fr-FR"/>
        </w:rPr>
        <w:t>une phosphatase endogène</w:t>
      </w:r>
      <w:r w:rsidR="00D51025">
        <w:rPr>
          <w:rFonts w:eastAsia="Batang" w:cs="Times New Roman"/>
          <w:kern w:val="22"/>
          <w:sz w:val="22"/>
          <w:lang w:val="fr-FR"/>
        </w:rPr>
        <w:t xml:space="preserve"> de</w:t>
      </w:r>
      <w:r w:rsidR="00A65869" w:rsidRPr="00D51025">
        <w:rPr>
          <w:rFonts w:eastAsia="Batang" w:cs="Times New Roman"/>
          <w:kern w:val="22"/>
          <w:sz w:val="22"/>
          <w:lang w:val="fr-FR"/>
        </w:rPr>
        <w:t> </w:t>
      </w:r>
      <w:r w:rsidR="00A65869" w:rsidRPr="00D51025">
        <w:rPr>
          <w:rFonts w:eastAsia="Batang" w:cs="Times New Roman"/>
          <w:i/>
          <w:iCs/>
          <w:kern w:val="22"/>
          <w:sz w:val="22"/>
          <w:lang w:val="fr-FR"/>
        </w:rPr>
        <w:t>E. coli</w:t>
      </w:r>
      <w:r w:rsidR="00A65869" w:rsidRPr="00D51025">
        <w:rPr>
          <w:rFonts w:eastAsia="Batang" w:cs="Times New Roman"/>
          <w:kern w:val="22"/>
          <w:sz w:val="22"/>
          <w:lang w:val="fr-FR"/>
        </w:rPr>
        <w:t xml:space="preserve">, </w:t>
      </w:r>
      <w:r w:rsidR="00D51025">
        <w:rPr>
          <w:rFonts w:eastAsia="Batang" w:cs="Times New Roman"/>
          <w:kern w:val="22"/>
          <w:sz w:val="22"/>
          <w:lang w:val="fr-FR"/>
        </w:rPr>
        <w:t>une</w:t>
      </w:r>
      <w:r w:rsidR="00C76BB2">
        <w:rPr>
          <w:rFonts w:eastAsia="Batang" w:cs="Times New Roman"/>
          <w:kern w:val="22"/>
          <w:sz w:val="22"/>
          <w:lang w:val="fr-FR"/>
        </w:rPr>
        <w:t xml:space="preserve"> myo‐inositol</w:t>
      </w:r>
      <w:r w:rsidR="00A65869" w:rsidRPr="00D51025">
        <w:rPr>
          <w:rFonts w:eastAsia="Batang" w:cs="Times New Roman"/>
          <w:kern w:val="22"/>
          <w:sz w:val="22"/>
          <w:lang w:val="fr-FR"/>
        </w:rPr>
        <w:t xml:space="preserve"> </w:t>
      </w:r>
      <w:r w:rsidR="00C76BB2">
        <w:rPr>
          <w:rFonts w:eastAsia="Batang" w:cs="Times New Roman"/>
          <w:kern w:val="22"/>
          <w:sz w:val="22"/>
          <w:lang w:val="fr-FR"/>
        </w:rPr>
        <w:t xml:space="preserve">oxygénase </w:t>
      </w:r>
      <w:r w:rsidR="00A65869" w:rsidRPr="00D51025">
        <w:rPr>
          <w:rFonts w:eastAsia="Batang" w:cs="Times New Roman"/>
          <w:kern w:val="22"/>
          <w:sz w:val="22"/>
          <w:lang w:val="fr-FR"/>
        </w:rPr>
        <w:t>(M</w:t>
      </w:r>
      <w:r w:rsidR="002079BD" w:rsidRPr="00D51025">
        <w:rPr>
          <w:rFonts w:eastAsia="Batang" w:cs="Times New Roman"/>
          <w:kern w:val="22"/>
          <w:sz w:val="22"/>
          <w:lang w:val="fr-FR"/>
        </w:rPr>
        <w:t>iox</w:t>
      </w:r>
      <w:r w:rsidR="00D51025">
        <w:rPr>
          <w:rFonts w:eastAsia="Batang" w:cs="Times New Roman"/>
          <w:kern w:val="22"/>
          <w:sz w:val="22"/>
          <w:lang w:val="fr-FR"/>
        </w:rPr>
        <w:t>) provenant de l’espèce</w:t>
      </w:r>
      <w:r w:rsidR="00A65869" w:rsidRPr="00D51025">
        <w:rPr>
          <w:rFonts w:eastAsia="Batang" w:cs="Times New Roman"/>
          <w:kern w:val="22"/>
          <w:sz w:val="22"/>
          <w:lang w:val="fr-FR"/>
        </w:rPr>
        <w:t> </w:t>
      </w:r>
      <w:r w:rsidR="00A65869" w:rsidRPr="00D51025">
        <w:rPr>
          <w:rFonts w:eastAsia="Batang" w:cs="Times New Roman"/>
          <w:i/>
          <w:iCs/>
          <w:kern w:val="22"/>
          <w:sz w:val="22"/>
          <w:lang w:val="fr-FR"/>
        </w:rPr>
        <w:t xml:space="preserve">Mus musculus </w:t>
      </w:r>
      <w:r w:rsidR="00D51025">
        <w:rPr>
          <w:rFonts w:eastAsia="Batang" w:cs="Times New Roman"/>
          <w:iCs/>
          <w:kern w:val="22"/>
          <w:sz w:val="22"/>
          <w:lang w:val="fr-FR"/>
        </w:rPr>
        <w:t>(souris</w:t>
      </w:r>
      <w:r w:rsidR="00A65869" w:rsidRPr="00D51025">
        <w:rPr>
          <w:rFonts w:eastAsia="Batang" w:cs="Times New Roman"/>
          <w:iCs/>
          <w:kern w:val="22"/>
          <w:sz w:val="22"/>
          <w:lang w:val="fr-FR"/>
        </w:rPr>
        <w:t>)</w:t>
      </w:r>
      <w:r w:rsidR="00E3674F" w:rsidRPr="00D51025">
        <w:rPr>
          <w:rFonts w:eastAsia="Batang" w:cs="Times New Roman"/>
          <w:kern w:val="22"/>
          <w:sz w:val="22"/>
          <w:lang w:val="fr-FR"/>
        </w:rPr>
        <w:t xml:space="preserve"> et </w:t>
      </w:r>
      <w:r w:rsidR="00C76BB2">
        <w:rPr>
          <w:rFonts w:eastAsia="Batang" w:cs="Times New Roman"/>
          <w:kern w:val="22"/>
          <w:sz w:val="22"/>
          <w:lang w:val="fr-FR"/>
        </w:rPr>
        <w:t>de l’uronate dé</w:t>
      </w:r>
      <w:r w:rsidR="00A14BDE">
        <w:rPr>
          <w:rFonts w:eastAsia="Batang" w:cs="Times New Roman"/>
          <w:kern w:val="22"/>
          <w:sz w:val="22"/>
          <w:lang w:val="fr-FR"/>
        </w:rPr>
        <w:t>s</w:t>
      </w:r>
      <w:r w:rsidR="00C76BB2">
        <w:rPr>
          <w:rFonts w:eastAsia="Batang" w:cs="Times New Roman"/>
          <w:kern w:val="22"/>
          <w:sz w:val="22"/>
          <w:lang w:val="fr-FR"/>
        </w:rPr>
        <w:t>hydrogé</w:t>
      </w:r>
      <w:r w:rsidR="00A65869" w:rsidRPr="00D51025">
        <w:rPr>
          <w:rFonts w:eastAsia="Batang" w:cs="Times New Roman"/>
          <w:kern w:val="22"/>
          <w:sz w:val="22"/>
          <w:lang w:val="fr-FR"/>
        </w:rPr>
        <w:t>nas</w:t>
      </w:r>
      <w:r w:rsidR="00D51025">
        <w:rPr>
          <w:rFonts w:eastAsia="Batang" w:cs="Times New Roman"/>
          <w:kern w:val="22"/>
          <w:sz w:val="22"/>
          <w:lang w:val="fr-FR"/>
        </w:rPr>
        <w:t>e (udh) provenant de l’espèce</w:t>
      </w:r>
      <w:r w:rsidR="00A65869" w:rsidRPr="00D51025">
        <w:rPr>
          <w:rFonts w:eastAsia="Batang" w:cs="Times New Roman"/>
          <w:kern w:val="22"/>
          <w:sz w:val="22"/>
          <w:lang w:val="fr-FR"/>
        </w:rPr>
        <w:t> </w:t>
      </w:r>
      <w:r w:rsidR="00A65869" w:rsidRPr="00D51025">
        <w:rPr>
          <w:rFonts w:eastAsia="Batang" w:cs="Times New Roman"/>
          <w:i/>
          <w:iCs/>
          <w:kern w:val="22"/>
          <w:sz w:val="22"/>
          <w:lang w:val="fr-FR"/>
        </w:rPr>
        <w:t>Pseudomonas syringae</w:t>
      </w:r>
      <w:r w:rsidR="00A65869" w:rsidRPr="00D51025">
        <w:rPr>
          <w:rFonts w:eastAsia="Batang" w:cs="Times New Roman"/>
          <w:kern w:val="22"/>
          <w:sz w:val="22"/>
          <w:lang w:val="fr-FR"/>
        </w:rPr>
        <w:t>.</w:t>
      </w:r>
      <w:r w:rsidR="00A65869" w:rsidRPr="002364AB">
        <w:rPr>
          <w:rStyle w:val="FootnoteReference"/>
          <w:kern w:val="22"/>
          <w:sz w:val="22"/>
          <w:lang w:val="en-GB"/>
        </w:rPr>
        <w:footnoteReference w:id="156"/>
      </w:r>
      <w:r w:rsidR="00A65869" w:rsidRPr="00D51025">
        <w:rPr>
          <w:rFonts w:eastAsia="Batang" w:cs="Times New Roman"/>
          <w:kern w:val="22"/>
          <w:sz w:val="22"/>
          <w:lang w:val="fr-FR"/>
        </w:rPr>
        <w:t xml:space="preserve"> </w:t>
      </w:r>
      <w:r w:rsidR="00AA5919" w:rsidRPr="00AA68B5">
        <w:rPr>
          <w:rFonts w:eastAsia="Batang" w:cs="Times New Roman"/>
          <w:kern w:val="22"/>
          <w:sz w:val="22"/>
          <w:lang w:val="fr-FR"/>
        </w:rPr>
        <w:t>L’acide glucarique</w:t>
      </w:r>
      <w:r w:rsidR="00D9629D" w:rsidRPr="00AA68B5">
        <w:rPr>
          <w:rFonts w:eastAsia="Batang" w:cs="Times New Roman"/>
          <w:kern w:val="22"/>
          <w:sz w:val="22"/>
          <w:lang w:val="fr-FR"/>
        </w:rPr>
        <w:t xml:space="preserve"> est</w:t>
      </w:r>
      <w:r w:rsidR="001F55AB" w:rsidRPr="00AA68B5">
        <w:rPr>
          <w:rFonts w:eastAsia="Batang" w:cs="Times New Roman"/>
          <w:kern w:val="22"/>
          <w:sz w:val="22"/>
          <w:lang w:val="fr-FR"/>
        </w:rPr>
        <w:t xml:space="preserve"> utilisé </w:t>
      </w:r>
      <w:r w:rsidR="00D9629D" w:rsidRPr="00AA68B5">
        <w:rPr>
          <w:rFonts w:eastAsia="Batang" w:cs="Times New Roman"/>
          <w:kern w:val="22"/>
          <w:sz w:val="22"/>
          <w:lang w:val="fr-FR"/>
        </w:rPr>
        <w:t>dans</w:t>
      </w:r>
      <w:r w:rsidR="00970E51" w:rsidRPr="00AA68B5">
        <w:rPr>
          <w:rFonts w:eastAsia="Batang" w:cs="Times New Roman"/>
          <w:kern w:val="22"/>
          <w:sz w:val="22"/>
          <w:lang w:val="fr-FR"/>
        </w:rPr>
        <w:t xml:space="preserve"> </w:t>
      </w:r>
      <w:r w:rsidR="00CC3521">
        <w:rPr>
          <w:rFonts w:eastAsia="Batang" w:cs="Times New Roman"/>
          <w:kern w:val="22"/>
          <w:sz w:val="22"/>
          <w:lang w:val="fr-FR"/>
        </w:rPr>
        <w:t xml:space="preserve">des </w:t>
      </w:r>
      <w:r w:rsidR="00D9629D" w:rsidRPr="00AA68B5">
        <w:rPr>
          <w:rFonts w:eastAsia="Batang" w:cs="Times New Roman"/>
          <w:kern w:val="22"/>
          <w:sz w:val="22"/>
          <w:lang w:val="fr-FR"/>
        </w:rPr>
        <w:t>produits commerciaux</w:t>
      </w:r>
      <w:r w:rsidR="00E3674F" w:rsidRPr="00AA68B5">
        <w:rPr>
          <w:rFonts w:eastAsia="Batang" w:cs="Times New Roman"/>
          <w:kern w:val="22"/>
          <w:sz w:val="22"/>
          <w:lang w:val="fr-FR"/>
        </w:rPr>
        <w:t xml:space="preserve"> et </w:t>
      </w:r>
      <w:r w:rsidR="00A65869" w:rsidRPr="00AA68B5">
        <w:rPr>
          <w:rFonts w:eastAsia="Batang" w:cs="Times New Roman"/>
          <w:kern w:val="22"/>
          <w:sz w:val="22"/>
          <w:lang w:val="fr-FR"/>
        </w:rPr>
        <w:t>a</w:t>
      </w:r>
      <w:r w:rsidR="00C76BB2">
        <w:rPr>
          <w:rFonts w:eastAsia="Batang" w:cs="Times New Roman"/>
          <w:kern w:val="22"/>
          <w:sz w:val="22"/>
          <w:lang w:val="fr-FR"/>
        </w:rPr>
        <w:t xml:space="preserve"> été étudié également aux fins d’</w:t>
      </w:r>
      <w:r w:rsidR="00CC3521">
        <w:rPr>
          <w:rFonts w:eastAsia="Batang" w:cs="Times New Roman"/>
          <w:kern w:val="22"/>
          <w:sz w:val="22"/>
          <w:lang w:val="fr-FR"/>
        </w:rPr>
        <w:t>usage</w:t>
      </w:r>
      <w:r w:rsidR="00053E0E" w:rsidRPr="00AA68B5">
        <w:rPr>
          <w:rFonts w:eastAsia="Batang" w:cs="Times New Roman"/>
          <w:kern w:val="22"/>
          <w:sz w:val="22"/>
          <w:lang w:val="fr-FR"/>
        </w:rPr>
        <w:t xml:space="preserve"> </w:t>
      </w:r>
      <w:r w:rsidR="00CC3521">
        <w:rPr>
          <w:rFonts w:eastAsia="Batang" w:cs="Times New Roman"/>
          <w:kern w:val="22"/>
          <w:sz w:val="22"/>
          <w:lang w:val="fr-FR"/>
        </w:rPr>
        <w:t xml:space="preserve">thérapeutique dans des </w:t>
      </w:r>
      <w:r w:rsidR="00D51025">
        <w:rPr>
          <w:rFonts w:eastAsia="Batang" w:cs="Times New Roman"/>
          <w:kern w:val="22"/>
          <w:sz w:val="22"/>
          <w:lang w:val="fr-FR"/>
        </w:rPr>
        <w:t>traitement</w:t>
      </w:r>
      <w:r w:rsidR="00CC3521">
        <w:rPr>
          <w:rFonts w:eastAsia="Batang" w:cs="Times New Roman"/>
          <w:kern w:val="22"/>
          <w:sz w:val="22"/>
          <w:lang w:val="fr-FR"/>
        </w:rPr>
        <w:t>s</w:t>
      </w:r>
      <w:r w:rsidR="00D51025">
        <w:rPr>
          <w:rFonts w:eastAsia="Batang" w:cs="Times New Roman"/>
          <w:kern w:val="22"/>
          <w:sz w:val="22"/>
          <w:lang w:val="fr-FR"/>
        </w:rPr>
        <w:t xml:space="preserve"> contre le</w:t>
      </w:r>
      <w:r w:rsidR="00A65869" w:rsidRPr="00AA68B5">
        <w:rPr>
          <w:rFonts w:eastAsia="Batang" w:cs="Times New Roman"/>
          <w:kern w:val="22"/>
          <w:sz w:val="22"/>
          <w:lang w:val="fr-FR"/>
        </w:rPr>
        <w:t xml:space="preserve"> cancer</w:t>
      </w:r>
      <w:r w:rsidR="00E3674F" w:rsidRPr="00AA68B5">
        <w:rPr>
          <w:rFonts w:eastAsia="Batang" w:cs="Times New Roman"/>
          <w:kern w:val="22"/>
          <w:sz w:val="22"/>
          <w:lang w:val="fr-FR"/>
        </w:rPr>
        <w:t xml:space="preserve"> et </w:t>
      </w:r>
      <w:r w:rsidR="00C76BB2">
        <w:rPr>
          <w:rFonts w:eastAsia="Batang" w:cs="Times New Roman"/>
          <w:kern w:val="22"/>
          <w:sz w:val="22"/>
          <w:lang w:val="fr-FR"/>
        </w:rPr>
        <w:t>pour réduire le</w:t>
      </w:r>
      <w:r w:rsidR="00D51025">
        <w:rPr>
          <w:rFonts w:eastAsia="Batang" w:cs="Times New Roman"/>
          <w:kern w:val="22"/>
          <w:sz w:val="22"/>
          <w:lang w:val="fr-FR"/>
        </w:rPr>
        <w:t xml:space="preserve"> taux</w:t>
      </w:r>
      <w:r w:rsidR="00C76BB2">
        <w:rPr>
          <w:rFonts w:eastAsia="Batang" w:cs="Times New Roman"/>
          <w:kern w:val="22"/>
          <w:sz w:val="22"/>
          <w:lang w:val="fr-FR"/>
        </w:rPr>
        <w:t xml:space="preserve"> de cholesté</w:t>
      </w:r>
      <w:r w:rsidR="00CC3521">
        <w:rPr>
          <w:rFonts w:eastAsia="Batang" w:cs="Times New Roman"/>
          <w:kern w:val="22"/>
          <w:sz w:val="22"/>
          <w:lang w:val="fr-FR"/>
        </w:rPr>
        <w:t>rol dans le sang</w:t>
      </w:r>
      <w:r w:rsidR="00A65869" w:rsidRPr="00AA68B5">
        <w:rPr>
          <w:rFonts w:eastAsia="Batang" w:cs="Times New Roman"/>
          <w:kern w:val="22"/>
          <w:sz w:val="22"/>
          <w:lang w:val="fr-FR"/>
        </w:rPr>
        <w:t>.</w:t>
      </w:r>
      <w:r w:rsidR="00A65869" w:rsidRPr="002364AB">
        <w:rPr>
          <w:rStyle w:val="FootnoteReference"/>
          <w:kern w:val="22"/>
          <w:sz w:val="22"/>
          <w:lang w:val="en-GB"/>
        </w:rPr>
        <w:footnoteReference w:id="157"/>
      </w:r>
      <w:r w:rsidR="00A65869" w:rsidRPr="00AA68B5">
        <w:rPr>
          <w:rFonts w:eastAsia="Batang" w:cs="Times New Roman"/>
          <w:kern w:val="22"/>
          <w:sz w:val="22"/>
          <w:lang w:val="fr-FR"/>
        </w:rPr>
        <w:t xml:space="preserve"> </w:t>
      </w:r>
      <w:r w:rsidR="00D51025" w:rsidRPr="00D51025">
        <w:rPr>
          <w:rFonts w:eastAsia="Batang" w:cs="Times New Roman"/>
          <w:kern w:val="22"/>
          <w:sz w:val="22"/>
          <w:lang w:val="fr-FR"/>
        </w:rPr>
        <w:t>Le dé</w:t>
      </w:r>
      <w:r w:rsidR="00551033" w:rsidRPr="00D51025">
        <w:rPr>
          <w:rFonts w:eastAsia="Batang" w:cs="Times New Roman"/>
          <w:kern w:val="22"/>
          <w:sz w:val="22"/>
          <w:lang w:val="fr-FR"/>
        </w:rPr>
        <w:t>velop</w:t>
      </w:r>
      <w:r w:rsidR="00D51025" w:rsidRPr="00D51025">
        <w:rPr>
          <w:rFonts w:eastAsia="Batang" w:cs="Times New Roman"/>
          <w:kern w:val="22"/>
          <w:sz w:val="22"/>
          <w:lang w:val="fr-FR"/>
        </w:rPr>
        <w:t xml:space="preserve">pement de la </w:t>
      </w:r>
      <w:r w:rsidR="00822439">
        <w:rPr>
          <w:rFonts w:eastAsia="Batang" w:cs="Times New Roman"/>
          <w:kern w:val="22"/>
          <w:sz w:val="22"/>
          <w:lang w:val="fr-FR"/>
        </w:rPr>
        <w:t>voie de synthèse biologique</w:t>
      </w:r>
      <w:r w:rsidR="00D51025" w:rsidRPr="00D51025">
        <w:rPr>
          <w:rFonts w:eastAsia="Batang" w:cs="Times New Roman"/>
          <w:kern w:val="22"/>
          <w:sz w:val="22"/>
          <w:lang w:val="fr-FR"/>
        </w:rPr>
        <w:t xml:space="preserve"> de</w:t>
      </w:r>
      <w:r w:rsidR="00A65869" w:rsidRPr="00D51025">
        <w:rPr>
          <w:rFonts w:eastAsia="Batang" w:cs="Times New Roman"/>
          <w:kern w:val="22"/>
          <w:sz w:val="22"/>
          <w:lang w:val="fr-FR"/>
        </w:rPr>
        <w:t xml:space="preserve"> </w:t>
      </w:r>
      <w:r w:rsidR="00AA5919" w:rsidRPr="00D51025">
        <w:rPr>
          <w:rFonts w:eastAsia="Batang" w:cs="Times New Roman"/>
          <w:kern w:val="22"/>
          <w:sz w:val="22"/>
          <w:lang w:val="fr-FR"/>
        </w:rPr>
        <w:t>l’acide glucarique</w:t>
      </w:r>
      <w:r w:rsidR="00A65869" w:rsidRPr="00D51025">
        <w:rPr>
          <w:rFonts w:eastAsia="Batang" w:cs="Times New Roman"/>
          <w:kern w:val="22"/>
          <w:sz w:val="22"/>
          <w:lang w:val="fr-FR"/>
        </w:rPr>
        <w:t xml:space="preserve"> </w:t>
      </w:r>
      <w:r w:rsidR="00C76BB2">
        <w:rPr>
          <w:rFonts w:eastAsia="Batang" w:cs="Times New Roman"/>
          <w:kern w:val="22"/>
          <w:sz w:val="22"/>
          <w:lang w:val="fr-FR"/>
        </w:rPr>
        <w:t>ne</w:t>
      </w:r>
      <w:r w:rsidR="00CC3521">
        <w:rPr>
          <w:rFonts w:eastAsia="Batang" w:cs="Times New Roman"/>
          <w:kern w:val="22"/>
          <w:sz w:val="22"/>
          <w:lang w:val="fr-FR"/>
        </w:rPr>
        <w:t xml:space="preserve"> nécessite</w:t>
      </w:r>
      <w:r w:rsidR="000D1B1A">
        <w:rPr>
          <w:rFonts w:eastAsia="Batang" w:cs="Times New Roman"/>
          <w:kern w:val="22"/>
          <w:sz w:val="22"/>
          <w:lang w:val="fr-FR"/>
        </w:rPr>
        <w:t xml:space="preserve"> aucun </w:t>
      </w:r>
      <w:r w:rsidR="003474B6" w:rsidRPr="00D51025">
        <w:rPr>
          <w:rFonts w:eastAsia="Batang" w:cs="Times New Roman"/>
          <w:kern w:val="22"/>
          <w:sz w:val="22"/>
          <w:lang w:val="fr-FR"/>
        </w:rPr>
        <w:t>matériel</w:t>
      </w:r>
      <w:r w:rsidR="00A65869" w:rsidRPr="00D51025">
        <w:rPr>
          <w:rFonts w:eastAsia="Batang" w:cs="Times New Roman"/>
          <w:kern w:val="22"/>
          <w:sz w:val="22"/>
          <w:lang w:val="fr-FR"/>
        </w:rPr>
        <w:t xml:space="preserve"> </w:t>
      </w:r>
      <w:r w:rsidR="000D1B1A">
        <w:rPr>
          <w:rFonts w:eastAsia="Batang" w:cs="Times New Roman"/>
          <w:kern w:val="22"/>
          <w:sz w:val="22"/>
          <w:lang w:val="fr-FR"/>
        </w:rPr>
        <w:t>physique provenant d’une espèce dont l’</w:t>
      </w:r>
      <w:r w:rsidR="00974B88" w:rsidRPr="00D51025">
        <w:rPr>
          <w:rFonts w:eastAsia="Batang" w:cs="Times New Roman"/>
          <w:kern w:val="22"/>
          <w:sz w:val="22"/>
          <w:lang w:val="fr-FR"/>
        </w:rPr>
        <w:t>ADN</w:t>
      </w:r>
      <w:r w:rsidR="00551033" w:rsidRPr="00D51025">
        <w:rPr>
          <w:rFonts w:eastAsia="Batang" w:cs="Times New Roman"/>
          <w:kern w:val="22"/>
          <w:sz w:val="22"/>
          <w:lang w:val="fr-FR"/>
        </w:rPr>
        <w:t xml:space="preserve"> </w:t>
      </w:r>
      <w:r w:rsidR="00C76BB2">
        <w:rPr>
          <w:rFonts w:eastAsia="Batang" w:cs="Times New Roman"/>
          <w:kern w:val="22"/>
          <w:sz w:val="22"/>
          <w:lang w:val="fr-FR"/>
        </w:rPr>
        <w:t>a été intégré dans</w:t>
      </w:r>
      <w:r w:rsidR="000D1B1A">
        <w:rPr>
          <w:rFonts w:eastAsia="Batang" w:cs="Times New Roman"/>
          <w:kern w:val="22"/>
          <w:sz w:val="22"/>
          <w:lang w:val="fr-FR"/>
        </w:rPr>
        <w:t xml:space="preserve"> l’espèce</w:t>
      </w:r>
      <w:r w:rsidR="00A65869" w:rsidRPr="00D51025">
        <w:rPr>
          <w:rFonts w:eastAsia="Batang" w:cs="Times New Roman"/>
          <w:kern w:val="22"/>
          <w:sz w:val="22"/>
          <w:lang w:val="fr-FR"/>
        </w:rPr>
        <w:t xml:space="preserve"> </w:t>
      </w:r>
      <w:r w:rsidR="00A65869" w:rsidRPr="00D51025">
        <w:rPr>
          <w:rFonts w:eastAsia="Batang" w:cs="Times New Roman"/>
          <w:i/>
          <w:iCs/>
          <w:kern w:val="22"/>
          <w:sz w:val="22"/>
          <w:lang w:val="fr-FR"/>
        </w:rPr>
        <w:t>E. coli</w:t>
      </w:r>
      <w:r w:rsidR="00A65869" w:rsidRPr="00D51025">
        <w:rPr>
          <w:rFonts w:eastAsia="Batang" w:cs="Times New Roman"/>
          <w:kern w:val="22"/>
          <w:sz w:val="22"/>
          <w:lang w:val="fr-FR"/>
        </w:rPr>
        <w:t>.</w:t>
      </w:r>
      <w:r w:rsidR="00A65869" w:rsidRPr="00D51025">
        <w:rPr>
          <w:rFonts w:eastAsia="Batang" w:cs="Times New Roman"/>
          <w:kern w:val="22"/>
          <w:sz w:val="22"/>
          <w:vertAlign w:val="superscript"/>
          <w:lang w:val="fr-FR"/>
        </w:rPr>
        <w:t xml:space="preserve"> </w:t>
      </w:r>
      <w:r w:rsidR="00A65869" w:rsidRPr="002364AB">
        <w:rPr>
          <w:rStyle w:val="FootnoteReference"/>
          <w:kern w:val="22"/>
          <w:sz w:val="22"/>
          <w:lang w:val="en-GB"/>
        </w:rPr>
        <w:footnoteReference w:id="158"/>
      </w:r>
      <w:r w:rsidR="00A65869" w:rsidRPr="00D51025">
        <w:rPr>
          <w:rFonts w:eastAsia="Batang" w:cs="Times New Roman"/>
          <w:kern w:val="22"/>
          <w:sz w:val="22"/>
          <w:lang w:val="fr-FR"/>
        </w:rPr>
        <w:t xml:space="preserve"> </w:t>
      </w:r>
      <w:r w:rsidR="001A200E" w:rsidRPr="00D9629D">
        <w:rPr>
          <w:rFonts w:eastAsia="Batang" w:cs="Times New Roman"/>
          <w:kern w:val="22"/>
          <w:sz w:val="22"/>
          <w:lang w:val="fr-FR"/>
        </w:rPr>
        <w:t>D’autre part</w:t>
      </w:r>
      <w:r w:rsidR="000D1B1A">
        <w:rPr>
          <w:rFonts w:eastAsia="Batang" w:cs="Times New Roman"/>
          <w:kern w:val="22"/>
          <w:sz w:val="22"/>
          <w:lang w:val="fr-FR"/>
        </w:rPr>
        <w:t>,</w:t>
      </w:r>
      <w:r w:rsidR="00A65869" w:rsidRPr="00D9629D">
        <w:rPr>
          <w:rFonts w:eastAsia="Batang" w:cs="Times New Roman"/>
          <w:kern w:val="22"/>
          <w:sz w:val="22"/>
          <w:lang w:val="fr-FR"/>
        </w:rPr>
        <w:t xml:space="preserve"> </w:t>
      </w:r>
      <w:r w:rsidR="00AA5919" w:rsidRPr="00D9629D">
        <w:rPr>
          <w:rFonts w:eastAsia="Batang" w:cs="Times New Roman"/>
          <w:kern w:val="22"/>
          <w:sz w:val="22"/>
          <w:lang w:val="fr-FR"/>
        </w:rPr>
        <w:t>l’acide glucarique</w:t>
      </w:r>
      <w:r w:rsidR="00CC3521">
        <w:rPr>
          <w:rFonts w:eastAsia="Batang" w:cs="Times New Roman"/>
          <w:kern w:val="22"/>
          <w:sz w:val="22"/>
          <w:lang w:val="fr-FR"/>
        </w:rPr>
        <w:t xml:space="preserve"> ainsi obtenu est en tout point identique à</w:t>
      </w:r>
      <w:r w:rsidR="000D1B1A">
        <w:rPr>
          <w:rFonts w:eastAsia="Batang" w:cs="Times New Roman"/>
          <w:kern w:val="22"/>
          <w:sz w:val="22"/>
          <w:lang w:val="fr-FR"/>
        </w:rPr>
        <w:t xml:space="preserve"> </w:t>
      </w:r>
      <w:r w:rsidR="002518EB" w:rsidRPr="00D9629D">
        <w:rPr>
          <w:rFonts w:eastAsia="Batang" w:cs="Times New Roman"/>
          <w:kern w:val="22"/>
          <w:sz w:val="22"/>
          <w:lang w:val="fr-FR"/>
        </w:rPr>
        <w:t xml:space="preserve">d’autres </w:t>
      </w:r>
      <w:r w:rsidR="000D1B1A">
        <w:rPr>
          <w:rFonts w:eastAsia="Batang" w:cs="Times New Roman"/>
          <w:kern w:val="22"/>
          <w:sz w:val="22"/>
          <w:lang w:val="fr-FR"/>
        </w:rPr>
        <w:t>produits d</w:t>
      </w:r>
      <w:r w:rsidR="00AA5919" w:rsidRPr="00D9629D">
        <w:rPr>
          <w:rFonts w:eastAsia="Batang" w:cs="Times New Roman"/>
          <w:kern w:val="22"/>
          <w:sz w:val="22"/>
          <w:lang w:val="fr-FR"/>
        </w:rPr>
        <w:t>’acide glucarique</w:t>
      </w:r>
      <w:r w:rsidR="00A65869" w:rsidRPr="00D9629D">
        <w:rPr>
          <w:rFonts w:eastAsia="Batang" w:cs="Times New Roman"/>
          <w:kern w:val="22"/>
          <w:sz w:val="22"/>
          <w:lang w:val="fr-FR"/>
        </w:rPr>
        <w:t xml:space="preserve">. </w:t>
      </w:r>
      <w:r w:rsidR="008735FC" w:rsidRPr="000D1B1A">
        <w:rPr>
          <w:rFonts w:eastAsia="Batang" w:cs="Times New Roman"/>
          <w:kern w:val="22"/>
          <w:sz w:val="22"/>
          <w:lang w:val="fr-FR"/>
        </w:rPr>
        <w:t xml:space="preserve">En </w:t>
      </w:r>
      <w:r w:rsidR="008735FC" w:rsidRPr="000D1B1A">
        <w:rPr>
          <w:rFonts w:eastAsia="Batang" w:cs="Times New Roman"/>
          <w:kern w:val="22"/>
          <w:sz w:val="22"/>
          <w:lang w:val="fr-FR"/>
        </w:rPr>
        <w:lastRenderedPageBreak/>
        <w:t>conséquence</w:t>
      </w:r>
      <w:r w:rsidR="000D1B1A" w:rsidRPr="000D1B1A">
        <w:rPr>
          <w:rFonts w:eastAsia="Batang" w:cs="Times New Roman"/>
          <w:kern w:val="22"/>
          <w:sz w:val="22"/>
          <w:lang w:val="fr-FR"/>
        </w:rPr>
        <w:t>, si ce mécanisme de</w:t>
      </w:r>
      <w:r w:rsidR="00A65869" w:rsidRPr="000D1B1A">
        <w:rPr>
          <w:rFonts w:eastAsia="Batang" w:cs="Times New Roman"/>
          <w:kern w:val="22"/>
          <w:sz w:val="22"/>
          <w:lang w:val="fr-FR"/>
        </w:rPr>
        <w:t xml:space="preserve"> </w:t>
      </w:r>
      <w:r w:rsidR="000D1B1A" w:rsidRPr="000D1B1A">
        <w:rPr>
          <w:rFonts w:eastAsia="Batang" w:cs="Times New Roman"/>
          <w:kern w:val="22"/>
          <w:sz w:val="22"/>
          <w:lang w:val="fr-FR"/>
        </w:rPr>
        <w:t>synthèse biologique</w:t>
      </w:r>
      <w:r w:rsidR="00A65869" w:rsidRPr="000D1B1A">
        <w:rPr>
          <w:rFonts w:eastAsia="Batang" w:cs="Times New Roman"/>
          <w:kern w:val="22"/>
          <w:sz w:val="22"/>
          <w:lang w:val="fr-FR"/>
        </w:rPr>
        <w:t xml:space="preserve"> </w:t>
      </w:r>
      <w:r w:rsidR="00C76BB2">
        <w:rPr>
          <w:rFonts w:eastAsia="Batang" w:cs="Times New Roman"/>
          <w:kern w:val="22"/>
          <w:sz w:val="22"/>
          <w:lang w:val="fr-FR"/>
        </w:rPr>
        <w:t xml:space="preserve">était </w:t>
      </w:r>
      <w:r w:rsidR="000D1B1A">
        <w:rPr>
          <w:rFonts w:eastAsia="Batang" w:cs="Times New Roman"/>
          <w:kern w:val="22"/>
          <w:sz w:val="22"/>
          <w:lang w:val="fr-FR"/>
        </w:rPr>
        <w:t>intég</w:t>
      </w:r>
      <w:r w:rsidR="006C562D">
        <w:rPr>
          <w:rFonts w:eastAsia="Batang" w:cs="Times New Roman"/>
          <w:kern w:val="22"/>
          <w:sz w:val="22"/>
          <w:lang w:val="fr-FR"/>
        </w:rPr>
        <w:t>ré dans un</w:t>
      </w:r>
      <w:r w:rsidR="00C76BB2">
        <w:rPr>
          <w:rFonts w:eastAsia="Batang" w:cs="Times New Roman"/>
          <w:kern w:val="22"/>
          <w:sz w:val="22"/>
          <w:lang w:val="fr-FR"/>
        </w:rPr>
        <w:t xml:space="preserve"> processus</w:t>
      </w:r>
      <w:r w:rsidR="000D1B1A">
        <w:rPr>
          <w:rFonts w:eastAsia="Batang" w:cs="Times New Roman"/>
          <w:kern w:val="22"/>
          <w:sz w:val="22"/>
          <w:lang w:val="fr-FR"/>
        </w:rPr>
        <w:t xml:space="preserve"> de fabrication d</w:t>
      </w:r>
      <w:r w:rsidR="00CC3521">
        <w:rPr>
          <w:rFonts w:eastAsia="Batang" w:cs="Times New Roman"/>
          <w:kern w:val="22"/>
          <w:sz w:val="22"/>
          <w:lang w:val="fr-FR"/>
        </w:rPr>
        <w:t>’</w:t>
      </w:r>
      <w:r w:rsidR="00AA5919" w:rsidRPr="000D1B1A">
        <w:rPr>
          <w:rFonts w:eastAsia="Batang" w:cs="Times New Roman"/>
          <w:kern w:val="22"/>
          <w:sz w:val="22"/>
          <w:lang w:val="fr-FR"/>
        </w:rPr>
        <w:t>acide glucarique</w:t>
      </w:r>
      <w:r w:rsidR="001410F8">
        <w:rPr>
          <w:rFonts w:eastAsia="Batang" w:cs="Times New Roman"/>
          <w:kern w:val="22"/>
          <w:sz w:val="22"/>
          <w:lang w:val="fr-FR"/>
        </w:rPr>
        <w:t>, il n’y aurait</w:t>
      </w:r>
      <w:r w:rsidR="000D1B1A">
        <w:rPr>
          <w:rFonts w:eastAsia="Batang" w:cs="Times New Roman"/>
          <w:kern w:val="22"/>
          <w:sz w:val="22"/>
          <w:lang w:val="fr-FR"/>
        </w:rPr>
        <w:t xml:space="preserve"> aucun moyen de savoir</w:t>
      </w:r>
      <w:r w:rsidR="00C76BB2">
        <w:rPr>
          <w:rFonts w:eastAsia="Batang" w:cs="Times New Roman"/>
          <w:kern w:val="22"/>
          <w:sz w:val="22"/>
          <w:lang w:val="fr-FR"/>
        </w:rPr>
        <w:t xml:space="preserve">, à partir </w:t>
      </w:r>
      <w:r w:rsidR="000D1B1A">
        <w:rPr>
          <w:rFonts w:eastAsia="Batang" w:cs="Times New Roman"/>
          <w:kern w:val="22"/>
          <w:sz w:val="22"/>
          <w:lang w:val="fr-FR"/>
        </w:rPr>
        <w:t>du produit final</w:t>
      </w:r>
      <w:r w:rsidR="00CC3521">
        <w:rPr>
          <w:rFonts w:eastAsia="Batang" w:cs="Times New Roman"/>
          <w:kern w:val="22"/>
          <w:sz w:val="22"/>
          <w:lang w:val="fr-FR"/>
        </w:rPr>
        <w:t>,</w:t>
      </w:r>
      <w:r w:rsidR="000D1B1A">
        <w:rPr>
          <w:rFonts w:eastAsia="Batang" w:cs="Times New Roman"/>
          <w:kern w:val="22"/>
          <w:sz w:val="22"/>
          <w:lang w:val="fr-FR"/>
        </w:rPr>
        <w:t xml:space="preserve"> quel</w:t>
      </w:r>
      <w:r w:rsidR="00CC3521">
        <w:rPr>
          <w:rFonts w:eastAsia="Batang" w:cs="Times New Roman"/>
          <w:kern w:val="22"/>
          <w:sz w:val="22"/>
          <w:lang w:val="fr-FR"/>
        </w:rPr>
        <w:t>le</w:t>
      </w:r>
      <w:r w:rsidR="00201A0A">
        <w:rPr>
          <w:rFonts w:eastAsia="Batang" w:cs="Times New Roman"/>
          <w:kern w:val="22"/>
          <w:sz w:val="22"/>
          <w:lang w:val="fr-FR"/>
        </w:rPr>
        <w:t>s</w:t>
      </w:r>
      <w:r w:rsidR="00CC3521">
        <w:rPr>
          <w:rFonts w:eastAsia="Batang" w:cs="Times New Roman"/>
          <w:kern w:val="22"/>
          <w:sz w:val="22"/>
          <w:lang w:val="fr-FR"/>
        </w:rPr>
        <w:t xml:space="preserve"> </w:t>
      </w:r>
      <w:r w:rsidR="00BC5F0A">
        <w:rPr>
          <w:rFonts w:eastAsia="Batang" w:cs="Times New Roman"/>
          <w:kern w:val="22"/>
          <w:sz w:val="22"/>
          <w:lang w:val="fr-FR"/>
        </w:rPr>
        <w:t>information</w:t>
      </w:r>
      <w:r w:rsidR="00CC3521">
        <w:rPr>
          <w:rFonts w:eastAsia="Batang" w:cs="Times New Roman"/>
          <w:kern w:val="22"/>
          <w:sz w:val="22"/>
          <w:lang w:val="fr-FR"/>
        </w:rPr>
        <w:t>s</w:t>
      </w:r>
      <w:r w:rsidR="00BC5F0A">
        <w:rPr>
          <w:rFonts w:eastAsia="Batang" w:cs="Times New Roman"/>
          <w:kern w:val="22"/>
          <w:sz w:val="22"/>
          <w:lang w:val="fr-FR"/>
        </w:rPr>
        <w:t xml:space="preserve"> de séquençage</w:t>
      </w:r>
      <w:r w:rsidR="00142D5A" w:rsidRPr="000D1B1A">
        <w:rPr>
          <w:rFonts w:eastAsia="Batang" w:cs="Times New Roman"/>
          <w:kern w:val="22"/>
          <w:sz w:val="22"/>
          <w:lang w:val="fr-FR"/>
        </w:rPr>
        <w:t xml:space="preserve"> numérique</w:t>
      </w:r>
      <w:r w:rsidR="00CC3521">
        <w:rPr>
          <w:rFonts w:eastAsia="Batang" w:cs="Times New Roman"/>
          <w:kern w:val="22"/>
          <w:sz w:val="22"/>
          <w:lang w:val="fr-FR"/>
        </w:rPr>
        <w:t xml:space="preserve"> provenant de multiples</w:t>
      </w:r>
      <w:r w:rsidR="00A65869" w:rsidRPr="000D1B1A">
        <w:rPr>
          <w:rFonts w:eastAsia="Batang" w:cs="Times New Roman"/>
          <w:kern w:val="22"/>
          <w:sz w:val="22"/>
          <w:lang w:val="fr-FR"/>
        </w:rPr>
        <w:t xml:space="preserve"> </w:t>
      </w:r>
      <w:r w:rsidR="00651FB0" w:rsidRPr="000D1B1A">
        <w:rPr>
          <w:rFonts w:eastAsia="Batang" w:cs="Times New Roman"/>
          <w:kern w:val="22"/>
          <w:sz w:val="22"/>
          <w:lang w:val="fr-FR"/>
        </w:rPr>
        <w:t>espèces</w:t>
      </w:r>
      <w:r w:rsidR="000D1B1A">
        <w:rPr>
          <w:rFonts w:eastAsia="Batang" w:cs="Times New Roman"/>
          <w:kern w:val="22"/>
          <w:sz w:val="22"/>
          <w:lang w:val="fr-FR"/>
        </w:rPr>
        <w:t xml:space="preserve"> ont été utilisées pour sa</w:t>
      </w:r>
      <w:r w:rsidR="00A65869" w:rsidRPr="000D1B1A">
        <w:rPr>
          <w:rFonts w:eastAsia="Batang" w:cs="Times New Roman"/>
          <w:kern w:val="22"/>
          <w:sz w:val="22"/>
          <w:lang w:val="fr-FR"/>
        </w:rPr>
        <w:t xml:space="preserve"> </w:t>
      </w:r>
      <w:r w:rsidR="00AA68B5" w:rsidRPr="000D1B1A">
        <w:rPr>
          <w:rFonts w:eastAsia="Batang" w:cs="Times New Roman"/>
          <w:kern w:val="22"/>
          <w:sz w:val="22"/>
          <w:lang w:val="fr-FR"/>
        </w:rPr>
        <w:t>production</w:t>
      </w:r>
      <w:r w:rsidR="00A65869" w:rsidRPr="000D1B1A">
        <w:rPr>
          <w:rFonts w:eastAsia="Batang" w:cs="Times New Roman"/>
          <w:kern w:val="22"/>
          <w:sz w:val="22"/>
          <w:lang w:val="fr-FR"/>
        </w:rPr>
        <w:t>.</w:t>
      </w:r>
    </w:p>
    <w:p w14:paraId="685A7102" w14:textId="5B0641AD" w:rsidR="00442FE9" w:rsidRPr="005645F7" w:rsidRDefault="00AA68B5" w:rsidP="008713DC">
      <w:pPr>
        <w:spacing w:after="120"/>
        <w:rPr>
          <w:rFonts w:eastAsia="Batang" w:cs="Times New Roman"/>
          <w:i/>
          <w:kern w:val="22"/>
          <w:sz w:val="22"/>
          <w:lang w:val="fr-FR"/>
        </w:rPr>
      </w:pPr>
      <w:r>
        <w:rPr>
          <w:rFonts w:eastAsia="Batang" w:cs="Times New Roman"/>
          <w:i/>
          <w:kern w:val="22"/>
          <w:sz w:val="22"/>
          <w:lang w:val="fr-FR"/>
        </w:rPr>
        <w:t>Production</w:t>
      </w:r>
      <w:r w:rsidR="00AD37E2" w:rsidRPr="005645F7">
        <w:rPr>
          <w:rFonts w:eastAsia="Batang" w:cs="Times New Roman"/>
          <w:i/>
          <w:kern w:val="22"/>
          <w:sz w:val="22"/>
          <w:lang w:val="fr-FR"/>
        </w:rPr>
        <w:t xml:space="preserve"> de b</w:t>
      </w:r>
      <w:r w:rsidR="00AA5919" w:rsidRPr="005645F7">
        <w:rPr>
          <w:rFonts w:eastAsia="Batang" w:cs="Times New Roman"/>
          <w:i/>
          <w:kern w:val="22"/>
          <w:sz w:val="22"/>
          <w:lang w:val="fr-FR"/>
        </w:rPr>
        <w:t>ioéthanol</w:t>
      </w:r>
      <w:r w:rsidR="00AD37E2" w:rsidRPr="005645F7">
        <w:rPr>
          <w:rFonts w:eastAsia="Batang" w:cs="Times New Roman"/>
          <w:i/>
          <w:kern w:val="22"/>
          <w:sz w:val="22"/>
          <w:lang w:val="fr-FR"/>
        </w:rPr>
        <w:t xml:space="preserve"> </w:t>
      </w:r>
    </w:p>
    <w:p w14:paraId="2E2D005E" w14:textId="70BC193C" w:rsidR="006D5F9A" w:rsidRPr="008E4688" w:rsidRDefault="00AD37E2" w:rsidP="008713DC">
      <w:pPr>
        <w:spacing w:after="120"/>
        <w:rPr>
          <w:rFonts w:eastAsia="Batang" w:cs="Times New Roman"/>
          <w:kern w:val="22"/>
          <w:sz w:val="22"/>
          <w:lang w:val="fr-FR"/>
        </w:rPr>
      </w:pPr>
      <w:r w:rsidRPr="00AD37E2">
        <w:rPr>
          <w:rFonts w:eastAsia="Batang" w:cs="Times New Roman"/>
          <w:kern w:val="22"/>
          <w:sz w:val="22"/>
          <w:lang w:val="fr-FR"/>
        </w:rPr>
        <w:t xml:space="preserve">Une </w:t>
      </w:r>
      <w:r w:rsidR="00E3674F" w:rsidRPr="00AD37E2">
        <w:rPr>
          <w:rFonts w:eastAsia="Batang" w:cs="Times New Roman"/>
          <w:kern w:val="22"/>
          <w:sz w:val="22"/>
          <w:lang w:val="fr-FR"/>
        </w:rPr>
        <w:t>étude</w:t>
      </w:r>
      <w:r w:rsidR="008713DC" w:rsidRPr="00AD37E2">
        <w:rPr>
          <w:rFonts w:eastAsia="Batang" w:cs="Times New Roman"/>
          <w:kern w:val="22"/>
          <w:sz w:val="22"/>
          <w:lang w:val="fr-FR"/>
        </w:rPr>
        <w:t xml:space="preserve"> </w:t>
      </w:r>
      <w:r w:rsidRPr="00AD37E2">
        <w:rPr>
          <w:rFonts w:eastAsia="Batang" w:cs="Times New Roman"/>
          <w:kern w:val="22"/>
          <w:sz w:val="22"/>
          <w:lang w:val="fr-FR"/>
        </w:rPr>
        <w:t>récente</w:t>
      </w:r>
      <w:r w:rsidR="00FB033A" w:rsidRPr="00AD37E2">
        <w:rPr>
          <w:rFonts w:eastAsia="Batang" w:cs="Times New Roman"/>
          <w:kern w:val="22"/>
          <w:sz w:val="22"/>
          <w:lang w:val="fr-FR"/>
        </w:rPr>
        <w:t xml:space="preserve"> commandé</w:t>
      </w:r>
      <w:r>
        <w:rPr>
          <w:rFonts w:eastAsia="Batang" w:cs="Times New Roman"/>
          <w:kern w:val="22"/>
          <w:sz w:val="22"/>
          <w:lang w:val="fr-FR"/>
        </w:rPr>
        <w:t xml:space="preserve">e par le </w:t>
      </w:r>
      <w:r w:rsidR="00FB033A" w:rsidRPr="00AD37E2">
        <w:rPr>
          <w:rFonts w:eastAsia="Batang" w:cs="Times New Roman"/>
          <w:kern w:val="22"/>
          <w:sz w:val="22"/>
          <w:lang w:val="fr-FR"/>
        </w:rPr>
        <w:t>Secrétariat</w:t>
      </w:r>
      <w:r w:rsidR="006D5F9A" w:rsidRPr="00AD37E2">
        <w:rPr>
          <w:rFonts w:eastAsia="Batang" w:cs="Times New Roman"/>
          <w:kern w:val="22"/>
          <w:sz w:val="22"/>
          <w:lang w:val="fr-FR"/>
        </w:rPr>
        <w:t xml:space="preserve"> </w:t>
      </w:r>
      <w:r>
        <w:rPr>
          <w:rFonts w:eastAsia="Batang" w:cs="Times New Roman"/>
          <w:kern w:val="22"/>
          <w:sz w:val="22"/>
          <w:lang w:val="fr-FR"/>
        </w:rPr>
        <w:t xml:space="preserve">de la </w:t>
      </w:r>
      <w:r w:rsidR="007347F7">
        <w:rPr>
          <w:rFonts w:eastAsia="Batang" w:cs="Times New Roman"/>
          <w:kern w:val="22"/>
          <w:sz w:val="22"/>
          <w:lang w:val="fr-FR"/>
        </w:rPr>
        <w:t>Convention</w:t>
      </w:r>
      <w:r>
        <w:rPr>
          <w:rFonts w:eastAsia="Batang" w:cs="Times New Roman"/>
          <w:kern w:val="22"/>
          <w:sz w:val="22"/>
          <w:lang w:val="fr-FR"/>
        </w:rPr>
        <w:t xml:space="preserve"> en application du paragraphe 11 b) de la</w:t>
      </w:r>
      <w:r w:rsidR="002518EB" w:rsidRPr="00AD37E2">
        <w:rPr>
          <w:rFonts w:eastAsia="Batang" w:cs="Times New Roman"/>
          <w:kern w:val="22"/>
          <w:sz w:val="22"/>
          <w:lang w:val="fr-FR"/>
        </w:rPr>
        <w:t xml:space="preserve"> décision</w:t>
      </w:r>
      <w:r w:rsidR="001A444B">
        <w:rPr>
          <w:rFonts w:eastAsia="Batang" w:cs="Times New Roman"/>
          <w:kern w:val="22"/>
          <w:sz w:val="22"/>
          <w:lang w:val="fr-FR"/>
        </w:rPr>
        <w:t> </w:t>
      </w:r>
      <w:r>
        <w:rPr>
          <w:rFonts w:eastAsia="Batang" w:cs="Times New Roman"/>
          <w:kern w:val="22"/>
          <w:sz w:val="22"/>
          <w:lang w:val="fr-FR"/>
        </w:rPr>
        <w:t>14/20 a identifié un</w:t>
      </w:r>
      <w:r w:rsidR="006D5F9A" w:rsidRPr="00AD37E2">
        <w:rPr>
          <w:rFonts w:eastAsia="Batang" w:cs="Times New Roman"/>
          <w:kern w:val="22"/>
          <w:sz w:val="22"/>
          <w:lang w:val="fr-FR"/>
        </w:rPr>
        <w:t xml:space="preserve"> </w:t>
      </w:r>
      <w:r w:rsidR="008A5BE1" w:rsidRPr="00AD37E2">
        <w:rPr>
          <w:rFonts w:eastAsia="Batang" w:cs="Times New Roman"/>
          <w:kern w:val="22"/>
          <w:sz w:val="22"/>
          <w:lang w:val="fr-FR"/>
        </w:rPr>
        <w:t>autre</w:t>
      </w:r>
      <w:r>
        <w:rPr>
          <w:rFonts w:eastAsia="Batang" w:cs="Times New Roman"/>
          <w:kern w:val="22"/>
          <w:sz w:val="22"/>
          <w:lang w:val="fr-FR"/>
        </w:rPr>
        <w:t xml:space="preserve"> </w:t>
      </w:r>
      <w:r w:rsidR="009D43F1" w:rsidRPr="00AD37E2">
        <w:rPr>
          <w:rFonts w:eastAsia="Batang" w:cs="Times New Roman"/>
          <w:kern w:val="22"/>
          <w:sz w:val="22"/>
          <w:lang w:val="fr-FR"/>
        </w:rPr>
        <w:t>exemple</w:t>
      </w:r>
      <w:r w:rsidR="006D5F9A" w:rsidRPr="00AD37E2">
        <w:rPr>
          <w:rFonts w:eastAsia="Batang" w:cs="Times New Roman"/>
          <w:kern w:val="22"/>
          <w:sz w:val="22"/>
          <w:lang w:val="fr-FR"/>
        </w:rPr>
        <w:t xml:space="preserve"> </w:t>
      </w:r>
      <w:r>
        <w:rPr>
          <w:rFonts w:eastAsia="Batang" w:cs="Times New Roman"/>
          <w:kern w:val="22"/>
          <w:sz w:val="22"/>
          <w:lang w:val="fr-FR"/>
        </w:rPr>
        <w:t xml:space="preserve">pertinent </w:t>
      </w:r>
      <w:r w:rsidR="00201A0A">
        <w:rPr>
          <w:rFonts w:eastAsia="Batang" w:cs="Times New Roman"/>
          <w:kern w:val="22"/>
          <w:sz w:val="22"/>
          <w:lang w:val="fr-FR"/>
        </w:rPr>
        <w:t>concernant</w:t>
      </w:r>
      <w:r>
        <w:rPr>
          <w:rFonts w:eastAsia="Batang" w:cs="Times New Roman"/>
          <w:kern w:val="22"/>
          <w:sz w:val="22"/>
          <w:lang w:val="fr-FR"/>
        </w:rPr>
        <w:t xml:space="preserve"> la </w:t>
      </w:r>
      <w:r w:rsidR="00AA68B5">
        <w:rPr>
          <w:rFonts w:eastAsia="Batang" w:cs="Times New Roman"/>
          <w:kern w:val="22"/>
          <w:sz w:val="22"/>
          <w:lang w:val="fr-FR"/>
        </w:rPr>
        <w:t>production</w:t>
      </w:r>
      <w:r>
        <w:rPr>
          <w:rFonts w:eastAsia="Batang" w:cs="Times New Roman"/>
          <w:kern w:val="22"/>
          <w:sz w:val="22"/>
          <w:lang w:val="fr-FR"/>
        </w:rPr>
        <w:t xml:space="preserve"> de</w:t>
      </w:r>
      <w:r w:rsidR="006D5F9A" w:rsidRPr="00AD37E2">
        <w:rPr>
          <w:rFonts w:eastAsia="Batang" w:cs="Times New Roman"/>
          <w:kern w:val="22"/>
          <w:sz w:val="22"/>
          <w:lang w:val="fr-FR"/>
        </w:rPr>
        <w:t xml:space="preserve"> </w:t>
      </w:r>
      <w:r w:rsidR="00AA5919" w:rsidRPr="00AD37E2">
        <w:rPr>
          <w:rFonts w:eastAsia="Batang" w:cs="Times New Roman"/>
          <w:kern w:val="22"/>
          <w:sz w:val="22"/>
          <w:lang w:val="fr-FR"/>
        </w:rPr>
        <w:t>bioéthanol</w:t>
      </w:r>
      <w:r w:rsidR="006D5F9A" w:rsidRPr="00AD37E2">
        <w:rPr>
          <w:rFonts w:eastAsia="Batang" w:cs="Times New Roman"/>
          <w:kern w:val="22"/>
          <w:sz w:val="22"/>
          <w:lang w:val="fr-FR"/>
        </w:rPr>
        <w:t xml:space="preserve">. </w:t>
      </w:r>
      <w:r w:rsidRPr="008E4688">
        <w:rPr>
          <w:rFonts w:eastAsia="Batang" w:cs="Times New Roman"/>
          <w:kern w:val="22"/>
          <w:sz w:val="22"/>
          <w:lang w:val="fr-FR"/>
        </w:rPr>
        <w:t>Cette étude indique</w:t>
      </w:r>
      <w:r w:rsidR="006D5F9A" w:rsidRPr="008E4688">
        <w:rPr>
          <w:rFonts w:eastAsia="Batang" w:cs="Times New Roman"/>
          <w:kern w:val="22"/>
          <w:sz w:val="22"/>
          <w:lang w:val="fr-FR"/>
        </w:rPr>
        <w:t>:</w:t>
      </w:r>
    </w:p>
    <w:p w14:paraId="04A73666" w14:textId="768FDE9F" w:rsidR="006D5F9A" w:rsidRPr="008A3DD4" w:rsidRDefault="008E4688" w:rsidP="007D10F9">
      <w:pPr>
        <w:spacing w:after="120"/>
        <w:ind w:left="432" w:right="432"/>
        <w:rPr>
          <w:rFonts w:eastAsia="Batang" w:cs="Times New Roman"/>
          <w:kern w:val="22"/>
          <w:sz w:val="22"/>
          <w:lang w:val="fr-FR"/>
        </w:rPr>
      </w:pPr>
      <w:r w:rsidRPr="008E4688">
        <w:rPr>
          <w:rFonts w:eastAsia="Batang" w:cs="Times New Roman"/>
          <w:kern w:val="22"/>
          <w:sz w:val="22"/>
          <w:lang w:val="fr-FR"/>
        </w:rPr>
        <w:t xml:space="preserve">Des </w:t>
      </w:r>
      <w:r w:rsidR="001B6AFA" w:rsidRPr="008E4688">
        <w:rPr>
          <w:rFonts w:eastAsia="Batang" w:cs="Times New Roman"/>
          <w:kern w:val="22"/>
          <w:sz w:val="22"/>
          <w:lang w:val="fr-FR"/>
        </w:rPr>
        <w:t>gènes</w:t>
      </w:r>
      <w:r w:rsidR="006D5F9A" w:rsidRPr="008E4688">
        <w:rPr>
          <w:rFonts w:eastAsia="Batang" w:cs="Times New Roman"/>
          <w:kern w:val="22"/>
          <w:sz w:val="22"/>
          <w:lang w:val="fr-FR"/>
        </w:rPr>
        <w:t xml:space="preserve"> </w:t>
      </w:r>
      <w:r w:rsidR="00201A0A">
        <w:rPr>
          <w:rFonts w:eastAsia="Batang" w:cs="Times New Roman"/>
          <w:kern w:val="22"/>
          <w:sz w:val="22"/>
          <w:lang w:val="fr-FR"/>
        </w:rPr>
        <w:t>apparentés</w:t>
      </w:r>
      <w:r w:rsidRPr="008E4688">
        <w:rPr>
          <w:rFonts w:eastAsia="Batang" w:cs="Times New Roman"/>
          <w:kern w:val="22"/>
          <w:sz w:val="22"/>
          <w:lang w:val="fr-FR"/>
        </w:rPr>
        <w:t xml:space="preserve"> provenant de diffé</w:t>
      </w:r>
      <w:r w:rsidR="006D5F9A" w:rsidRPr="008E4688">
        <w:rPr>
          <w:rFonts w:eastAsia="Batang" w:cs="Times New Roman"/>
          <w:kern w:val="22"/>
          <w:sz w:val="22"/>
          <w:lang w:val="fr-FR"/>
        </w:rPr>
        <w:t>rent</w:t>
      </w:r>
      <w:r w:rsidRPr="008E4688">
        <w:rPr>
          <w:rFonts w:eastAsia="Batang" w:cs="Times New Roman"/>
          <w:kern w:val="22"/>
          <w:sz w:val="22"/>
          <w:lang w:val="fr-FR"/>
        </w:rPr>
        <w:t>s</w:t>
      </w:r>
      <w:r w:rsidR="006D5F9A" w:rsidRPr="008E4688">
        <w:rPr>
          <w:rFonts w:eastAsia="Batang" w:cs="Times New Roman"/>
          <w:kern w:val="22"/>
          <w:sz w:val="22"/>
          <w:lang w:val="fr-FR"/>
        </w:rPr>
        <w:t xml:space="preserve"> </w:t>
      </w:r>
      <w:r w:rsidR="00D9629D" w:rsidRPr="008E4688">
        <w:rPr>
          <w:rFonts w:eastAsia="Batang" w:cs="Times New Roman"/>
          <w:kern w:val="22"/>
          <w:sz w:val="22"/>
          <w:lang w:val="fr-FR"/>
        </w:rPr>
        <w:t>organismes</w:t>
      </w:r>
      <w:r w:rsidRPr="008E4688">
        <w:rPr>
          <w:rFonts w:eastAsia="Batang" w:cs="Times New Roman"/>
          <w:kern w:val="22"/>
          <w:sz w:val="22"/>
          <w:lang w:val="fr-FR"/>
        </w:rPr>
        <w:t xml:space="preserve"> peuvent être ‘</w:t>
      </w:r>
      <w:r w:rsidR="00201A0A">
        <w:rPr>
          <w:rFonts w:eastAsia="Batang" w:cs="Times New Roman"/>
          <w:kern w:val="22"/>
          <w:sz w:val="22"/>
          <w:lang w:val="fr-FR"/>
        </w:rPr>
        <w:t>recombiné</w:t>
      </w:r>
      <w:r w:rsidR="008A3DD4">
        <w:rPr>
          <w:rFonts w:eastAsia="Batang" w:cs="Times New Roman"/>
          <w:kern w:val="22"/>
          <w:sz w:val="22"/>
          <w:lang w:val="fr-FR"/>
        </w:rPr>
        <w:t>s’</w:t>
      </w:r>
      <w:r w:rsidRPr="008E4688">
        <w:rPr>
          <w:rFonts w:eastAsia="Batang" w:cs="Times New Roman"/>
          <w:kern w:val="22"/>
          <w:sz w:val="22"/>
          <w:lang w:val="fr-FR"/>
        </w:rPr>
        <w:t xml:space="preserve"> </w:t>
      </w:r>
      <w:r w:rsidR="008A3DD4">
        <w:rPr>
          <w:rFonts w:eastAsia="Batang" w:cs="Times New Roman"/>
          <w:kern w:val="22"/>
          <w:sz w:val="22"/>
          <w:lang w:val="fr-FR"/>
        </w:rPr>
        <w:t>po</w:t>
      </w:r>
      <w:r w:rsidRPr="008E4688">
        <w:rPr>
          <w:rFonts w:eastAsia="Batang" w:cs="Times New Roman"/>
          <w:kern w:val="22"/>
          <w:sz w:val="22"/>
          <w:lang w:val="fr-FR"/>
        </w:rPr>
        <w:t>ur produir</w:t>
      </w:r>
      <w:r w:rsidR="006D5F9A" w:rsidRPr="008E4688">
        <w:rPr>
          <w:rFonts w:eastAsia="Batang" w:cs="Times New Roman"/>
          <w:kern w:val="22"/>
          <w:sz w:val="22"/>
          <w:lang w:val="fr-FR"/>
        </w:rPr>
        <w:t xml:space="preserve">e </w:t>
      </w:r>
      <w:r w:rsidRPr="008E4688">
        <w:rPr>
          <w:rFonts w:eastAsia="Batang" w:cs="Times New Roman"/>
          <w:kern w:val="22"/>
          <w:sz w:val="22"/>
          <w:lang w:val="fr-FR"/>
        </w:rPr>
        <w:t>des enzymes ‘chimériques’</w:t>
      </w:r>
      <w:r w:rsidR="006D5F9A" w:rsidRPr="008E4688">
        <w:rPr>
          <w:rFonts w:eastAsia="Batang" w:cs="Times New Roman"/>
          <w:kern w:val="22"/>
          <w:sz w:val="22"/>
          <w:lang w:val="fr-FR"/>
        </w:rPr>
        <w:t xml:space="preserve">. </w:t>
      </w:r>
      <w:r w:rsidRPr="008E4688">
        <w:rPr>
          <w:rFonts w:eastAsia="Batang" w:cs="Times New Roman"/>
          <w:kern w:val="22"/>
          <w:sz w:val="22"/>
          <w:lang w:val="fr-FR"/>
        </w:rPr>
        <w:t xml:space="preserve">Celles-ci peuvent être </w:t>
      </w:r>
      <w:r w:rsidR="006D5F9A" w:rsidRPr="008E4688">
        <w:rPr>
          <w:rFonts w:eastAsia="Batang" w:cs="Times New Roman"/>
          <w:kern w:val="22"/>
          <w:sz w:val="22"/>
          <w:lang w:val="fr-FR"/>
        </w:rPr>
        <w:t>test</w:t>
      </w:r>
      <w:r w:rsidR="00201A0A">
        <w:rPr>
          <w:rFonts w:eastAsia="Batang" w:cs="Times New Roman"/>
          <w:kern w:val="22"/>
          <w:sz w:val="22"/>
          <w:lang w:val="fr-FR"/>
        </w:rPr>
        <w:t>ées pour dé</w:t>
      </w:r>
      <w:r w:rsidRPr="008E4688">
        <w:rPr>
          <w:rFonts w:eastAsia="Batang" w:cs="Times New Roman"/>
          <w:kern w:val="22"/>
          <w:sz w:val="22"/>
          <w:lang w:val="fr-FR"/>
        </w:rPr>
        <w:t xml:space="preserve">terminer si leur productivité a augmenté, dans le cas </w:t>
      </w:r>
      <w:r>
        <w:rPr>
          <w:rFonts w:eastAsia="Batang" w:cs="Times New Roman"/>
          <w:kern w:val="22"/>
          <w:sz w:val="22"/>
          <w:lang w:val="fr-FR"/>
        </w:rPr>
        <w:t>pré</w:t>
      </w:r>
      <w:r w:rsidRPr="008E4688">
        <w:rPr>
          <w:rFonts w:eastAsia="Batang" w:cs="Times New Roman"/>
          <w:kern w:val="22"/>
          <w:sz w:val="22"/>
          <w:lang w:val="fr-FR"/>
        </w:rPr>
        <w:t>sent,</w:t>
      </w:r>
      <w:r>
        <w:rPr>
          <w:rFonts w:eastAsia="Batang" w:cs="Times New Roman"/>
          <w:kern w:val="22"/>
          <w:sz w:val="22"/>
          <w:lang w:val="fr-FR"/>
        </w:rPr>
        <w:t xml:space="preserve"> pour la </w:t>
      </w:r>
      <w:r w:rsidR="00AA68B5" w:rsidRPr="008E4688">
        <w:rPr>
          <w:rFonts w:eastAsia="Batang" w:cs="Times New Roman"/>
          <w:kern w:val="22"/>
          <w:sz w:val="22"/>
          <w:lang w:val="fr-FR"/>
        </w:rPr>
        <w:t>production</w:t>
      </w:r>
      <w:r>
        <w:rPr>
          <w:rFonts w:eastAsia="Batang" w:cs="Times New Roman"/>
          <w:kern w:val="22"/>
          <w:sz w:val="22"/>
          <w:lang w:val="fr-FR"/>
        </w:rPr>
        <w:t xml:space="preserve"> de</w:t>
      </w:r>
      <w:r w:rsidR="006D5F9A" w:rsidRPr="008E4688">
        <w:rPr>
          <w:rFonts w:eastAsia="Batang" w:cs="Times New Roman"/>
          <w:kern w:val="22"/>
          <w:sz w:val="22"/>
          <w:lang w:val="fr-FR"/>
        </w:rPr>
        <w:t xml:space="preserve"> </w:t>
      </w:r>
      <w:r w:rsidR="00AA5919" w:rsidRPr="008E4688">
        <w:rPr>
          <w:rFonts w:eastAsia="Batang" w:cs="Times New Roman"/>
          <w:kern w:val="22"/>
          <w:sz w:val="22"/>
          <w:lang w:val="fr-FR"/>
        </w:rPr>
        <w:t>bioéthanol</w:t>
      </w:r>
      <w:r w:rsidR="006D5F9A" w:rsidRPr="008E4688">
        <w:rPr>
          <w:rFonts w:eastAsia="Batang" w:cs="Times New Roman"/>
          <w:kern w:val="22"/>
          <w:sz w:val="22"/>
          <w:lang w:val="fr-FR"/>
        </w:rPr>
        <w:t xml:space="preserve">. </w:t>
      </w:r>
      <w:r w:rsidR="00CA644E" w:rsidRPr="008E4688">
        <w:rPr>
          <w:rFonts w:eastAsia="Batang" w:cs="Times New Roman"/>
          <w:kern w:val="22"/>
          <w:sz w:val="22"/>
          <w:lang w:val="fr-FR"/>
        </w:rPr>
        <w:t>Ces</w:t>
      </w:r>
      <w:r w:rsidR="006D5F9A" w:rsidRPr="008E4688">
        <w:rPr>
          <w:rFonts w:eastAsia="Batang" w:cs="Times New Roman"/>
          <w:kern w:val="22"/>
          <w:sz w:val="22"/>
          <w:lang w:val="fr-FR"/>
        </w:rPr>
        <w:t xml:space="preserve"> </w:t>
      </w:r>
      <w:r w:rsidR="001B6AFA" w:rsidRPr="008E4688">
        <w:rPr>
          <w:rFonts w:eastAsia="Batang" w:cs="Times New Roman"/>
          <w:kern w:val="22"/>
          <w:sz w:val="22"/>
          <w:lang w:val="fr-FR"/>
        </w:rPr>
        <w:t>gènes</w:t>
      </w:r>
      <w:r w:rsidR="006D5F9A" w:rsidRPr="008E4688">
        <w:rPr>
          <w:rFonts w:eastAsia="Batang" w:cs="Times New Roman"/>
          <w:kern w:val="22"/>
          <w:sz w:val="22"/>
          <w:lang w:val="fr-FR"/>
        </w:rPr>
        <w:t xml:space="preserve"> </w:t>
      </w:r>
      <w:r w:rsidR="00201A0A">
        <w:rPr>
          <w:rFonts w:eastAsia="Batang" w:cs="Times New Roman"/>
          <w:kern w:val="22"/>
          <w:sz w:val="22"/>
          <w:lang w:val="fr-FR"/>
        </w:rPr>
        <w:t>peuvent être combin</w:t>
      </w:r>
      <w:r w:rsidRPr="008E4688">
        <w:rPr>
          <w:rFonts w:eastAsia="Batang" w:cs="Times New Roman"/>
          <w:kern w:val="22"/>
          <w:sz w:val="22"/>
          <w:lang w:val="fr-FR"/>
        </w:rPr>
        <w:t xml:space="preserve">és à nouveau </w:t>
      </w:r>
      <w:r>
        <w:rPr>
          <w:rFonts w:eastAsia="Batang" w:cs="Times New Roman"/>
          <w:kern w:val="22"/>
          <w:sz w:val="22"/>
          <w:lang w:val="fr-FR"/>
        </w:rPr>
        <w:t xml:space="preserve">jusqu’à ce que l’activité des </w:t>
      </w:r>
      <w:r w:rsidR="006D5F9A" w:rsidRPr="008E4688">
        <w:rPr>
          <w:rFonts w:eastAsia="Batang" w:cs="Times New Roman"/>
          <w:kern w:val="22"/>
          <w:sz w:val="22"/>
          <w:lang w:val="fr-FR"/>
        </w:rPr>
        <w:t>enzyme</w:t>
      </w:r>
      <w:r>
        <w:rPr>
          <w:rFonts w:eastAsia="Batang" w:cs="Times New Roman"/>
          <w:kern w:val="22"/>
          <w:sz w:val="22"/>
          <w:lang w:val="fr-FR"/>
        </w:rPr>
        <w:t>s soit optimisée</w:t>
      </w:r>
      <w:r w:rsidR="006D5F9A" w:rsidRPr="008E4688">
        <w:rPr>
          <w:rFonts w:eastAsia="Batang" w:cs="Times New Roman"/>
          <w:kern w:val="22"/>
          <w:sz w:val="22"/>
          <w:lang w:val="fr-FR"/>
        </w:rPr>
        <w:t xml:space="preserve">. </w:t>
      </w:r>
      <w:r w:rsidR="001D045E">
        <w:rPr>
          <w:rFonts w:eastAsia="Batang" w:cs="Times New Roman"/>
          <w:kern w:val="22"/>
          <w:sz w:val="22"/>
          <w:lang w:val="fr-FR"/>
        </w:rPr>
        <w:t>Lorsque des</w:t>
      </w:r>
      <w:r w:rsidR="006D5F9A" w:rsidRPr="008A3DD4">
        <w:rPr>
          <w:rFonts w:eastAsia="Batang" w:cs="Times New Roman"/>
          <w:kern w:val="22"/>
          <w:sz w:val="22"/>
          <w:lang w:val="fr-FR"/>
        </w:rPr>
        <w:t xml:space="preserve"> </w:t>
      </w:r>
      <w:r w:rsidR="001B6AFA" w:rsidRPr="008A3DD4">
        <w:rPr>
          <w:rFonts w:eastAsia="Batang" w:cs="Times New Roman"/>
          <w:kern w:val="22"/>
          <w:sz w:val="22"/>
          <w:lang w:val="fr-FR"/>
        </w:rPr>
        <w:t>gènes</w:t>
      </w:r>
      <w:r w:rsidR="006D5F9A" w:rsidRPr="008A3DD4">
        <w:rPr>
          <w:rFonts w:eastAsia="Batang" w:cs="Times New Roman"/>
          <w:kern w:val="22"/>
          <w:sz w:val="22"/>
          <w:lang w:val="fr-FR"/>
        </w:rPr>
        <w:t xml:space="preserve"> </w:t>
      </w:r>
      <w:r w:rsidR="00201A0A">
        <w:rPr>
          <w:rFonts w:eastAsia="Batang" w:cs="Times New Roman"/>
          <w:kern w:val="22"/>
          <w:sz w:val="22"/>
          <w:lang w:val="fr-FR"/>
        </w:rPr>
        <w:t>recombiné</w:t>
      </w:r>
      <w:r w:rsidR="001D045E">
        <w:rPr>
          <w:rFonts w:eastAsia="Batang" w:cs="Times New Roman"/>
          <w:kern w:val="22"/>
          <w:sz w:val="22"/>
          <w:lang w:val="fr-FR"/>
        </w:rPr>
        <w:t xml:space="preserve">s </w:t>
      </w:r>
      <w:r w:rsidR="008A3DD4">
        <w:rPr>
          <w:rFonts w:eastAsia="Batang" w:cs="Times New Roman"/>
          <w:kern w:val="22"/>
          <w:sz w:val="22"/>
          <w:lang w:val="fr-FR"/>
        </w:rPr>
        <w:t>exp</w:t>
      </w:r>
      <w:r w:rsidR="008A3DD4" w:rsidRPr="008A3DD4">
        <w:rPr>
          <w:rFonts w:eastAsia="Batang" w:cs="Times New Roman"/>
          <w:kern w:val="22"/>
          <w:sz w:val="22"/>
          <w:lang w:val="fr-FR"/>
        </w:rPr>
        <w:t xml:space="preserve">riment </w:t>
      </w:r>
      <w:r w:rsidR="006C562D">
        <w:rPr>
          <w:rFonts w:eastAsia="Batang" w:cs="Times New Roman"/>
          <w:kern w:val="22"/>
          <w:sz w:val="22"/>
          <w:lang w:val="fr-FR"/>
        </w:rPr>
        <w:t>d</w:t>
      </w:r>
      <w:r w:rsidR="008A3DD4">
        <w:rPr>
          <w:rFonts w:eastAsia="Batang" w:cs="Times New Roman"/>
          <w:kern w:val="22"/>
          <w:sz w:val="22"/>
          <w:lang w:val="fr-FR"/>
        </w:rPr>
        <w:t xml:space="preserve">es </w:t>
      </w:r>
      <w:r w:rsidR="006D5F9A" w:rsidRPr="008A3DD4">
        <w:rPr>
          <w:rFonts w:eastAsia="Batang" w:cs="Times New Roman"/>
          <w:kern w:val="22"/>
          <w:sz w:val="22"/>
          <w:lang w:val="fr-FR"/>
        </w:rPr>
        <w:t xml:space="preserve">enzymes </w:t>
      </w:r>
      <w:r w:rsidR="008A3DD4">
        <w:rPr>
          <w:rFonts w:eastAsia="Batang" w:cs="Times New Roman"/>
          <w:kern w:val="22"/>
          <w:sz w:val="22"/>
          <w:lang w:val="fr-FR"/>
        </w:rPr>
        <w:t>chimérique</w:t>
      </w:r>
      <w:r w:rsidR="00201A0A">
        <w:rPr>
          <w:rFonts w:eastAsia="Batang" w:cs="Times New Roman"/>
          <w:kern w:val="22"/>
          <w:sz w:val="22"/>
          <w:lang w:val="fr-FR"/>
        </w:rPr>
        <w:t>s</w:t>
      </w:r>
      <w:r w:rsidR="001D045E">
        <w:rPr>
          <w:rFonts w:eastAsia="Batang" w:cs="Times New Roman"/>
          <w:kern w:val="22"/>
          <w:sz w:val="22"/>
          <w:lang w:val="fr-FR"/>
        </w:rPr>
        <w:t>, il est difficile de remonter</w:t>
      </w:r>
      <w:r w:rsidR="008A3DD4">
        <w:rPr>
          <w:rFonts w:eastAsia="Batang" w:cs="Times New Roman"/>
          <w:kern w:val="22"/>
          <w:sz w:val="22"/>
          <w:lang w:val="fr-FR"/>
        </w:rPr>
        <w:t xml:space="preserve"> jusqu’à la </w:t>
      </w:r>
      <w:r w:rsidR="00974B88" w:rsidRPr="008A3DD4">
        <w:rPr>
          <w:rFonts w:eastAsia="Batang" w:cs="Times New Roman"/>
          <w:kern w:val="22"/>
          <w:sz w:val="22"/>
          <w:lang w:val="fr-FR"/>
        </w:rPr>
        <w:t>séquence d’ADN</w:t>
      </w:r>
      <w:r w:rsidR="006D5F9A" w:rsidRPr="008A3DD4">
        <w:rPr>
          <w:rFonts w:eastAsia="Batang" w:cs="Times New Roman"/>
          <w:kern w:val="22"/>
          <w:sz w:val="22"/>
          <w:lang w:val="fr-FR"/>
        </w:rPr>
        <w:t xml:space="preserve"> </w:t>
      </w:r>
      <w:r w:rsidR="008A3DD4">
        <w:rPr>
          <w:rFonts w:eastAsia="Batang" w:cs="Times New Roman"/>
          <w:kern w:val="22"/>
          <w:sz w:val="22"/>
          <w:lang w:val="fr-FR"/>
        </w:rPr>
        <w:t xml:space="preserve">d’origine, </w:t>
      </w:r>
      <w:r w:rsidR="001D045E">
        <w:rPr>
          <w:rFonts w:eastAsia="Batang" w:cs="Times New Roman"/>
          <w:kern w:val="22"/>
          <w:sz w:val="22"/>
          <w:lang w:val="fr-FR"/>
        </w:rPr>
        <w:t>car ils</w:t>
      </w:r>
      <w:r w:rsidR="006C1EA0">
        <w:rPr>
          <w:rFonts w:eastAsia="Batang" w:cs="Times New Roman"/>
          <w:kern w:val="22"/>
          <w:sz w:val="22"/>
          <w:lang w:val="fr-FR"/>
        </w:rPr>
        <w:t xml:space="preserve"> sont le</w:t>
      </w:r>
      <w:r w:rsidR="006D5F9A" w:rsidRPr="008A3DD4">
        <w:rPr>
          <w:rFonts w:eastAsia="Batang" w:cs="Times New Roman"/>
          <w:kern w:val="22"/>
          <w:sz w:val="22"/>
          <w:lang w:val="fr-FR"/>
        </w:rPr>
        <w:t xml:space="preserve"> </w:t>
      </w:r>
      <w:r w:rsidR="00D9629D" w:rsidRPr="008A3DD4">
        <w:rPr>
          <w:rFonts w:eastAsia="Batang" w:cs="Times New Roman"/>
          <w:kern w:val="22"/>
          <w:sz w:val="22"/>
          <w:lang w:val="fr-FR"/>
        </w:rPr>
        <w:t>produit</w:t>
      </w:r>
      <w:r w:rsidR="006D5F9A" w:rsidRPr="008A3DD4">
        <w:rPr>
          <w:rFonts w:eastAsia="Batang" w:cs="Times New Roman"/>
          <w:kern w:val="22"/>
          <w:sz w:val="22"/>
          <w:lang w:val="fr-FR"/>
        </w:rPr>
        <w:t xml:space="preserve"> </w:t>
      </w:r>
      <w:r w:rsidR="00201A0A">
        <w:rPr>
          <w:rFonts w:eastAsia="Batang" w:cs="Times New Roman"/>
          <w:kern w:val="22"/>
          <w:sz w:val="22"/>
          <w:lang w:val="fr-FR"/>
        </w:rPr>
        <w:t>de</w:t>
      </w:r>
      <w:r w:rsidR="006C1EA0">
        <w:rPr>
          <w:rFonts w:eastAsia="Batang" w:cs="Times New Roman"/>
          <w:kern w:val="22"/>
          <w:sz w:val="22"/>
          <w:lang w:val="fr-FR"/>
        </w:rPr>
        <w:t xml:space="preserve"> familles de gènes </w:t>
      </w:r>
      <w:r w:rsidR="001F55AB" w:rsidRPr="008A3DD4">
        <w:rPr>
          <w:rFonts w:eastAsia="Batang" w:cs="Times New Roman"/>
          <w:kern w:val="22"/>
          <w:sz w:val="22"/>
          <w:lang w:val="fr-FR"/>
        </w:rPr>
        <w:t>utilisé</w:t>
      </w:r>
      <w:r w:rsidR="006C1EA0">
        <w:rPr>
          <w:rFonts w:eastAsia="Batang" w:cs="Times New Roman"/>
          <w:kern w:val="22"/>
          <w:sz w:val="22"/>
          <w:lang w:val="fr-FR"/>
        </w:rPr>
        <w:t>s</w:t>
      </w:r>
      <w:r w:rsidR="001F55AB" w:rsidRPr="008A3DD4">
        <w:rPr>
          <w:rFonts w:eastAsia="Batang" w:cs="Times New Roman"/>
          <w:kern w:val="22"/>
          <w:sz w:val="22"/>
          <w:lang w:val="fr-FR"/>
        </w:rPr>
        <w:t xml:space="preserve"> </w:t>
      </w:r>
      <w:r w:rsidR="00E3674F" w:rsidRPr="008A3DD4">
        <w:rPr>
          <w:rFonts w:eastAsia="Batang" w:cs="Times New Roman"/>
          <w:kern w:val="22"/>
          <w:sz w:val="22"/>
          <w:lang w:val="fr-FR"/>
        </w:rPr>
        <w:t xml:space="preserve">et </w:t>
      </w:r>
      <w:r w:rsidR="00201A0A">
        <w:rPr>
          <w:rFonts w:eastAsia="Batang" w:cs="Times New Roman"/>
          <w:kern w:val="22"/>
          <w:sz w:val="22"/>
          <w:lang w:val="fr-FR"/>
        </w:rPr>
        <w:t>du processus de recombinaison</w:t>
      </w:r>
      <w:r w:rsidR="006D5F9A" w:rsidRPr="008A3DD4">
        <w:rPr>
          <w:rFonts w:eastAsia="Batang" w:cs="Times New Roman"/>
          <w:kern w:val="22"/>
          <w:sz w:val="22"/>
          <w:lang w:val="fr-FR"/>
        </w:rPr>
        <w:t>.</w:t>
      </w:r>
      <w:r w:rsidR="006D5F9A" w:rsidRPr="002364AB">
        <w:rPr>
          <w:rStyle w:val="FootnoteReference"/>
          <w:rFonts w:eastAsia="Batang" w:cs="Times New Roman"/>
          <w:kern w:val="22"/>
          <w:sz w:val="22"/>
          <w:lang w:val="en-GB"/>
        </w:rPr>
        <w:footnoteReference w:id="159"/>
      </w:r>
    </w:p>
    <w:p w14:paraId="682808FD" w14:textId="3EB3CB3D" w:rsidR="00784AE0" w:rsidRPr="007C29CF" w:rsidRDefault="00AD37E2" w:rsidP="006C74E1">
      <w:pPr>
        <w:rPr>
          <w:rFonts w:eastAsia="Times New Roman" w:cs="Times New Roman"/>
          <w:color w:val="000000"/>
          <w:kern w:val="22"/>
          <w:sz w:val="22"/>
          <w:lang w:val="fr-FR"/>
        </w:rPr>
      </w:pPr>
      <w:r w:rsidRPr="006C1EA0">
        <w:rPr>
          <w:rFonts w:eastAsia="Batang" w:cs="Times New Roman"/>
          <w:color w:val="000000"/>
          <w:kern w:val="22"/>
          <w:sz w:val="22"/>
          <w:lang w:val="fr-FR"/>
        </w:rPr>
        <w:t xml:space="preserve">La </w:t>
      </w:r>
      <w:r w:rsidR="00AA68B5" w:rsidRPr="006C1EA0">
        <w:rPr>
          <w:rFonts w:eastAsia="Batang" w:cs="Times New Roman"/>
          <w:color w:val="000000"/>
          <w:kern w:val="22"/>
          <w:sz w:val="22"/>
          <w:lang w:val="fr-FR"/>
        </w:rPr>
        <w:t>production</w:t>
      </w:r>
      <w:r w:rsidR="006C1EA0" w:rsidRPr="006C1EA0">
        <w:rPr>
          <w:rFonts w:eastAsia="Batang" w:cs="Times New Roman"/>
          <w:color w:val="000000"/>
          <w:kern w:val="22"/>
          <w:sz w:val="22"/>
          <w:lang w:val="fr-FR"/>
        </w:rPr>
        <w:t xml:space="preserve"> de précurseurs d’énergie à base d’</w:t>
      </w:r>
      <w:r w:rsidR="006C1EA0">
        <w:rPr>
          <w:rFonts w:eastAsia="Batang" w:cs="Times New Roman"/>
          <w:color w:val="000000"/>
          <w:kern w:val="22"/>
          <w:sz w:val="22"/>
          <w:lang w:val="fr-FR"/>
        </w:rPr>
        <w:t>alco</w:t>
      </w:r>
      <w:r w:rsidR="006C74E1" w:rsidRPr="006C1EA0">
        <w:rPr>
          <w:rFonts w:eastAsia="Batang" w:cs="Times New Roman"/>
          <w:color w:val="000000"/>
          <w:kern w:val="22"/>
          <w:sz w:val="22"/>
          <w:lang w:val="fr-FR"/>
        </w:rPr>
        <w:t>ol</w:t>
      </w:r>
      <w:r w:rsidR="006C1EA0">
        <w:rPr>
          <w:rFonts w:eastAsia="Batang" w:cs="Times New Roman"/>
          <w:color w:val="000000"/>
          <w:kern w:val="22"/>
          <w:sz w:val="22"/>
          <w:lang w:val="fr-FR"/>
        </w:rPr>
        <w:t xml:space="preserve"> </w:t>
      </w:r>
      <w:r w:rsidR="004C1A58" w:rsidRPr="006C1EA0">
        <w:rPr>
          <w:rFonts w:eastAsia="Batang" w:cs="Times New Roman"/>
          <w:color w:val="000000"/>
          <w:kern w:val="22"/>
          <w:sz w:val="22"/>
          <w:lang w:val="fr-FR"/>
        </w:rPr>
        <w:t xml:space="preserve">utilisant </w:t>
      </w:r>
      <w:r w:rsidR="006C1EA0">
        <w:rPr>
          <w:rFonts w:eastAsia="Batang" w:cs="Times New Roman"/>
          <w:color w:val="000000"/>
          <w:kern w:val="22"/>
          <w:sz w:val="22"/>
          <w:lang w:val="fr-FR"/>
        </w:rPr>
        <w:t xml:space="preserve">la </w:t>
      </w:r>
      <w:r w:rsidR="00FB0054" w:rsidRPr="006C1EA0">
        <w:rPr>
          <w:rFonts w:eastAsia="Batang" w:cs="Times New Roman"/>
          <w:color w:val="000000"/>
          <w:kern w:val="22"/>
          <w:sz w:val="22"/>
          <w:lang w:val="fr-FR"/>
        </w:rPr>
        <w:t>biologie de synthèse</w:t>
      </w:r>
      <w:r w:rsidR="006D1EC2">
        <w:rPr>
          <w:rFonts w:eastAsia="Batang" w:cs="Times New Roman"/>
          <w:color w:val="000000"/>
          <w:kern w:val="22"/>
          <w:sz w:val="22"/>
          <w:lang w:val="fr-FR"/>
        </w:rPr>
        <w:t xml:space="preserve"> peut être réalisé</w:t>
      </w:r>
      <w:r w:rsidR="006C1EA0">
        <w:rPr>
          <w:rFonts w:eastAsia="Batang" w:cs="Times New Roman"/>
          <w:color w:val="000000"/>
          <w:kern w:val="22"/>
          <w:sz w:val="22"/>
          <w:lang w:val="fr-FR"/>
        </w:rPr>
        <w:t xml:space="preserve">e également </w:t>
      </w:r>
      <w:r w:rsidR="004C1A58" w:rsidRPr="006C1EA0">
        <w:rPr>
          <w:rFonts w:eastAsia="Batang" w:cs="Times New Roman"/>
          <w:color w:val="000000"/>
          <w:kern w:val="22"/>
          <w:sz w:val="22"/>
          <w:lang w:val="fr-FR"/>
        </w:rPr>
        <w:t xml:space="preserve">en utilisant </w:t>
      </w:r>
      <w:r w:rsidR="006C1EA0">
        <w:rPr>
          <w:rFonts w:eastAsia="Batang" w:cs="Times New Roman"/>
          <w:color w:val="000000"/>
          <w:kern w:val="22"/>
          <w:sz w:val="22"/>
          <w:lang w:val="fr-FR"/>
        </w:rPr>
        <w:t xml:space="preserve">des </w:t>
      </w:r>
      <w:r w:rsidR="001B6AFA" w:rsidRPr="006C1EA0">
        <w:rPr>
          <w:rFonts w:eastAsia="Batang" w:cs="Times New Roman"/>
          <w:color w:val="000000"/>
          <w:kern w:val="22"/>
          <w:sz w:val="22"/>
          <w:lang w:val="fr-FR"/>
        </w:rPr>
        <w:t>gènes</w:t>
      </w:r>
      <w:r w:rsidR="006C1EA0">
        <w:rPr>
          <w:rFonts w:eastAsia="Batang" w:cs="Times New Roman"/>
          <w:color w:val="000000"/>
          <w:kern w:val="22"/>
          <w:sz w:val="22"/>
          <w:lang w:val="fr-FR"/>
        </w:rPr>
        <w:t xml:space="preserve"> ne provenant pas d’</w:t>
      </w:r>
      <w:r w:rsidR="00D9629D" w:rsidRPr="006C1EA0">
        <w:rPr>
          <w:rFonts w:eastAsia="Batang" w:cs="Times New Roman"/>
          <w:color w:val="000000"/>
          <w:kern w:val="22"/>
          <w:sz w:val="22"/>
          <w:lang w:val="fr-FR"/>
        </w:rPr>
        <w:t>organismes</w:t>
      </w:r>
      <w:r w:rsidR="006D1EC2">
        <w:rPr>
          <w:rFonts w:eastAsia="Batang" w:cs="Times New Roman"/>
          <w:color w:val="000000"/>
          <w:kern w:val="22"/>
          <w:sz w:val="22"/>
          <w:lang w:val="fr-FR"/>
        </w:rPr>
        <w:t xml:space="preserve"> types</w:t>
      </w:r>
      <w:r w:rsidR="006C74E1" w:rsidRPr="006C1EA0">
        <w:rPr>
          <w:rFonts w:eastAsia="Batang" w:cs="Times New Roman"/>
          <w:color w:val="000000"/>
          <w:kern w:val="22"/>
          <w:sz w:val="22"/>
          <w:lang w:val="fr-FR"/>
        </w:rPr>
        <w:t xml:space="preserve">. </w:t>
      </w:r>
      <w:r w:rsidR="008A5BE1" w:rsidRPr="006C1EA0">
        <w:rPr>
          <w:rFonts w:eastAsia="Batang" w:cs="Times New Roman"/>
          <w:color w:val="000000"/>
          <w:kern w:val="22"/>
          <w:sz w:val="22"/>
          <w:lang w:val="fr-FR"/>
        </w:rPr>
        <w:t>À titre d’exemple</w:t>
      </w:r>
      <w:r w:rsidR="006C1EA0" w:rsidRPr="006C1EA0">
        <w:rPr>
          <w:rFonts w:eastAsia="Batang" w:cs="Times New Roman"/>
          <w:color w:val="000000"/>
          <w:kern w:val="22"/>
          <w:sz w:val="22"/>
          <w:lang w:val="fr-FR"/>
        </w:rPr>
        <w:t>, l’une des “prochaines géné</w:t>
      </w:r>
      <w:r w:rsidR="006C74E1" w:rsidRPr="006C1EA0">
        <w:rPr>
          <w:rFonts w:eastAsia="Batang" w:cs="Times New Roman"/>
          <w:color w:val="000000"/>
          <w:kern w:val="22"/>
          <w:sz w:val="22"/>
          <w:lang w:val="fr-FR"/>
        </w:rPr>
        <w:t>ration</w:t>
      </w:r>
      <w:r w:rsidR="006C1EA0" w:rsidRPr="006C1EA0">
        <w:rPr>
          <w:rFonts w:eastAsia="Batang" w:cs="Times New Roman"/>
          <w:color w:val="000000"/>
          <w:kern w:val="22"/>
          <w:sz w:val="22"/>
          <w:lang w:val="fr-FR"/>
        </w:rPr>
        <w:t>s</w:t>
      </w:r>
      <w:r w:rsidR="006C74E1" w:rsidRPr="006C1EA0">
        <w:rPr>
          <w:rFonts w:eastAsia="Batang" w:cs="Times New Roman"/>
          <w:color w:val="000000"/>
          <w:kern w:val="22"/>
          <w:sz w:val="22"/>
          <w:lang w:val="fr-FR"/>
        </w:rPr>
        <w:t xml:space="preserve">” </w:t>
      </w:r>
      <w:r w:rsidR="006C1EA0" w:rsidRPr="006C1EA0">
        <w:rPr>
          <w:rFonts w:eastAsia="Batang" w:cs="Times New Roman"/>
          <w:color w:val="000000"/>
          <w:kern w:val="22"/>
          <w:sz w:val="22"/>
          <w:lang w:val="fr-FR"/>
        </w:rPr>
        <w:t xml:space="preserve">de </w:t>
      </w:r>
      <w:r w:rsidR="006D1EC2">
        <w:rPr>
          <w:rFonts w:eastAsia="Batang" w:cs="Times New Roman"/>
          <w:color w:val="000000"/>
          <w:kern w:val="22"/>
          <w:sz w:val="22"/>
          <w:lang w:val="fr-FR"/>
        </w:rPr>
        <w:t>biocarburant concerne</w:t>
      </w:r>
      <w:r w:rsidR="006C1EA0">
        <w:rPr>
          <w:rFonts w:eastAsia="Batang" w:cs="Times New Roman"/>
          <w:color w:val="000000"/>
          <w:kern w:val="22"/>
          <w:sz w:val="22"/>
          <w:lang w:val="fr-FR"/>
        </w:rPr>
        <w:t xml:space="preserve"> l’</w:t>
      </w:r>
      <w:r w:rsidR="006C74E1" w:rsidRPr="006C1EA0">
        <w:rPr>
          <w:rFonts w:eastAsia="Batang" w:cs="Times New Roman"/>
          <w:color w:val="000000"/>
          <w:kern w:val="22"/>
          <w:sz w:val="22"/>
          <w:lang w:val="fr-FR"/>
        </w:rPr>
        <w:t xml:space="preserve">isobutanol, </w:t>
      </w:r>
      <w:r w:rsidR="006C1EA0">
        <w:rPr>
          <w:rFonts w:eastAsia="Batang" w:cs="Times New Roman"/>
          <w:color w:val="000000"/>
          <w:kern w:val="22"/>
          <w:sz w:val="22"/>
          <w:lang w:val="fr-FR"/>
        </w:rPr>
        <w:t>qui peu</w:t>
      </w:r>
      <w:r w:rsidR="006D1EC2">
        <w:rPr>
          <w:rFonts w:eastAsia="Batang" w:cs="Times New Roman"/>
          <w:color w:val="000000"/>
          <w:kern w:val="22"/>
          <w:sz w:val="22"/>
          <w:lang w:val="fr-FR"/>
        </w:rPr>
        <w:t>t être produit dans différent</w:t>
      </w:r>
      <w:r w:rsidR="006C1EA0">
        <w:rPr>
          <w:rFonts w:eastAsia="Batang" w:cs="Times New Roman"/>
          <w:color w:val="000000"/>
          <w:kern w:val="22"/>
          <w:sz w:val="22"/>
          <w:lang w:val="fr-FR"/>
        </w:rPr>
        <w:t>s</w:t>
      </w:r>
      <w:r w:rsidR="006C74E1" w:rsidRPr="006C1EA0">
        <w:rPr>
          <w:rFonts w:eastAsia="Batang" w:cs="Times New Roman"/>
          <w:color w:val="000000"/>
          <w:kern w:val="22"/>
          <w:sz w:val="22"/>
          <w:lang w:val="fr-FR"/>
        </w:rPr>
        <w:t xml:space="preserve"> </w:t>
      </w:r>
      <w:r w:rsidR="00D9629D" w:rsidRPr="006C1EA0">
        <w:rPr>
          <w:rFonts w:eastAsia="Batang" w:cs="Times New Roman"/>
          <w:color w:val="000000"/>
          <w:kern w:val="22"/>
          <w:sz w:val="22"/>
          <w:lang w:val="fr-FR"/>
        </w:rPr>
        <w:t>organismes</w:t>
      </w:r>
      <w:r w:rsidR="006C74E1" w:rsidRPr="006C1EA0">
        <w:rPr>
          <w:rFonts w:eastAsia="Batang" w:cs="Times New Roman"/>
          <w:color w:val="000000"/>
          <w:kern w:val="22"/>
          <w:sz w:val="22"/>
          <w:lang w:val="fr-FR"/>
        </w:rPr>
        <w:t>.</w:t>
      </w:r>
      <w:r w:rsidR="006C74E1" w:rsidRPr="002364AB">
        <w:rPr>
          <w:rFonts w:eastAsia="Batang" w:cs="Times New Roman"/>
          <w:color w:val="000000"/>
          <w:kern w:val="22"/>
          <w:sz w:val="22"/>
          <w:vertAlign w:val="superscript"/>
          <w:lang w:val="en-GB"/>
        </w:rPr>
        <w:footnoteReference w:id="160"/>
      </w:r>
      <w:r w:rsidR="006C74E1" w:rsidRPr="006C1EA0">
        <w:rPr>
          <w:rFonts w:eastAsia="Batang" w:cs="Times New Roman"/>
          <w:color w:val="000000"/>
          <w:kern w:val="22"/>
          <w:sz w:val="22"/>
          <w:lang w:val="fr-FR"/>
        </w:rPr>
        <w:t xml:space="preserve"> </w:t>
      </w:r>
      <w:r w:rsidR="006C1EA0">
        <w:rPr>
          <w:rFonts w:eastAsia="Batang" w:cs="Times New Roman"/>
          <w:color w:val="000000"/>
          <w:kern w:val="22"/>
          <w:sz w:val="22"/>
          <w:lang w:val="fr-FR"/>
        </w:rPr>
        <w:t>Bien qu’une voie de synthèse de l’isob</w:t>
      </w:r>
      <w:r w:rsidR="006D1EC2">
        <w:rPr>
          <w:rFonts w:eastAsia="Batang" w:cs="Times New Roman"/>
          <w:color w:val="000000"/>
          <w:kern w:val="22"/>
          <w:sz w:val="22"/>
          <w:lang w:val="fr-FR"/>
        </w:rPr>
        <w:t>utanol ait été produite dans des</w:t>
      </w:r>
      <w:r w:rsidR="006C1EA0">
        <w:rPr>
          <w:rFonts w:eastAsia="Batang" w:cs="Times New Roman"/>
          <w:color w:val="000000"/>
          <w:kern w:val="22"/>
          <w:sz w:val="22"/>
          <w:lang w:val="fr-FR"/>
        </w:rPr>
        <w:t xml:space="preserve"> </w:t>
      </w:r>
      <w:r w:rsidR="00D9629D" w:rsidRPr="006C1EA0">
        <w:rPr>
          <w:rFonts w:eastAsia="Batang" w:cs="Times New Roman"/>
          <w:color w:val="000000"/>
          <w:kern w:val="22"/>
          <w:sz w:val="22"/>
          <w:lang w:val="fr-FR"/>
        </w:rPr>
        <w:t>organismes</w:t>
      </w:r>
      <w:r w:rsidR="006C74E1" w:rsidRPr="006C1EA0">
        <w:rPr>
          <w:rFonts w:eastAsia="Batang" w:cs="Times New Roman"/>
          <w:color w:val="000000"/>
          <w:kern w:val="22"/>
          <w:sz w:val="22"/>
          <w:lang w:val="fr-FR"/>
        </w:rPr>
        <w:t xml:space="preserve"> </w:t>
      </w:r>
      <w:r w:rsidR="006C1EA0">
        <w:rPr>
          <w:rFonts w:eastAsia="Batang" w:cs="Times New Roman"/>
          <w:color w:val="000000"/>
          <w:kern w:val="22"/>
          <w:sz w:val="22"/>
          <w:lang w:val="fr-FR"/>
        </w:rPr>
        <w:t>types comme l’</w:t>
      </w:r>
      <w:r w:rsidR="006C74E1" w:rsidRPr="006C1EA0">
        <w:rPr>
          <w:rFonts w:eastAsia="Times New Roman" w:cs="Times New Roman"/>
          <w:i/>
          <w:iCs/>
          <w:color w:val="000000"/>
          <w:kern w:val="22"/>
          <w:sz w:val="22"/>
          <w:lang w:val="fr-FR"/>
        </w:rPr>
        <w:t>E</w:t>
      </w:r>
      <w:r w:rsidR="002079BD" w:rsidRPr="006C1EA0">
        <w:rPr>
          <w:rFonts w:eastAsia="Times New Roman" w:cs="Times New Roman"/>
          <w:i/>
          <w:iCs/>
          <w:color w:val="000000"/>
          <w:kern w:val="22"/>
          <w:sz w:val="22"/>
          <w:lang w:val="fr-FR"/>
        </w:rPr>
        <w:t>.</w:t>
      </w:r>
      <w:r w:rsidR="006C74E1" w:rsidRPr="006C1EA0">
        <w:rPr>
          <w:rFonts w:eastAsia="Times New Roman" w:cs="Times New Roman"/>
          <w:i/>
          <w:iCs/>
          <w:color w:val="000000"/>
          <w:kern w:val="22"/>
          <w:sz w:val="22"/>
          <w:lang w:val="fr-FR"/>
        </w:rPr>
        <w:t>coli</w:t>
      </w:r>
      <w:r w:rsidR="006D1EC2">
        <w:rPr>
          <w:rFonts w:eastAsia="Times New Roman" w:cs="Times New Roman"/>
          <w:color w:val="000000"/>
          <w:kern w:val="22"/>
          <w:sz w:val="22"/>
          <w:lang w:val="fr-FR"/>
        </w:rPr>
        <w:t xml:space="preserve"> ou</w:t>
      </w:r>
      <w:r w:rsidR="006C1EA0">
        <w:rPr>
          <w:rFonts w:eastAsia="Times New Roman" w:cs="Times New Roman"/>
          <w:color w:val="000000"/>
          <w:kern w:val="22"/>
          <w:sz w:val="22"/>
          <w:lang w:val="fr-FR"/>
        </w:rPr>
        <w:t xml:space="preserve"> le</w:t>
      </w:r>
      <w:r w:rsidR="00E3674F" w:rsidRPr="006C1EA0">
        <w:rPr>
          <w:rFonts w:eastAsia="Times New Roman" w:cs="Times New Roman"/>
          <w:color w:val="000000"/>
          <w:kern w:val="22"/>
          <w:sz w:val="22"/>
          <w:lang w:val="fr-FR"/>
        </w:rPr>
        <w:t xml:space="preserve"> </w:t>
      </w:r>
      <w:r w:rsidR="006C74E1" w:rsidRPr="006C1EA0">
        <w:rPr>
          <w:rFonts w:eastAsia="Times New Roman" w:cs="Times New Roman"/>
          <w:i/>
          <w:iCs/>
          <w:color w:val="000000"/>
          <w:kern w:val="22"/>
          <w:sz w:val="22"/>
          <w:lang w:val="fr-FR"/>
        </w:rPr>
        <w:t>S</w:t>
      </w:r>
      <w:r w:rsidR="002079BD" w:rsidRPr="006C1EA0">
        <w:rPr>
          <w:rFonts w:eastAsia="Times New Roman" w:cs="Times New Roman"/>
          <w:i/>
          <w:iCs/>
          <w:color w:val="000000"/>
          <w:kern w:val="22"/>
          <w:sz w:val="22"/>
          <w:lang w:val="fr-FR"/>
        </w:rPr>
        <w:t>.</w:t>
      </w:r>
      <w:r w:rsidR="006C74E1" w:rsidRPr="006C1EA0">
        <w:rPr>
          <w:rFonts w:eastAsia="Times New Roman" w:cs="Times New Roman"/>
          <w:i/>
          <w:iCs/>
          <w:color w:val="000000"/>
          <w:kern w:val="22"/>
          <w:sz w:val="22"/>
          <w:lang w:val="fr-FR"/>
        </w:rPr>
        <w:t xml:space="preserve"> cerevisiae</w:t>
      </w:r>
      <w:r w:rsidR="006C1EA0">
        <w:rPr>
          <w:rFonts w:eastAsia="Times New Roman" w:cs="Times New Roman"/>
          <w:color w:val="000000"/>
          <w:kern w:val="22"/>
          <w:sz w:val="22"/>
          <w:lang w:val="fr-FR"/>
        </w:rPr>
        <w:t>, elle a aussi été utilisée dans des</w:t>
      </w:r>
      <w:r w:rsidR="006C74E1" w:rsidRPr="006C1EA0">
        <w:rPr>
          <w:rFonts w:eastAsia="Times New Roman" w:cs="Times New Roman"/>
          <w:color w:val="000000"/>
          <w:kern w:val="22"/>
          <w:sz w:val="22"/>
          <w:lang w:val="fr-FR"/>
        </w:rPr>
        <w:t xml:space="preserve"> </w:t>
      </w:r>
      <w:r w:rsidR="00D9629D" w:rsidRPr="006C1EA0">
        <w:rPr>
          <w:rFonts w:eastAsia="Times New Roman" w:cs="Times New Roman"/>
          <w:color w:val="000000"/>
          <w:kern w:val="22"/>
          <w:sz w:val="22"/>
          <w:lang w:val="fr-FR"/>
        </w:rPr>
        <w:t>organismes</w:t>
      </w:r>
      <w:r w:rsidR="006D1EC2">
        <w:rPr>
          <w:rFonts w:eastAsia="Times New Roman" w:cs="Times New Roman"/>
          <w:color w:val="000000"/>
          <w:kern w:val="22"/>
          <w:sz w:val="22"/>
          <w:lang w:val="fr-FR"/>
        </w:rPr>
        <w:t xml:space="preserve"> qui ne sont pas général</w:t>
      </w:r>
      <w:r w:rsidR="006C1EA0">
        <w:rPr>
          <w:rFonts w:eastAsia="Times New Roman" w:cs="Times New Roman"/>
          <w:color w:val="000000"/>
          <w:kern w:val="22"/>
          <w:sz w:val="22"/>
          <w:lang w:val="fr-FR"/>
        </w:rPr>
        <w:t xml:space="preserve">ement considérés comme des </w:t>
      </w:r>
      <w:r w:rsidR="00D9629D" w:rsidRPr="006C1EA0">
        <w:rPr>
          <w:rFonts w:eastAsia="Times New Roman" w:cs="Times New Roman"/>
          <w:color w:val="000000"/>
          <w:kern w:val="22"/>
          <w:sz w:val="22"/>
          <w:lang w:val="fr-FR"/>
        </w:rPr>
        <w:t>organismes</w:t>
      </w:r>
      <w:r w:rsidR="006C1EA0">
        <w:rPr>
          <w:rFonts w:eastAsia="Times New Roman" w:cs="Times New Roman"/>
          <w:color w:val="000000"/>
          <w:kern w:val="22"/>
          <w:sz w:val="22"/>
          <w:lang w:val="fr-FR"/>
        </w:rPr>
        <w:t xml:space="preserve"> types</w:t>
      </w:r>
      <w:r w:rsidR="006C74E1" w:rsidRPr="006C1EA0">
        <w:rPr>
          <w:rFonts w:eastAsia="Times New Roman" w:cs="Times New Roman"/>
          <w:color w:val="000000"/>
          <w:kern w:val="22"/>
          <w:sz w:val="22"/>
          <w:lang w:val="fr-FR"/>
        </w:rPr>
        <w:t xml:space="preserve">, </w:t>
      </w:r>
      <w:r w:rsidR="00733DB1" w:rsidRPr="006C1EA0">
        <w:rPr>
          <w:rFonts w:eastAsia="Times New Roman" w:cs="Times New Roman"/>
          <w:color w:val="000000"/>
          <w:kern w:val="22"/>
          <w:sz w:val="22"/>
          <w:lang w:val="fr-FR"/>
        </w:rPr>
        <w:t>tels que</w:t>
      </w:r>
      <w:r w:rsidR="006C74E1" w:rsidRPr="006C1EA0">
        <w:rPr>
          <w:rFonts w:eastAsia="Times New Roman" w:cs="Times New Roman"/>
          <w:color w:val="000000"/>
          <w:kern w:val="22"/>
          <w:sz w:val="22"/>
          <w:lang w:val="fr-FR"/>
        </w:rPr>
        <w:t xml:space="preserve"> </w:t>
      </w:r>
      <w:r w:rsidR="006C74E1" w:rsidRPr="006C1EA0">
        <w:rPr>
          <w:rFonts w:eastAsia="Times New Roman" w:cs="Times New Roman"/>
          <w:i/>
          <w:iCs/>
          <w:color w:val="000000"/>
          <w:kern w:val="22"/>
          <w:sz w:val="22"/>
          <w:lang w:val="fr-FR"/>
        </w:rPr>
        <w:t>Klebsiella oxytoca</w:t>
      </w:r>
      <w:r w:rsidR="006D1EC2">
        <w:rPr>
          <w:rFonts w:eastAsia="Times New Roman" w:cs="Times New Roman"/>
          <w:color w:val="000000"/>
          <w:kern w:val="22"/>
          <w:sz w:val="22"/>
          <w:lang w:val="fr-FR"/>
        </w:rPr>
        <w:t xml:space="preserve"> ou</w:t>
      </w:r>
      <w:r w:rsidR="00E3674F" w:rsidRPr="006C1EA0">
        <w:rPr>
          <w:rFonts w:eastAsia="Times New Roman" w:cs="Times New Roman"/>
          <w:color w:val="000000"/>
          <w:kern w:val="22"/>
          <w:sz w:val="22"/>
          <w:lang w:val="fr-FR"/>
        </w:rPr>
        <w:t xml:space="preserve"> </w:t>
      </w:r>
      <w:r w:rsidR="006C74E1" w:rsidRPr="006C1EA0">
        <w:rPr>
          <w:rFonts w:eastAsia="Times New Roman" w:cs="Times New Roman"/>
          <w:i/>
          <w:iCs/>
          <w:color w:val="000000"/>
          <w:kern w:val="22"/>
          <w:sz w:val="22"/>
          <w:lang w:val="fr-FR"/>
        </w:rPr>
        <w:t>Synecococcus elongatus</w:t>
      </w:r>
      <w:r w:rsidR="006C74E1" w:rsidRPr="006C1EA0">
        <w:rPr>
          <w:rFonts w:eastAsia="Times New Roman" w:cs="Times New Roman"/>
          <w:color w:val="000000"/>
          <w:kern w:val="22"/>
          <w:sz w:val="22"/>
          <w:lang w:val="fr-FR"/>
        </w:rPr>
        <w:t>.</w:t>
      </w:r>
      <w:r w:rsidR="006C74E1" w:rsidRPr="002364AB">
        <w:rPr>
          <w:rFonts w:eastAsia="Times New Roman" w:cs="Times New Roman"/>
          <w:color w:val="000000"/>
          <w:kern w:val="22"/>
          <w:sz w:val="22"/>
          <w:vertAlign w:val="superscript"/>
          <w:lang w:val="en-GB"/>
        </w:rPr>
        <w:footnoteReference w:id="161"/>
      </w:r>
      <w:r w:rsidR="006C74E1" w:rsidRPr="006C1EA0">
        <w:rPr>
          <w:rFonts w:eastAsia="Times New Roman" w:cs="Times New Roman"/>
          <w:color w:val="000000"/>
          <w:kern w:val="22"/>
          <w:sz w:val="22"/>
          <w:lang w:val="fr-FR"/>
        </w:rPr>
        <w:t xml:space="preserve"> </w:t>
      </w:r>
      <w:r w:rsidR="006C1EA0" w:rsidRPr="006C1EA0">
        <w:rPr>
          <w:rFonts w:eastAsia="Times New Roman" w:cs="Times New Roman"/>
          <w:color w:val="000000"/>
          <w:kern w:val="22"/>
          <w:sz w:val="22"/>
          <w:lang w:val="fr-FR"/>
        </w:rPr>
        <w:t>U</w:t>
      </w:r>
      <w:r w:rsidR="006C74E1" w:rsidRPr="006C1EA0">
        <w:rPr>
          <w:rFonts w:eastAsia="Times New Roman" w:cs="Times New Roman"/>
          <w:color w:val="000000"/>
          <w:kern w:val="22"/>
          <w:sz w:val="22"/>
          <w:lang w:val="fr-FR"/>
        </w:rPr>
        <w:t xml:space="preserve">ne </w:t>
      </w:r>
      <w:r w:rsidR="00E3674F" w:rsidRPr="006C1EA0">
        <w:rPr>
          <w:rFonts w:eastAsia="Times New Roman" w:cs="Times New Roman"/>
          <w:color w:val="000000"/>
          <w:kern w:val="22"/>
          <w:sz w:val="22"/>
          <w:lang w:val="fr-FR"/>
        </w:rPr>
        <w:t>étude</w:t>
      </w:r>
      <w:r w:rsidR="006D1EC2">
        <w:rPr>
          <w:rFonts w:eastAsia="Times New Roman" w:cs="Times New Roman"/>
          <w:color w:val="000000"/>
          <w:kern w:val="22"/>
          <w:sz w:val="22"/>
          <w:lang w:val="fr-FR"/>
        </w:rPr>
        <w:t>,</w:t>
      </w:r>
      <w:r w:rsidR="006C74E1" w:rsidRPr="006C1EA0">
        <w:rPr>
          <w:rFonts w:eastAsia="Times New Roman" w:cs="Times New Roman"/>
          <w:color w:val="000000"/>
          <w:kern w:val="22"/>
          <w:sz w:val="22"/>
          <w:lang w:val="fr-FR"/>
        </w:rPr>
        <w:t xml:space="preserve"> f</w:t>
      </w:r>
      <w:r w:rsidR="006C1EA0" w:rsidRPr="006C1EA0">
        <w:rPr>
          <w:rFonts w:eastAsia="Times New Roman" w:cs="Times New Roman"/>
          <w:color w:val="000000"/>
          <w:kern w:val="22"/>
          <w:sz w:val="22"/>
          <w:lang w:val="fr-FR"/>
        </w:rPr>
        <w:t>inancée en partie par le Ministère de l’</w:t>
      </w:r>
      <w:r w:rsidR="006D1EC2">
        <w:rPr>
          <w:rFonts w:eastAsia="Times New Roman" w:cs="Times New Roman"/>
          <w:color w:val="000000"/>
          <w:kern w:val="22"/>
          <w:sz w:val="22"/>
          <w:lang w:val="fr-FR"/>
        </w:rPr>
        <w:t>énergie et le Centre de rech</w:t>
      </w:r>
      <w:r w:rsidR="006C1EA0">
        <w:rPr>
          <w:rFonts w:eastAsia="Times New Roman" w:cs="Times New Roman"/>
          <w:color w:val="000000"/>
          <w:kern w:val="22"/>
          <w:sz w:val="22"/>
          <w:lang w:val="fr-FR"/>
        </w:rPr>
        <w:t>e</w:t>
      </w:r>
      <w:r w:rsidR="006D1EC2">
        <w:rPr>
          <w:rFonts w:eastAsia="Times New Roman" w:cs="Times New Roman"/>
          <w:color w:val="000000"/>
          <w:kern w:val="22"/>
          <w:sz w:val="22"/>
          <w:lang w:val="fr-FR"/>
        </w:rPr>
        <w:t>r</w:t>
      </w:r>
      <w:r w:rsidR="006C1EA0">
        <w:rPr>
          <w:rFonts w:eastAsia="Times New Roman" w:cs="Times New Roman"/>
          <w:color w:val="000000"/>
          <w:kern w:val="22"/>
          <w:sz w:val="22"/>
          <w:lang w:val="fr-FR"/>
        </w:rPr>
        <w:t>ch</w:t>
      </w:r>
      <w:r w:rsidR="006D1EC2">
        <w:rPr>
          <w:rFonts w:eastAsia="Times New Roman" w:cs="Times New Roman"/>
          <w:color w:val="000000"/>
          <w:kern w:val="22"/>
          <w:sz w:val="22"/>
          <w:lang w:val="fr-FR"/>
        </w:rPr>
        <w:t>e de bioénergie des Grands Lacs,</w:t>
      </w:r>
      <w:r w:rsidR="006C1EA0">
        <w:rPr>
          <w:rFonts w:eastAsia="Times New Roman" w:cs="Times New Roman"/>
          <w:color w:val="000000"/>
          <w:kern w:val="22"/>
          <w:sz w:val="22"/>
          <w:lang w:val="fr-FR"/>
        </w:rPr>
        <w:t xml:space="preserve"> décrit des mé</w:t>
      </w:r>
      <w:r w:rsidR="006C74E1" w:rsidRPr="006C1EA0">
        <w:rPr>
          <w:rFonts w:eastAsia="Times New Roman" w:cs="Times New Roman"/>
          <w:color w:val="000000"/>
          <w:kern w:val="22"/>
          <w:sz w:val="22"/>
          <w:lang w:val="fr-FR"/>
        </w:rPr>
        <w:t>thod</w:t>
      </w:r>
      <w:r w:rsidR="006C1EA0">
        <w:rPr>
          <w:rFonts w:eastAsia="Times New Roman" w:cs="Times New Roman"/>
          <w:color w:val="000000"/>
          <w:kern w:val="22"/>
          <w:sz w:val="22"/>
          <w:lang w:val="fr-FR"/>
        </w:rPr>
        <w:t>e</w:t>
      </w:r>
      <w:r w:rsidR="006C74E1" w:rsidRPr="006C1EA0">
        <w:rPr>
          <w:rFonts w:eastAsia="Times New Roman" w:cs="Times New Roman"/>
          <w:color w:val="000000"/>
          <w:kern w:val="22"/>
          <w:sz w:val="22"/>
          <w:lang w:val="fr-FR"/>
        </w:rPr>
        <w:t>s</w:t>
      </w:r>
      <w:r w:rsidR="006D1EC2">
        <w:rPr>
          <w:rFonts w:eastAsia="Times New Roman" w:cs="Times New Roman"/>
          <w:color w:val="000000"/>
          <w:kern w:val="22"/>
          <w:sz w:val="22"/>
          <w:lang w:val="fr-FR"/>
        </w:rPr>
        <w:t xml:space="preserve"> permettant d’</w:t>
      </w:r>
      <w:r w:rsidR="006C1EA0">
        <w:rPr>
          <w:rFonts w:eastAsia="Times New Roman" w:cs="Times New Roman"/>
          <w:color w:val="000000"/>
          <w:kern w:val="22"/>
          <w:sz w:val="22"/>
          <w:lang w:val="fr-FR"/>
        </w:rPr>
        <w:t>optimiser la</w:t>
      </w:r>
      <w:r w:rsidR="006C74E1" w:rsidRPr="006C1EA0">
        <w:rPr>
          <w:rFonts w:eastAsia="Times New Roman" w:cs="Times New Roman"/>
          <w:color w:val="000000"/>
          <w:kern w:val="22"/>
          <w:sz w:val="22"/>
          <w:lang w:val="fr-FR"/>
        </w:rPr>
        <w:t xml:space="preserve"> </w:t>
      </w:r>
      <w:r w:rsidR="006C1EA0">
        <w:rPr>
          <w:rFonts w:eastAsia="Times New Roman" w:cs="Times New Roman"/>
          <w:color w:val="000000"/>
          <w:kern w:val="22"/>
          <w:sz w:val="22"/>
          <w:lang w:val="fr-FR"/>
        </w:rPr>
        <w:t>produc</w:t>
      </w:r>
      <w:r w:rsidR="00D9629D" w:rsidRPr="006C1EA0">
        <w:rPr>
          <w:rFonts w:eastAsia="Times New Roman" w:cs="Times New Roman"/>
          <w:color w:val="000000"/>
          <w:kern w:val="22"/>
          <w:sz w:val="22"/>
          <w:lang w:val="fr-FR"/>
        </w:rPr>
        <w:t>t</w:t>
      </w:r>
      <w:r w:rsidR="006D1EC2">
        <w:rPr>
          <w:rFonts w:eastAsia="Times New Roman" w:cs="Times New Roman"/>
          <w:color w:val="000000"/>
          <w:kern w:val="22"/>
          <w:sz w:val="22"/>
          <w:lang w:val="fr-FR"/>
        </w:rPr>
        <w:t>ivité</w:t>
      </w:r>
      <w:r w:rsidR="006C1EA0">
        <w:rPr>
          <w:rFonts w:eastAsia="Times New Roman" w:cs="Times New Roman"/>
          <w:color w:val="000000"/>
          <w:kern w:val="22"/>
          <w:sz w:val="22"/>
          <w:lang w:val="fr-FR"/>
        </w:rPr>
        <w:t xml:space="preserve"> de la voie</w:t>
      </w:r>
      <w:r w:rsidR="006D1EC2">
        <w:rPr>
          <w:rFonts w:eastAsia="Times New Roman" w:cs="Times New Roman"/>
          <w:color w:val="000000"/>
          <w:kern w:val="22"/>
          <w:sz w:val="22"/>
          <w:lang w:val="fr-FR"/>
        </w:rPr>
        <w:t xml:space="preserve"> de synthèse de l’isobutanol</w:t>
      </w:r>
      <w:r w:rsidR="006C74E1" w:rsidRPr="006C1EA0">
        <w:rPr>
          <w:rFonts w:eastAsia="Times New Roman" w:cs="Times New Roman"/>
          <w:color w:val="000000"/>
          <w:kern w:val="22"/>
          <w:sz w:val="22"/>
          <w:lang w:val="fr-FR"/>
        </w:rPr>
        <w:t>,</w:t>
      </w:r>
      <w:r w:rsidR="006D1EC2">
        <w:rPr>
          <w:rFonts w:eastAsia="Times New Roman" w:cs="Times New Roman"/>
          <w:color w:val="000000"/>
          <w:kern w:val="22"/>
          <w:sz w:val="22"/>
          <w:lang w:val="fr-FR"/>
        </w:rPr>
        <w:t xml:space="preserve"> avec</w:t>
      </w:r>
      <w:r w:rsidR="00D6232E" w:rsidRPr="006C1EA0">
        <w:rPr>
          <w:rFonts w:eastAsia="Times New Roman" w:cs="Times New Roman"/>
          <w:color w:val="000000"/>
          <w:kern w:val="22"/>
          <w:sz w:val="22"/>
          <w:lang w:val="fr-FR"/>
        </w:rPr>
        <w:t xml:space="preserve"> </w:t>
      </w:r>
      <w:r w:rsidR="006C1EA0">
        <w:rPr>
          <w:rFonts w:eastAsia="Times New Roman" w:cs="Times New Roman"/>
          <w:color w:val="000000"/>
          <w:kern w:val="22"/>
          <w:sz w:val="22"/>
          <w:lang w:val="fr-FR"/>
        </w:rPr>
        <w:t xml:space="preserve">une applicabilité pour la production industrielle de </w:t>
      </w:r>
      <w:r w:rsidR="006C1EA0" w:rsidRPr="006C1EA0">
        <w:rPr>
          <w:rFonts w:eastAsia="Times New Roman" w:cs="Times New Roman"/>
          <w:color w:val="000000"/>
          <w:kern w:val="22"/>
          <w:sz w:val="22"/>
          <w:lang w:val="fr-FR"/>
        </w:rPr>
        <w:t>biocarburant</w:t>
      </w:r>
      <w:r w:rsidR="006C74E1" w:rsidRPr="006C1EA0">
        <w:rPr>
          <w:rFonts w:eastAsia="Times New Roman" w:cs="Times New Roman"/>
          <w:color w:val="000000"/>
          <w:kern w:val="22"/>
          <w:sz w:val="22"/>
          <w:lang w:val="fr-FR"/>
        </w:rPr>
        <w:t>.</w:t>
      </w:r>
      <w:r w:rsidR="006C74E1" w:rsidRPr="002364AB">
        <w:rPr>
          <w:rFonts w:eastAsia="Times New Roman" w:cs="Times New Roman"/>
          <w:color w:val="000000"/>
          <w:kern w:val="22"/>
          <w:sz w:val="22"/>
          <w:vertAlign w:val="superscript"/>
          <w:lang w:val="en-GB"/>
        </w:rPr>
        <w:footnoteReference w:id="162"/>
      </w:r>
      <w:r w:rsidR="006C1EA0">
        <w:rPr>
          <w:rFonts w:eastAsia="Times New Roman" w:cs="Times New Roman"/>
          <w:color w:val="000000"/>
          <w:kern w:val="22"/>
          <w:sz w:val="22"/>
          <w:lang w:val="fr-FR"/>
        </w:rPr>
        <w:t xml:space="preserve"> </w:t>
      </w:r>
      <w:r w:rsidR="00A14BDE">
        <w:rPr>
          <w:rFonts w:eastAsia="Times New Roman" w:cs="Times New Roman"/>
          <w:color w:val="000000"/>
          <w:kern w:val="22"/>
          <w:sz w:val="22"/>
          <w:lang w:val="fr-FR"/>
        </w:rPr>
        <w:t>Cette</w:t>
      </w:r>
      <w:r w:rsidR="006C1EA0">
        <w:rPr>
          <w:rFonts w:eastAsia="Times New Roman" w:cs="Times New Roman"/>
          <w:color w:val="000000"/>
          <w:kern w:val="22"/>
          <w:sz w:val="22"/>
          <w:lang w:val="fr-FR"/>
        </w:rPr>
        <w:t xml:space="preserve"> mé</w:t>
      </w:r>
      <w:r w:rsidR="006C74E1" w:rsidRPr="006C1EA0">
        <w:rPr>
          <w:rFonts w:eastAsia="Times New Roman" w:cs="Times New Roman"/>
          <w:color w:val="000000"/>
          <w:kern w:val="22"/>
          <w:sz w:val="22"/>
          <w:lang w:val="fr-FR"/>
        </w:rPr>
        <w:t>thod</w:t>
      </w:r>
      <w:r w:rsidR="006C1EA0">
        <w:rPr>
          <w:rFonts w:eastAsia="Times New Roman" w:cs="Times New Roman"/>
          <w:color w:val="000000"/>
          <w:kern w:val="22"/>
          <w:sz w:val="22"/>
          <w:lang w:val="fr-FR"/>
        </w:rPr>
        <w:t xml:space="preserve">e inclut l’utilisation de </w:t>
      </w:r>
      <w:r w:rsidR="001B6AFA" w:rsidRPr="006C1EA0">
        <w:rPr>
          <w:rFonts w:eastAsia="Times New Roman" w:cs="Times New Roman"/>
          <w:color w:val="000000"/>
          <w:kern w:val="22"/>
          <w:sz w:val="22"/>
          <w:lang w:val="fr-FR"/>
        </w:rPr>
        <w:t>gènes</w:t>
      </w:r>
      <w:r w:rsidR="006C1EA0">
        <w:rPr>
          <w:rFonts w:eastAsia="Times New Roman" w:cs="Times New Roman"/>
          <w:color w:val="000000"/>
          <w:kern w:val="22"/>
          <w:sz w:val="22"/>
          <w:lang w:val="fr-FR"/>
        </w:rPr>
        <w:t xml:space="preserve"> provena</w:t>
      </w:r>
      <w:r w:rsidR="006D1EC2">
        <w:rPr>
          <w:rFonts w:eastAsia="Times New Roman" w:cs="Times New Roman"/>
          <w:color w:val="000000"/>
          <w:kern w:val="22"/>
          <w:sz w:val="22"/>
          <w:lang w:val="fr-FR"/>
        </w:rPr>
        <w:t>n</w:t>
      </w:r>
      <w:r w:rsidR="006C1EA0">
        <w:rPr>
          <w:rFonts w:eastAsia="Times New Roman" w:cs="Times New Roman"/>
          <w:color w:val="000000"/>
          <w:kern w:val="22"/>
          <w:sz w:val="22"/>
          <w:lang w:val="fr-FR"/>
        </w:rPr>
        <w:t>t de</w:t>
      </w:r>
      <w:r w:rsidR="006C74E1" w:rsidRPr="006C1EA0">
        <w:rPr>
          <w:rFonts w:eastAsia="Times New Roman" w:cs="Times New Roman"/>
          <w:color w:val="000000"/>
          <w:kern w:val="22"/>
          <w:sz w:val="22"/>
          <w:lang w:val="fr-FR"/>
        </w:rPr>
        <w:t xml:space="preserve"> </w:t>
      </w:r>
      <w:r w:rsidR="006C74E1" w:rsidRPr="006C1EA0">
        <w:rPr>
          <w:rFonts w:eastAsia="Times New Roman" w:cs="Times New Roman"/>
          <w:i/>
          <w:color w:val="000000"/>
          <w:kern w:val="22"/>
          <w:sz w:val="22"/>
          <w:lang w:val="fr-FR"/>
        </w:rPr>
        <w:t>B. subtilis</w:t>
      </w:r>
      <w:r w:rsidR="006C74E1" w:rsidRPr="006C1EA0">
        <w:rPr>
          <w:rFonts w:eastAsia="Times New Roman" w:cs="Times New Roman"/>
          <w:color w:val="000000"/>
          <w:kern w:val="22"/>
          <w:sz w:val="22"/>
          <w:lang w:val="fr-FR"/>
        </w:rPr>
        <w:t xml:space="preserve">, </w:t>
      </w:r>
      <w:r w:rsidR="006C74E1" w:rsidRPr="006C1EA0">
        <w:rPr>
          <w:rFonts w:eastAsia="Times New Roman" w:cs="Times New Roman"/>
          <w:i/>
          <w:color w:val="000000"/>
          <w:kern w:val="22"/>
          <w:sz w:val="22"/>
          <w:lang w:val="fr-FR"/>
        </w:rPr>
        <w:t>E. coli</w:t>
      </w:r>
      <w:r w:rsidR="006C74E1" w:rsidRPr="006C1EA0">
        <w:rPr>
          <w:rFonts w:eastAsia="Times New Roman" w:cs="Times New Roman"/>
          <w:color w:val="000000"/>
          <w:kern w:val="22"/>
          <w:sz w:val="22"/>
          <w:lang w:val="fr-FR"/>
        </w:rPr>
        <w:t>,</w:t>
      </w:r>
      <w:r w:rsidR="00E3674F" w:rsidRPr="006C1EA0">
        <w:rPr>
          <w:rFonts w:eastAsia="Times New Roman" w:cs="Times New Roman"/>
          <w:color w:val="000000"/>
          <w:kern w:val="22"/>
          <w:sz w:val="22"/>
          <w:lang w:val="fr-FR"/>
        </w:rPr>
        <w:t xml:space="preserve"> et </w:t>
      </w:r>
      <w:r w:rsidR="006C74E1" w:rsidRPr="006C1EA0">
        <w:rPr>
          <w:rFonts w:eastAsia="Times New Roman" w:cs="Times New Roman"/>
          <w:i/>
          <w:color w:val="000000"/>
          <w:kern w:val="22"/>
          <w:sz w:val="22"/>
          <w:lang w:val="fr-FR"/>
        </w:rPr>
        <w:t>L. lactis</w:t>
      </w:r>
      <w:r w:rsidR="006C74E1" w:rsidRPr="006C1EA0">
        <w:rPr>
          <w:rFonts w:eastAsia="Times New Roman" w:cs="Times New Roman"/>
          <w:color w:val="000000"/>
          <w:kern w:val="22"/>
          <w:sz w:val="22"/>
          <w:lang w:val="fr-FR"/>
        </w:rPr>
        <w:t xml:space="preserve">. </w:t>
      </w:r>
      <w:r w:rsidR="006D1EC2">
        <w:rPr>
          <w:rFonts w:eastAsia="Times New Roman" w:cs="Times New Roman"/>
          <w:color w:val="000000"/>
          <w:kern w:val="22"/>
          <w:sz w:val="22"/>
          <w:lang w:val="fr-FR"/>
        </w:rPr>
        <w:t xml:space="preserve">Elle inclut </w:t>
      </w:r>
      <w:r w:rsidR="006C1EA0" w:rsidRPr="007C29CF">
        <w:rPr>
          <w:rFonts w:eastAsia="Times New Roman" w:cs="Times New Roman"/>
          <w:color w:val="000000"/>
          <w:kern w:val="22"/>
          <w:sz w:val="22"/>
          <w:lang w:val="fr-FR"/>
        </w:rPr>
        <w:t>aussi</w:t>
      </w:r>
      <w:r w:rsidR="006C74E1" w:rsidRPr="007C29CF">
        <w:rPr>
          <w:rFonts w:eastAsia="Times New Roman" w:cs="Times New Roman"/>
          <w:color w:val="000000"/>
          <w:kern w:val="22"/>
          <w:sz w:val="22"/>
          <w:lang w:val="fr-FR"/>
        </w:rPr>
        <w:t xml:space="preserve"> </w:t>
      </w:r>
      <w:r w:rsidR="009D43F1" w:rsidRPr="007C29CF">
        <w:rPr>
          <w:rFonts w:eastAsia="Times New Roman" w:cs="Times New Roman"/>
          <w:color w:val="000000"/>
          <w:kern w:val="22"/>
          <w:sz w:val="22"/>
          <w:lang w:val="fr-FR"/>
        </w:rPr>
        <w:t>l’utilisation</w:t>
      </w:r>
      <w:r w:rsidR="006C74E1" w:rsidRPr="007C29CF">
        <w:rPr>
          <w:rFonts w:eastAsia="Times New Roman" w:cs="Times New Roman"/>
          <w:color w:val="000000"/>
          <w:kern w:val="22"/>
          <w:sz w:val="22"/>
          <w:lang w:val="fr-FR"/>
        </w:rPr>
        <w:t xml:space="preserve"> </w:t>
      </w:r>
      <w:r w:rsidR="007C29CF" w:rsidRPr="007C29CF">
        <w:rPr>
          <w:rFonts w:eastAsia="Times New Roman" w:cs="Times New Roman"/>
          <w:color w:val="000000"/>
          <w:kern w:val="22"/>
          <w:sz w:val="22"/>
          <w:lang w:val="fr-FR"/>
        </w:rPr>
        <w:t xml:space="preserve">de </w:t>
      </w:r>
      <w:r w:rsidR="007C29CF">
        <w:rPr>
          <w:rFonts w:eastAsia="Times New Roman" w:cs="Times New Roman"/>
          <w:color w:val="000000"/>
          <w:kern w:val="22"/>
          <w:sz w:val="22"/>
          <w:lang w:val="fr-FR"/>
        </w:rPr>
        <w:t>sé</w:t>
      </w:r>
      <w:r w:rsidR="007C29CF" w:rsidRPr="007C29CF">
        <w:rPr>
          <w:rFonts w:eastAsia="Times New Roman" w:cs="Times New Roman"/>
          <w:color w:val="000000"/>
          <w:kern w:val="22"/>
          <w:sz w:val="22"/>
          <w:lang w:val="fr-FR"/>
        </w:rPr>
        <w:t>quences</w:t>
      </w:r>
      <w:r w:rsidR="007C29CF">
        <w:rPr>
          <w:rFonts w:eastAsia="Times New Roman" w:cs="Times New Roman"/>
          <w:color w:val="000000"/>
          <w:kern w:val="22"/>
          <w:sz w:val="22"/>
          <w:lang w:val="fr-FR"/>
        </w:rPr>
        <w:t xml:space="preserve"> manufacturées de </w:t>
      </w:r>
      <w:r w:rsidR="003E10AC">
        <w:rPr>
          <w:rFonts w:eastAsia="Times New Roman" w:cs="Times New Roman"/>
          <w:color w:val="000000"/>
          <w:kern w:val="22"/>
          <w:sz w:val="22"/>
          <w:lang w:val="fr-FR"/>
        </w:rPr>
        <w:t>sites de fixation de</w:t>
      </w:r>
      <w:r w:rsidR="007C29CF" w:rsidRPr="007C29CF">
        <w:rPr>
          <w:rFonts w:eastAsia="Times New Roman" w:cs="Times New Roman"/>
          <w:color w:val="000000"/>
          <w:kern w:val="22"/>
          <w:sz w:val="22"/>
          <w:lang w:val="fr-FR"/>
        </w:rPr>
        <w:t xml:space="preserve"> </w:t>
      </w:r>
      <w:r w:rsidR="007C29CF">
        <w:rPr>
          <w:rFonts w:eastAsia="Times New Roman" w:cs="Times New Roman"/>
          <w:color w:val="000000"/>
          <w:kern w:val="22"/>
          <w:sz w:val="22"/>
          <w:lang w:val="fr-FR"/>
        </w:rPr>
        <w:t>ribosome génétique</w:t>
      </w:r>
      <w:r w:rsidR="006D1EC2">
        <w:rPr>
          <w:rFonts w:eastAsia="Times New Roman" w:cs="Times New Roman"/>
          <w:color w:val="000000"/>
          <w:kern w:val="22"/>
          <w:sz w:val="22"/>
          <w:lang w:val="fr-FR"/>
        </w:rPr>
        <w:t xml:space="preserve"> (RBS), fusionné</w:t>
      </w:r>
      <w:r w:rsidR="003E10AC">
        <w:rPr>
          <w:rFonts w:eastAsia="Times New Roman" w:cs="Times New Roman"/>
          <w:color w:val="000000"/>
          <w:kern w:val="22"/>
          <w:sz w:val="22"/>
          <w:lang w:val="fr-FR"/>
        </w:rPr>
        <w:t xml:space="preserve">s </w:t>
      </w:r>
      <w:r w:rsidR="00A71176">
        <w:rPr>
          <w:rFonts w:eastAsia="Times New Roman" w:cs="Times New Roman"/>
          <w:color w:val="000000"/>
          <w:kern w:val="22"/>
          <w:sz w:val="22"/>
          <w:lang w:val="fr-FR"/>
        </w:rPr>
        <w:t>aux cadres de lecture ouverts</w:t>
      </w:r>
      <w:r w:rsidR="006C74E1" w:rsidRPr="007C29CF">
        <w:rPr>
          <w:rFonts w:eastAsia="Times New Roman" w:cs="Times New Roman"/>
          <w:color w:val="000000"/>
          <w:kern w:val="22"/>
          <w:sz w:val="22"/>
          <w:lang w:val="fr-FR"/>
        </w:rPr>
        <w:t xml:space="preserve"> </w:t>
      </w:r>
      <w:r w:rsidR="006D1EC2">
        <w:rPr>
          <w:rFonts w:eastAsia="Times New Roman" w:cs="Times New Roman"/>
          <w:color w:val="000000"/>
          <w:kern w:val="22"/>
          <w:sz w:val="22"/>
          <w:lang w:val="fr-FR"/>
        </w:rPr>
        <w:t>(</w:t>
      </w:r>
      <w:r w:rsidR="006C74E1" w:rsidRPr="007C29CF">
        <w:rPr>
          <w:rFonts w:eastAsia="Times New Roman" w:cs="Times New Roman"/>
          <w:color w:val="000000"/>
          <w:kern w:val="22"/>
          <w:sz w:val="22"/>
          <w:lang w:val="fr-FR"/>
        </w:rPr>
        <w:t xml:space="preserve">open reading frames </w:t>
      </w:r>
      <w:r w:rsidR="006D1EC2">
        <w:rPr>
          <w:rFonts w:eastAsia="Times New Roman" w:cs="Times New Roman"/>
          <w:color w:val="000000"/>
          <w:kern w:val="22"/>
          <w:sz w:val="22"/>
          <w:lang w:val="fr-FR"/>
        </w:rPr>
        <w:t xml:space="preserve">– </w:t>
      </w:r>
      <w:r w:rsidR="0093430D" w:rsidRPr="007C29CF">
        <w:rPr>
          <w:rFonts w:eastAsia="Times New Roman" w:cs="Times New Roman"/>
          <w:color w:val="000000"/>
          <w:kern w:val="22"/>
          <w:sz w:val="22"/>
          <w:lang w:val="fr-FR"/>
        </w:rPr>
        <w:t>ORF</w:t>
      </w:r>
      <w:r w:rsidR="006D1EC2">
        <w:rPr>
          <w:rFonts w:eastAsia="Times New Roman" w:cs="Times New Roman"/>
          <w:color w:val="000000"/>
          <w:kern w:val="22"/>
          <w:sz w:val="22"/>
          <w:lang w:val="fr-FR"/>
        </w:rPr>
        <w:t xml:space="preserve"> en anglais</w:t>
      </w:r>
      <w:r w:rsidR="0093430D" w:rsidRPr="007C29CF">
        <w:rPr>
          <w:rFonts w:eastAsia="Times New Roman" w:cs="Times New Roman"/>
          <w:color w:val="000000"/>
          <w:kern w:val="22"/>
          <w:sz w:val="22"/>
          <w:lang w:val="fr-FR"/>
        </w:rPr>
        <w:t xml:space="preserve">) </w:t>
      </w:r>
      <w:r w:rsidR="003E10AC">
        <w:rPr>
          <w:rFonts w:eastAsia="Times New Roman" w:cs="Times New Roman"/>
          <w:color w:val="000000"/>
          <w:kern w:val="22"/>
          <w:sz w:val="22"/>
          <w:lang w:val="fr-FR"/>
        </w:rPr>
        <w:t>de chaque</w:t>
      </w:r>
      <w:r w:rsidR="007C29CF" w:rsidRPr="007C29CF">
        <w:rPr>
          <w:rFonts w:eastAsia="Times New Roman" w:cs="Times New Roman"/>
          <w:color w:val="000000"/>
          <w:kern w:val="22"/>
          <w:sz w:val="22"/>
          <w:lang w:val="fr-FR"/>
        </w:rPr>
        <w:t xml:space="preserve"> gène issu des </w:t>
      </w:r>
      <w:r w:rsidR="00651FB0" w:rsidRPr="007C29CF">
        <w:rPr>
          <w:rFonts w:eastAsia="Times New Roman" w:cs="Times New Roman"/>
          <w:color w:val="000000"/>
          <w:kern w:val="22"/>
          <w:sz w:val="22"/>
          <w:lang w:val="fr-FR"/>
        </w:rPr>
        <w:t>espèces</w:t>
      </w:r>
      <w:r w:rsidR="007C29CF" w:rsidRPr="007C29CF">
        <w:rPr>
          <w:rFonts w:eastAsia="Times New Roman" w:cs="Times New Roman"/>
          <w:color w:val="000000"/>
          <w:kern w:val="22"/>
          <w:sz w:val="22"/>
          <w:lang w:val="fr-FR"/>
        </w:rPr>
        <w:t xml:space="preserve"> bactériennes susmentionnées</w:t>
      </w:r>
      <w:r w:rsidR="006C74E1" w:rsidRPr="007C29CF">
        <w:rPr>
          <w:rFonts w:eastAsia="Times New Roman" w:cs="Times New Roman"/>
          <w:color w:val="000000"/>
          <w:kern w:val="22"/>
          <w:sz w:val="22"/>
          <w:lang w:val="fr-FR"/>
        </w:rPr>
        <w:t xml:space="preserve">. </w:t>
      </w:r>
    </w:p>
    <w:p w14:paraId="02C1DD59" w14:textId="4CE3905F" w:rsidR="006C74E1" w:rsidRPr="00A15805" w:rsidRDefault="006D1EC2" w:rsidP="006C74E1">
      <w:pPr>
        <w:rPr>
          <w:rFonts w:eastAsia="Times New Roman" w:cs="Times New Roman"/>
          <w:color w:val="000000"/>
          <w:kern w:val="22"/>
          <w:sz w:val="22"/>
          <w:lang w:val="fr-FR"/>
        </w:rPr>
      </w:pPr>
      <w:r>
        <w:rPr>
          <w:rFonts w:eastAsia="Times New Roman" w:cs="Times New Roman"/>
          <w:color w:val="000000"/>
          <w:kern w:val="22"/>
          <w:sz w:val="22"/>
          <w:lang w:val="fr-FR"/>
        </w:rPr>
        <w:t>L</w:t>
      </w:r>
      <w:r w:rsidR="003E10AC" w:rsidRPr="003E10AC">
        <w:rPr>
          <w:rFonts w:eastAsia="Times New Roman" w:cs="Times New Roman"/>
          <w:color w:val="000000"/>
          <w:kern w:val="22"/>
          <w:sz w:val="22"/>
          <w:lang w:val="fr-FR"/>
        </w:rPr>
        <w:t>es fragments</w:t>
      </w:r>
      <w:r w:rsidR="003E10AC">
        <w:rPr>
          <w:rFonts w:eastAsia="Times New Roman" w:cs="Times New Roman"/>
          <w:color w:val="000000"/>
          <w:kern w:val="22"/>
          <w:sz w:val="22"/>
          <w:lang w:val="fr-FR"/>
        </w:rPr>
        <w:t xml:space="preserve"> RBS-ORF </w:t>
      </w:r>
      <w:r w:rsidR="001F55AB" w:rsidRPr="003E10AC">
        <w:rPr>
          <w:rFonts w:eastAsia="Times New Roman" w:cs="Times New Roman"/>
          <w:color w:val="000000"/>
          <w:kern w:val="22"/>
          <w:sz w:val="22"/>
          <w:lang w:val="fr-FR"/>
        </w:rPr>
        <w:t xml:space="preserve">ont </w:t>
      </w:r>
      <w:r w:rsidR="003E10AC">
        <w:rPr>
          <w:rFonts w:eastAsia="Times New Roman" w:cs="Times New Roman"/>
          <w:color w:val="000000"/>
          <w:kern w:val="22"/>
          <w:sz w:val="22"/>
          <w:lang w:val="fr-FR"/>
        </w:rPr>
        <w:t xml:space="preserve">été </w:t>
      </w:r>
      <w:r w:rsidR="001F55AB" w:rsidRPr="003E10AC">
        <w:rPr>
          <w:rFonts w:eastAsia="Times New Roman" w:cs="Times New Roman"/>
          <w:color w:val="000000"/>
          <w:kern w:val="22"/>
          <w:sz w:val="22"/>
          <w:lang w:val="fr-FR"/>
        </w:rPr>
        <w:t>utilisé</w:t>
      </w:r>
      <w:r w:rsidR="003E10AC">
        <w:rPr>
          <w:rFonts w:eastAsia="Times New Roman" w:cs="Times New Roman"/>
          <w:color w:val="000000"/>
          <w:kern w:val="22"/>
          <w:sz w:val="22"/>
          <w:lang w:val="fr-FR"/>
        </w:rPr>
        <w:t>s dans une bibliothèque</w:t>
      </w:r>
      <w:r w:rsidR="001F55AB" w:rsidRPr="003E10AC">
        <w:rPr>
          <w:rFonts w:eastAsia="Times New Roman" w:cs="Times New Roman"/>
          <w:color w:val="000000"/>
          <w:kern w:val="22"/>
          <w:sz w:val="22"/>
          <w:lang w:val="fr-FR"/>
        </w:rPr>
        <w:t xml:space="preserve"> </w:t>
      </w:r>
      <w:r w:rsidR="007666DE">
        <w:rPr>
          <w:rFonts w:eastAsia="Times New Roman" w:cs="Times New Roman"/>
          <w:color w:val="000000"/>
          <w:kern w:val="22"/>
          <w:sz w:val="22"/>
          <w:lang w:val="fr-FR"/>
        </w:rPr>
        <w:t xml:space="preserve">d’expression </w:t>
      </w:r>
      <w:r w:rsidR="00D71F4E" w:rsidRPr="003E10AC">
        <w:rPr>
          <w:rFonts w:eastAsia="Times New Roman" w:cs="Times New Roman"/>
          <w:color w:val="000000"/>
          <w:kern w:val="22"/>
          <w:sz w:val="22"/>
          <w:lang w:val="fr-FR"/>
        </w:rPr>
        <w:t>contenant</w:t>
      </w:r>
      <w:r w:rsidR="006C74E1" w:rsidRPr="003E10AC">
        <w:rPr>
          <w:rFonts w:eastAsia="Times New Roman" w:cs="Times New Roman"/>
          <w:color w:val="000000"/>
          <w:kern w:val="22"/>
          <w:sz w:val="22"/>
          <w:lang w:val="fr-FR"/>
        </w:rPr>
        <w:t xml:space="preserve"> 243 </w:t>
      </w:r>
      <w:r w:rsidR="003E10AC">
        <w:rPr>
          <w:rFonts w:eastAsia="Times New Roman" w:cs="Times New Roman"/>
          <w:color w:val="000000"/>
          <w:kern w:val="22"/>
          <w:sz w:val="22"/>
          <w:lang w:val="fr-FR"/>
        </w:rPr>
        <w:t>combinaisons unique</w:t>
      </w:r>
      <w:r w:rsidR="006C74E1" w:rsidRPr="003E10AC">
        <w:rPr>
          <w:rFonts w:eastAsia="Times New Roman" w:cs="Times New Roman"/>
          <w:color w:val="000000"/>
          <w:kern w:val="22"/>
          <w:sz w:val="22"/>
          <w:lang w:val="fr-FR"/>
        </w:rPr>
        <w:t xml:space="preserve">s. </w:t>
      </w:r>
      <w:r w:rsidR="003E10AC" w:rsidRPr="003E10AC">
        <w:rPr>
          <w:rFonts w:eastAsia="Times New Roman" w:cs="Times New Roman"/>
          <w:color w:val="000000"/>
          <w:kern w:val="22"/>
          <w:sz w:val="22"/>
          <w:lang w:val="fr-FR"/>
        </w:rPr>
        <w:t>L’</w:t>
      </w:r>
      <w:r w:rsidR="00E3674F" w:rsidRPr="003E10AC">
        <w:rPr>
          <w:rFonts w:eastAsia="Times New Roman" w:cs="Times New Roman"/>
          <w:color w:val="000000"/>
          <w:kern w:val="22"/>
          <w:sz w:val="22"/>
          <w:lang w:val="fr-FR"/>
        </w:rPr>
        <w:t>étude</w:t>
      </w:r>
      <w:r w:rsidR="003E10AC" w:rsidRPr="003E10AC">
        <w:rPr>
          <w:rFonts w:eastAsia="Times New Roman" w:cs="Times New Roman"/>
          <w:color w:val="000000"/>
          <w:kern w:val="22"/>
          <w:sz w:val="22"/>
          <w:lang w:val="fr-FR"/>
        </w:rPr>
        <w:t xml:space="preserve"> a aussi </w:t>
      </w:r>
      <w:r w:rsidR="003E10AC">
        <w:rPr>
          <w:rFonts w:eastAsia="Times New Roman" w:cs="Times New Roman"/>
          <w:color w:val="000000"/>
          <w:kern w:val="22"/>
          <w:sz w:val="22"/>
          <w:lang w:val="fr-FR"/>
        </w:rPr>
        <w:t>analysé</w:t>
      </w:r>
      <w:r w:rsidR="003E10AC" w:rsidRPr="003E10AC">
        <w:rPr>
          <w:rFonts w:eastAsia="Times New Roman" w:cs="Times New Roman"/>
          <w:color w:val="000000"/>
          <w:kern w:val="22"/>
          <w:sz w:val="22"/>
          <w:lang w:val="fr-FR"/>
        </w:rPr>
        <w:t xml:space="preserve"> </w:t>
      </w:r>
      <w:r w:rsidR="003E10AC">
        <w:rPr>
          <w:rFonts w:eastAsia="Times New Roman" w:cs="Times New Roman"/>
          <w:color w:val="000000"/>
          <w:kern w:val="22"/>
          <w:sz w:val="22"/>
          <w:lang w:val="fr-FR"/>
        </w:rPr>
        <w:t>d</w:t>
      </w:r>
      <w:r w:rsidR="003E10AC" w:rsidRPr="003E10AC">
        <w:rPr>
          <w:rFonts w:eastAsia="Times New Roman" w:cs="Times New Roman"/>
          <w:color w:val="000000"/>
          <w:kern w:val="22"/>
          <w:sz w:val="22"/>
          <w:lang w:val="fr-FR"/>
        </w:rPr>
        <w:t>es</w:t>
      </w:r>
      <w:r w:rsidR="006C74E1" w:rsidRPr="003E10AC">
        <w:rPr>
          <w:rFonts w:eastAsia="Times New Roman" w:cs="Times New Roman"/>
          <w:color w:val="000000"/>
          <w:kern w:val="22"/>
          <w:sz w:val="22"/>
          <w:lang w:val="fr-FR"/>
        </w:rPr>
        <w:t xml:space="preserve"> variant</w:t>
      </w:r>
      <w:r w:rsidR="007666DE">
        <w:rPr>
          <w:rFonts w:eastAsia="Times New Roman" w:cs="Times New Roman"/>
          <w:color w:val="000000"/>
          <w:kern w:val="22"/>
          <w:sz w:val="22"/>
          <w:lang w:val="fr-FR"/>
        </w:rPr>
        <w:t>es d’</w:t>
      </w:r>
      <w:r w:rsidR="003E10AC">
        <w:rPr>
          <w:rFonts w:eastAsia="Times New Roman" w:cs="Times New Roman"/>
          <w:color w:val="000000"/>
          <w:kern w:val="22"/>
          <w:sz w:val="22"/>
          <w:lang w:val="fr-FR"/>
        </w:rPr>
        <w:t>enzymes d’</w:t>
      </w:r>
      <w:r w:rsidR="006C74E1" w:rsidRPr="003E10AC">
        <w:rPr>
          <w:rFonts w:eastAsia="Times New Roman" w:cs="Times New Roman"/>
          <w:color w:val="000000"/>
          <w:kern w:val="22"/>
          <w:sz w:val="22"/>
          <w:lang w:val="fr-FR"/>
        </w:rPr>
        <w:t>isobutanol</w:t>
      </w:r>
      <w:r w:rsidR="003E10AC">
        <w:rPr>
          <w:rFonts w:eastAsia="Times New Roman" w:cs="Times New Roman"/>
          <w:color w:val="000000"/>
          <w:kern w:val="22"/>
          <w:sz w:val="22"/>
          <w:lang w:val="fr-FR"/>
        </w:rPr>
        <w:t xml:space="preserve"> par mutagenèse</w:t>
      </w:r>
      <w:r w:rsidR="004C1A58" w:rsidRPr="003E10AC">
        <w:rPr>
          <w:rFonts w:eastAsia="Times New Roman" w:cs="Times New Roman"/>
          <w:color w:val="000000"/>
          <w:kern w:val="22"/>
          <w:sz w:val="22"/>
          <w:lang w:val="fr-FR"/>
        </w:rPr>
        <w:t xml:space="preserve"> </w:t>
      </w:r>
      <w:r w:rsidR="003E10AC">
        <w:rPr>
          <w:rFonts w:eastAsia="Times New Roman" w:cs="Times New Roman"/>
          <w:color w:val="000000"/>
          <w:kern w:val="22"/>
          <w:sz w:val="22"/>
          <w:lang w:val="fr-FR"/>
        </w:rPr>
        <w:t>P</w:t>
      </w:r>
      <w:r>
        <w:rPr>
          <w:rFonts w:eastAsia="Times New Roman" w:cs="Times New Roman"/>
          <w:color w:val="000000"/>
          <w:kern w:val="22"/>
          <w:sz w:val="22"/>
          <w:lang w:val="fr-FR"/>
        </w:rPr>
        <w:t>CR</w:t>
      </w:r>
      <w:r w:rsidR="007666DE">
        <w:rPr>
          <w:rFonts w:eastAsia="Times New Roman" w:cs="Times New Roman"/>
          <w:color w:val="000000"/>
          <w:kern w:val="22"/>
          <w:sz w:val="22"/>
          <w:lang w:val="fr-FR"/>
        </w:rPr>
        <w:t>,</w:t>
      </w:r>
      <w:r w:rsidR="003E10AC">
        <w:rPr>
          <w:rFonts w:eastAsia="Times New Roman" w:cs="Times New Roman"/>
          <w:color w:val="000000"/>
          <w:kern w:val="22"/>
          <w:sz w:val="22"/>
          <w:lang w:val="fr-FR"/>
        </w:rPr>
        <w:t xml:space="preserve"> pour créer environ</w:t>
      </w:r>
      <w:r w:rsidR="006C74E1" w:rsidRPr="003E10AC">
        <w:rPr>
          <w:rFonts w:eastAsia="Times New Roman" w:cs="Times New Roman"/>
          <w:color w:val="000000"/>
          <w:kern w:val="22"/>
          <w:sz w:val="22"/>
          <w:lang w:val="fr-FR"/>
        </w:rPr>
        <w:t xml:space="preserve"> 10</w:t>
      </w:r>
      <w:r w:rsidR="006C74E1" w:rsidRPr="003E10AC">
        <w:rPr>
          <w:rFonts w:eastAsia="Times New Roman" w:cs="Times New Roman"/>
          <w:color w:val="000000"/>
          <w:kern w:val="22"/>
          <w:sz w:val="22"/>
          <w:vertAlign w:val="superscript"/>
          <w:lang w:val="fr-FR"/>
        </w:rPr>
        <w:t>6</w:t>
      </w:r>
      <w:r w:rsidR="006C74E1" w:rsidRPr="003E10AC">
        <w:rPr>
          <w:rFonts w:eastAsia="Times New Roman" w:cs="Times New Roman"/>
          <w:color w:val="000000"/>
          <w:kern w:val="22"/>
          <w:sz w:val="22"/>
          <w:lang w:val="fr-FR"/>
        </w:rPr>
        <w:t xml:space="preserve"> </w:t>
      </w:r>
      <w:r w:rsidR="00A15805">
        <w:rPr>
          <w:rFonts w:eastAsia="Times New Roman" w:cs="Times New Roman"/>
          <w:color w:val="000000"/>
          <w:kern w:val="22"/>
          <w:sz w:val="22"/>
          <w:lang w:val="fr-FR"/>
        </w:rPr>
        <w:t>variantes de</w:t>
      </w:r>
      <w:r w:rsidR="006C74E1" w:rsidRPr="003E10AC">
        <w:rPr>
          <w:rFonts w:eastAsia="Times New Roman" w:cs="Times New Roman"/>
          <w:color w:val="000000"/>
          <w:kern w:val="22"/>
          <w:sz w:val="22"/>
          <w:lang w:val="fr-FR"/>
        </w:rPr>
        <w:t xml:space="preserve"> </w:t>
      </w:r>
      <w:r w:rsidR="00974B88" w:rsidRPr="003E10AC">
        <w:rPr>
          <w:rFonts w:eastAsia="Times New Roman" w:cs="Times New Roman"/>
          <w:color w:val="000000"/>
          <w:kern w:val="22"/>
          <w:sz w:val="22"/>
          <w:lang w:val="fr-FR"/>
        </w:rPr>
        <w:t>séquence</w:t>
      </w:r>
      <w:r>
        <w:rPr>
          <w:rFonts w:eastAsia="Times New Roman" w:cs="Times New Roman"/>
          <w:color w:val="000000"/>
          <w:kern w:val="22"/>
          <w:sz w:val="22"/>
          <w:lang w:val="fr-FR"/>
        </w:rPr>
        <w:t>s de codage</w:t>
      </w:r>
      <w:r w:rsidR="006C74E1" w:rsidRPr="003E10AC">
        <w:rPr>
          <w:rFonts w:eastAsia="Times New Roman" w:cs="Times New Roman"/>
          <w:color w:val="000000"/>
          <w:kern w:val="22"/>
          <w:sz w:val="22"/>
          <w:lang w:val="fr-FR"/>
        </w:rPr>
        <w:t xml:space="preserve">. </w:t>
      </w:r>
      <w:r w:rsidR="00A15805" w:rsidRPr="00A15805">
        <w:rPr>
          <w:rFonts w:eastAsia="Times New Roman" w:cs="Times New Roman"/>
          <w:color w:val="000000"/>
          <w:kern w:val="22"/>
          <w:sz w:val="22"/>
          <w:lang w:val="fr-FR"/>
        </w:rPr>
        <w:t>L’</w:t>
      </w:r>
      <w:r w:rsidR="00E3674F" w:rsidRPr="00A15805">
        <w:rPr>
          <w:rFonts w:eastAsia="Times New Roman" w:cs="Times New Roman"/>
          <w:color w:val="000000"/>
          <w:kern w:val="22"/>
          <w:sz w:val="22"/>
          <w:lang w:val="fr-FR"/>
        </w:rPr>
        <w:t>étude</w:t>
      </w:r>
      <w:r w:rsidR="006C74E1" w:rsidRPr="00A15805">
        <w:rPr>
          <w:rFonts w:eastAsia="Times New Roman" w:cs="Times New Roman"/>
          <w:color w:val="000000"/>
          <w:kern w:val="22"/>
          <w:sz w:val="22"/>
          <w:lang w:val="fr-FR"/>
        </w:rPr>
        <w:t xml:space="preserve"> </w:t>
      </w:r>
      <w:r w:rsidR="00A15805" w:rsidRPr="00A15805">
        <w:rPr>
          <w:rFonts w:eastAsia="Times New Roman" w:cs="Times New Roman"/>
          <w:color w:val="000000"/>
          <w:kern w:val="22"/>
          <w:sz w:val="22"/>
          <w:lang w:val="fr-FR"/>
        </w:rPr>
        <w:t>a ainsi sélectionné un grand nombre de combinaisons de</w:t>
      </w:r>
      <w:r w:rsidR="006C74E1" w:rsidRPr="00A15805">
        <w:rPr>
          <w:rFonts w:eastAsia="Times New Roman" w:cs="Times New Roman"/>
          <w:color w:val="000000"/>
          <w:kern w:val="22"/>
          <w:sz w:val="22"/>
          <w:lang w:val="fr-FR"/>
        </w:rPr>
        <w:t xml:space="preserve"> </w:t>
      </w:r>
      <w:r w:rsidR="00842C78" w:rsidRPr="00A15805">
        <w:rPr>
          <w:rFonts w:eastAsia="Times New Roman" w:cs="Times New Roman"/>
          <w:color w:val="000000"/>
          <w:kern w:val="22"/>
          <w:sz w:val="22"/>
          <w:lang w:val="fr-FR"/>
        </w:rPr>
        <w:t>matériel génétique</w:t>
      </w:r>
      <w:r>
        <w:rPr>
          <w:rFonts w:eastAsia="Times New Roman" w:cs="Times New Roman"/>
          <w:color w:val="000000"/>
          <w:kern w:val="22"/>
          <w:sz w:val="22"/>
          <w:lang w:val="fr-FR"/>
        </w:rPr>
        <w:t xml:space="preserve"> afin d’</w:t>
      </w:r>
      <w:r w:rsidR="00E3674F" w:rsidRPr="00A15805">
        <w:rPr>
          <w:rFonts w:eastAsia="Times New Roman" w:cs="Times New Roman"/>
          <w:color w:val="000000"/>
          <w:kern w:val="22"/>
          <w:sz w:val="22"/>
          <w:lang w:val="fr-FR"/>
        </w:rPr>
        <w:t>identifier</w:t>
      </w:r>
      <w:r w:rsidR="006C74E1" w:rsidRPr="00A15805">
        <w:rPr>
          <w:rFonts w:eastAsia="Times New Roman" w:cs="Times New Roman"/>
          <w:color w:val="000000"/>
          <w:kern w:val="22"/>
          <w:sz w:val="22"/>
          <w:lang w:val="fr-FR"/>
        </w:rPr>
        <w:t xml:space="preserve"> </w:t>
      </w:r>
      <w:r w:rsidR="00A15805" w:rsidRPr="00A15805">
        <w:rPr>
          <w:rFonts w:eastAsia="Times New Roman" w:cs="Times New Roman"/>
          <w:color w:val="000000"/>
          <w:kern w:val="22"/>
          <w:sz w:val="22"/>
          <w:lang w:val="fr-FR"/>
        </w:rPr>
        <w:t>les combina</w:t>
      </w:r>
      <w:r w:rsidR="006C74E1" w:rsidRPr="00A15805">
        <w:rPr>
          <w:rFonts w:eastAsia="Times New Roman" w:cs="Times New Roman"/>
          <w:color w:val="000000"/>
          <w:kern w:val="22"/>
          <w:sz w:val="22"/>
          <w:lang w:val="fr-FR"/>
        </w:rPr>
        <w:t>i</w:t>
      </w:r>
      <w:r w:rsidR="00A15805" w:rsidRPr="00A15805">
        <w:rPr>
          <w:rFonts w:eastAsia="Times New Roman" w:cs="Times New Roman"/>
          <w:color w:val="000000"/>
          <w:kern w:val="22"/>
          <w:sz w:val="22"/>
          <w:lang w:val="fr-FR"/>
        </w:rPr>
        <w:t>s</w:t>
      </w:r>
      <w:r w:rsidR="006C74E1" w:rsidRPr="00A15805">
        <w:rPr>
          <w:rFonts w:eastAsia="Times New Roman" w:cs="Times New Roman"/>
          <w:color w:val="000000"/>
          <w:kern w:val="22"/>
          <w:sz w:val="22"/>
          <w:lang w:val="fr-FR"/>
        </w:rPr>
        <w:t xml:space="preserve">ons </w:t>
      </w:r>
      <w:r w:rsidR="00A15805">
        <w:rPr>
          <w:rFonts w:eastAsia="Times New Roman" w:cs="Times New Roman"/>
          <w:color w:val="000000"/>
          <w:kern w:val="22"/>
          <w:sz w:val="22"/>
          <w:lang w:val="fr-FR"/>
        </w:rPr>
        <w:t>a</w:t>
      </w:r>
      <w:r>
        <w:rPr>
          <w:rFonts w:eastAsia="Times New Roman" w:cs="Times New Roman"/>
          <w:color w:val="000000"/>
          <w:kern w:val="22"/>
          <w:sz w:val="22"/>
          <w:lang w:val="fr-FR"/>
        </w:rPr>
        <w:t>boutissant à une production opti</w:t>
      </w:r>
      <w:r w:rsidR="00A15805">
        <w:rPr>
          <w:rFonts w:eastAsia="Times New Roman" w:cs="Times New Roman"/>
          <w:color w:val="000000"/>
          <w:kern w:val="22"/>
          <w:sz w:val="22"/>
          <w:lang w:val="fr-FR"/>
        </w:rPr>
        <w:t>male d’isobutanol</w:t>
      </w:r>
      <w:r w:rsidR="006C74E1" w:rsidRPr="00A15805">
        <w:rPr>
          <w:rFonts w:eastAsia="Times New Roman" w:cs="Times New Roman"/>
          <w:color w:val="000000"/>
          <w:kern w:val="22"/>
          <w:sz w:val="22"/>
          <w:lang w:val="fr-FR"/>
        </w:rPr>
        <w:t xml:space="preserve">. </w:t>
      </w:r>
      <w:r w:rsidR="00C25F5C">
        <w:rPr>
          <w:rFonts w:eastAsia="Times New Roman" w:cs="Times New Roman"/>
          <w:color w:val="000000"/>
          <w:kern w:val="22"/>
          <w:sz w:val="22"/>
          <w:lang w:val="fr-FR"/>
        </w:rPr>
        <w:t>En conséquence</w:t>
      </w:r>
      <w:r w:rsidR="00A15805" w:rsidRPr="00A15805">
        <w:rPr>
          <w:rFonts w:eastAsia="Times New Roman" w:cs="Times New Roman"/>
          <w:color w:val="000000"/>
          <w:kern w:val="22"/>
          <w:sz w:val="22"/>
          <w:lang w:val="fr-FR"/>
        </w:rPr>
        <w:t xml:space="preserve">, cette méthode de production de </w:t>
      </w:r>
      <w:r w:rsidR="006C1EA0" w:rsidRPr="00A15805">
        <w:rPr>
          <w:rFonts w:eastAsia="Times New Roman" w:cs="Times New Roman"/>
          <w:color w:val="000000"/>
          <w:kern w:val="22"/>
          <w:sz w:val="22"/>
          <w:lang w:val="fr-FR"/>
        </w:rPr>
        <w:t>biocarburant</w:t>
      </w:r>
      <w:r>
        <w:rPr>
          <w:rFonts w:eastAsia="Times New Roman" w:cs="Times New Roman"/>
          <w:color w:val="000000"/>
          <w:kern w:val="22"/>
          <w:sz w:val="22"/>
          <w:lang w:val="fr-FR"/>
        </w:rPr>
        <w:t>, qui pourrait avoir</w:t>
      </w:r>
      <w:r w:rsidR="00A15805" w:rsidRPr="00A15805">
        <w:rPr>
          <w:rFonts w:eastAsia="Times New Roman" w:cs="Times New Roman"/>
          <w:color w:val="000000"/>
          <w:kern w:val="22"/>
          <w:sz w:val="22"/>
          <w:lang w:val="fr-FR"/>
        </w:rPr>
        <w:t xml:space="preserve"> une impo</w:t>
      </w:r>
      <w:r>
        <w:rPr>
          <w:rFonts w:eastAsia="Times New Roman" w:cs="Times New Roman"/>
          <w:color w:val="000000"/>
          <w:kern w:val="22"/>
          <w:sz w:val="22"/>
          <w:lang w:val="fr-FR"/>
        </w:rPr>
        <w:t>rtance commerciale cruciale pour</w:t>
      </w:r>
      <w:r w:rsidR="00A15805" w:rsidRPr="00A15805">
        <w:rPr>
          <w:rFonts w:eastAsia="Times New Roman" w:cs="Times New Roman"/>
          <w:color w:val="000000"/>
          <w:kern w:val="22"/>
          <w:sz w:val="22"/>
          <w:lang w:val="fr-FR"/>
        </w:rPr>
        <w:t xml:space="preserve"> l’industrie énergétique, utilise des </w:t>
      </w:r>
      <w:r>
        <w:rPr>
          <w:rFonts w:eastAsia="Times New Roman" w:cs="Times New Roman"/>
          <w:color w:val="000000"/>
          <w:kern w:val="22"/>
          <w:sz w:val="22"/>
          <w:lang w:val="fr-FR"/>
        </w:rPr>
        <w:t>composé</w:t>
      </w:r>
      <w:r w:rsidR="0072393B" w:rsidRPr="00A15805">
        <w:rPr>
          <w:rFonts w:eastAsia="Times New Roman" w:cs="Times New Roman"/>
          <w:color w:val="000000"/>
          <w:kern w:val="22"/>
          <w:sz w:val="22"/>
          <w:lang w:val="fr-FR"/>
        </w:rPr>
        <w:t>s génétiques</w:t>
      </w:r>
      <w:r w:rsidR="006C74E1" w:rsidRPr="00A15805">
        <w:rPr>
          <w:rFonts w:eastAsia="Times New Roman" w:cs="Times New Roman"/>
          <w:color w:val="000000"/>
          <w:kern w:val="22"/>
          <w:sz w:val="22"/>
          <w:lang w:val="fr-FR"/>
        </w:rPr>
        <w:t xml:space="preserve"> </w:t>
      </w:r>
      <w:r w:rsidR="00A15805" w:rsidRPr="00A15805">
        <w:rPr>
          <w:rFonts w:eastAsia="Times New Roman" w:cs="Times New Roman"/>
          <w:color w:val="000000"/>
          <w:kern w:val="22"/>
          <w:sz w:val="22"/>
          <w:lang w:val="fr-FR"/>
        </w:rPr>
        <w:t xml:space="preserve">provenant de nombreuses </w:t>
      </w:r>
      <w:r w:rsidR="00651FB0" w:rsidRPr="00A15805">
        <w:rPr>
          <w:rFonts w:eastAsia="Times New Roman" w:cs="Times New Roman"/>
          <w:color w:val="000000"/>
          <w:kern w:val="22"/>
          <w:sz w:val="22"/>
          <w:lang w:val="fr-FR"/>
        </w:rPr>
        <w:t>espèces</w:t>
      </w:r>
      <w:r w:rsidR="00A15805" w:rsidRPr="00A15805">
        <w:rPr>
          <w:rFonts w:eastAsia="Times New Roman" w:cs="Times New Roman"/>
          <w:color w:val="000000"/>
          <w:kern w:val="22"/>
          <w:sz w:val="22"/>
          <w:lang w:val="fr-FR"/>
        </w:rPr>
        <w:t xml:space="preserve"> différentes</w:t>
      </w:r>
      <w:r>
        <w:rPr>
          <w:rFonts w:eastAsia="Times New Roman" w:cs="Times New Roman"/>
          <w:color w:val="000000"/>
          <w:kern w:val="22"/>
          <w:sz w:val="22"/>
          <w:lang w:val="fr-FR"/>
        </w:rPr>
        <w:t>, ainsi qu’une grande quantité</w:t>
      </w:r>
      <w:r w:rsidR="00A15805" w:rsidRPr="00A15805">
        <w:rPr>
          <w:rFonts w:eastAsia="Times New Roman" w:cs="Times New Roman"/>
          <w:color w:val="000000"/>
          <w:kern w:val="22"/>
          <w:sz w:val="22"/>
          <w:lang w:val="fr-FR"/>
        </w:rPr>
        <w:t xml:space="preserve"> d’</w:t>
      </w:r>
      <w:r w:rsidR="00A73B5B" w:rsidRPr="00A15805">
        <w:rPr>
          <w:rFonts w:eastAsia="Times New Roman" w:cs="Times New Roman"/>
          <w:color w:val="000000"/>
          <w:kern w:val="22"/>
          <w:sz w:val="22"/>
          <w:lang w:val="fr-FR"/>
        </w:rPr>
        <w:t>information</w:t>
      </w:r>
      <w:r>
        <w:rPr>
          <w:rFonts w:eastAsia="Times New Roman" w:cs="Times New Roman"/>
          <w:color w:val="000000"/>
          <w:kern w:val="22"/>
          <w:sz w:val="22"/>
          <w:lang w:val="fr-FR"/>
        </w:rPr>
        <w:t>s</w:t>
      </w:r>
      <w:r w:rsidR="00A73B5B" w:rsidRPr="00A15805">
        <w:rPr>
          <w:rFonts w:eastAsia="Times New Roman" w:cs="Times New Roman"/>
          <w:color w:val="000000"/>
          <w:kern w:val="22"/>
          <w:sz w:val="22"/>
          <w:lang w:val="fr-FR"/>
        </w:rPr>
        <w:t xml:space="preserve"> génétique</w:t>
      </w:r>
      <w:r>
        <w:rPr>
          <w:rFonts w:eastAsia="Times New Roman" w:cs="Times New Roman"/>
          <w:color w:val="000000"/>
          <w:kern w:val="22"/>
          <w:sz w:val="22"/>
          <w:lang w:val="fr-FR"/>
        </w:rPr>
        <w:t>s</w:t>
      </w:r>
      <w:r w:rsidR="00A15805" w:rsidRPr="00A15805">
        <w:rPr>
          <w:rFonts w:eastAsia="Times New Roman" w:cs="Times New Roman"/>
          <w:color w:val="000000"/>
          <w:kern w:val="22"/>
          <w:sz w:val="22"/>
          <w:lang w:val="fr-FR"/>
        </w:rPr>
        <w:t xml:space="preserve">, sans nécessiter un accès physique à des </w:t>
      </w:r>
      <w:r w:rsidR="00E3674F" w:rsidRPr="00A15805">
        <w:rPr>
          <w:rFonts w:eastAsia="Times New Roman" w:cs="Times New Roman"/>
          <w:color w:val="000000"/>
          <w:kern w:val="22"/>
          <w:sz w:val="22"/>
          <w:lang w:val="fr-FR"/>
        </w:rPr>
        <w:t>ressources génétiques</w:t>
      </w:r>
      <w:r w:rsidR="006C74E1" w:rsidRPr="00A15805">
        <w:rPr>
          <w:rFonts w:eastAsia="Times New Roman" w:cs="Times New Roman"/>
          <w:color w:val="000000"/>
          <w:kern w:val="22"/>
          <w:sz w:val="22"/>
          <w:lang w:val="fr-FR"/>
        </w:rPr>
        <w:t>.</w:t>
      </w:r>
    </w:p>
    <w:p w14:paraId="2A5D1897" w14:textId="014CE027" w:rsidR="00442FE9" w:rsidRPr="001E6A2B" w:rsidRDefault="001E6A2B" w:rsidP="007D10F9">
      <w:pPr>
        <w:spacing w:after="120"/>
        <w:rPr>
          <w:i/>
          <w:kern w:val="22"/>
          <w:sz w:val="22"/>
          <w:lang w:val="fr-FR"/>
        </w:rPr>
      </w:pPr>
      <w:r w:rsidRPr="001E6A2B">
        <w:rPr>
          <w:i/>
          <w:kern w:val="22"/>
          <w:sz w:val="22"/>
          <w:lang w:val="fr-FR"/>
        </w:rPr>
        <w:t>Recherch</w:t>
      </w:r>
      <w:r w:rsidR="00BC0012">
        <w:rPr>
          <w:i/>
          <w:kern w:val="22"/>
          <w:sz w:val="22"/>
          <w:lang w:val="fr-FR"/>
        </w:rPr>
        <w:t xml:space="preserve">es </w:t>
      </w:r>
      <w:r w:rsidRPr="001E6A2B">
        <w:rPr>
          <w:i/>
          <w:kern w:val="22"/>
          <w:sz w:val="22"/>
          <w:lang w:val="fr-FR"/>
        </w:rPr>
        <w:t>BLAST</w:t>
      </w:r>
    </w:p>
    <w:p w14:paraId="3D4E089F" w14:textId="79579FC5" w:rsidR="001C144C" w:rsidRPr="007813E2" w:rsidRDefault="00E6462A" w:rsidP="007D10F9">
      <w:pPr>
        <w:spacing w:after="120"/>
        <w:rPr>
          <w:kern w:val="22"/>
          <w:sz w:val="22"/>
          <w:lang w:val="fr-FR"/>
        </w:rPr>
      </w:pPr>
      <w:r>
        <w:rPr>
          <w:kern w:val="22"/>
          <w:sz w:val="22"/>
          <w:lang w:val="fr-FR"/>
        </w:rPr>
        <w:t xml:space="preserve">Un autre moyen pertinent </w:t>
      </w:r>
      <w:r w:rsidR="007813E2">
        <w:rPr>
          <w:kern w:val="22"/>
          <w:sz w:val="22"/>
          <w:lang w:val="fr-FR"/>
        </w:rPr>
        <w:t>permet</w:t>
      </w:r>
      <w:r>
        <w:rPr>
          <w:kern w:val="22"/>
          <w:sz w:val="22"/>
          <w:lang w:val="fr-FR"/>
        </w:rPr>
        <w:t>tant</w:t>
      </w:r>
      <w:r w:rsidR="007813E2">
        <w:rPr>
          <w:kern w:val="22"/>
          <w:sz w:val="22"/>
          <w:lang w:val="fr-FR"/>
        </w:rPr>
        <w:t xml:space="preserve"> d’utiliser </w:t>
      </w:r>
      <w:r w:rsidR="00BC5F0A">
        <w:rPr>
          <w:kern w:val="22"/>
          <w:sz w:val="22"/>
          <w:lang w:val="fr-FR"/>
        </w:rPr>
        <w:t>l’information</w:t>
      </w:r>
      <w:r w:rsidR="00516613">
        <w:rPr>
          <w:kern w:val="22"/>
          <w:sz w:val="22"/>
          <w:lang w:val="fr-FR"/>
        </w:rPr>
        <w:t xml:space="preserve"> de séquençage</w:t>
      </w:r>
      <w:r w:rsidR="00142D5A">
        <w:rPr>
          <w:kern w:val="22"/>
          <w:sz w:val="22"/>
          <w:lang w:val="fr-FR"/>
        </w:rPr>
        <w:t xml:space="preserve"> numérique</w:t>
      </w:r>
      <w:r w:rsidR="002F785A" w:rsidRPr="00707D5F">
        <w:rPr>
          <w:kern w:val="22"/>
          <w:sz w:val="22"/>
          <w:lang w:val="fr-FR"/>
        </w:rPr>
        <w:t xml:space="preserve"> </w:t>
      </w:r>
      <w:r w:rsidR="007813E2">
        <w:rPr>
          <w:kern w:val="22"/>
          <w:sz w:val="22"/>
          <w:lang w:val="fr-FR"/>
        </w:rPr>
        <w:t>conce</w:t>
      </w:r>
      <w:r>
        <w:rPr>
          <w:kern w:val="22"/>
          <w:sz w:val="22"/>
          <w:lang w:val="fr-FR"/>
        </w:rPr>
        <w:t>rne les recherches d’</w:t>
      </w:r>
      <w:r w:rsidR="007813E2">
        <w:rPr>
          <w:kern w:val="22"/>
          <w:sz w:val="22"/>
          <w:lang w:val="fr-FR"/>
        </w:rPr>
        <w:t xml:space="preserve">alignement de séquences de gènes dans des </w:t>
      </w:r>
      <w:r w:rsidR="00046703" w:rsidRPr="00707D5F">
        <w:rPr>
          <w:kern w:val="22"/>
          <w:sz w:val="22"/>
          <w:lang w:val="fr-FR"/>
        </w:rPr>
        <w:t>bases de données</w:t>
      </w:r>
      <w:r w:rsidR="009C5C9C" w:rsidRPr="00707D5F">
        <w:rPr>
          <w:kern w:val="22"/>
          <w:sz w:val="22"/>
          <w:lang w:val="fr-FR"/>
        </w:rPr>
        <w:t xml:space="preserve"> </w:t>
      </w:r>
      <w:r w:rsidR="007813E2">
        <w:rPr>
          <w:kern w:val="22"/>
          <w:sz w:val="22"/>
          <w:lang w:val="fr-FR"/>
        </w:rPr>
        <w:t>comme</w:t>
      </w:r>
      <w:r w:rsidR="009C5C9C" w:rsidRPr="00707D5F">
        <w:rPr>
          <w:kern w:val="22"/>
          <w:sz w:val="22"/>
          <w:lang w:val="fr-FR"/>
        </w:rPr>
        <w:t xml:space="preserve"> GenBank</w:t>
      </w:r>
      <w:r w:rsidR="007813E2">
        <w:rPr>
          <w:kern w:val="22"/>
          <w:sz w:val="22"/>
          <w:lang w:val="fr-FR"/>
        </w:rPr>
        <w:t>, au moyen d’</w:t>
      </w:r>
      <w:r w:rsidR="00707D5F" w:rsidRPr="00707D5F">
        <w:rPr>
          <w:kern w:val="22"/>
          <w:sz w:val="22"/>
          <w:lang w:val="fr-FR"/>
        </w:rPr>
        <w:t>outils</w:t>
      </w:r>
      <w:r w:rsidR="00970E51" w:rsidRPr="00707D5F">
        <w:rPr>
          <w:kern w:val="22"/>
          <w:sz w:val="22"/>
          <w:lang w:val="fr-FR"/>
        </w:rPr>
        <w:t xml:space="preserve"> </w:t>
      </w:r>
      <w:r w:rsidR="000D7E90">
        <w:rPr>
          <w:kern w:val="22"/>
          <w:sz w:val="22"/>
          <w:lang w:val="fr-FR"/>
        </w:rPr>
        <w:t>comme</w:t>
      </w:r>
      <w:r w:rsidR="00674D86" w:rsidRPr="00707D5F">
        <w:rPr>
          <w:kern w:val="22"/>
          <w:sz w:val="22"/>
          <w:lang w:val="fr-FR"/>
        </w:rPr>
        <w:t xml:space="preserve"> BLAST</w:t>
      </w:r>
      <w:r w:rsidR="007813E2">
        <w:rPr>
          <w:kern w:val="22"/>
          <w:sz w:val="22"/>
          <w:lang w:val="fr-FR"/>
        </w:rPr>
        <w:t>,</w:t>
      </w:r>
      <w:r w:rsidR="00674D86" w:rsidRPr="00707D5F">
        <w:rPr>
          <w:kern w:val="22"/>
          <w:sz w:val="22"/>
          <w:lang w:val="fr-FR"/>
        </w:rPr>
        <w:t xml:space="preserve"> </w:t>
      </w:r>
      <w:r w:rsidR="001E6A2B">
        <w:rPr>
          <w:kern w:val="22"/>
          <w:sz w:val="22"/>
          <w:lang w:val="fr-FR"/>
        </w:rPr>
        <w:t>décrits</w:t>
      </w:r>
      <w:r w:rsidR="007813E2">
        <w:rPr>
          <w:kern w:val="22"/>
          <w:sz w:val="22"/>
          <w:lang w:val="fr-FR"/>
        </w:rPr>
        <w:t xml:space="preserve"> dans la p</w:t>
      </w:r>
      <w:r w:rsidR="00F27467" w:rsidRPr="00707D5F">
        <w:rPr>
          <w:kern w:val="22"/>
          <w:sz w:val="22"/>
          <w:lang w:val="fr-FR"/>
        </w:rPr>
        <w:t>artie</w:t>
      </w:r>
      <w:r w:rsidR="00253931" w:rsidRPr="00707D5F">
        <w:rPr>
          <w:kern w:val="22"/>
          <w:sz w:val="22"/>
          <w:lang w:val="fr-FR"/>
        </w:rPr>
        <w:t xml:space="preserve"> 3.</w:t>
      </w:r>
      <w:r w:rsidR="001F7ED2" w:rsidRPr="00707D5F">
        <w:rPr>
          <w:kern w:val="22"/>
          <w:sz w:val="22"/>
          <w:lang w:val="fr-FR"/>
        </w:rPr>
        <w:t>3</w:t>
      </w:r>
      <w:r w:rsidR="00253931" w:rsidRPr="00707D5F">
        <w:rPr>
          <w:kern w:val="22"/>
          <w:sz w:val="22"/>
          <w:lang w:val="fr-FR"/>
        </w:rPr>
        <w:t>.1</w:t>
      </w:r>
      <w:r w:rsidR="007813E2">
        <w:rPr>
          <w:kern w:val="22"/>
          <w:sz w:val="22"/>
          <w:lang w:val="fr-FR"/>
        </w:rPr>
        <w:t xml:space="preserve">. On sait d’ores et déjà que de nombreuses  </w:t>
      </w:r>
      <w:r w:rsidR="00651FB0" w:rsidRPr="007813E2">
        <w:rPr>
          <w:kern w:val="22"/>
          <w:sz w:val="22"/>
          <w:lang w:val="fr-FR"/>
        </w:rPr>
        <w:t>espèces</w:t>
      </w:r>
      <w:r w:rsidR="007813E2">
        <w:rPr>
          <w:kern w:val="22"/>
          <w:sz w:val="22"/>
          <w:lang w:val="fr-FR"/>
        </w:rPr>
        <w:t xml:space="preserve"> partagent des mêmes</w:t>
      </w:r>
      <w:r w:rsidR="00746150" w:rsidRPr="007813E2">
        <w:rPr>
          <w:kern w:val="22"/>
          <w:sz w:val="22"/>
          <w:lang w:val="fr-FR"/>
        </w:rPr>
        <w:t xml:space="preserve"> </w:t>
      </w:r>
      <w:r w:rsidR="001B6AFA" w:rsidRPr="007813E2">
        <w:rPr>
          <w:kern w:val="22"/>
          <w:sz w:val="22"/>
          <w:lang w:val="fr-FR"/>
        </w:rPr>
        <w:t>gènes</w:t>
      </w:r>
      <w:r w:rsidR="00002237" w:rsidRPr="007813E2">
        <w:rPr>
          <w:kern w:val="22"/>
          <w:sz w:val="22"/>
          <w:lang w:val="fr-FR"/>
        </w:rPr>
        <w:t xml:space="preserve">. </w:t>
      </w:r>
      <w:r w:rsidR="007813E2" w:rsidRPr="007813E2">
        <w:rPr>
          <w:kern w:val="22"/>
          <w:sz w:val="22"/>
          <w:lang w:val="fr-FR"/>
        </w:rPr>
        <w:t>Des</w:t>
      </w:r>
      <w:r w:rsidR="009F7141" w:rsidRPr="007813E2">
        <w:rPr>
          <w:kern w:val="22"/>
          <w:sz w:val="22"/>
          <w:lang w:val="fr-FR"/>
        </w:rPr>
        <w:t xml:space="preserve"> </w:t>
      </w:r>
      <w:r>
        <w:rPr>
          <w:kern w:val="22"/>
          <w:sz w:val="22"/>
          <w:lang w:val="fr-FR"/>
        </w:rPr>
        <w:t>étude</w:t>
      </w:r>
      <w:r w:rsidR="007813E2" w:rsidRPr="007813E2">
        <w:rPr>
          <w:kern w:val="22"/>
          <w:sz w:val="22"/>
          <w:lang w:val="fr-FR"/>
        </w:rPr>
        <w:t xml:space="preserve">s </w:t>
      </w:r>
      <w:r>
        <w:rPr>
          <w:kern w:val="22"/>
          <w:sz w:val="22"/>
          <w:lang w:val="fr-FR"/>
        </w:rPr>
        <w:t>récentes ont aussi montré qu’un</w:t>
      </w:r>
      <w:r w:rsidR="007813E2" w:rsidRPr="007813E2">
        <w:rPr>
          <w:kern w:val="22"/>
          <w:sz w:val="22"/>
          <w:lang w:val="fr-FR"/>
        </w:rPr>
        <w:t xml:space="preserve"> transfert</w:t>
      </w:r>
      <w:r w:rsidR="007813E2">
        <w:rPr>
          <w:kern w:val="22"/>
          <w:sz w:val="22"/>
          <w:lang w:val="fr-FR"/>
        </w:rPr>
        <w:t xml:space="preserve"> horizontal de</w:t>
      </w:r>
      <w:r w:rsidR="00671BA8" w:rsidRPr="007813E2">
        <w:rPr>
          <w:kern w:val="22"/>
          <w:sz w:val="22"/>
          <w:lang w:val="fr-FR"/>
        </w:rPr>
        <w:t xml:space="preserve"> </w:t>
      </w:r>
      <w:r w:rsidR="00842C78" w:rsidRPr="007813E2">
        <w:rPr>
          <w:kern w:val="22"/>
          <w:sz w:val="22"/>
          <w:lang w:val="fr-FR"/>
        </w:rPr>
        <w:t>matériel génétique</w:t>
      </w:r>
      <w:r w:rsidR="007813E2">
        <w:rPr>
          <w:kern w:val="22"/>
          <w:sz w:val="22"/>
          <w:lang w:val="fr-FR"/>
        </w:rPr>
        <w:t xml:space="preserve"> est plus fréquent qu’on ne le pensait auparavant</w:t>
      </w:r>
      <w:r w:rsidR="00002237" w:rsidRPr="007813E2">
        <w:rPr>
          <w:kern w:val="22"/>
          <w:sz w:val="22"/>
          <w:lang w:val="fr-FR"/>
        </w:rPr>
        <w:t>.</w:t>
      </w:r>
      <w:r w:rsidR="006373CB" w:rsidRPr="002364AB">
        <w:rPr>
          <w:rStyle w:val="FootnoteReference"/>
          <w:kern w:val="22"/>
          <w:sz w:val="22"/>
          <w:lang w:val="en-GB"/>
        </w:rPr>
        <w:footnoteReference w:id="163"/>
      </w:r>
      <w:r w:rsidR="007E668F" w:rsidRPr="002364AB">
        <w:rPr>
          <w:rStyle w:val="FootnoteReference"/>
          <w:kern w:val="22"/>
          <w:sz w:val="22"/>
          <w:lang w:val="en-GB"/>
        </w:rPr>
        <w:footnoteReference w:id="164"/>
      </w:r>
      <w:r w:rsidR="008713DC" w:rsidRPr="007813E2">
        <w:rPr>
          <w:kern w:val="22"/>
          <w:sz w:val="22"/>
          <w:lang w:val="fr-FR"/>
        </w:rPr>
        <w:t xml:space="preserve"> </w:t>
      </w:r>
      <w:r w:rsidR="007813E2">
        <w:rPr>
          <w:kern w:val="22"/>
          <w:sz w:val="22"/>
          <w:lang w:val="fr-FR"/>
        </w:rPr>
        <w:t xml:space="preserve">Les recherches d’alignement menées dans </w:t>
      </w:r>
      <w:r w:rsidR="001C144C" w:rsidRPr="007813E2">
        <w:rPr>
          <w:kern w:val="22"/>
          <w:sz w:val="22"/>
          <w:lang w:val="fr-FR"/>
        </w:rPr>
        <w:lastRenderedPageBreak/>
        <w:t xml:space="preserve">BLAST </w:t>
      </w:r>
      <w:r w:rsidR="007813E2">
        <w:rPr>
          <w:kern w:val="22"/>
          <w:sz w:val="22"/>
          <w:lang w:val="fr-FR"/>
        </w:rPr>
        <w:t>peuvent permettre à un utilisateur qui a iden</w:t>
      </w:r>
      <w:r>
        <w:rPr>
          <w:kern w:val="22"/>
          <w:sz w:val="22"/>
          <w:lang w:val="fr-FR"/>
        </w:rPr>
        <w:t>ti</w:t>
      </w:r>
      <w:r w:rsidR="007813E2">
        <w:rPr>
          <w:kern w:val="22"/>
          <w:sz w:val="22"/>
          <w:lang w:val="fr-FR"/>
        </w:rPr>
        <w:t xml:space="preserve">fié une </w:t>
      </w:r>
      <w:r w:rsidR="00974B88" w:rsidRPr="007813E2">
        <w:rPr>
          <w:kern w:val="22"/>
          <w:sz w:val="22"/>
          <w:lang w:val="fr-FR"/>
        </w:rPr>
        <w:t>séquence</w:t>
      </w:r>
      <w:r>
        <w:rPr>
          <w:kern w:val="22"/>
          <w:sz w:val="22"/>
          <w:lang w:val="fr-FR"/>
        </w:rPr>
        <w:t xml:space="preserve"> d’intérêt</w:t>
      </w:r>
      <w:r w:rsidR="007813E2">
        <w:rPr>
          <w:kern w:val="22"/>
          <w:sz w:val="22"/>
          <w:lang w:val="fr-FR"/>
        </w:rPr>
        <w:t xml:space="preserve"> provenant peut</w:t>
      </w:r>
      <w:r w:rsidR="000D7E90">
        <w:rPr>
          <w:kern w:val="22"/>
          <w:sz w:val="22"/>
          <w:lang w:val="fr-FR"/>
        </w:rPr>
        <w:t>-être d’une espèce faisant l’objet d’une</w:t>
      </w:r>
      <w:r>
        <w:rPr>
          <w:kern w:val="22"/>
          <w:sz w:val="22"/>
          <w:lang w:val="fr-FR"/>
        </w:rPr>
        <w:t xml:space="preserve"> obligation</w:t>
      </w:r>
      <w:r w:rsidR="007813E2">
        <w:rPr>
          <w:kern w:val="22"/>
          <w:sz w:val="22"/>
          <w:lang w:val="fr-FR"/>
        </w:rPr>
        <w:t xml:space="preserve"> de</w:t>
      </w:r>
      <w:r w:rsidR="00B3088F" w:rsidRPr="007813E2">
        <w:rPr>
          <w:kern w:val="22"/>
          <w:sz w:val="22"/>
          <w:lang w:val="fr-FR"/>
        </w:rPr>
        <w:t xml:space="preserve"> </w:t>
      </w:r>
      <w:r w:rsidR="007D7761">
        <w:rPr>
          <w:kern w:val="22"/>
          <w:sz w:val="22"/>
          <w:lang w:val="fr-FR"/>
        </w:rPr>
        <w:t>consentement préalable donné en connaissance de cause</w:t>
      </w:r>
      <w:r w:rsidR="007813E2">
        <w:rPr>
          <w:kern w:val="22"/>
          <w:sz w:val="22"/>
          <w:lang w:val="fr-FR"/>
        </w:rPr>
        <w:t xml:space="preserve"> et</w:t>
      </w:r>
      <w:r w:rsidR="00B3088F" w:rsidRPr="007813E2">
        <w:rPr>
          <w:kern w:val="22"/>
          <w:sz w:val="22"/>
          <w:lang w:val="fr-FR"/>
        </w:rPr>
        <w:t>/</w:t>
      </w:r>
      <w:r w:rsidR="007813E2">
        <w:rPr>
          <w:kern w:val="22"/>
          <w:sz w:val="22"/>
          <w:lang w:val="fr-FR"/>
        </w:rPr>
        <w:t xml:space="preserve">ou de </w:t>
      </w:r>
      <w:r w:rsidR="000B36D3" w:rsidRPr="007813E2">
        <w:rPr>
          <w:kern w:val="22"/>
          <w:sz w:val="22"/>
          <w:lang w:val="fr-FR"/>
        </w:rPr>
        <w:t>conditions convenues d’un commun accord</w:t>
      </w:r>
      <w:r w:rsidR="00B3088F" w:rsidRPr="007813E2">
        <w:rPr>
          <w:kern w:val="22"/>
          <w:sz w:val="22"/>
          <w:lang w:val="fr-FR"/>
        </w:rPr>
        <w:t xml:space="preserve">, </w:t>
      </w:r>
      <w:r w:rsidR="007813E2">
        <w:rPr>
          <w:kern w:val="22"/>
          <w:sz w:val="22"/>
          <w:lang w:val="fr-FR"/>
        </w:rPr>
        <w:t xml:space="preserve">de trouver des </w:t>
      </w:r>
      <w:r w:rsidR="00974B88" w:rsidRPr="007813E2">
        <w:rPr>
          <w:kern w:val="22"/>
          <w:sz w:val="22"/>
          <w:lang w:val="fr-FR"/>
        </w:rPr>
        <w:t>séquence</w:t>
      </w:r>
      <w:r w:rsidR="001C144C" w:rsidRPr="007813E2">
        <w:rPr>
          <w:kern w:val="22"/>
          <w:sz w:val="22"/>
          <w:lang w:val="fr-FR"/>
        </w:rPr>
        <w:t xml:space="preserve">s </w:t>
      </w:r>
      <w:r>
        <w:rPr>
          <w:kern w:val="22"/>
          <w:sz w:val="22"/>
          <w:lang w:val="fr-FR"/>
        </w:rPr>
        <w:t xml:space="preserve">d’intérêt </w:t>
      </w:r>
      <w:r w:rsidR="007813E2">
        <w:rPr>
          <w:kern w:val="22"/>
          <w:sz w:val="22"/>
          <w:lang w:val="fr-FR"/>
        </w:rPr>
        <w:t>s</w:t>
      </w:r>
      <w:r>
        <w:rPr>
          <w:kern w:val="22"/>
          <w:sz w:val="22"/>
          <w:lang w:val="fr-FR"/>
        </w:rPr>
        <w:t xml:space="preserve">emblables </w:t>
      </w:r>
      <w:r w:rsidR="007813E2">
        <w:rPr>
          <w:kern w:val="22"/>
          <w:sz w:val="22"/>
          <w:lang w:val="fr-FR"/>
        </w:rPr>
        <w:t>dans une</w:t>
      </w:r>
      <w:r w:rsidR="00EE6D07" w:rsidRPr="007813E2">
        <w:rPr>
          <w:kern w:val="22"/>
          <w:sz w:val="22"/>
          <w:lang w:val="fr-FR"/>
        </w:rPr>
        <w:t xml:space="preserve"> </w:t>
      </w:r>
      <w:r w:rsidR="007813E2">
        <w:rPr>
          <w:kern w:val="22"/>
          <w:sz w:val="22"/>
          <w:lang w:val="fr-FR"/>
        </w:rPr>
        <w:t>espèce</w:t>
      </w:r>
      <w:r w:rsidR="00520C39" w:rsidRPr="007813E2">
        <w:rPr>
          <w:kern w:val="22"/>
          <w:sz w:val="22"/>
          <w:lang w:val="fr-FR"/>
        </w:rPr>
        <w:t xml:space="preserve"> </w:t>
      </w:r>
      <w:r w:rsidR="007813E2">
        <w:rPr>
          <w:kern w:val="22"/>
          <w:sz w:val="22"/>
          <w:lang w:val="fr-FR"/>
        </w:rPr>
        <w:t>diffé</w:t>
      </w:r>
      <w:r w:rsidR="00EE6D07" w:rsidRPr="007813E2">
        <w:rPr>
          <w:kern w:val="22"/>
          <w:sz w:val="22"/>
          <w:lang w:val="fr-FR"/>
        </w:rPr>
        <w:t>rent</w:t>
      </w:r>
      <w:r w:rsidR="000D7E90">
        <w:rPr>
          <w:kern w:val="22"/>
          <w:sz w:val="22"/>
          <w:lang w:val="fr-FR"/>
        </w:rPr>
        <w:t>e de celle pour</w:t>
      </w:r>
      <w:r w:rsidR="007813E2">
        <w:rPr>
          <w:kern w:val="22"/>
          <w:sz w:val="22"/>
          <w:lang w:val="fr-FR"/>
        </w:rPr>
        <w:t xml:space="preserve"> laquelle la </w:t>
      </w:r>
      <w:r w:rsidR="00974B88" w:rsidRPr="007813E2">
        <w:rPr>
          <w:kern w:val="22"/>
          <w:sz w:val="22"/>
          <w:lang w:val="fr-FR"/>
        </w:rPr>
        <w:t>séquence</w:t>
      </w:r>
      <w:r w:rsidR="00EE6D07" w:rsidRPr="007813E2">
        <w:rPr>
          <w:kern w:val="22"/>
          <w:sz w:val="22"/>
          <w:lang w:val="fr-FR"/>
        </w:rPr>
        <w:t xml:space="preserve"> </w:t>
      </w:r>
      <w:r w:rsidR="007813E2">
        <w:rPr>
          <w:kern w:val="22"/>
          <w:sz w:val="22"/>
          <w:lang w:val="fr-FR"/>
        </w:rPr>
        <w:t>a été identifiée à l’origine</w:t>
      </w:r>
      <w:r w:rsidR="00547305" w:rsidRPr="007813E2">
        <w:rPr>
          <w:kern w:val="22"/>
          <w:sz w:val="22"/>
          <w:lang w:val="fr-FR"/>
        </w:rPr>
        <w:t xml:space="preserve">. </w:t>
      </w:r>
      <w:r w:rsidR="000D7E90">
        <w:rPr>
          <w:kern w:val="22"/>
          <w:sz w:val="22"/>
          <w:lang w:val="fr-FR"/>
        </w:rPr>
        <w:t>Or, c</w:t>
      </w:r>
      <w:r w:rsidR="00CA644E" w:rsidRPr="007813E2">
        <w:rPr>
          <w:kern w:val="22"/>
          <w:sz w:val="22"/>
          <w:lang w:val="fr-FR"/>
        </w:rPr>
        <w:t>es</w:t>
      </w:r>
      <w:r w:rsidR="00547305" w:rsidRPr="007813E2">
        <w:rPr>
          <w:kern w:val="22"/>
          <w:sz w:val="22"/>
          <w:lang w:val="fr-FR"/>
        </w:rPr>
        <w:t xml:space="preserve"> </w:t>
      </w:r>
      <w:r w:rsidR="00651FB0" w:rsidRPr="007813E2">
        <w:rPr>
          <w:kern w:val="22"/>
          <w:sz w:val="22"/>
          <w:lang w:val="fr-FR"/>
        </w:rPr>
        <w:t>espèces</w:t>
      </w:r>
      <w:r w:rsidR="007813E2" w:rsidRPr="007813E2">
        <w:rPr>
          <w:kern w:val="22"/>
          <w:sz w:val="22"/>
          <w:lang w:val="fr-FR"/>
        </w:rPr>
        <w:t xml:space="preserve"> diffé</w:t>
      </w:r>
      <w:r w:rsidR="007813E2">
        <w:rPr>
          <w:kern w:val="22"/>
          <w:sz w:val="22"/>
          <w:lang w:val="fr-FR"/>
        </w:rPr>
        <w:t>re</w:t>
      </w:r>
      <w:r w:rsidR="000D7E90">
        <w:rPr>
          <w:kern w:val="22"/>
          <w:sz w:val="22"/>
          <w:lang w:val="fr-FR"/>
        </w:rPr>
        <w:t>ntes ne seront pas toujours sujett</w:t>
      </w:r>
      <w:r>
        <w:rPr>
          <w:kern w:val="22"/>
          <w:sz w:val="22"/>
          <w:lang w:val="fr-FR"/>
        </w:rPr>
        <w:t>e</w:t>
      </w:r>
      <w:r w:rsidR="000D7E90">
        <w:rPr>
          <w:kern w:val="22"/>
          <w:sz w:val="22"/>
          <w:lang w:val="fr-FR"/>
        </w:rPr>
        <w:t>s à une obligation</w:t>
      </w:r>
      <w:r w:rsidR="007813E2">
        <w:rPr>
          <w:kern w:val="22"/>
          <w:sz w:val="22"/>
          <w:lang w:val="fr-FR"/>
        </w:rPr>
        <w:t xml:space="preserve"> de </w:t>
      </w:r>
      <w:r w:rsidR="007D7761">
        <w:rPr>
          <w:kern w:val="22"/>
          <w:sz w:val="22"/>
          <w:lang w:val="fr-FR"/>
        </w:rPr>
        <w:t>consentement préalable donné en connaissance de cause</w:t>
      </w:r>
      <w:r w:rsidR="001C144C" w:rsidRPr="007813E2">
        <w:rPr>
          <w:kern w:val="22"/>
          <w:sz w:val="22"/>
          <w:lang w:val="fr-FR"/>
        </w:rPr>
        <w:t>.</w:t>
      </w:r>
      <w:r w:rsidR="001C144C" w:rsidRPr="002364AB">
        <w:rPr>
          <w:rStyle w:val="FootnoteReference"/>
          <w:kern w:val="22"/>
          <w:sz w:val="22"/>
          <w:lang w:val="en-GB"/>
        </w:rPr>
        <w:footnoteReference w:id="165"/>
      </w:r>
      <w:r w:rsidR="00227EEF" w:rsidRPr="007813E2">
        <w:rPr>
          <w:kern w:val="22"/>
          <w:sz w:val="22"/>
          <w:lang w:val="fr-FR"/>
        </w:rPr>
        <w:t xml:space="preserve"> </w:t>
      </w:r>
      <w:r w:rsidR="007813E2" w:rsidRPr="007813E2">
        <w:rPr>
          <w:kern w:val="22"/>
          <w:sz w:val="22"/>
          <w:lang w:val="fr-FR"/>
        </w:rPr>
        <w:t>Etant donné les difficulté</w:t>
      </w:r>
      <w:r w:rsidR="006E2F5A" w:rsidRPr="007813E2">
        <w:rPr>
          <w:kern w:val="22"/>
          <w:sz w:val="22"/>
          <w:lang w:val="fr-FR"/>
        </w:rPr>
        <w:t>s</w:t>
      </w:r>
      <w:r>
        <w:rPr>
          <w:kern w:val="22"/>
          <w:sz w:val="22"/>
          <w:lang w:val="fr-FR"/>
        </w:rPr>
        <w:t xml:space="preserve"> rencontrées pour assurer un suivi de</w:t>
      </w:r>
      <w:r w:rsidR="007813E2">
        <w:rPr>
          <w:kern w:val="22"/>
          <w:sz w:val="22"/>
          <w:lang w:val="fr-FR"/>
        </w:rPr>
        <w:t xml:space="preserve"> l’</w:t>
      </w:r>
      <w:r w:rsidR="009D43F1" w:rsidRPr="007813E2">
        <w:rPr>
          <w:kern w:val="22"/>
          <w:sz w:val="22"/>
          <w:lang w:val="fr-FR"/>
        </w:rPr>
        <w:t>utilisation</w:t>
      </w:r>
      <w:r w:rsidR="006E2F5A" w:rsidRPr="007813E2">
        <w:rPr>
          <w:kern w:val="22"/>
          <w:sz w:val="22"/>
          <w:lang w:val="fr-FR"/>
        </w:rPr>
        <w:t xml:space="preserve"> </w:t>
      </w:r>
      <w:r w:rsidR="00BC5F0A">
        <w:rPr>
          <w:kern w:val="22"/>
          <w:sz w:val="22"/>
          <w:lang w:val="fr-FR"/>
        </w:rPr>
        <w:t>de l’information de séquençage</w:t>
      </w:r>
      <w:r w:rsidR="00142D5A">
        <w:rPr>
          <w:kern w:val="22"/>
          <w:sz w:val="22"/>
          <w:lang w:val="fr-FR"/>
        </w:rPr>
        <w:t xml:space="preserve"> numérique</w:t>
      </w:r>
      <w:r w:rsidR="006E2F5A" w:rsidRPr="007813E2">
        <w:rPr>
          <w:kern w:val="22"/>
          <w:sz w:val="22"/>
          <w:lang w:val="fr-FR"/>
        </w:rPr>
        <w:t xml:space="preserve">, </w:t>
      </w:r>
      <w:r w:rsidR="007813E2">
        <w:rPr>
          <w:kern w:val="22"/>
          <w:sz w:val="22"/>
          <w:lang w:val="fr-FR"/>
        </w:rPr>
        <w:t>de telles recherches d’</w:t>
      </w:r>
      <w:r w:rsidR="009F1100" w:rsidRPr="007813E2">
        <w:rPr>
          <w:kern w:val="22"/>
          <w:sz w:val="22"/>
          <w:lang w:val="fr-FR"/>
        </w:rPr>
        <w:t>align</w:t>
      </w:r>
      <w:r w:rsidR="007813E2">
        <w:rPr>
          <w:kern w:val="22"/>
          <w:sz w:val="22"/>
          <w:lang w:val="fr-FR"/>
        </w:rPr>
        <w:t>e</w:t>
      </w:r>
      <w:r>
        <w:rPr>
          <w:kern w:val="22"/>
          <w:sz w:val="22"/>
          <w:lang w:val="fr-FR"/>
        </w:rPr>
        <w:t>ment</w:t>
      </w:r>
      <w:r w:rsidR="007813E2">
        <w:rPr>
          <w:kern w:val="22"/>
          <w:sz w:val="22"/>
          <w:lang w:val="fr-FR"/>
        </w:rPr>
        <w:t xml:space="preserve"> peuvent permettre à un chercheur en ligne qui le souhaite de ne pas indiquer la véritable origine de l’</w:t>
      </w:r>
      <w:r w:rsidR="005D3E03" w:rsidRPr="007813E2">
        <w:rPr>
          <w:kern w:val="22"/>
          <w:sz w:val="22"/>
          <w:lang w:val="fr-FR"/>
        </w:rPr>
        <w:t xml:space="preserve">information </w:t>
      </w:r>
      <w:r w:rsidR="007813E2">
        <w:rPr>
          <w:kern w:val="22"/>
          <w:sz w:val="22"/>
          <w:lang w:val="fr-FR"/>
        </w:rPr>
        <w:t>utilisée dans ses travaux de recherche et développement</w:t>
      </w:r>
      <w:r w:rsidR="00D2104D" w:rsidRPr="007813E2">
        <w:rPr>
          <w:kern w:val="22"/>
          <w:sz w:val="22"/>
          <w:lang w:val="fr-FR"/>
        </w:rPr>
        <w:t>.</w:t>
      </w:r>
      <w:r w:rsidR="00D12F34" w:rsidRPr="002364AB">
        <w:rPr>
          <w:rStyle w:val="FootnoteReference"/>
          <w:kern w:val="22"/>
          <w:sz w:val="22"/>
          <w:lang w:val="en-GB"/>
        </w:rPr>
        <w:footnoteReference w:id="166"/>
      </w:r>
      <w:r w:rsidR="007E2B2A" w:rsidRPr="007813E2">
        <w:rPr>
          <w:kern w:val="22"/>
          <w:sz w:val="22"/>
          <w:lang w:val="fr-FR"/>
        </w:rPr>
        <w:t xml:space="preserve">  </w:t>
      </w:r>
    </w:p>
    <w:p w14:paraId="734D49DE" w14:textId="6658B62E" w:rsidR="007E2B2A" w:rsidRPr="00B143C2" w:rsidRDefault="007813E2" w:rsidP="007D10F9">
      <w:pPr>
        <w:spacing w:after="120"/>
        <w:rPr>
          <w:kern w:val="22"/>
          <w:sz w:val="22"/>
          <w:lang w:val="fr-FR"/>
        </w:rPr>
      </w:pPr>
      <w:r>
        <w:rPr>
          <w:kern w:val="22"/>
          <w:sz w:val="22"/>
          <w:lang w:val="fr-FR"/>
        </w:rPr>
        <w:t xml:space="preserve">Dans tous </w:t>
      </w:r>
      <w:r w:rsidR="00CA644E" w:rsidRPr="007813E2">
        <w:rPr>
          <w:kern w:val="22"/>
          <w:sz w:val="22"/>
          <w:lang w:val="fr-FR"/>
        </w:rPr>
        <w:t>ces</w:t>
      </w:r>
      <w:r w:rsidR="007E2B2A" w:rsidRPr="007813E2">
        <w:rPr>
          <w:kern w:val="22"/>
          <w:sz w:val="22"/>
          <w:lang w:val="fr-FR"/>
        </w:rPr>
        <w:t xml:space="preserve"> </w:t>
      </w:r>
      <w:r w:rsidR="009D43F1" w:rsidRPr="007813E2">
        <w:rPr>
          <w:kern w:val="22"/>
          <w:sz w:val="22"/>
          <w:lang w:val="fr-FR"/>
        </w:rPr>
        <w:t>exemple</w:t>
      </w:r>
      <w:r w:rsidR="007E2B2A" w:rsidRPr="007813E2">
        <w:rPr>
          <w:kern w:val="22"/>
          <w:sz w:val="22"/>
          <w:lang w:val="fr-FR"/>
        </w:rPr>
        <w:t xml:space="preserve">s, </w:t>
      </w:r>
      <w:r w:rsidR="007666DE">
        <w:rPr>
          <w:kern w:val="22"/>
          <w:sz w:val="22"/>
          <w:lang w:val="fr-FR"/>
        </w:rPr>
        <w:t xml:space="preserve">des </w:t>
      </w:r>
      <w:r w:rsidR="00BC5F0A">
        <w:rPr>
          <w:kern w:val="22"/>
          <w:sz w:val="22"/>
          <w:lang w:val="fr-FR"/>
        </w:rPr>
        <w:t>information</w:t>
      </w:r>
      <w:r w:rsidR="007666DE">
        <w:rPr>
          <w:kern w:val="22"/>
          <w:sz w:val="22"/>
          <w:lang w:val="fr-FR"/>
        </w:rPr>
        <w:t>s</w:t>
      </w:r>
      <w:r w:rsidR="00BC5F0A">
        <w:rPr>
          <w:kern w:val="22"/>
          <w:sz w:val="22"/>
          <w:lang w:val="fr-FR"/>
        </w:rPr>
        <w:t xml:space="preserve"> de séquençage</w:t>
      </w:r>
      <w:r w:rsidR="00142D5A">
        <w:rPr>
          <w:kern w:val="22"/>
          <w:sz w:val="22"/>
          <w:lang w:val="fr-FR"/>
        </w:rPr>
        <w:t xml:space="preserve"> numérique</w:t>
      </w:r>
      <w:r>
        <w:rPr>
          <w:kern w:val="22"/>
          <w:sz w:val="22"/>
          <w:lang w:val="fr-FR"/>
        </w:rPr>
        <w:t xml:space="preserve"> provenant d’organismes multiples et </w:t>
      </w:r>
      <w:r w:rsidR="00062B7C">
        <w:rPr>
          <w:kern w:val="22"/>
          <w:sz w:val="22"/>
          <w:lang w:val="fr-FR"/>
        </w:rPr>
        <w:t>divers</w:t>
      </w:r>
      <w:r>
        <w:rPr>
          <w:kern w:val="22"/>
          <w:sz w:val="22"/>
          <w:lang w:val="fr-FR"/>
        </w:rPr>
        <w:t xml:space="preserve"> sont </w:t>
      </w:r>
      <w:r w:rsidR="0072393B" w:rsidRPr="007813E2">
        <w:rPr>
          <w:kern w:val="22"/>
          <w:sz w:val="22"/>
          <w:lang w:val="fr-FR"/>
        </w:rPr>
        <w:t>utilisées</w:t>
      </w:r>
      <w:r w:rsidR="007E2B2A" w:rsidRPr="007813E2">
        <w:rPr>
          <w:kern w:val="22"/>
          <w:sz w:val="22"/>
          <w:lang w:val="fr-FR"/>
        </w:rPr>
        <w:t xml:space="preserve">. </w:t>
      </w:r>
      <w:r w:rsidR="007666DE">
        <w:rPr>
          <w:kern w:val="22"/>
          <w:sz w:val="22"/>
          <w:lang w:val="fr-FR"/>
        </w:rPr>
        <w:t>Si les Parties décident</w:t>
      </w:r>
      <w:r w:rsidR="00E6462A">
        <w:rPr>
          <w:kern w:val="22"/>
          <w:sz w:val="22"/>
          <w:lang w:val="fr-FR"/>
        </w:rPr>
        <w:t xml:space="preserve"> que cette information entre</w:t>
      </w:r>
      <w:r w:rsidRPr="007813E2">
        <w:rPr>
          <w:kern w:val="22"/>
          <w:sz w:val="22"/>
          <w:lang w:val="fr-FR"/>
        </w:rPr>
        <w:t xml:space="preserve"> dans le</w:t>
      </w:r>
      <w:r>
        <w:rPr>
          <w:kern w:val="22"/>
          <w:sz w:val="22"/>
          <w:lang w:val="fr-FR"/>
        </w:rPr>
        <w:t xml:space="preserve"> </w:t>
      </w:r>
      <w:r w:rsidR="008F38B0" w:rsidRPr="007813E2">
        <w:rPr>
          <w:kern w:val="22"/>
          <w:sz w:val="22"/>
          <w:lang w:val="fr-FR"/>
        </w:rPr>
        <w:t>champ d’application</w:t>
      </w:r>
      <w:r w:rsidR="007666DE">
        <w:rPr>
          <w:kern w:val="22"/>
          <w:sz w:val="22"/>
          <w:lang w:val="fr-FR"/>
        </w:rPr>
        <w:t xml:space="preserve"> du Protocole</w:t>
      </w:r>
      <w:r w:rsidR="007E2B2A" w:rsidRPr="007813E2">
        <w:rPr>
          <w:kern w:val="22"/>
          <w:sz w:val="22"/>
          <w:lang w:val="fr-FR"/>
        </w:rPr>
        <w:t>,</w:t>
      </w:r>
      <w:r w:rsidR="00AA5919" w:rsidRPr="007813E2">
        <w:rPr>
          <w:kern w:val="22"/>
          <w:sz w:val="22"/>
          <w:lang w:val="fr-FR"/>
        </w:rPr>
        <w:t xml:space="preserve"> </w:t>
      </w:r>
      <w:r>
        <w:rPr>
          <w:kern w:val="22"/>
          <w:sz w:val="22"/>
          <w:lang w:val="fr-FR"/>
        </w:rPr>
        <w:t xml:space="preserve">les </w:t>
      </w:r>
      <w:r w:rsidR="00AA5919" w:rsidRPr="007813E2">
        <w:rPr>
          <w:kern w:val="22"/>
          <w:sz w:val="22"/>
          <w:lang w:val="fr-FR"/>
        </w:rPr>
        <w:t xml:space="preserve">utilisateurs </w:t>
      </w:r>
      <w:r>
        <w:rPr>
          <w:kern w:val="22"/>
          <w:sz w:val="22"/>
          <w:lang w:val="fr-FR"/>
        </w:rPr>
        <w:t xml:space="preserve">seront peut-être tenus de </w:t>
      </w:r>
      <w:r w:rsidR="00AA5919" w:rsidRPr="007813E2">
        <w:rPr>
          <w:kern w:val="22"/>
          <w:sz w:val="22"/>
          <w:lang w:val="fr-FR"/>
        </w:rPr>
        <w:t xml:space="preserve">négocier </w:t>
      </w:r>
      <w:r>
        <w:rPr>
          <w:kern w:val="22"/>
          <w:sz w:val="22"/>
          <w:lang w:val="fr-FR"/>
        </w:rPr>
        <w:t>des</w:t>
      </w:r>
      <w:r w:rsidR="00AA5919" w:rsidRPr="007813E2">
        <w:rPr>
          <w:kern w:val="22"/>
          <w:sz w:val="22"/>
          <w:lang w:val="fr-FR"/>
        </w:rPr>
        <w:t xml:space="preserve"> </w:t>
      </w:r>
      <w:r w:rsidR="000B36D3" w:rsidRPr="007813E2">
        <w:rPr>
          <w:kern w:val="22"/>
          <w:sz w:val="22"/>
          <w:lang w:val="fr-FR"/>
        </w:rPr>
        <w:t>conditions convenues d’un commun accord</w:t>
      </w:r>
      <w:r>
        <w:rPr>
          <w:kern w:val="22"/>
          <w:sz w:val="22"/>
          <w:lang w:val="fr-FR"/>
        </w:rPr>
        <w:t xml:space="preserve"> auprès de plusieurs</w:t>
      </w:r>
      <w:r w:rsidR="00D6232E" w:rsidRPr="007813E2">
        <w:rPr>
          <w:kern w:val="22"/>
          <w:sz w:val="22"/>
          <w:lang w:val="fr-FR"/>
        </w:rPr>
        <w:t xml:space="preserve"> </w:t>
      </w:r>
      <w:r w:rsidR="00FB0054" w:rsidRPr="007813E2">
        <w:rPr>
          <w:kern w:val="22"/>
          <w:sz w:val="22"/>
          <w:lang w:val="fr-FR"/>
        </w:rPr>
        <w:t>gouvernement</w:t>
      </w:r>
      <w:r w:rsidR="007E2B2A" w:rsidRPr="007813E2">
        <w:rPr>
          <w:kern w:val="22"/>
          <w:sz w:val="22"/>
          <w:lang w:val="fr-FR"/>
        </w:rPr>
        <w:t>s</w:t>
      </w:r>
      <w:r w:rsidR="007666DE">
        <w:rPr>
          <w:kern w:val="22"/>
          <w:sz w:val="22"/>
          <w:lang w:val="fr-FR"/>
        </w:rPr>
        <w:t xml:space="preserve"> en même temps, ce qui entraînera</w:t>
      </w:r>
      <w:r>
        <w:rPr>
          <w:kern w:val="22"/>
          <w:sz w:val="22"/>
          <w:lang w:val="fr-FR"/>
        </w:rPr>
        <w:t xml:space="preserve"> des incertitudes, des retards, et des coûts, </w:t>
      </w:r>
      <w:r w:rsidR="00D5202C">
        <w:rPr>
          <w:kern w:val="22"/>
          <w:sz w:val="22"/>
          <w:lang w:val="fr-FR"/>
        </w:rPr>
        <w:t>puisqu’il ne sera pas toujours possible de calculer adéquatement la valeu</w:t>
      </w:r>
      <w:r w:rsidR="007666DE">
        <w:rPr>
          <w:kern w:val="22"/>
          <w:sz w:val="22"/>
          <w:lang w:val="fr-FR"/>
        </w:rPr>
        <w:t xml:space="preserve">r des contributions de </w:t>
      </w:r>
      <w:r w:rsidR="00D5202C">
        <w:rPr>
          <w:kern w:val="22"/>
          <w:sz w:val="22"/>
          <w:lang w:val="fr-FR"/>
        </w:rPr>
        <w:t>fragments de</w:t>
      </w:r>
      <w:r w:rsidR="007E2B2A" w:rsidRPr="007813E2">
        <w:rPr>
          <w:kern w:val="22"/>
          <w:sz w:val="22"/>
          <w:lang w:val="fr-FR"/>
        </w:rPr>
        <w:t xml:space="preserve"> </w:t>
      </w:r>
      <w:r w:rsidR="00974B88" w:rsidRPr="007813E2">
        <w:rPr>
          <w:kern w:val="22"/>
          <w:sz w:val="22"/>
          <w:lang w:val="fr-FR"/>
        </w:rPr>
        <w:t>séquence</w:t>
      </w:r>
      <w:r w:rsidR="007E2B2A" w:rsidRPr="007813E2">
        <w:rPr>
          <w:kern w:val="22"/>
          <w:sz w:val="22"/>
          <w:lang w:val="fr-FR"/>
        </w:rPr>
        <w:t>.</w:t>
      </w:r>
      <w:r w:rsidR="007E2B2A" w:rsidRPr="002364AB">
        <w:rPr>
          <w:kern w:val="22"/>
          <w:sz w:val="22"/>
          <w:vertAlign w:val="superscript"/>
          <w:lang w:val="en-GB"/>
        </w:rPr>
        <w:footnoteReference w:id="167"/>
      </w:r>
    </w:p>
    <w:p w14:paraId="681A51F3" w14:textId="49423309" w:rsidR="00EA15AC" w:rsidRPr="001E6A2B" w:rsidRDefault="008A5BE1" w:rsidP="00EA15AC">
      <w:pPr>
        <w:rPr>
          <w:kern w:val="22"/>
          <w:sz w:val="22"/>
          <w:lang w:val="fr-FR"/>
        </w:rPr>
      </w:pPr>
      <w:r w:rsidRPr="008A5BE1">
        <w:rPr>
          <w:rFonts w:eastAsia="Batang" w:cs="Times New Roman"/>
          <w:kern w:val="22"/>
          <w:sz w:val="22"/>
          <w:lang w:val="fr-FR"/>
        </w:rPr>
        <w:t>Comme indiqué plus haut</w:t>
      </w:r>
      <w:r w:rsidR="00CE136B" w:rsidRPr="00F27467">
        <w:rPr>
          <w:rFonts w:eastAsia="Batang" w:cs="Times New Roman"/>
          <w:kern w:val="22"/>
          <w:sz w:val="22"/>
          <w:lang w:val="fr-FR"/>
        </w:rPr>
        <w:t xml:space="preserve">, </w:t>
      </w:r>
      <w:r>
        <w:rPr>
          <w:rFonts w:eastAsia="Batang" w:cs="Times New Roman"/>
          <w:kern w:val="22"/>
          <w:sz w:val="22"/>
          <w:lang w:val="fr-FR"/>
        </w:rPr>
        <w:t>l</w:t>
      </w:r>
      <w:r w:rsidR="000B36BE" w:rsidRPr="00F27467">
        <w:rPr>
          <w:rFonts w:eastAsia="Batang" w:cs="Times New Roman"/>
          <w:kern w:val="22"/>
          <w:sz w:val="22"/>
          <w:lang w:val="fr-FR"/>
        </w:rPr>
        <w:t>es Parties ne sont pas parvenues à un consensus</w:t>
      </w:r>
      <w:r>
        <w:rPr>
          <w:rFonts w:eastAsia="Batang" w:cs="Times New Roman"/>
          <w:kern w:val="22"/>
          <w:sz w:val="22"/>
          <w:lang w:val="fr-FR"/>
        </w:rPr>
        <w:t xml:space="preserve"> sur le point de savoir si, ou dans quelle mesure</w:t>
      </w:r>
      <w:r w:rsidR="004A1148">
        <w:rPr>
          <w:rFonts w:eastAsia="Batang" w:cs="Times New Roman"/>
          <w:kern w:val="22"/>
          <w:sz w:val="22"/>
          <w:lang w:val="fr-FR"/>
        </w:rPr>
        <w:t>,</w:t>
      </w:r>
      <w:r>
        <w:rPr>
          <w:rFonts w:eastAsia="Batang" w:cs="Times New Roman"/>
          <w:kern w:val="22"/>
          <w:sz w:val="22"/>
          <w:lang w:val="fr-FR"/>
        </w:rPr>
        <w:t xml:space="preserve"> les</w:t>
      </w:r>
      <w:r w:rsidR="001B1E25" w:rsidRPr="00F27467">
        <w:rPr>
          <w:rFonts w:eastAsia="Batang" w:cs="Times New Roman"/>
          <w:kern w:val="22"/>
          <w:sz w:val="22"/>
          <w:lang w:val="fr-FR"/>
        </w:rPr>
        <w:t xml:space="preserve"> </w:t>
      </w:r>
      <w:r w:rsidR="00FC7EA5" w:rsidRPr="004A1148">
        <w:rPr>
          <w:rFonts w:eastAsia="Batang" w:cs="Times New Roman"/>
          <w:kern w:val="22"/>
          <w:sz w:val="22"/>
          <w:lang w:val="fr-FR"/>
        </w:rPr>
        <w:t xml:space="preserve">collections </w:t>
      </w:r>
      <w:r w:rsidR="00FC7EA5" w:rsidRPr="00F27467">
        <w:rPr>
          <w:rFonts w:eastAsia="Batang" w:cs="Times New Roman"/>
          <w:i/>
          <w:kern w:val="22"/>
          <w:sz w:val="22"/>
          <w:lang w:val="fr-FR"/>
        </w:rPr>
        <w:t>ex situ</w:t>
      </w:r>
      <w:r>
        <w:rPr>
          <w:rFonts w:eastAsia="Batang" w:cs="Times New Roman"/>
          <w:kern w:val="22"/>
          <w:sz w:val="22"/>
          <w:lang w:val="fr-FR"/>
        </w:rPr>
        <w:t xml:space="preserve"> examinées dans la p</w:t>
      </w:r>
      <w:r w:rsidR="00F27467">
        <w:rPr>
          <w:rFonts w:eastAsia="Batang" w:cs="Times New Roman"/>
          <w:kern w:val="22"/>
          <w:sz w:val="22"/>
          <w:lang w:val="fr-FR"/>
        </w:rPr>
        <w:t>artie</w:t>
      </w:r>
      <w:r w:rsidR="003F0E65" w:rsidRPr="00F27467">
        <w:rPr>
          <w:rFonts w:eastAsia="Batang" w:cs="Times New Roman"/>
          <w:kern w:val="22"/>
          <w:sz w:val="22"/>
          <w:lang w:val="fr-FR"/>
        </w:rPr>
        <w:t xml:space="preserve"> 3.</w:t>
      </w:r>
      <w:r w:rsidR="004E7608">
        <w:rPr>
          <w:rFonts w:eastAsia="Batang" w:cs="Times New Roman"/>
          <w:kern w:val="22"/>
          <w:sz w:val="22"/>
          <w:lang w:val="fr-FR"/>
        </w:rPr>
        <w:t>1 ou</w:t>
      </w:r>
      <w:r w:rsidR="0001410A" w:rsidRPr="00F27467">
        <w:rPr>
          <w:rFonts w:eastAsia="Batang" w:cs="Times New Roman"/>
          <w:kern w:val="22"/>
          <w:sz w:val="22"/>
          <w:lang w:val="fr-FR"/>
        </w:rPr>
        <w:t xml:space="preserve"> </w:t>
      </w:r>
      <w:r w:rsidR="00BC5F0A">
        <w:rPr>
          <w:rFonts w:eastAsia="Batang" w:cs="Times New Roman"/>
          <w:kern w:val="22"/>
          <w:sz w:val="22"/>
          <w:lang w:val="fr-FR"/>
        </w:rPr>
        <w:t>l’information de séquençage</w:t>
      </w:r>
      <w:r w:rsidR="00142D5A">
        <w:rPr>
          <w:rFonts w:eastAsia="Batang" w:cs="Times New Roman"/>
          <w:kern w:val="22"/>
          <w:sz w:val="22"/>
          <w:lang w:val="fr-FR"/>
        </w:rPr>
        <w:t xml:space="preserve"> numérique</w:t>
      </w:r>
      <w:r w:rsidR="0001410A" w:rsidRPr="00F27467">
        <w:rPr>
          <w:rFonts w:eastAsia="Batang" w:cs="Times New Roman"/>
          <w:kern w:val="22"/>
          <w:sz w:val="22"/>
          <w:lang w:val="fr-FR"/>
        </w:rPr>
        <w:t xml:space="preserve"> </w:t>
      </w:r>
      <w:r>
        <w:rPr>
          <w:rFonts w:eastAsia="Batang" w:cs="Times New Roman"/>
          <w:kern w:val="22"/>
          <w:sz w:val="22"/>
          <w:lang w:val="fr-FR"/>
        </w:rPr>
        <w:t>examinée dans cette</w:t>
      </w:r>
      <w:r w:rsidR="0001410A" w:rsidRPr="00F27467">
        <w:rPr>
          <w:rFonts w:eastAsia="Batang" w:cs="Times New Roman"/>
          <w:kern w:val="22"/>
          <w:sz w:val="22"/>
          <w:lang w:val="fr-FR"/>
        </w:rPr>
        <w:t xml:space="preserve"> </w:t>
      </w:r>
      <w:r w:rsidR="00F27467">
        <w:rPr>
          <w:rFonts w:eastAsia="Batang" w:cs="Times New Roman"/>
          <w:kern w:val="22"/>
          <w:sz w:val="22"/>
          <w:lang w:val="fr-FR"/>
        </w:rPr>
        <w:t>partie</w:t>
      </w:r>
      <w:r w:rsidR="001B1E25" w:rsidRPr="00F27467">
        <w:rPr>
          <w:rFonts w:eastAsia="Batang" w:cs="Times New Roman"/>
          <w:kern w:val="22"/>
          <w:sz w:val="22"/>
          <w:lang w:val="fr-FR"/>
        </w:rPr>
        <w:t xml:space="preserve"> </w:t>
      </w:r>
      <w:r>
        <w:rPr>
          <w:rFonts w:eastAsia="Batang" w:cs="Times New Roman"/>
          <w:kern w:val="22"/>
          <w:sz w:val="22"/>
          <w:lang w:val="fr-FR"/>
        </w:rPr>
        <w:t xml:space="preserve">entrent </w:t>
      </w:r>
      <w:r w:rsidR="00934A20" w:rsidRPr="00F27467">
        <w:rPr>
          <w:rFonts w:eastAsia="Batang" w:cs="Times New Roman"/>
          <w:kern w:val="22"/>
          <w:sz w:val="22"/>
          <w:lang w:val="fr-FR"/>
        </w:rPr>
        <w:t>dans le champ d’application</w:t>
      </w:r>
      <w:r w:rsidR="001B1E25" w:rsidRPr="00F27467">
        <w:rPr>
          <w:rFonts w:eastAsia="Batang" w:cs="Times New Roman"/>
          <w:kern w:val="22"/>
          <w:sz w:val="22"/>
          <w:lang w:val="fr-FR"/>
        </w:rPr>
        <w:t xml:space="preserve"> </w:t>
      </w:r>
      <w:r w:rsidR="00F27467" w:rsidRPr="00F27467">
        <w:rPr>
          <w:rFonts w:eastAsia="Batang" w:cs="Times New Roman"/>
          <w:kern w:val="22"/>
          <w:sz w:val="22"/>
          <w:lang w:val="fr-FR"/>
        </w:rPr>
        <w:t>du Protocole</w:t>
      </w:r>
      <w:r w:rsidR="001B1E25" w:rsidRPr="00F27467">
        <w:rPr>
          <w:rFonts w:eastAsia="Batang" w:cs="Times New Roman"/>
          <w:kern w:val="22"/>
          <w:sz w:val="22"/>
          <w:lang w:val="fr-FR"/>
        </w:rPr>
        <w:t xml:space="preserve">. </w:t>
      </w:r>
      <w:r w:rsidR="004E7608">
        <w:rPr>
          <w:rFonts w:eastAsia="Batang" w:cs="Times New Roman"/>
          <w:kern w:val="22"/>
          <w:sz w:val="22"/>
          <w:lang w:val="fr-FR"/>
        </w:rPr>
        <w:t>E</w:t>
      </w:r>
      <w:r w:rsidR="000D7E90">
        <w:rPr>
          <w:rFonts w:eastAsia="Batang" w:cs="Times New Roman"/>
          <w:kern w:val="22"/>
          <w:sz w:val="22"/>
          <w:lang w:val="fr-FR"/>
        </w:rPr>
        <w:t>n fonction de la décision prise par l</w:t>
      </w:r>
      <w:r w:rsidR="004A1148">
        <w:rPr>
          <w:rFonts w:eastAsia="Batang" w:cs="Times New Roman"/>
          <w:kern w:val="22"/>
          <w:sz w:val="22"/>
          <w:lang w:val="fr-FR"/>
        </w:rPr>
        <w:t xml:space="preserve">es Parties, </w:t>
      </w:r>
      <w:r w:rsidRPr="008A5BE1">
        <w:rPr>
          <w:rFonts w:eastAsia="Batang" w:cs="Times New Roman"/>
          <w:kern w:val="22"/>
          <w:sz w:val="22"/>
          <w:lang w:val="fr-FR"/>
        </w:rPr>
        <w:t xml:space="preserve">les </w:t>
      </w:r>
      <w:r w:rsidR="000D7E90">
        <w:rPr>
          <w:rFonts w:eastAsia="Batang" w:cs="Times New Roman"/>
          <w:kern w:val="22"/>
          <w:sz w:val="22"/>
          <w:lang w:val="fr-FR"/>
        </w:rPr>
        <w:t>exemples</w:t>
      </w:r>
      <w:r w:rsidR="004A1148">
        <w:rPr>
          <w:rFonts w:eastAsia="Batang" w:cs="Times New Roman"/>
          <w:kern w:val="22"/>
          <w:sz w:val="22"/>
          <w:lang w:val="fr-FR"/>
        </w:rPr>
        <w:t xml:space="preserve"> </w:t>
      </w:r>
      <w:r w:rsidR="004E7608">
        <w:rPr>
          <w:rFonts w:eastAsia="Batang" w:cs="Times New Roman"/>
          <w:kern w:val="22"/>
          <w:sz w:val="22"/>
          <w:lang w:val="fr-FR"/>
        </w:rPr>
        <w:t>ci-dessus pourront</w:t>
      </w:r>
      <w:r w:rsidR="000D7E90">
        <w:rPr>
          <w:rFonts w:eastAsia="Batang" w:cs="Times New Roman"/>
          <w:kern w:val="22"/>
          <w:sz w:val="22"/>
          <w:lang w:val="fr-FR"/>
        </w:rPr>
        <w:t xml:space="preserve"> être trait</w:t>
      </w:r>
      <w:r w:rsidR="004E7608">
        <w:rPr>
          <w:rFonts w:eastAsia="Batang" w:cs="Times New Roman"/>
          <w:kern w:val="22"/>
          <w:sz w:val="22"/>
          <w:lang w:val="fr-FR"/>
        </w:rPr>
        <w:t>é</w:t>
      </w:r>
      <w:r w:rsidR="004A1148">
        <w:rPr>
          <w:rFonts w:eastAsia="Batang" w:cs="Times New Roman"/>
          <w:kern w:val="22"/>
          <w:sz w:val="22"/>
          <w:lang w:val="fr-FR"/>
        </w:rPr>
        <w:t>s</w:t>
      </w:r>
      <w:r w:rsidRPr="008A5BE1">
        <w:rPr>
          <w:rFonts w:eastAsia="Batang" w:cs="Times New Roman"/>
          <w:kern w:val="22"/>
          <w:sz w:val="22"/>
          <w:lang w:val="fr-FR"/>
        </w:rPr>
        <w:t xml:space="preserve"> </w:t>
      </w:r>
      <w:r w:rsidR="004E7608">
        <w:rPr>
          <w:rFonts w:eastAsia="Batang" w:cs="Times New Roman"/>
          <w:kern w:val="22"/>
          <w:sz w:val="22"/>
          <w:lang w:val="fr-FR"/>
        </w:rPr>
        <w:t>ou non dans le cadre</w:t>
      </w:r>
      <w:r w:rsidR="00B90EF3" w:rsidRPr="008A5BE1">
        <w:rPr>
          <w:rFonts w:eastAsia="Batang" w:cs="Times New Roman"/>
          <w:kern w:val="22"/>
          <w:sz w:val="22"/>
          <w:lang w:val="fr-FR"/>
        </w:rPr>
        <w:t xml:space="preserve"> de l’article</w:t>
      </w:r>
      <w:r w:rsidR="004A1148">
        <w:rPr>
          <w:rFonts w:eastAsia="Batang" w:cs="Times New Roman"/>
          <w:kern w:val="22"/>
          <w:sz w:val="22"/>
          <w:lang w:val="fr-FR"/>
        </w:rPr>
        <w:t> 10 du Protocole.</w:t>
      </w:r>
    </w:p>
    <w:p w14:paraId="11285CA8" w14:textId="4C4FB325" w:rsidR="00450392" w:rsidRPr="00FB033A" w:rsidRDefault="00E3674F" w:rsidP="003D4064">
      <w:pPr>
        <w:pStyle w:val="Heading1"/>
        <w:numPr>
          <w:ilvl w:val="0"/>
          <w:numId w:val="4"/>
        </w:numPr>
        <w:rPr>
          <w:kern w:val="22"/>
          <w:sz w:val="22"/>
          <w:szCs w:val="22"/>
          <w:lang w:val="fr-FR"/>
        </w:rPr>
      </w:pPr>
      <w:bookmarkStart w:id="154" w:name="_Toc34249593"/>
      <w:bookmarkStart w:id="155" w:name="_Toc39580434"/>
      <w:bookmarkStart w:id="156" w:name="_Toc48914803"/>
      <w:r w:rsidRPr="00FB033A">
        <w:rPr>
          <w:kern w:val="22"/>
          <w:sz w:val="22"/>
          <w:szCs w:val="22"/>
          <w:lang w:val="fr-FR"/>
        </w:rPr>
        <w:t>cas spécifiques</w:t>
      </w:r>
      <w:r w:rsidR="008A5BE1">
        <w:rPr>
          <w:kern w:val="22"/>
          <w:sz w:val="22"/>
          <w:szCs w:val="22"/>
          <w:lang w:val="fr-FR"/>
        </w:rPr>
        <w:t xml:space="preserve"> de</w:t>
      </w:r>
      <w:r w:rsidR="14AC87FF" w:rsidRPr="00FB033A">
        <w:rPr>
          <w:kern w:val="22"/>
          <w:sz w:val="22"/>
          <w:szCs w:val="22"/>
          <w:lang w:val="fr-FR"/>
        </w:rPr>
        <w:t xml:space="preserve"> </w:t>
      </w:r>
      <w:r w:rsidR="009D4AFE">
        <w:rPr>
          <w:kern w:val="22"/>
          <w:sz w:val="22"/>
          <w:szCs w:val="22"/>
          <w:lang w:val="fr-FR"/>
        </w:rPr>
        <w:t>c</w:t>
      </w:r>
      <w:r w:rsidRPr="00FB033A">
        <w:rPr>
          <w:kern w:val="22"/>
          <w:sz w:val="22"/>
          <w:szCs w:val="22"/>
          <w:lang w:val="fr-FR"/>
        </w:rPr>
        <w:t>onnaissances traditionnelles</w:t>
      </w:r>
      <w:r w:rsidR="14AC87FF" w:rsidRPr="00FB033A">
        <w:rPr>
          <w:kern w:val="22"/>
          <w:sz w:val="22"/>
          <w:szCs w:val="22"/>
          <w:lang w:val="fr-FR"/>
        </w:rPr>
        <w:t xml:space="preserve"> </w:t>
      </w:r>
      <w:r w:rsidR="009D4AFE">
        <w:rPr>
          <w:kern w:val="22"/>
          <w:sz w:val="22"/>
          <w:szCs w:val="22"/>
          <w:lang w:val="fr-FR"/>
        </w:rPr>
        <w:t>a</w:t>
      </w:r>
      <w:r w:rsidRPr="00FB033A">
        <w:rPr>
          <w:kern w:val="22"/>
          <w:sz w:val="22"/>
          <w:szCs w:val="22"/>
          <w:lang w:val="fr-FR"/>
        </w:rPr>
        <w:t>ssociées aux</w:t>
      </w:r>
      <w:r w:rsidR="006D06F5" w:rsidRPr="00FB033A">
        <w:rPr>
          <w:kern w:val="22"/>
          <w:sz w:val="22"/>
          <w:szCs w:val="22"/>
          <w:lang w:val="fr-FR"/>
        </w:rPr>
        <w:t xml:space="preserve"> </w:t>
      </w:r>
      <w:r w:rsidR="009D4AFE">
        <w:rPr>
          <w:kern w:val="22"/>
          <w:sz w:val="22"/>
          <w:szCs w:val="22"/>
          <w:lang w:val="fr-FR"/>
        </w:rPr>
        <w:t>r</w:t>
      </w:r>
      <w:r w:rsidRPr="00FB033A">
        <w:rPr>
          <w:kern w:val="22"/>
          <w:sz w:val="22"/>
          <w:szCs w:val="22"/>
          <w:lang w:val="fr-FR"/>
        </w:rPr>
        <w:t>essources génétiques</w:t>
      </w:r>
      <w:r w:rsidR="14AC87FF" w:rsidRPr="00FB033A">
        <w:rPr>
          <w:kern w:val="22"/>
          <w:sz w:val="22"/>
          <w:szCs w:val="22"/>
          <w:lang w:val="fr-FR"/>
        </w:rPr>
        <w:t xml:space="preserve"> </w:t>
      </w:r>
      <w:r w:rsidR="00651FB0">
        <w:rPr>
          <w:kern w:val="22"/>
          <w:sz w:val="22"/>
          <w:szCs w:val="22"/>
          <w:lang w:val="fr-FR"/>
        </w:rPr>
        <w:t>qui se trouvent</w:t>
      </w:r>
      <w:r w:rsidR="00FB033A" w:rsidRPr="00FB033A">
        <w:rPr>
          <w:kern w:val="22"/>
          <w:sz w:val="22"/>
          <w:szCs w:val="22"/>
          <w:lang w:val="fr-FR"/>
        </w:rPr>
        <w:t xml:space="preserve"> </w:t>
      </w:r>
      <w:r w:rsidR="002A127F">
        <w:rPr>
          <w:kern w:val="22"/>
          <w:sz w:val="22"/>
          <w:szCs w:val="22"/>
          <w:lang w:val="fr-FR"/>
        </w:rPr>
        <w:t>dans des situations</w:t>
      </w:r>
      <w:r w:rsidRPr="00FB033A">
        <w:rPr>
          <w:kern w:val="22"/>
          <w:sz w:val="22"/>
          <w:szCs w:val="22"/>
          <w:lang w:val="fr-FR"/>
        </w:rPr>
        <w:t xml:space="preserve"> transfrontières</w:t>
      </w:r>
      <w:r w:rsidR="002E3A0E" w:rsidRPr="00FB033A">
        <w:rPr>
          <w:kern w:val="22"/>
          <w:sz w:val="22"/>
          <w:szCs w:val="22"/>
          <w:lang w:val="fr-FR"/>
        </w:rPr>
        <w:t xml:space="preserve"> </w:t>
      </w:r>
      <w:r w:rsidR="00755B2D">
        <w:rPr>
          <w:kern w:val="22"/>
          <w:sz w:val="22"/>
          <w:szCs w:val="22"/>
          <w:lang w:val="fr-FR"/>
        </w:rPr>
        <w:t>ou pour lesquelles</w:t>
      </w:r>
      <w:r w:rsidR="0020703A">
        <w:rPr>
          <w:kern w:val="22"/>
          <w:sz w:val="22"/>
          <w:szCs w:val="22"/>
          <w:lang w:val="fr-FR"/>
        </w:rPr>
        <w:t xml:space="preserve"> </w:t>
      </w:r>
      <w:r w:rsidR="007D7761">
        <w:rPr>
          <w:kern w:val="22"/>
          <w:sz w:val="22"/>
          <w:szCs w:val="22"/>
          <w:lang w:val="fr-FR"/>
        </w:rPr>
        <w:t>il n’est pas possible</w:t>
      </w:r>
      <w:r w:rsidR="14AC87FF" w:rsidRPr="00FB033A">
        <w:rPr>
          <w:kern w:val="22"/>
          <w:sz w:val="22"/>
          <w:szCs w:val="22"/>
          <w:lang w:val="fr-FR"/>
        </w:rPr>
        <w:t xml:space="preserve"> </w:t>
      </w:r>
      <w:r w:rsidR="00FB033A">
        <w:rPr>
          <w:kern w:val="22"/>
          <w:sz w:val="22"/>
          <w:szCs w:val="22"/>
          <w:lang w:val="fr-FR"/>
        </w:rPr>
        <w:t>d’accorder ou d’obtenir un</w:t>
      </w:r>
      <w:r w:rsidR="14AC87FF" w:rsidRPr="00FB033A">
        <w:rPr>
          <w:kern w:val="22"/>
          <w:sz w:val="22"/>
          <w:szCs w:val="22"/>
          <w:lang w:val="fr-FR"/>
        </w:rPr>
        <w:t xml:space="preserve"> </w:t>
      </w:r>
      <w:r w:rsidR="007D7761">
        <w:rPr>
          <w:kern w:val="22"/>
          <w:sz w:val="22"/>
          <w:szCs w:val="22"/>
          <w:lang w:val="fr-FR"/>
        </w:rPr>
        <w:t>consentement préalable donné en connaissance de cause</w:t>
      </w:r>
      <w:bookmarkEnd w:id="154"/>
      <w:bookmarkEnd w:id="155"/>
      <w:bookmarkEnd w:id="156"/>
    </w:p>
    <w:p w14:paraId="07B12BAB" w14:textId="10D93D24" w:rsidR="00E600A0" w:rsidRPr="00830BE4" w:rsidRDefault="003648DD" w:rsidP="00E600A0">
      <w:pPr>
        <w:rPr>
          <w:kern w:val="22"/>
          <w:sz w:val="22"/>
          <w:lang w:val="fr-FR"/>
        </w:rPr>
      </w:pPr>
      <w:r>
        <w:rPr>
          <w:rFonts w:cs="Times New Roman"/>
          <w:kern w:val="22"/>
          <w:sz w:val="22"/>
          <w:lang w:val="fr-FR"/>
        </w:rPr>
        <w:t>Les différents mouvements</w:t>
      </w:r>
      <w:r w:rsidR="00844201">
        <w:rPr>
          <w:rFonts w:cs="Times New Roman"/>
          <w:kern w:val="22"/>
          <w:sz w:val="22"/>
          <w:lang w:val="fr-FR"/>
        </w:rPr>
        <w:t xml:space="preserve"> de colonis</w:t>
      </w:r>
      <w:r w:rsidR="00EB31AB" w:rsidRPr="00A77BB8">
        <w:rPr>
          <w:rFonts w:cs="Times New Roman"/>
          <w:kern w:val="22"/>
          <w:sz w:val="22"/>
          <w:lang w:val="fr-FR"/>
        </w:rPr>
        <w:t>ation</w:t>
      </w:r>
      <w:r w:rsidR="00E3674F" w:rsidRPr="00A77BB8">
        <w:rPr>
          <w:rFonts w:cs="Times New Roman"/>
          <w:kern w:val="22"/>
          <w:sz w:val="22"/>
          <w:lang w:val="fr-FR"/>
        </w:rPr>
        <w:t xml:space="preserve"> et </w:t>
      </w:r>
      <w:r w:rsidR="00844201">
        <w:rPr>
          <w:rFonts w:cs="Times New Roman"/>
          <w:kern w:val="22"/>
          <w:sz w:val="22"/>
          <w:lang w:val="fr-FR"/>
        </w:rPr>
        <w:t xml:space="preserve">de </w:t>
      </w:r>
      <w:r w:rsidR="00EB31AB" w:rsidRPr="00A77BB8">
        <w:rPr>
          <w:rFonts w:cs="Times New Roman"/>
          <w:kern w:val="22"/>
          <w:sz w:val="22"/>
          <w:lang w:val="fr-FR"/>
        </w:rPr>
        <w:t xml:space="preserve">migration </w:t>
      </w:r>
      <w:r>
        <w:rPr>
          <w:rFonts w:cs="Times New Roman"/>
          <w:kern w:val="22"/>
          <w:sz w:val="22"/>
          <w:lang w:val="fr-FR"/>
        </w:rPr>
        <w:t xml:space="preserve">survenus </w:t>
      </w:r>
      <w:r w:rsidR="00844201">
        <w:rPr>
          <w:rFonts w:cs="Times New Roman"/>
          <w:kern w:val="22"/>
          <w:sz w:val="22"/>
          <w:lang w:val="fr-FR"/>
        </w:rPr>
        <w:t>au cours des siècles, conjugués aux déplacements de frontières politiques</w:t>
      </w:r>
      <w:r>
        <w:rPr>
          <w:rFonts w:cs="Times New Roman"/>
          <w:kern w:val="22"/>
          <w:sz w:val="22"/>
          <w:lang w:val="fr-FR"/>
        </w:rPr>
        <w:t>, ont abouti à des situations dans lesquelles</w:t>
      </w:r>
      <w:r w:rsidR="00EB31AB" w:rsidRPr="00A77BB8">
        <w:rPr>
          <w:rFonts w:cs="Times New Roman"/>
          <w:kern w:val="22"/>
          <w:sz w:val="22"/>
          <w:lang w:val="fr-FR"/>
        </w:rPr>
        <w:t xml:space="preserve"> </w:t>
      </w:r>
      <w:r w:rsidR="00830BE4">
        <w:rPr>
          <w:rFonts w:cs="Times New Roman"/>
          <w:kern w:val="22"/>
          <w:sz w:val="22"/>
          <w:lang w:val="fr-FR"/>
        </w:rPr>
        <w:t>des peuples autochtones et communautés locales</w:t>
      </w:r>
      <w:r>
        <w:rPr>
          <w:rFonts w:cs="Times New Roman"/>
          <w:kern w:val="22"/>
          <w:sz w:val="22"/>
          <w:lang w:val="fr-FR"/>
        </w:rPr>
        <w:t xml:space="preserve"> situés dans des</w:t>
      </w:r>
      <w:r w:rsidR="00EB31AB" w:rsidRPr="00A77BB8">
        <w:rPr>
          <w:rFonts w:cs="Times New Roman"/>
          <w:kern w:val="22"/>
          <w:sz w:val="22"/>
          <w:lang w:val="fr-FR"/>
        </w:rPr>
        <w:t xml:space="preserve"> </w:t>
      </w:r>
      <w:r w:rsidR="00E40444" w:rsidRPr="00A77BB8">
        <w:rPr>
          <w:rFonts w:cs="Times New Roman"/>
          <w:kern w:val="22"/>
          <w:sz w:val="22"/>
          <w:lang w:val="fr-FR"/>
        </w:rPr>
        <w:t>pays</w:t>
      </w:r>
      <w:r>
        <w:rPr>
          <w:rFonts w:cs="Times New Roman"/>
          <w:kern w:val="22"/>
          <w:sz w:val="22"/>
          <w:lang w:val="fr-FR"/>
        </w:rPr>
        <w:t xml:space="preserve"> différents partagent les mêmes </w:t>
      </w:r>
      <w:r w:rsidR="00E3674F" w:rsidRPr="00A77BB8">
        <w:rPr>
          <w:rFonts w:cs="Times New Roman"/>
          <w:kern w:val="22"/>
          <w:sz w:val="22"/>
          <w:lang w:val="fr-FR"/>
        </w:rPr>
        <w:t>connaissances traditionnelles</w:t>
      </w:r>
      <w:r>
        <w:rPr>
          <w:rFonts w:cs="Times New Roman"/>
          <w:kern w:val="22"/>
          <w:sz w:val="22"/>
          <w:lang w:val="fr-FR"/>
        </w:rPr>
        <w:t xml:space="preserve"> concernant une</w:t>
      </w:r>
      <w:r w:rsidR="00844201">
        <w:rPr>
          <w:rFonts w:cs="Times New Roman"/>
          <w:kern w:val="22"/>
          <w:sz w:val="22"/>
          <w:lang w:val="fr-FR"/>
        </w:rPr>
        <w:t xml:space="preserve"> même</w:t>
      </w:r>
      <w:r w:rsidR="00EB31AB" w:rsidRPr="00A77BB8">
        <w:rPr>
          <w:rFonts w:cs="Times New Roman"/>
          <w:kern w:val="22"/>
          <w:sz w:val="22"/>
          <w:lang w:val="fr-FR"/>
        </w:rPr>
        <w:t xml:space="preserve"> </w:t>
      </w:r>
      <w:r w:rsidR="00844201">
        <w:rPr>
          <w:rFonts w:cs="Times New Roman"/>
          <w:kern w:val="22"/>
          <w:sz w:val="22"/>
          <w:lang w:val="fr-FR"/>
        </w:rPr>
        <w:t>ressource génétique</w:t>
      </w:r>
      <w:r w:rsidR="00EB31AB" w:rsidRPr="00A77BB8">
        <w:rPr>
          <w:rFonts w:cs="Times New Roman"/>
          <w:kern w:val="22"/>
          <w:sz w:val="22"/>
          <w:lang w:val="fr-FR"/>
        </w:rPr>
        <w:t>.</w:t>
      </w:r>
      <w:r w:rsidR="00457783" w:rsidRPr="002364AB">
        <w:rPr>
          <w:rFonts w:cs="Times New Roman"/>
          <w:kern w:val="22"/>
          <w:sz w:val="22"/>
          <w:vertAlign w:val="superscript"/>
          <w:lang w:val="en-GB"/>
        </w:rPr>
        <w:footnoteReference w:id="168"/>
      </w:r>
      <w:r>
        <w:rPr>
          <w:rFonts w:cs="Times New Roman"/>
          <w:kern w:val="22"/>
          <w:sz w:val="22"/>
          <w:lang w:val="fr-FR"/>
        </w:rPr>
        <w:t xml:space="preserve"> Parmi les dispositions</w:t>
      </w:r>
      <w:r w:rsidR="00844201">
        <w:rPr>
          <w:rFonts w:cs="Times New Roman"/>
          <w:kern w:val="22"/>
          <w:sz w:val="22"/>
          <w:lang w:val="fr-FR"/>
        </w:rPr>
        <w:t xml:space="preserve"> essentiel</w:t>
      </w:r>
      <w:r>
        <w:rPr>
          <w:rFonts w:cs="Times New Roman"/>
          <w:kern w:val="22"/>
          <w:sz w:val="22"/>
          <w:lang w:val="fr-FR"/>
        </w:rPr>
        <w:t>les</w:t>
      </w:r>
      <w:r w:rsidR="00844201">
        <w:rPr>
          <w:rFonts w:cs="Times New Roman"/>
          <w:kern w:val="22"/>
          <w:sz w:val="22"/>
          <w:lang w:val="fr-FR"/>
        </w:rPr>
        <w:t xml:space="preserve"> du</w:t>
      </w:r>
      <w:r w:rsidR="00770AB8" w:rsidRPr="00830BE4">
        <w:rPr>
          <w:rFonts w:cs="Times New Roman"/>
          <w:kern w:val="22"/>
          <w:sz w:val="22"/>
          <w:lang w:val="fr-FR"/>
        </w:rPr>
        <w:t xml:space="preserve"> Pro</w:t>
      </w:r>
      <w:r w:rsidR="00E3674F" w:rsidRPr="00830BE4">
        <w:rPr>
          <w:rFonts w:cs="Times New Roman"/>
          <w:kern w:val="22"/>
          <w:sz w:val="22"/>
          <w:lang w:val="fr-FR"/>
        </w:rPr>
        <w:t>tocole de Nagoya</w:t>
      </w:r>
      <w:r>
        <w:rPr>
          <w:rFonts w:cs="Times New Roman"/>
          <w:kern w:val="22"/>
          <w:sz w:val="22"/>
          <w:lang w:val="fr-FR"/>
        </w:rPr>
        <w:t xml:space="preserve">, figurent </w:t>
      </w:r>
      <w:r w:rsidR="00844201">
        <w:rPr>
          <w:rFonts w:cs="Times New Roman"/>
          <w:kern w:val="22"/>
          <w:sz w:val="22"/>
          <w:lang w:val="fr-FR"/>
        </w:rPr>
        <w:t>l’exigence d’un</w:t>
      </w:r>
      <w:r w:rsidR="00E600A0" w:rsidRPr="00830BE4">
        <w:rPr>
          <w:rFonts w:cs="Times New Roman"/>
          <w:kern w:val="22"/>
          <w:sz w:val="22"/>
          <w:lang w:val="fr-FR"/>
        </w:rPr>
        <w:t xml:space="preserve"> </w:t>
      </w:r>
      <w:r w:rsidR="00651FB0" w:rsidRPr="00830BE4">
        <w:rPr>
          <w:rFonts w:cs="Times New Roman"/>
          <w:kern w:val="22"/>
          <w:sz w:val="22"/>
          <w:lang w:val="fr-FR"/>
        </w:rPr>
        <w:t xml:space="preserve">consentement préalable </w:t>
      </w:r>
      <w:r w:rsidR="00844201">
        <w:rPr>
          <w:rFonts w:cs="Times New Roman"/>
          <w:kern w:val="22"/>
          <w:sz w:val="22"/>
          <w:lang w:val="fr-FR"/>
        </w:rPr>
        <w:t xml:space="preserve">donné </w:t>
      </w:r>
      <w:r w:rsidR="00651FB0" w:rsidRPr="00830BE4">
        <w:rPr>
          <w:rFonts w:cs="Times New Roman"/>
          <w:kern w:val="22"/>
          <w:sz w:val="22"/>
          <w:lang w:val="fr-FR"/>
        </w:rPr>
        <w:t>en connaissance de cause</w:t>
      </w:r>
      <w:r w:rsidR="00E3674F" w:rsidRPr="00830BE4">
        <w:rPr>
          <w:rFonts w:cs="Times New Roman"/>
          <w:kern w:val="22"/>
          <w:sz w:val="22"/>
          <w:lang w:val="fr-FR"/>
        </w:rPr>
        <w:t xml:space="preserve"> et </w:t>
      </w:r>
      <w:r w:rsidR="00844201">
        <w:rPr>
          <w:rFonts w:cs="Times New Roman"/>
          <w:kern w:val="22"/>
          <w:sz w:val="22"/>
          <w:lang w:val="fr-FR"/>
        </w:rPr>
        <w:t xml:space="preserve">de </w:t>
      </w:r>
      <w:r w:rsidR="000B36D3">
        <w:rPr>
          <w:rFonts w:cs="Times New Roman"/>
          <w:kern w:val="22"/>
          <w:sz w:val="22"/>
          <w:lang w:val="fr-FR"/>
        </w:rPr>
        <w:t>conditions convenues d’un commun accord</w:t>
      </w:r>
      <w:r w:rsidR="00E600A0" w:rsidRPr="00830BE4">
        <w:rPr>
          <w:rFonts w:cs="Times New Roman"/>
          <w:kern w:val="22"/>
          <w:sz w:val="22"/>
          <w:lang w:val="fr-FR"/>
        </w:rPr>
        <w:t xml:space="preserve"> </w:t>
      </w:r>
      <w:r w:rsidR="00B838FC">
        <w:rPr>
          <w:rFonts w:cs="Times New Roman"/>
          <w:kern w:val="22"/>
          <w:sz w:val="22"/>
          <w:lang w:val="fr-FR"/>
        </w:rPr>
        <w:t>avec les dépositaires de</w:t>
      </w:r>
      <w:r w:rsidR="00D6232E" w:rsidRPr="00830BE4">
        <w:rPr>
          <w:rFonts w:cs="Times New Roman"/>
          <w:kern w:val="22"/>
          <w:sz w:val="22"/>
          <w:lang w:val="fr-FR"/>
        </w:rPr>
        <w:t xml:space="preserve"> </w:t>
      </w:r>
      <w:r w:rsidR="00E3674F" w:rsidRPr="00830BE4">
        <w:rPr>
          <w:rFonts w:cs="Times New Roman"/>
          <w:kern w:val="22"/>
          <w:sz w:val="22"/>
          <w:lang w:val="fr-FR"/>
        </w:rPr>
        <w:t>connaissances traditionnelles</w:t>
      </w:r>
      <w:r>
        <w:rPr>
          <w:rFonts w:cs="Times New Roman"/>
          <w:kern w:val="22"/>
          <w:sz w:val="22"/>
          <w:lang w:val="fr-FR"/>
        </w:rPr>
        <w:t>,</w:t>
      </w:r>
      <w:r w:rsidR="00B838FC">
        <w:rPr>
          <w:rFonts w:cs="Times New Roman"/>
          <w:kern w:val="22"/>
          <w:sz w:val="22"/>
          <w:lang w:val="fr-FR"/>
        </w:rPr>
        <w:t xml:space="preserve"> avant </w:t>
      </w:r>
      <w:r>
        <w:rPr>
          <w:rFonts w:cs="Times New Roman"/>
          <w:kern w:val="22"/>
          <w:sz w:val="22"/>
          <w:lang w:val="fr-FR"/>
        </w:rPr>
        <w:t xml:space="preserve">toute </w:t>
      </w:r>
      <w:r w:rsidR="00424B6E">
        <w:rPr>
          <w:rFonts w:cs="Times New Roman"/>
          <w:kern w:val="22"/>
          <w:sz w:val="22"/>
          <w:lang w:val="fr-FR"/>
        </w:rPr>
        <w:t xml:space="preserve">utilisation </w:t>
      </w:r>
      <w:r w:rsidR="00B838FC">
        <w:rPr>
          <w:rFonts w:cs="Times New Roman"/>
          <w:kern w:val="22"/>
          <w:sz w:val="22"/>
          <w:lang w:val="fr-FR"/>
        </w:rPr>
        <w:t>de</w:t>
      </w:r>
      <w:r w:rsidR="00E600A0" w:rsidRPr="00830BE4">
        <w:rPr>
          <w:rFonts w:cs="Times New Roman"/>
          <w:kern w:val="22"/>
          <w:sz w:val="22"/>
          <w:lang w:val="fr-FR"/>
        </w:rPr>
        <w:t xml:space="preserve"> </w:t>
      </w:r>
      <w:r w:rsidR="00E3674F" w:rsidRPr="00830BE4">
        <w:rPr>
          <w:rFonts w:cs="Times New Roman"/>
          <w:kern w:val="22"/>
          <w:sz w:val="22"/>
          <w:lang w:val="fr-FR"/>
        </w:rPr>
        <w:t>connaissances traditionnelles</w:t>
      </w:r>
      <w:r w:rsidR="00D13603" w:rsidRPr="00830BE4">
        <w:rPr>
          <w:rFonts w:cs="Times New Roman"/>
          <w:kern w:val="22"/>
          <w:sz w:val="22"/>
          <w:lang w:val="fr-FR"/>
        </w:rPr>
        <w:t xml:space="preserve"> </w:t>
      </w:r>
      <w:r w:rsidR="00E3674F" w:rsidRPr="00830BE4">
        <w:rPr>
          <w:rFonts w:cs="Times New Roman"/>
          <w:kern w:val="22"/>
          <w:sz w:val="22"/>
          <w:lang w:val="fr-FR"/>
        </w:rPr>
        <w:t>associées aux</w:t>
      </w:r>
      <w:r w:rsidR="00D13603" w:rsidRPr="00830BE4">
        <w:rPr>
          <w:rFonts w:cs="Times New Roman"/>
          <w:kern w:val="22"/>
          <w:sz w:val="22"/>
          <w:lang w:val="fr-FR"/>
        </w:rPr>
        <w:t xml:space="preserve"> </w:t>
      </w:r>
      <w:r w:rsidR="00E3674F" w:rsidRPr="00830BE4">
        <w:rPr>
          <w:rFonts w:cs="Times New Roman"/>
          <w:kern w:val="22"/>
          <w:sz w:val="22"/>
          <w:lang w:val="fr-FR"/>
        </w:rPr>
        <w:t>ressources génétiques</w:t>
      </w:r>
      <w:r w:rsidR="00E600A0" w:rsidRPr="00830BE4">
        <w:rPr>
          <w:rFonts w:cs="Times New Roman"/>
          <w:kern w:val="22"/>
          <w:sz w:val="22"/>
          <w:lang w:val="fr-FR"/>
        </w:rPr>
        <w:t>,</w:t>
      </w:r>
      <w:r>
        <w:rPr>
          <w:rFonts w:cs="Times New Roman"/>
          <w:kern w:val="22"/>
          <w:sz w:val="22"/>
          <w:lang w:val="fr-FR"/>
        </w:rPr>
        <w:t xml:space="preserve"> ainsi qu’un partage des</w:t>
      </w:r>
      <w:r w:rsidR="00B838FC">
        <w:rPr>
          <w:rFonts w:cs="Times New Roman"/>
          <w:kern w:val="22"/>
          <w:sz w:val="22"/>
          <w:lang w:val="fr-FR"/>
        </w:rPr>
        <w:t xml:space="preserve"> </w:t>
      </w:r>
      <w:r w:rsidR="007D7761">
        <w:rPr>
          <w:rFonts w:cs="Times New Roman"/>
          <w:kern w:val="22"/>
          <w:sz w:val="22"/>
          <w:lang w:val="fr-FR"/>
        </w:rPr>
        <w:t>avantages résultant</w:t>
      </w:r>
      <w:r w:rsidR="00B838FC">
        <w:rPr>
          <w:rFonts w:cs="Times New Roman"/>
          <w:kern w:val="22"/>
          <w:sz w:val="22"/>
          <w:lang w:val="fr-FR"/>
        </w:rPr>
        <w:t xml:space="preserve"> de leur </w:t>
      </w:r>
      <w:r w:rsidR="008627A9" w:rsidRPr="00830BE4">
        <w:rPr>
          <w:rFonts w:cs="Times New Roman"/>
          <w:kern w:val="22"/>
          <w:sz w:val="22"/>
          <w:lang w:val="fr-FR"/>
        </w:rPr>
        <w:t>utilisation</w:t>
      </w:r>
      <w:r>
        <w:rPr>
          <w:rFonts w:cs="Times New Roman"/>
          <w:kern w:val="22"/>
          <w:sz w:val="22"/>
          <w:lang w:val="fr-FR"/>
        </w:rPr>
        <w:t xml:space="preserve"> avec les</w:t>
      </w:r>
      <w:r w:rsidR="00830BE4" w:rsidRPr="00830BE4">
        <w:rPr>
          <w:rFonts w:cs="Times New Roman"/>
          <w:kern w:val="22"/>
          <w:sz w:val="22"/>
          <w:lang w:val="fr-FR"/>
        </w:rPr>
        <w:t xml:space="preserve"> peuples autochtones et communautés locales</w:t>
      </w:r>
      <w:r w:rsidR="00B838FC">
        <w:rPr>
          <w:rFonts w:cs="Times New Roman"/>
          <w:kern w:val="22"/>
          <w:sz w:val="22"/>
          <w:lang w:val="fr-FR"/>
        </w:rPr>
        <w:t xml:space="preserve"> qui détiennent ces</w:t>
      </w:r>
      <w:r w:rsidR="00E600A0" w:rsidRPr="00830BE4">
        <w:rPr>
          <w:rFonts w:cs="Times New Roman"/>
          <w:kern w:val="22"/>
          <w:sz w:val="22"/>
          <w:lang w:val="fr-FR"/>
        </w:rPr>
        <w:t xml:space="preserve"> </w:t>
      </w:r>
      <w:r w:rsidR="005C70CA">
        <w:rPr>
          <w:rFonts w:cs="Times New Roman"/>
          <w:kern w:val="22"/>
          <w:sz w:val="22"/>
          <w:lang w:val="fr-FR"/>
        </w:rPr>
        <w:t>connaissances</w:t>
      </w:r>
      <w:r w:rsidR="00E600A0" w:rsidRPr="00830BE4">
        <w:rPr>
          <w:rFonts w:cs="Times New Roman"/>
          <w:kern w:val="22"/>
          <w:sz w:val="22"/>
          <w:lang w:val="fr-FR"/>
        </w:rPr>
        <w:t xml:space="preserve">. </w:t>
      </w:r>
      <w:r w:rsidR="00D6232E" w:rsidRPr="00830BE4">
        <w:rPr>
          <w:rFonts w:cs="Times New Roman"/>
          <w:kern w:val="22"/>
          <w:sz w:val="22"/>
          <w:lang w:val="fr-FR"/>
        </w:rPr>
        <w:t>Cependant</w:t>
      </w:r>
      <w:r w:rsidR="00844201">
        <w:rPr>
          <w:rFonts w:cs="Times New Roman"/>
          <w:kern w:val="22"/>
          <w:sz w:val="22"/>
          <w:lang w:val="fr-FR"/>
        </w:rPr>
        <w:t>, cette</w:t>
      </w:r>
      <w:r w:rsidR="00E600A0" w:rsidRPr="00830BE4">
        <w:rPr>
          <w:rFonts w:cs="Times New Roman"/>
          <w:kern w:val="22"/>
          <w:sz w:val="22"/>
          <w:lang w:val="fr-FR"/>
        </w:rPr>
        <w:t xml:space="preserve"> </w:t>
      </w:r>
      <w:r w:rsidR="001A200E" w:rsidRPr="00830BE4">
        <w:rPr>
          <w:rFonts w:cs="Times New Roman"/>
          <w:kern w:val="22"/>
          <w:sz w:val="22"/>
          <w:lang w:val="fr-FR"/>
        </w:rPr>
        <w:t>approche bilatérale</w:t>
      </w:r>
      <w:r w:rsidR="00E600A0" w:rsidRPr="00830BE4">
        <w:rPr>
          <w:rFonts w:cs="Times New Roman"/>
          <w:kern w:val="22"/>
          <w:sz w:val="22"/>
          <w:lang w:val="fr-FR"/>
        </w:rPr>
        <w:t xml:space="preserve"> </w:t>
      </w:r>
      <w:r w:rsidR="00844201">
        <w:rPr>
          <w:rFonts w:cs="Times New Roman"/>
          <w:kern w:val="22"/>
          <w:sz w:val="22"/>
          <w:lang w:val="fr-FR"/>
        </w:rPr>
        <w:t xml:space="preserve">n’est pas toujours </w:t>
      </w:r>
      <w:r w:rsidR="00E600A0" w:rsidRPr="00830BE4">
        <w:rPr>
          <w:rFonts w:cs="Times New Roman"/>
          <w:kern w:val="22"/>
          <w:sz w:val="22"/>
          <w:lang w:val="fr-FR"/>
        </w:rPr>
        <w:t>possible</w:t>
      </w:r>
      <w:r>
        <w:rPr>
          <w:rFonts w:cs="Times New Roman"/>
          <w:kern w:val="22"/>
          <w:sz w:val="22"/>
          <w:lang w:val="fr-FR"/>
        </w:rPr>
        <w:t xml:space="preserve"> lorsque d</w:t>
      </w:r>
      <w:r w:rsidR="00844201">
        <w:rPr>
          <w:rFonts w:cs="Times New Roman"/>
          <w:kern w:val="22"/>
          <w:sz w:val="22"/>
          <w:lang w:val="fr-FR"/>
        </w:rPr>
        <w:t>es</w:t>
      </w:r>
      <w:r w:rsidR="00900FD9" w:rsidRPr="00830BE4">
        <w:rPr>
          <w:rFonts w:cs="Times New Roman"/>
          <w:kern w:val="22"/>
          <w:sz w:val="22"/>
          <w:lang w:val="fr-FR"/>
        </w:rPr>
        <w:t xml:space="preserve"> </w:t>
      </w:r>
      <w:r w:rsidR="005C70CA">
        <w:rPr>
          <w:rFonts w:cs="Times New Roman"/>
          <w:kern w:val="22"/>
          <w:sz w:val="22"/>
          <w:lang w:val="fr-FR"/>
        </w:rPr>
        <w:t>connaissances</w:t>
      </w:r>
      <w:r w:rsidR="00844201">
        <w:rPr>
          <w:rFonts w:cs="Times New Roman"/>
          <w:kern w:val="22"/>
          <w:sz w:val="22"/>
          <w:lang w:val="fr-FR"/>
        </w:rPr>
        <w:t xml:space="preserve"> sont</w:t>
      </w:r>
      <w:r w:rsidR="00900FD9" w:rsidRPr="00830BE4">
        <w:rPr>
          <w:rFonts w:cs="Times New Roman"/>
          <w:kern w:val="22"/>
          <w:sz w:val="22"/>
          <w:lang w:val="fr-FR"/>
        </w:rPr>
        <w:t xml:space="preserve"> </w:t>
      </w:r>
      <w:r w:rsidR="003F6B4A" w:rsidRPr="00830BE4">
        <w:rPr>
          <w:rFonts w:cs="Times New Roman"/>
          <w:kern w:val="22"/>
          <w:sz w:val="22"/>
          <w:lang w:val="fr-FR"/>
        </w:rPr>
        <w:t>détenues par</w:t>
      </w:r>
      <w:r w:rsidR="00900FD9" w:rsidRPr="00830BE4">
        <w:rPr>
          <w:rFonts w:cs="Times New Roman"/>
          <w:kern w:val="22"/>
          <w:sz w:val="22"/>
          <w:lang w:val="fr-FR"/>
        </w:rPr>
        <w:t xml:space="preserve"> </w:t>
      </w:r>
      <w:r w:rsidR="00830BE4" w:rsidRPr="00830BE4">
        <w:rPr>
          <w:rFonts w:cs="Times New Roman"/>
          <w:kern w:val="22"/>
          <w:sz w:val="22"/>
          <w:lang w:val="fr-FR"/>
        </w:rPr>
        <w:t>des peuples autochtones et communautés locales</w:t>
      </w:r>
      <w:r w:rsidR="0028742E">
        <w:rPr>
          <w:rFonts w:cs="Times New Roman"/>
          <w:kern w:val="22"/>
          <w:sz w:val="22"/>
          <w:lang w:val="fr-FR"/>
        </w:rPr>
        <w:t xml:space="preserve"> </w:t>
      </w:r>
      <w:r>
        <w:rPr>
          <w:rFonts w:cs="Times New Roman"/>
          <w:kern w:val="22"/>
          <w:sz w:val="22"/>
          <w:lang w:val="fr-FR"/>
        </w:rPr>
        <w:t xml:space="preserve">situés dans plusieurs </w:t>
      </w:r>
      <w:r>
        <w:rPr>
          <w:rFonts w:cs="Times New Roman"/>
          <w:kern w:val="22"/>
          <w:sz w:val="22"/>
          <w:lang w:val="fr-FR"/>
        </w:rPr>
        <w:lastRenderedPageBreak/>
        <w:t>pays</w:t>
      </w:r>
      <w:r w:rsidR="00844201">
        <w:rPr>
          <w:rFonts w:cs="Times New Roman"/>
          <w:kern w:val="22"/>
          <w:sz w:val="22"/>
          <w:lang w:val="fr-FR"/>
        </w:rPr>
        <w:t xml:space="preserve">, </w:t>
      </w:r>
      <w:r w:rsidR="0028742E">
        <w:rPr>
          <w:rFonts w:cs="Times New Roman"/>
          <w:kern w:val="22"/>
          <w:sz w:val="22"/>
          <w:lang w:val="fr-FR"/>
        </w:rPr>
        <w:t xml:space="preserve">ou </w:t>
      </w:r>
      <w:r>
        <w:rPr>
          <w:rFonts w:cs="Times New Roman"/>
          <w:kern w:val="22"/>
          <w:sz w:val="22"/>
          <w:lang w:val="fr-FR"/>
        </w:rPr>
        <w:t>lorsqu’</w:t>
      </w:r>
      <w:r w:rsidR="007D7761">
        <w:rPr>
          <w:rFonts w:cs="Times New Roman"/>
          <w:kern w:val="22"/>
          <w:sz w:val="22"/>
          <w:lang w:val="fr-FR"/>
        </w:rPr>
        <w:t>il n’est pas possible</w:t>
      </w:r>
      <w:r w:rsidR="00900FD9" w:rsidRPr="00830BE4">
        <w:rPr>
          <w:rFonts w:cs="Times New Roman"/>
          <w:kern w:val="22"/>
          <w:sz w:val="22"/>
          <w:lang w:val="fr-FR"/>
        </w:rPr>
        <w:t xml:space="preserve"> </w:t>
      </w:r>
      <w:r>
        <w:rPr>
          <w:rFonts w:cs="Times New Roman"/>
          <w:kern w:val="22"/>
          <w:sz w:val="22"/>
          <w:lang w:val="fr-FR"/>
        </w:rPr>
        <w:t xml:space="preserve">pour d’autres raisons </w:t>
      </w:r>
      <w:r w:rsidR="00FB033A" w:rsidRPr="00830BE4">
        <w:rPr>
          <w:rFonts w:cs="Times New Roman"/>
          <w:kern w:val="22"/>
          <w:sz w:val="22"/>
          <w:lang w:val="fr-FR"/>
        </w:rPr>
        <w:t>d’accorder ou d’obtenir un</w:t>
      </w:r>
      <w:r w:rsidR="00900FD9" w:rsidRPr="00830BE4">
        <w:rPr>
          <w:rFonts w:cs="Times New Roman"/>
          <w:kern w:val="22"/>
          <w:sz w:val="22"/>
          <w:lang w:val="fr-FR"/>
        </w:rPr>
        <w:t xml:space="preserve"> </w:t>
      </w:r>
      <w:r w:rsidR="007D7761">
        <w:rPr>
          <w:rFonts w:cs="Times New Roman"/>
          <w:kern w:val="22"/>
          <w:sz w:val="22"/>
          <w:lang w:val="fr-FR"/>
        </w:rPr>
        <w:t>consentement préalable donné en connaissance de cause</w:t>
      </w:r>
      <w:r w:rsidR="00900FD9" w:rsidRPr="00830BE4">
        <w:rPr>
          <w:rFonts w:cs="Times New Roman"/>
          <w:kern w:val="22"/>
          <w:sz w:val="22"/>
          <w:lang w:val="fr-FR"/>
        </w:rPr>
        <w:t>.</w:t>
      </w:r>
      <w:r w:rsidR="00EB31AB" w:rsidRPr="00830BE4">
        <w:rPr>
          <w:rFonts w:cs="Times New Roman"/>
          <w:kern w:val="22"/>
          <w:sz w:val="22"/>
          <w:lang w:val="fr-FR"/>
        </w:rPr>
        <w:t xml:space="preserve"> </w:t>
      </w:r>
    </w:p>
    <w:p w14:paraId="1349501C" w14:textId="09FBA189" w:rsidR="00E600A0" w:rsidRPr="001714C2" w:rsidRDefault="00E3674F" w:rsidP="00E600A0">
      <w:pPr>
        <w:pStyle w:val="Heading2"/>
        <w:rPr>
          <w:kern w:val="22"/>
          <w:sz w:val="22"/>
          <w:szCs w:val="22"/>
          <w:lang w:val="fr-FR"/>
        </w:rPr>
      </w:pPr>
      <w:bookmarkStart w:id="157" w:name="_Toc31040289"/>
      <w:bookmarkStart w:id="158" w:name="_Toc31056857"/>
      <w:bookmarkStart w:id="159" w:name="_Toc32490851"/>
      <w:bookmarkStart w:id="160" w:name="_Toc34249584"/>
      <w:bookmarkStart w:id="161" w:name="_Toc39580435"/>
      <w:bookmarkStart w:id="162" w:name="_Toc48914804"/>
      <w:r w:rsidRPr="001714C2">
        <w:rPr>
          <w:kern w:val="22"/>
          <w:sz w:val="22"/>
          <w:szCs w:val="22"/>
          <w:lang w:val="fr-FR"/>
        </w:rPr>
        <w:t>Connaissances traditionnelles</w:t>
      </w:r>
      <w:r w:rsidR="003F6B4A">
        <w:rPr>
          <w:kern w:val="22"/>
          <w:sz w:val="22"/>
          <w:szCs w:val="22"/>
          <w:lang w:val="fr-FR"/>
        </w:rPr>
        <w:t xml:space="preserve"> détenues par des p</w:t>
      </w:r>
      <w:r w:rsidR="001714C2" w:rsidRPr="001714C2">
        <w:rPr>
          <w:kern w:val="22"/>
          <w:sz w:val="22"/>
          <w:szCs w:val="22"/>
          <w:lang w:val="fr-FR"/>
        </w:rPr>
        <w:t>euples autochtones et communautés locales</w:t>
      </w:r>
      <w:r w:rsidR="003F6B4A">
        <w:rPr>
          <w:kern w:val="22"/>
          <w:sz w:val="22"/>
          <w:szCs w:val="22"/>
          <w:lang w:val="fr-FR"/>
        </w:rPr>
        <w:t xml:space="preserve"> </w:t>
      </w:r>
      <w:r w:rsidR="003D4064">
        <w:rPr>
          <w:kern w:val="22"/>
          <w:sz w:val="22"/>
          <w:szCs w:val="22"/>
          <w:lang w:val="fr-FR"/>
        </w:rPr>
        <w:t xml:space="preserve">situés </w:t>
      </w:r>
      <w:r w:rsidR="008A5BE1">
        <w:rPr>
          <w:kern w:val="22"/>
          <w:sz w:val="22"/>
          <w:szCs w:val="22"/>
          <w:lang w:val="fr-FR"/>
        </w:rPr>
        <w:t>dans plusieurs</w:t>
      </w:r>
      <w:bookmarkEnd w:id="157"/>
      <w:bookmarkEnd w:id="158"/>
      <w:bookmarkEnd w:id="159"/>
      <w:bookmarkEnd w:id="160"/>
      <w:bookmarkEnd w:id="161"/>
      <w:r w:rsidR="00BC0012">
        <w:rPr>
          <w:kern w:val="22"/>
          <w:sz w:val="22"/>
          <w:szCs w:val="22"/>
          <w:lang w:val="fr-FR"/>
        </w:rPr>
        <w:t xml:space="preserve"> juridictions nationales</w:t>
      </w:r>
      <w:bookmarkEnd w:id="162"/>
    </w:p>
    <w:p w14:paraId="6C43C5EF" w14:textId="23C18F6C" w:rsidR="009F3C3A" w:rsidRPr="00E752CB" w:rsidRDefault="00AD37E2" w:rsidP="009F3C3A">
      <w:pPr>
        <w:rPr>
          <w:kern w:val="22"/>
          <w:sz w:val="22"/>
          <w:lang w:val="fr-FR"/>
        </w:rPr>
      </w:pPr>
      <w:r>
        <w:rPr>
          <w:rFonts w:cs="Times New Roman"/>
          <w:kern w:val="22"/>
          <w:sz w:val="22"/>
          <w:lang w:val="fr-FR"/>
        </w:rPr>
        <w:t xml:space="preserve">Il existe au moins trois scénarios </w:t>
      </w:r>
      <w:r w:rsidR="00C23801">
        <w:rPr>
          <w:rFonts w:cs="Times New Roman"/>
          <w:kern w:val="22"/>
          <w:sz w:val="22"/>
          <w:lang w:val="fr-FR"/>
        </w:rPr>
        <w:t>de situations transfrontières dans lesquelles</w:t>
      </w:r>
      <w:r>
        <w:rPr>
          <w:rFonts w:cs="Times New Roman"/>
          <w:kern w:val="22"/>
          <w:sz w:val="22"/>
          <w:lang w:val="fr-FR"/>
        </w:rPr>
        <w:t xml:space="preserve"> des</w:t>
      </w:r>
      <w:r w:rsidR="004C40F1" w:rsidRPr="00FB0054">
        <w:rPr>
          <w:rFonts w:cs="Times New Roman"/>
          <w:kern w:val="22"/>
          <w:sz w:val="22"/>
          <w:lang w:val="fr-FR"/>
        </w:rPr>
        <w:t xml:space="preserve"> </w:t>
      </w:r>
      <w:r w:rsidR="00E3674F" w:rsidRPr="00FB0054">
        <w:rPr>
          <w:rFonts w:cs="Times New Roman"/>
          <w:kern w:val="22"/>
          <w:sz w:val="22"/>
          <w:lang w:val="fr-FR"/>
        </w:rPr>
        <w:t>connaissances traditionnelles</w:t>
      </w:r>
      <w:r w:rsidR="00E600A0" w:rsidRPr="00FB0054">
        <w:rPr>
          <w:rFonts w:cs="Times New Roman"/>
          <w:kern w:val="22"/>
          <w:sz w:val="22"/>
          <w:lang w:val="fr-FR"/>
        </w:rPr>
        <w:t xml:space="preserve"> </w:t>
      </w:r>
      <w:r w:rsidR="00E3674F" w:rsidRPr="00FB0054">
        <w:rPr>
          <w:rFonts w:cs="Times New Roman"/>
          <w:kern w:val="22"/>
          <w:sz w:val="22"/>
          <w:lang w:val="fr-FR"/>
        </w:rPr>
        <w:t>associées aux</w:t>
      </w:r>
      <w:r w:rsidR="00E600A0" w:rsidRPr="00FB0054">
        <w:rPr>
          <w:rFonts w:cs="Times New Roman"/>
          <w:kern w:val="22"/>
          <w:sz w:val="22"/>
          <w:lang w:val="fr-FR"/>
        </w:rPr>
        <w:t xml:space="preserve"> </w:t>
      </w:r>
      <w:r w:rsidR="00E3674F" w:rsidRPr="00FB0054">
        <w:rPr>
          <w:rFonts w:cs="Times New Roman"/>
          <w:kern w:val="22"/>
          <w:sz w:val="22"/>
          <w:lang w:val="fr-FR"/>
        </w:rPr>
        <w:t>ressources génétiques</w:t>
      </w:r>
      <w:r>
        <w:rPr>
          <w:rFonts w:cs="Times New Roman"/>
          <w:kern w:val="22"/>
          <w:sz w:val="22"/>
          <w:lang w:val="fr-FR"/>
        </w:rPr>
        <w:t xml:space="preserve"> peuvent être</w:t>
      </w:r>
      <w:r w:rsidR="00E600A0" w:rsidRPr="00FB0054">
        <w:rPr>
          <w:rFonts w:cs="Times New Roman"/>
          <w:kern w:val="22"/>
          <w:sz w:val="22"/>
          <w:lang w:val="fr-FR"/>
        </w:rPr>
        <w:t xml:space="preserve"> </w:t>
      </w:r>
      <w:r w:rsidR="003F6B4A" w:rsidRPr="00FB0054">
        <w:rPr>
          <w:rFonts w:cs="Times New Roman"/>
          <w:kern w:val="22"/>
          <w:sz w:val="22"/>
          <w:lang w:val="fr-FR"/>
        </w:rPr>
        <w:t>détenues par</w:t>
      </w:r>
      <w:r w:rsidR="00E600A0" w:rsidRPr="00FB0054">
        <w:rPr>
          <w:rFonts w:cs="Times New Roman"/>
          <w:kern w:val="22"/>
          <w:sz w:val="22"/>
          <w:lang w:val="fr-FR"/>
        </w:rPr>
        <w:t xml:space="preserve"> </w:t>
      </w:r>
      <w:r w:rsidR="00830BE4">
        <w:rPr>
          <w:rFonts w:cs="Times New Roman"/>
          <w:kern w:val="22"/>
          <w:sz w:val="22"/>
          <w:lang w:val="fr-FR"/>
        </w:rPr>
        <w:t>des peuples autochtones et communautés locales</w:t>
      </w:r>
      <w:r w:rsidR="000B7436" w:rsidRPr="00FB0054">
        <w:rPr>
          <w:rFonts w:cs="Times New Roman"/>
          <w:kern w:val="22"/>
          <w:sz w:val="22"/>
          <w:lang w:val="fr-FR"/>
        </w:rPr>
        <w:t xml:space="preserve">. </w:t>
      </w:r>
      <w:r w:rsidR="00C23801">
        <w:rPr>
          <w:rFonts w:cs="Times New Roman"/>
          <w:kern w:val="22"/>
          <w:sz w:val="22"/>
          <w:lang w:val="fr-FR"/>
        </w:rPr>
        <w:t>Ainsi, des connaissances traditionnelles p</w:t>
      </w:r>
      <w:r w:rsidR="00A43804">
        <w:rPr>
          <w:rFonts w:cs="Times New Roman"/>
          <w:kern w:val="22"/>
          <w:sz w:val="22"/>
          <w:lang w:val="fr-FR"/>
        </w:rPr>
        <w:t>euvent être détenues par un</w:t>
      </w:r>
      <w:r w:rsidR="008A5BE1" w:rsidRPr="008A5BE1">
        <w:rPr>
          <w:rFonts w:cs="Times New Roman"/>
          <w:kern w:val="22"/>
          <w:sz w:val="22"/>
          <w:lang w:val="fr-FR"/>
        </w:rPr>
        <w:t xml:space="preserve"> seul groupe</w:t>
      </w:r>
      <w:r w:rsidR="00C23801">
        <w:rPr>
          <w:rFonts w:cs="Times New Roman"/>
          <w:kern w:val="22"/>
          <w:sz w:val="22"/>
          <w:lang w:val="fr-FR"/>
        </w:rPr>
        <w:t xml:space="preserve"> situé</w:t>
      </w:r>
      <w:r w:rsidR="00E600A0" w:rsidRPr="008A5BE1">
        <w:rPr>
          <w:rFonts w:cs="Times New Roman"/>
          <w:kern w:val="22"/>
          <w:sz w:val="22"/>
          <w:lang w:val="fr-FR"/>
        </w:rPr>
        <w:t xml:space="preserve"> </w:t>
      </w:r>
      <w:r w:rsidR="00BE4772" w:rsidRPr="008A5BE1">
        <w:rPr>
          <w:rFonts w:cs="Times New Roman"/>
          <w:kern w:val="22"/>
          <w:sz w:val="22"/>
          <w:lang w:val="fr-FR"/>
        </w:rPr>
        <w:t>dans plusieurs pays</w:t>
      </w:r>
      <w:r w:rsidR="00E600A0" w:rsidRPr="008A5BE1">
        <w:rPr>
          <w:rFonts w:cs="Times New Roman"/>
          <w:kern w:val="22"/>
          <w:sz w:val="22"/>
          <w:lang w:val="fr-FR"/>
        </w:rPr>
        <w:t xml:space="preserve"> (</w:t>
      </w:r>
      <w:r w:rsidR="002F3920">
        <w:rPr>
          <w:rFonts w:cs="Times New Roman"/>
          <w:kern w:val="22"/>
          <w:sz w:val="22"/>
          <w:lang w:val="fr-FR"/>
        </w:rPr>
        <w:t>aux</w:t>
      </w:r>
      <w:r w:rsidR="00A43804">
        <w:rPr>
          <w:rFonts w:cs="Times New Roman"/>
          <w:kern w:val="22"/>
          <w:sz w:val="22"/>
          <w:lang w:val="fr-FR"/>
        </w:rPr>
        <w:t xml:space="preserve"> fro</w:t>
      </w:r>
      <w:r w:rsidR="002F3920">
        <w:rPr>
          <w:rFonts w:cs="Times New Roman"/>
          <w:kern w:val="22"/>
          <w:sz w:val="22"/>
          <w:lang w:val="fr-FR"/>
        </w:rPr>
        <w:t>ntières voisines ou non</w:t>
      </w:r>
      <w:r w:rsidR="00E600A0" w:rsidRPr="008A5BE1">
        <w:rPr>
          <w:rFonts w:cs="Times New Roman"/>
          <w:kern w:val="22"/>
          <w:sz w:val="22"/>
          <w:lang w:val="fr-FR"/>
        </w:rPr>
        <w:t>)</w:t>
      </w:r>
      <w:r w:rsidR="00A43804">
        <w:rPr>
          <w:rFonts w:cs="Times New Roman"/>
          <w:kern w:val="22"/>
          <w:sz w:val="22"/>
          <w:lang w:val="fr-FR"/>
        </w:rPr>
        <w:t>, par</w:t>
      </w:r>
      <w:r w:rsidR="00E600A0" w:rsidRPr="008A5BE1">
        <w:rPr>
          <w:rFonts w:cs="Times New Roman"/>
          <w:kern w:val="22"/>
          <w:sz w:val="22"/>
          <w:lang w:val="fr-FR"/>
        </w:rPr>
        <w:t xml:space="preserve"> </w:t>
      </w:r>
      <w:r w:rsidR="00A43804">
        <w:rPr>
          <w:rFonts w:cs="Times New Roman"/>
          <w:kern w:val="22"/>
          <w:sz w:val="22"/>
          <w:lang w:val="fr-FR"/>
        </w:rPr>
        <w:t>plusieurs</w:t>
      </w:r>
      <w:r w:rsidR="008A5BE1" w:rsidRPr="008A5BE1">
        <w:rPr>
          <w:rFonts w:cs="Times New Roman"/>
          <w:kern w:val="22"/>
          <w:sz w:val="22"/>
          <w:lang w:val="fr-FR"/>
        </w:rPr>
        <w:t xml:space="preserve"> groupe</w:t>
      </w:r>
      <w:r w:rsidR="00C23801">
        <w:rPr>
          <w:rFonts w:cs="Times New Roman"/>
          <w:kern w:val="22"/>
          <w:sz w:val="22"/>
          <w:lang w:val="fr-FR"/>
        </w:rPr>
        <w:t>s situé</w:t>
      </w:r>
      <w:r w:rsidR="00A43804">
        <w:rPr>
          <w:rFonts w:cs="Times New Roman"/>
          <w:kern w:val="22"/>
          <w:sz w:val="22"/>
          <w:lang w:val="fr-FR"/>
        </w:rPr>
        <w:t xml:space="preserve">s </w:t>
      </w:r>
      <w:r w:rsidR="00BE4772" w:rsidRPr="008A5BE1">
        <w:rPr>
          <w:rFonts w:cs="Times New Roman"/>
          <w:kern w:val="22"/>
          <w:sz w:val="22"/>
          <w:lang w:val="fr-FR"/>
        </w:rPr>
        <w:t>dans plusieurs pays</w:t>
      </w:r>
      <w:r w:rsidR="00E600A0" w:rsidRPr="008A5BE1">
        <w:rPr>
          <w:rFonts w:cs="Times New Roman"/>
          <w:kern w:val="22"/>
          <w:sz w:val="22"/>
          <w:lang w:val="fr-FR"/>
        </w:rPr>
        <w:t xml:space="preserve"> (</w:t>
      </w:r>
      <w:r w:rsidR="002F3920">
        <w:rPr>
          <w:rFonts w:cs="Times New Roman"/>
          <w:kern w:val="22"/>
          <w:sz w:val="22"/>
          <w:lang w:val="fr-FR"/>
        </w:rPr>
        <w:t>aux frontières voisines ou non), ou</w:t>
      </w:r>
      <w:r w:rsidR="00E3674F" w:rsidRPr="008A5BE1">
        <w:rPr>
          <w:rFonts w:cs="Times New Roman"/>
          <w:kern w:val="22"/>
          <w:sz w:val="22"/>
          <w:lang w:val="fr-FR"/>
        </w:rPr>
        <w:t xml:space="preserve"> </w:t>
      </w:r>
      <w:r w:rsidR="00A43804">
        <w:rPr>
          <w:rFonts w:cs="Times New Roman"/>
          <w:kern w:val="22"/>
          <w:sz w:val="22"/>
          <w:lang w:val="fr-FR"/>
        </w:rPr>
        <w:t xml:space="preserve">par </w:t>
      </w:r>
      <w:r w:rsidR="008A5BE1" w:rsidRPr="008A5BE1">
        <w:rPr>
          <w:rFonts w:cs="Times New Roman"/>
          <w:kern w:val="22"/>
          <w:sz w:val="22"/>
          <w:lang w:val="fr-FR"/>
        </w:rPr>
        <w:t>une communauté</w:t>
      </w:r>
      <w:r w:rsidR="00E600A0" w:rsidRPr="008A5BE1">
        <w:rPr>
          <w:rFonts w:cs="Times New Roman"/>
          <w:kern w:val="22"/>
          <w:sz w:val="22"/>
          <w:lang w:val="fr-FR"/>
        </w:rPr>
        <w:t xml:space="preserve"> </w:t>
      </w:r>
      <w:r w:rsidR="00A43804">
        <w:rPr>
          <w:rFonts w:cs="Times New Roman"/>
          <w:kern w:val="22"/>
          <w:sz w:val="22"/>
          <w:lang w:val="fr-FR"/>
        </w:rPr>
        <w:t xml:space="preserve">située </w:t>
      </w:r>
      <w:r w:rsidR="008A5BE1" w:rsidRPr="008A5BE1">
        <w:rPr>
          <w:rFonts w:cs="Times New Roman"/>
          <w:kern w:val="22"/>
          <w:sz w:val="22"/>
          <w:lang w:val="fr-FR"/>
        </w:rPr>
        <w:t>dans un pays</w:t>
      </w:r>
      <w:r w:rsidR="002F3920">
        <w:rPr>
          <w:rFonts w:cs="Times New Roman"/>
          <w:kern w:val="22"/>
          <w:sz w:val="22"/>
          <w:lang w:val="fr-FR"/>
        </w:rPr>
        <w:t xml:space="preserve"> donné</w:t>
      </w:r>
      <w:r w:rsidR="00A43804">
        <w:rPr>
          <w:rFonts w:cs="Times New Roman"/>
          <w:kern w:val="22"/>
          <w:sz w:val="22"/>
          <w:lang w:val="fr-FR"/>
        </w:rPr>
        <w:t xml:space="preserve">, mais dont la </w:t>
      </w:r>
      <w:r w:rsidR="002F3920">
        <w:rPr>
          <w:rFonts w:cs="Times New Roman"/>
          <w:kern w:val="22"/>
          <w:sz w:val="22"/>
          <w:lang w:val="fr-FR"/>
        </w:rPr>
        <w:t>ressource génétique en question est originaire d’</w:t>
      </w:r>
      <w:r w:rsidR="008A5BE1">
        <w:rPr>
          <w:rFonts w:cs="Times New Roman"/>
          <w:kern w:val="22"/>
          <w:sz w:val="22"/>
          <w:lang w:val="fr-FR"/>
        </w:rPr>
        <w:t>un autre</w:t>
      </w:r>
      <w:r w:rsidR="00E600A0" w:rsidRPr="008A5BE1">
        <w:rPr>
          <w:rFonts w:cs="Times New Roman"/>
          <w:kern w:val="22"/>
          <w:sz w:val="22"/>
          <w:lang w:val="fr-FR"/>
        </w:rPr>
        <w:t xml:space="preserve"> </w:t>
      </w:r>
      <w:r w:rsidR="008A5BE1" w:rsidRPr="008A5BE1">
        <w:rPr>
          <w:rFonts w:cs="Times New Roman"/>
          <w:kern w:val="22"/>
          <w:sz w:val="22"/>
          <w:lang w:val="fr-FR"/>
        </w:rPr>
        <w:t>pays</w:t>
      </w:r>
      <w:r w:rsidR="00E600A0" w:rsidRPr="008A5BE1">
        <w:rPr>
          <w:rFonts w:cs="Times New Roman"/>
          <w:kern w:val="22"/>
          <w:sz w:val="22"/>
          <w:lang w:val="fr-FR"/>
        </w:rPr>
        <w:t>.</w:t>
      </w:r>
      <w:r w:rsidR="009F3C3A" w:rsidRPr="008A5BE1">
        <w:rPr>
          <w:rFonts w:cs="Times New Roman"/>
          <w:kern w:val="22"/>
          <w:sz w:val="22"/>
          <w:lang w:val="fr-FR"/>
        </w:rPr>
        <w:t xml:space="preserve"> </w:t>
      </w:r>
      <w:r w:rsidR="002F3920">
        <w:rPr>
          <w:kern w:val="22"/>
          <w:sz w:val="22"/>
          <w:lang w:val="fr-FR"/>
        </w:rPr>
        <w:t>Il convient de noter que c</w:t>
      </w:r>
      <w:r w:rsidR="00CA644E" w:rsidRPr="00F86971">
        <w:rPr>
          <w:kern w:val="22"/>
          <w:sz w:val="22"/>
          <w:lang w:val="fr-FR"/>
        </w:rPr>
        <w:t>es</w:t>
      </w:r>
      <w:r w:rsidR="009F3C3A" w:rsidRPr="00F86971">
        <w:rPr>
          <w:kern w:val="22"/>
          <w:sz w:val="22"/>
          <w:lang w:val="fr-FR"/>
        </w:rPr>
        <w:t xml:space="preserve"> </w:t>
      </w:r>
      <w:r w:rsidR="009D43F1" w:rsidRPr="00F86971">
        <w:rPr>
          <w:kern w:val="22"/>
          <w:sz w:val="22"/>
          <w:lang w:val="fr-FR"/>
        </w:rPr>
        <w:t>exemple</w:t>
      </w:r>
      <w:r w:rsidR="009F3C3A" w:rsidRPr="00F86971">
        <w:rPr>
          <w:kern w:val="22"/>
          <w:sz w:val="22"/>
          <w:lang w:val="fr-FR"/>
        </w:rPr>
        <w:t xml:space="preserve">s </w:t>
      </w:r>
      <w:r w:rsidR="002F3920">
        <w:rPr>
          <w:kern w:val="22"/>
          <w:sz w:val="22"/>
          <w:lang w:val="fr-FR"/>
        </w:rPr>
        <w:t>ne préjugent en rien d’une application éventuelle des dispositions de</w:t>
      </w:r>
      <w:r w:rsidR="009F3C3A" w:rsidRPr="00F86971">
        <w:rPr>
          <w:kern w:val="22"/>
          <w:sz w:val="22"/>
          <w:lang w:val="fr-FR"/>
        </w:rPr>
        <w:t xml:space="preserve"> </w:t>
      </w:r>
      <w:r w:rsidR="00B90EF3" w:rsidRPr="00F86971">
        <w:rPr>
          <w:kern w:val="22"/>
          <w:sz w:val="22"/>
          <w:lang w:val="fr-FR"/>
        </w:rPr>
        <w:t>l’article</w:t>
      </w:r>
      <w:r w:rsidR="009F3C3A" w:rsidRPr="00F86971">
        <w:rPr>
          <w:kern w:val="22"/>
          <w:sz w:val="22"/>
          <w:lang w:val="fr-FR"/>
        </w:rPr>
        <w:t xml:space="preserve"> 11</w:t>
      </w:r>
      <w:r w:rsidR="002F3920">
        <w:rPr>
          <w:kern w:val="22"/>
          <w:sz w:val="22"/>
          <w:lang w:val="fr-FR"/>
        </w:rPr>
        <w:t xml:space="preserve"> du Protocole de Nagoya. </w:t>
      </w:r>
      <w:r w:rsidR="00D6232E" w:rsidRPr="00E752CB">
        <w:rPr>
          <w:kern w:val="22"/>
          <w:sz w:val="22"/>
          <w:lang w:val="fr-FR"/>
        </w:rPr>
        <w:t>Cependant</w:t>
      </w:r>
      <w:r w:rsidR="002F3920">
        <w:rPr>
          <w:kern w:val="22"/>
          <w:sz w:val="22"/>
          <w:lang w:val="fr-FR"/>
        </w:rPr>
        <w:t>, ces cas illustrent bien l</w:t>
      </w:r>
      <w:r w:rsidR="00A43804">
        <w:rPr>
          <w:kern w:val="22"/>
          <w:sz w:val="22"/>
          <w:lang w:val="fr-FR"/>
        </w:rPr>
        <w:t>e fait que, bien q</w:t>
      </w:r>
      <w:r w:rsidR="002F3920">
        <w:rPr>
          <w:kern w:val="22"/>
          <w:sz w:val="22"/>
          <w:lang w:val="fr-FR"/>
        </w:rPr>
        <w:t>u</w:t>
      </w:r>
      <w:r w:rsidR="00A43804">
        <w:rPr>
          <w:kern w:val="22"/>
          <w:sz w:val="22"/>
          <w:lang w:val="fr-FR"/>
        </w:rPr>
        <w:t xml:space="preserve">’une </w:t>
      </w:r>
      <w:r w:rsidR="001A200E" w:rsidRPr="00E752CB">
        <w:rPr>
          <w:kern w:val="22"/>
          <w:sz w:val="22"/>
          <w:lang w:val="fr-FR"/>
        </w:rPr>
        <w:t>approche bilatérale</w:t>
      </w:r>
      <w:r w:rsidR="002F3920">
        <w:rPr>
          <w:kern w:val="22"/>
          <w:sz w:val="22"/>
          <w:lang w:val="fr-FR"/>
        </w:rPr>
        <w:t xml:space="preserve"> soit possible dans</w:t>
      </w:r>
      <w:r w:rsidR="00AA5919">
        <w:rPr>
          <w:kern w:val="22"/>
          <w:sz w:val="22"/>
          <w:lang w:val="fr-FR"/>
        </w:rPr>
        <w:t xml:space="preserve"> certain</w:t>
      </w:r>
      <w:r w:rsidR="00A43804">
        <w:rPr>
          <w:kern w:val="22"/>
          <w:sz w:val="22"/>
          <w:lang w:val="fr-FR"/>
        </w:rPr>
        <w:t>e</w:t>
      </w:r>
      <w:r w:rsidR="00AA5919">
        <w:rPr>
          <w:kern w:val="22"/>
          <w:sz w:val="22"/>
          <w:lang w:val="fr-FR"/>
        </w:rPr>
        <w:t xml:space="preserve">s </w:t>
      </w:r>
      <w:r w:rsidR="009F3C3A" w:rsidRPr="00E752CB">
        <w:rPr>
          <w:kern w:val="22"/>
          <w:sz w:val="22"/>
          <w:lang w:val="fr-FR"/>
        </w:rPr>
        <w:t xml:space="preserve">situations </w:t>
      </w:r>
      <w:r w:rsidR="002F3920">
        <w:rPr>
          <w:kern w:val="22"/>
          <w:sz w:val="22"/>
          <w:lang w:val="fr-FR"/>
        </w:rPr>
        <w:t xml:space="preserve">où </w:t>
      </w:r>
      <w:r w:rsidR="00A43804">
        <w:rPr>
          <w:kern w:val="22"/>
          <w:sz w:val="22"/>
          <w:lang w:val="fr-FR"/>
        </w:rPr>
        <w:t xml:space="preserve">des </w:t>
      </w:r>
      <w:r w:rsidR="00E3674F" w:rsidRPr="00E752CB">
        <w:rPr>
          <w:kern w:val="22"/>
          <w:sz w:val="22"/>
          <w:lang w:val="fr-FR"/>
        </w:rPr>
        <w:t>connaissances traditionnelles</w:t>
      </w:r>
      <w:r w:rsidR="00A43804">
        <w:rPr>
          <w:kern w:val="22"/>
          <w:sz w:val="22"/>
          <w:lang w:val="fr-FR"/>
        </w:rPr>
        <w:t xml:space="preserve"> sont</w:t>
      </w:r>
      <w:r w:rsidR="009F3C3A" w:rsidRPr="00E752CB">
        <w:rPr>
          <w:kern w:val="22"/>
          <w:sz w:val="22"/>
          <w:lang w:val="fr-FR"/>
        </w:rPr>
        <w:t xml:space="preserve"> </w:t>
      </w:r>
      <w:r w:rsidR="003F6B4A" w:rsidRPr="00E752CB">
        <w:rPr>
          <w:kern w:val="22"/>
          <w:sz w:val="22"/>
          <w:lang w:val="fr-FR"/>
        </w:rPr>
        <w:t>détenues par</w:t>
      </w:r>
      <w:r w:rsidR="009F3C3A" w:rsidRPr="00E752CB">
        <w:rPr>
          <w:kern w:val="22"/>
          <w:sz w:val="22"/>
          <w:lang w:val="fr-FR"/>
        </w:rPr>
        <w:t xml:space="preserve"> </w:t>
      </w:r>
      <w:r w:rsidR="00830BE4" w:rsidRPr="00E752CB">
        <w:rPr>
          <w:kern w:val="22"/>
          <w:sz w:val="22"/>
          <w:lang w:val="fr-FR"/>
        </w:rPr>
        <w:t>des peuples autochtones et communautés locales</w:t>
      </w:r>
      <w:r w:rsidR="002F3920">
        <w:rPr>
          <w:kern w:val="22"/>
          <w:sz w:val="22"/>
          <w:lang w:val="fr-FR"/>
        </w:rPr>
        <w:t xml:space="preserve"> situés dans plusieurs pays</w:t>
      </w:r>
      <w:r w:rsidR="009F3C3A" w:rsidRPr="00E752CB">
        <w:rPr>
          <w:kern w:val="22"/>
          <w:sz w:val="22"/>
          <w:lang w:val="fr-FR"/>
        </w:rPr>
        <w:t xml:space="preserve">, </w:t>
      </w:r>
      <w:r w:rsidR="002F3920">
        <w:rPr>
          <w:kern w:val="22"/>
          <w:sz w:val="22"/>
          <w:lang w:val="fr-FR"/>
        </w:rPr>
        <w:t>des difficultés peuvent survenir dans d’autres situations, rendant</w:t>
      </w:r>
      <w:r w:rsidR="00A43804">
        <w:rPr>
          <w:kern w:val="22"/>
          <w:sz w:val="22"/>
          <w:lang w:val="fr-FR"/>
        </w:rPr>
        <w:t xml:space="preserve"> </w:t>
      </w:r>
      <w:r w:rsidR="00E752CB" w:rsidRPr="00E752CB">
        <w:rPr>
          <w:kern w:val="22"/>
          <w:sz w:val="22"/>
          <w:lang w:val="fr-FR"/>
        </w:rPr>
        <w:t>fonctionnellement</w:t>
      </w:r>
      <w:r w:rsidR="00AB6344" w:rsidRPr="00E752CB">
        <w:rPr>
          <w:kern w:val="22"/>
          <w:sz w:val="22"/>
          <w:lang w:val="fr-FR"/>
        </w:rPr>
        <w:t xml:space="preserve"> im</w:t>
      </w:r>
      <w:r w:rsidR="00A43804">
        <w:rPr>
          <w:kern w:val="22"/>
          <w:sz w:val="22"/>
          <w:lang w:val="fr-FR"/>
        </w:rPr>
        <w:t xml:space="preserve">possible l’obtention d’un </w:t>
      </w:r>
      <w:r w:rsidR="007D7761">
        <w:rPr>
          <w:kern w:val="22"/>
          <w:sz w:val="22"/>
          <w:lang w:val="fr-FR"/>
        </w:rPr>
        <w:t>consentement préalable donné en connaissance de cause</w:t>
      </w:r>
      <w:r w:rsidR="002F3920">
        <w:rPr>
          <w:kern w:val="22"/>
          <w:sz w:val="22"/>
          <w:lang w:val="fr-FR"/>
        </w:rPr>
        <w:t xml:space="preserve"> ou</w:t>
      </w:r>
      <w:r w:rsidR="00E3674F" w:rsidRPr="00E752CB">
        <w:rPr>
          <w:kern w:val="22"/>
          <w:sz w:val="22"/>
          <w:lang w:val="fr-FR"/>
        </w:rPr>
        <w:t xml:space="preserve"> </w:t>
      </w:r>
      <w:r w:rsidR="00A43804">
        <w:rPr>
          <w:kern w:val="22"/>
          <w:sz w:val="22"/>
          <w:lang w:val="fr-FR"/>
        </w:rPr>
        <w:t xml:space="preserve">la </w:t>
      </w:r>
      <w:r w:rsidR="00A14BDE">
        <w:rPr>
          <w:kern w:val="22"/>
          <w:sz w:val="22"/>
          <w:lang w:val="fr-FR"/>
        </w:rPr>
        <w:t>négociation</w:t>
      </w:r>
      <w:r w:rsidR="00A43804">
        <w:rPr>
          <w:kern w:val="22"/>
          <w:sz w:val="22"/>
          <w:lang w:val="fr-FR"/>
        </w:rPr>
        <w:t xml:space="preserve"> de </w:t>
      </w:r>
      <w:r w:rsidR="000B36D3" w:rsidRPr="00E752CB">
        <w:rPr>
          <w:kern w:val="22"/>
          <w:sz w:val="22"/>
          <w:lang w:val="fr-FR"/>
        </w:rPr>
        <w:t>conditions convenues d’un commun accord</w:t>
      </w:r>
      <w:r w:rsidR="009F3C3A" w:rsidRPr="00E752CB">
        <w:rPr>
          <w:kern w:val="22"/>
          <w:sz w:val="22"/>
          <w:lang w:val="fr-FR"/>
        </w:rPr>
        <w:t>.</w:t>
      </w:r>
    </w:p>
    <w:p w14:paraId="4FCFDDEE" w14:textId="6E351261" w:rsidR="00E600A0" w:rsidRPr="00FB0054" w:rsidRDefault="003F6B4A" w:rsidP="00E600A0">
      <w:pPr>
        <w:rPr>
          <w:rFonts w:cs="Times New Roman"/>
          <w:i/>
          <w:kern w:val="22"/>
          <w:sz w:val="22"/>
          <w:lang w:val="fr-FR"/>
        </w:rPr>
      </w:pPr>
      <w:r w:rsidRPr="00FB0054">
        <w:rPr>
          <w:rFonts w:cs="Times New Roman"/>
          <w:i/>
          <w:kern w:val="22"/>
          <w:sz w:val="22"/>
          <w:lang w:val="fr-FR"/>
        </w:rPr>
        <w:t>Scé</w:t>
      </w:r>
      <w:r w:rsidR="00E600A0" w:rsidRPr="00FB0054">
        <w:rPr>
          <w:rFonts w:cs="Times New Roman"/>
          <w:i/>
          <w:kern w:val="22"/>
          <w:sz w:val="22"/>
          <w:lang w:val="fr-FR"/>
        </w:rPr>
        <w:t xml:space="preserve">nario </w:t>
      </w:r>
      <w:r w:rsidR="004C40F1" w:rsidRPr="00FB0054">
        <w:rPr>
          <w:rFonts w:cs="Times New Roman"/>
          <w:i/>
          <w:kern w:val="22"/>
          <w:sz w:val="22"/>
          <w:lang w:val="fr-FR"/>
        </w:rPr>
        <w:t>1</w:t>
      </w:r>
      <w:r w:rsidR="00E600A0" w:rsidRPr="00FB0054">
        <w:rPr>
          <w:rFonts w:cs="Times New Roman"/>
          <w:i/>
          <w:kern w:val="22"/>
          <w:sz w:val="22"/>
          <w:lang w:val="fr-FR"/>
        </w:rPr>
        <w:t xml:space="preserve">: </w:t>
      </w:r>
      <w:r w:rsidR="00E3674F" w:rsidRPr="00FB0054">
        <w:rPr>
          <w:rFonts w:cs="Times New Roman"/>
          <w:i/>
          <w:kern w:val="22"/>
          <w:sz w:val="22"/>
          <w:lang w:val="fr-FR"/>
        </w:rPr>
        <w:t>Connaissances traditionnelles</w:t>
      </w:r>
      <w:r w:rsidR="00E600A0" w:rsidRPr="00FB0054">
        <w:rPr>
          <w:rFonts w:cs="Times New Roman"/>
          <w:i/>
          <w:kern w:val="22"/>
          <w:sz w:val="22"/>
          <w:lang w:val="fr-FR"/>
        </w:rPr>
        <w:t xml:space="preserve"> </w:t>
      </w:r>
      <w:r w:rsidRPr="00FB0054">
        <w:rPr>
          <w:rFonts w:cs="Times New Roman"/>
          <w:i/>
          <w:kern w:val="22"/>
          <w:sz w:val="22"/>
          <w:lang w:val="fr-FR"/>
        </w:rPr>
        <w:t>détenues par</w:t>
      </w:r>
      <w:r w:rsidR="00E600A0" w:rsidRPr="00FB0054">
        <w:rPr>
          <w:rFonts w:cs="Times New Roman"/>
          <w:i/>
          <w:kern w:val="22"/>
          <w:sz w:val="22"/>
          <w:lang w:val="fr-FR"/>
        </w:rPr>
        <w:t xml:space="preserve"> </w:t>
      </w:r>
      <w:r w:rsidR="008A5BE1">
        <w:rPr>
          <w:rFonts w:cs="Times New Roman"/>
          <w:i/>
          <w:kern w:val="22"/>
          <w:sz w:val="22"/>
          <w:lang w:val="fr-FR"/>
        </w:rPr>
        <w:t>un seul groupe</w:t>
      </w:r>
      <w:r w:rsidR="00E600A0" w:rsidRPr="00FB0054">
        <w:rPr>
          <w:rFonts w:cs="Times New Roman"/>
          <w:i/>
          <w:kern w:val="22"/>
          <w:sz w:val="22"/>
          <w:lang w:val="fr-FR"/>
        </w:rPr>
        <w:t xml:space="preserve"> </w:t>
      </w:r>
      <w:r w:rsidR="00BC0012">
        <w:rPr>
          <w:rFonts w:cs="Times New Roman"/>
          <w:i/>
          <w:kern w:val="22"/>
          <w:sz w:val="22"/>
          <w:lang w:val="fr-FR"/>
        </w:rPr>
        <w:t xml:space="preserve">situé </w:t>
      </w:r>
      <w:r w:rsidR="00BE4772">
        <w:rPr>
          <w:rFonts w:cs="Times New Roman"/>
          <w:i/>
          <w:kern w:val="22"/>
          <w:sz w:val="22"/>
          <w:lang w:val="fr-FR"/>
        </w:rPr>
        <w:t>dans plusieurs pays</w:t>
      </w:r>
    </w:p>
    <w:p w14:paraId="1366E8DF" w14:textId="58AADB16" w:rsidR="00E600A0" w:rsidRPr="00D10719" w:rsidRDefault="00D5202C" w:rsidP="00E600A0">
      <w:pPr>
        <w:rPr>
          <w:kern w:val="22"/>
          <w:sz w:val="22"/>
          <w:lang w:val="fr-FR"/>
        </w:rPr>
      </w:pPr>
      <w:r>
        <w:rPr>
          <w:rFonts w:cs="Times New Roman"/>
          <w:kern w:val="22"/>
          <w:sz w:val="22"/>
          <w:lang w:val="fr-FR"/>
        </w:rPr>
        <w:t>Le peu</w:t>
      </w:r>
      <w:r w:rsidR="0062035A" w:rsidRPr="0062035A">
        <w:rPr>
          <w:rFonts w:cs="Times New Roman"/>
          <w:kern w:val="22"/>
          <w:sz w:val="22"/>
          <w:lang w:val="fr-FR"/>
        </w:rPr>
        <w:t xml:space="preserve">ple autochtone </w:t>
      </w:r>
      <w:r w:rsidR="00E600A0" w:rsidRPr="0062035A">
        <w:rPr>
          <w:rFonts w:cs="Times New Roman"/>
          <w:kern w:val="22"/>
          <w:sz w:val="22"/>
          <w:lang w:val="fr-FR"/>
        </w:rPr>
        <w:t xml:space="preserve">Guna </w:t>
      </w:r>
      <w:r w:rsidR="0062035A" w:rsidRPr="0062035A">
        <w:rPr>
          <w:rFonts w:cs="Times New Roman"/>
          <w:kern w:val="22"/>
          <w:sz w:val="22"/>
          <w:lang w:val="fr-FR"/>
        </w:rPr>
        <w:t>peut être considéré comme un</w:t>
      </w:r>
      <w:r w:rsidR="00E600A0" w:rsidRPr="0062035A">
        <w:rPr>
          <w:rFonts w:cs="Times New Roman"/>
          <w:kern w:val="22"/>
          <w:sz w:val="22"/>
          <w:lang w:val="fr-FR"/>
        </w:rPr>
        <w:t xml:space="preserve"> </w:t>
      </w:r>
      <w:r w:rsidR="009D43F1" w:rsidRPr="0062035A">
        <w:rPr>
          <w:rFonts w:cs="Times New Roman"/>
          <w:kern w:val="22"/>
          <w:sz w:val="22"/>
          <w:lang w:val="fr-FR"/>
        </w:rPr>
        <w:t>exemple</w:t>
      </w:r>
      <w:r w:rsidR="002F3920">
        <w:rPr>
          <w:rFonts w:cs="Times New Roman"/>
          <w:kern w:val="22"/>
          <w:sz w:val="22"/>
          <w:lang w:val="fr-FR"/>
        </w:rPr>
        <w:t xml:space="preserve"> relevant de ce </w:t>
      </w:r>
      <w:r w:rsidR="00E752CB" w:rsidRPr="0062035A">
        <w:rPr>
          <w:rFonts w:cs="Times New Roman"/>
          <w:kern w:val="22"/>
          <w:sz w:val="22"/>
          <w:lang w:val="fr-FR"/>
        </w:rPr>
        <w:t>scénario</w:t>
      </w:r>
      <w:r w:rsidR="00E600A0" w:rsidRPr="0062035A">
        <w:rPr>
          <w:rFonts w:cs="Times New Roman"/>
          <w:kern w:val="22"/>
          <w:sz w:val="22"/>
          <w:lang w:val="fr-FR"/>
        </w:rPr>
        <w:t xml:space="preserve">. </w:t>
      </w:r>
      <w:r w:rsidR="004F1032" w:rsidRPr="004F1032">
        <w:rPr>
          <w:rFonts w:cs="Times New Roman"/>
          <w:kern w:val="22"/>
          <w:sz w:val="22"/>
          <w:lang w:val="fr-FR"/>
        </w:rPr>
        <w:t>B</w:t>
      </w:r>
      <w:r w:rsidR="004F1032">
        <w:rPr>
          <w:rFonts w:cs="Times New Roman"/>
          <w:kern w:val="22"/>
          <w:sz w:val="22"/>
          <w:lang w:val="fr-FR"/>
        </w:rPr>
        <w:t>ien que situé à la fois au</w:t>
      </w:r>
      <w:r w:rsidR="00E600A0" w:rsidRPr="004F1032">
        <w:rPr>
          <w:rFonts w:cs="Times New Roman"/>
          <w:kern w:val="22"/>
          <w:sz w:val="22"/>
          <w:lang w:val="fr-FR"/>
        </w:rPr>
        <w:t xml:space="preserve"> Panama</w:t>
      </w:r>
      <w:r w:rsidR="00E3674F" w:rsidRPr="004F1032">
        <w:rPr>
          <w:rFonts w:cs="Times New Roman"/>
          <w:kern w:val="22"/>
          <w:sz w:val="22"/>
          <w:lang w:val="fr-FR"/>
        </w:rPr>
        <w:t xml:space="preserve"> et </w:t>
      </w:r>
      <w:r w:rsidR="004F1032">
        <w:rPr>
          <w:rFonts w:cs="Times New Roman"/>
          <w:kern w:val="22"/>
          <w:sz w:val="22"/>
          <w:lang w:val="fr-FR"/>
        </w:rPr>
        <w:t xml:space="preserve">en </w:t>
      </w:r>
      <w:r w:rsidR="000C3696" w:rsidRPr="004F1032">
        <w:rPr>
          <w:rFonts w:cs="Times New Roman"/>
          <w:kern w:val="22"/>
          <w:sz w:val="22"/>
          <w:lang w:val="fr-FR"/>
        </w:rPr>
        <w:t>Colombie</w:t>
      </w:r>
      <w:r w:rsidR="004F1032">
        <w:rPr>
          <w:rFonts w:cs="Times New Roman"/>
          <w:kern w:val="22"/>
          <w:sz w:val="22"/>
          <w:lang w:val="fr-FR"/>
        </w:rPr>
        <w:t>, il s’agit d’</w:t>
      </w:r>
      <w:r w:rsidR="008A5BE1" w:rsidRPr="004F1032">
        <w:rPr>
          <w:rFonts w:cs="Times New Roman"/>
          <w:kern w:val="22"/>
          <w:sz w:val="22"/>
          <w:lang w:val="fr-FR"/>
        </w:rPr>
        <w:t>un seul groupe</w:t>
      </w:r>
      <w:r w:rsidR="004F1032">
        <w:rPr>
          <w:rFonts w:cs="Times New Roman"/>
          <w:kern w:val="22"/>
          <w:sz w:val="22"/>
          <w:lang w:val="fr-FR"/>
        </w:rPr>
        <w:t xml:space="preserve"> qui ne reconnaît pas les frontières géopolitiques actuelles</w:t>
      </w:r>
      <w:r w:rsidR="002F3920">
        <w:rPr>
          <w:rFonts w:cs="Times New Roman"/>
          <w:kern w:val="22"/>
          <w:sz w:val="22"/>
          <w:lang w:val="fr-FR"/>
        </w:rPr>
        <w:t xml:space="preserve"> de ces deux pays</w:t>
      </w:r>
      <w:r w:rsidR="00E600A0" w:rsidRPr="004F1032">
        <w:rPr>
          <w:rFonts w:cs="Times New Roman"/>
          <w:kern w:val="22"/>
          <w:sz w:val="22"/>
          <w:lang w:val="fr-FR"/>
        </w:rPr>
        <w:t xml:space="preserve">. </w:t>
      </w:r>
      <w:r w:rsidR="00BE5611">
        <w:rPr>
          <w:rFonts w:cs="Times New Roman"/>
          <w:kern w:val="22"/>
          <w:sz w:val="22"/>
          <w:lang w:val="fr-FR"/>
        </w:rPr>
        <w:t xml:space="preserve">En ce qui concerne </w:t>
      </w:r>
      <w:r w:rsidR="000C7687">
        <w:rPr>
          <w:rFonts w:cs="Times New Roman"/>
          <w:kern w:val="22"/>
          <w:sz w:val="22"/>
          <w:lang w:val="fr-FR"/>
        </w:rPr>
        <w:t>les</w:t>
      </w:r>
      <w:r w:rsidR="004F1032" w:rsidRPr="004F1032">
        <w:rPr>
          <w:rFonts w:cs="Times New Roman"/>
          <w:kern w:val="22"/>
          <w:sz w:val="22"/>
          <w:lang w:val="fr-FR"/>
        </w:rPr>
        <w:t xml:space="preserve"> accords sur l’</w:t>
      </w:r>
      <w:r w:rsidR="00A70F9B" w:rsidRPr="004F1032">
        <w:rPr>
          <w:rFonts w:cs="Times New Roman"/>
          <w:kern w:val="22"/>
          <w:sz w:val="22"/>
          <w:lang w:val="fr-FR"/>
        </w:rPr>
        <w:t xml:space="preserve">accès et </w:t>
      </w:r>
      <w:r w:rsidR="004F1032" w:rsidRPr="004F1032">
        <w:rPr>
          <w:rFonts w:cs="Times New Roman"/>
          <w:kern w:val="22"/>
          <w:sz w:val="22"/>
          <w:lang w:val="fr-FR"/>
        </w:rPr>
        <w:t xml:space="preserve">le </w:t>
      </w:r>
      <w:r w:rsidR="00A70F9B" w:rsidRPr="004F1032">
        <w:rPr>
          <w:rFonts w:cs="Times New Roman"/>
          <w:kern w:val="22"/>
          <w:sz w:val="22"/>
          <w:lang w:val="fr-FR"/>
        </w:rPr>
        <w:t>partage des avantages</w:t>
      </w:r>
      <w:r w:rsidR="000C7687">
        <w:rPr>
          <w:rFonts w:cs="Times New Roman"/>
          <w:kern w:val="22"/>
          <w:sz w:val="22"/>
          <w:lang w:val="fr-FR"/>
        </w:rPr>
        <w:t xml:space="preserve"> concernant des</w:t>
      </w:r>
      <w:r w:rsidR="004F1032">
        <w:rPr>
          <w:rFonts w:cs="Times New Roman"/>
          <w:kern w:val="22"/>
          <w:sz w:val="22"/>
          <w:lang w:val="fr-FR"/>
        </w:rPr>
        <w:t xml:space="preserve"> </w:t>
      </w:r>
      <w:r w:rsidR="00E3674F" w:rsidRPr="004F1032">
        <w:rPr>
          <w:rFonts w:cs="Times New Roman"/>
          <w:kern w:val="22"/>
          <w:sz w:val="22"/>
          <w:lang w:val="fr-FR"/>
        </w:rPr>
        <w:t xml:space="preserve">connaissances traditionnelles </w:t>
      </w:r>
      <w:r w:rsidR="000C7687">
        <w:rPr>
          <w:rFonts w:cs="Times New Roman"/>
          <w:kern w:val="22"/>
          <w:sz w:val="22"/>
          <w:lang w:val="fr-FR"/>
        </w:rPr>
        <w:t xml:space="preserve">Guna et des </w:t>
      </w:r>
      <w:r w:rsidR="00E3674F" w:rsidRPr="004F1032">
        <w:rPr>
          <w:rFonts w:cs="Times New Roman"/>
          <w:kern w:val="22"/>
          <w:sz w:val="22"/>
          <w:lang w:val="fr-FR"/>
        </w:rPr>
        <w:t>ressources génétiques</w:t>
      </w:r>
      <w:r w:rsidR="000C7687">
        <w:rPr>
          <w:rFonts w:cs="Times New Roman"/>
          <w:kern w:val="22"/>
          <w:sz w:val="22"/>
          <w:lang w:val="fr-FR"/>
        </w:rPr>
        <w:t xml:space="preserve"> au Panama</w:t>
      </w:r>
      <w:r w:rsidR="00BE5611">
        <w:rPr>
          <w:rFonts w:cs="Times New Roman"/>
          <w:kern w:val="22"/>
          <w:sz w:val="22"/>
          <w:lang w:val="fr-FR"/>
        </w:rPr>
        <w:t>, la procédure suivie par le</w:t>
      </w:r>
      <w:r w:rsidR="004F1032">
        <w:rPr>
          <w:rFonts w:cs="Times New Roman"/>
          <w:kern w:val="22"/>
          <w:sz w:val="22"/>
          <w:lang w:val="fr-FR"/>
        </w:rPr>
        <w:t xml:space="preserve"> </w:t>
      </w:r>
      <w:r w:rsidR="00BE5611">
        <w:rPr>
          <w:rFonts w:cs="Times New Roman"/>
          <w:kern w:val="22"/>
          <w:sz w:val="22"/>
          <w:lang w:val="fr-FR"/>
        </w:rPr>
        <w:t>Gouvernement  panaméen est de mener</w:t>
      </w:r>
      <w:r w:rsidR="004F1032">
        <w:rPr>
          <w:rFonts w:cs="Times New Roman"/>
          <w:kern w:val="22"/>
          <w:sz w:val="22"/>
          <w:lang w:val="fr-FR"/>
        </w:rPr>
        <w:t xml:space="preserve"> des consultations avec des</w:t>
      </w:r>
      <w:r w:rsidR="00E600A0" w:rsidRPr="004F1032">
        <w:rPr>
          <w:rFonts w:cs="Times New Roman"/>
          <w:kern w:val="22"/>
          <w:sz w:val="22"/>
          <w:lang w:val="fr-FR"/>
        </w:rPr>
        <w:t xml:space="preserve"> </w:t>
      </w:r>
      <w:r w:rsidR="00B679BA" w:rsidRPr="004F1032">
        <w:rPr>
          <w:rFonts w:cs="Times New Roman"/>
          <w:kern w:val="22"/>
          <w:sz w:val="22"/>
          <w:lang w:val="fr-FR"/>
        </w:rPr>
        <w:t>représentant</w:t>
      </w:r>
      <w:r w:rsidR="00E600A0" w:rsidRPr="004F1032">
        <w:rPr>
          <w:rFonts w:cs="Times New Roman"/>
          <w:kern w:val="22"/>
          <w:sz w:val="22"/>
          <w:lang w:val="fr-FR"/>
        </w:rPr>
        <w:t xml:space="preserve">s </w:t>
      </w:r>
      <w:r w:rsidR="004F1032">
        <w:rPr>
          <w:rFonts w:cs="Times New Roman"/>
          <w:kern w:val="22"/>
          <w:sz w:val="22"/>
          <w:lang w:val="fr-FR"/>
        </w:rPr>
        <w:t>Guna et, si un</w:t>
      </w:r>
      <w:r w:rsidR="00E600A0" w:rsidRPr="004F1032">
        <w:rPr>
          <w:rFonts w:cs="Times New Roman"/>
          <w:kern w:val="22"/>
          <w:sz w:val="22"/>
          <w:lang w:val="fr-FR"/>
        </w:rPr>
        <w:t xml:space="preserve"> </w:t>
      </w:r>
      <w:r w:rsidR="00E15AC0" w:rsidRPr="004F1032">
        <w:rPr>
          <w:rFonts w:cs="Times New Roman"/>
          <w:kern w:val="22"/>
          <w:sz w:val="22"/>
          <w:lang w:val="fr-FR"/>
        </w:rPr>
        <w:t>accord</w:t>
      </w:r>
      <w:r w:rsidR="00E600A0" w:rsidRPr="004F1032">
        <w:rPr>
          <w:rFonts w:cs="Times New Roman"/>
          <w:kern w:val="22"/>
          <w:sz w:val="22"/>
          <w:lang w:val="fr-FR"/>
        </w:rPr>
        <w:t xml:space="preserve"> </w:t>
      </w:r>
      <w:r w:rsidR="00BE5611">
        <w:rPr>
          <w:rFonts w:cs="Times New Roman"/>
          <w:kern w:val="22"/>
          <w:sz w:val="22"/>
          <w:lang w:val="fr-FR"/>
        </w:rPr>
        <w:t>est conclu, de faciliter un partage</w:t>
      </w:r>
      <w:r w:rsidR="004F1032">
        <w:rPr>
          <w:rFonts w:cs="Times New Roman"/>
          <w:kern w:val="22"/>
          <w:sz w:val="22"/>
          <w:lang w:val="fr-FR"/>
        </w:rPr>
        <w:t xml:space="preserve"> des </w:t>
      </w:r>
      <w:r w:rsidR="000B36BE" w:rsidRPr="004F1032">
        <w:rPr>
          <w:rFonts w:cs="Times New Roman"/>
          <w:kern w:val="22"/>
          <w:sz w:val="22"/>
          <w:lang w:val="fr-FR"/>
        </w:rPr>
        <w:t>avantages</w:t>
      </w:r>
      <w:r w:rsidR="004F1032">
        <w:rPr>
          <w:rFonts w:cs="Times New Roman"/>
          <w:kern w:val="22"/>
          <w:sz w:val="22"/>
          <w:lang w:val="fr-FR"/>
        </w:rPr>
        <w:t xml:space="preserve"> </w:t>
      </w:r>
      <w:r w:rsidR="00BE5611">
        <w:rPr>
          <w:rFonts w:cs="Times New Roman"/>
          <w:kern w:val="22"/>
          <w:sz w:val="22"/>
          <w:lang w:val="fr-FR"/>
        </w:rPr>
        <w:t>en faveur du</w:t>
      </w:r>
      <w:r w:rsidR="004F1032">
        <w:rPr>
          <w:rFonts w:cs="Times New Roman"/>
          <w:kern w:val="22"/>
          <w:sz w:val="22"/>
          <w:lang w:val="fr-FR"/>
        </w:rPr>
        <w:t xml:space="preserve"> gr</w:t>
      </w:r>
      <w:r w:rsidR="00E600A0" w:rsidRPr="004F1032">
        <w:rPr>
          <w:rFonts w:cs="Times New Roman"/>
          <w:kern w:val="22"/>
          <w:sz w:val="22"/>
          <w:lang w:val="fr-FR"/>
        </w:rPr>
        <w:t>oup</w:t>
      </w:r>
      <w:r w:rsidR="004F1032">
        <w:rPr>
          <w:rFonts w:cs="Times New Roman"/>
          <w:kern w:val="22"/>
          <w:sz w:val="22"/>
          <w:lang w:val="fr-FR"/>
        </w:rPr>
        <w:t>e, sans se préoccuper du fait que le</w:t>
      </w:r>
      <w:r w:rsidR="00E600A0" w:rsidRPr="004F1032">
        <w:rPr>
          <w:rFonts w:cs="Times New Roman"/>
          <w:kern w:val="22"/>
          <w:sz w:val="22"/>
          <w:lang w:val="fr-FR"/>
        </w:rPr>
        <w:t xml:space="preserve"> group</w:t>
      </w:r>
      <w:r w:rsidR="000C7687">
        <w:rPr>
          <w:rFonts w:cs="Times New Roman"/>
          <w:kern w:val="22"/>
          <w:sz w:val="22"/>
          <w:lang w:val="fr-FR"/>
        </w:rPr>
        <w:t>e se situe</w:t>
      </w:r>
      <w:r w:rsidR="004F1032">
        <w:rPr>
          <w:rFonts w:cs="Times New Roman"/>
          <w:kern w:val="22"/>
          <w:sz w:val="22"/>
          <w:lang w:val="fr-FR"/>
        </w:rPr>
        <w:t xml:space="preserve"> physiquement dans deux</w:t>
      </w:r>
      <w:r w:rsidR="00E600A0" w:rsidRPr="004F1032">
        <w:rPr>
          <w:rFonts w:cs="Times New Roman"/>
          <w:kern w:val="22"/>
          <w:sz w:val="22"/>
          <w:lang w:val="fr-FR"/>
        </w:rPr>
        <w:t xml:space="preserve"> </w:t>
      </w:r>
      <w:r w:rsidR="00E40444" w:rsidRPr="004F1032">
        <w:rPr>
          <w:rFonts w:cs="Times New Roman"/>
          <w:kern w:val="22"/>
          <w:sz w:val="22"/>
          <w:lang w:val="fr-FR"/>
        </w:rPr>
        <w:t>pays</w:t>
      </w:r>
      <w:r w:rsidR="000C7687">
        <w:rPr>
          <w:rFonts w:cs="Times New Roman"/>
          <w:kern w:val="22"/>
          <w:sz w:val="22"/>
          <w:lang w:val="fr-FR"/>
        </w:rPr>
        <w:t> ;</w:t>
      </w:r>
      <w:r w:rsidR="004F1032">
        <w:rPr>
          <w:rFonts w:cs="Times New Roman"/>
          <w:kern w:val="22"/>
          <w:sz w:val="22"/>
          <w:lang w:val="fr-FR"/>
        </w:rPr>
        <w:t xml:space="preserve"> il semble que le Gouvernement</w:t>
      </w:r>
      <w:r w:rsidR="004C40F1" w:rsidRPr="004F1032">
        <w:rPr>
          <w:rFonts w:cs="Times New Roman"/>
          <w:kern w:val="22"/>
          <w:sz w:val="22"/>
          <w:lang w:val="fr-FR"/>
        </w:rPr>
        <w:t xml:space="preserve"> </w:t>
      </w:r>
      <w:r w:rsidR="004F1032">
        <w:rPr>
          <w:rFonts w:cs="Times New Roman"/>
          <w:kern w:val="22"/>
          <w:sz w:val="22"/>
          <w:lang w:val="fr-FR"/>
        </w:rPr>
        <w:t>c</w:t>
      </w:r>
      <w:r w:rsidR="000C3696" w:rsidRPr="004F1032">
        <w:rPr>
          <w:rFonts w:cs="Times New Roman"/>
          <w:kern w:val="22"/>
          <w:sz w:val="22"/>
          <w:lang w:val="fr-FR"/>
        </w:rPr>
        <w:t>olombie</w:t>
      </w:r>
      <w:r w:rsidR="004C40F1" w:rsidRPr="004F1032">
        <w:rPr>
          <w:rFonts w:cs="Times New Roman"/>
          <w:kern w:val="22"/>
          <w:sz w:val="22"/>
          <w:lang w:val="fr-FR"/>
        </w:rPr>
        <w:t xml:space="preserve">n </w:t>
      </w:r>
      <w:r w:rsidR="000C7687">
        <w:rPr>
          <w:rFonts w:cs="Times New Roman"/>
          <w:kern w:val="22"/>
          <w:sz w:val="22"/>
          <w:lang w:val="fr-FR"/>
        </w:rPr>
        <w:t>ait retenu</w:t>
      </w:r>
      <w:r w:rsidR="00F570B6">
        <w:rPr>
          <w:rFonts w:cs="Times New Roman"/>
          <w:kern w:val="22"/>
          <w:sz w:val="22"/>
          <w:lang w:val="fr-FR"/>
        </w:rPr>
        <w:t xml:space="preserve"> </w:t>
      </w:r>
      <w:r w:rsidR="004F1032">
        <w:rPr>
          <w:rFonts w:cs="Times New Roman"/>
          <w:kern w:val="22"/>
          <w:sz w:val="22"/>
          <w:lang w:val="fr-FR"/>
        </w:rPr>
        <w:t>une mêm</w:t>
      </w:r>
      <w:r w:rsidR="00F570B6">
        <w:rPr>
          <w:rFonts w:cs="Times New Roman"/>
          <w:kern w:val="22"/>
          <w:sz w:val="22"/>
          <w:lang w:val="fr-FR"/>
        </w:rPr>
        <w:t>e</w:t>
      </w:r>
      <w:r w:rsidR="004C40F1" w:rsidRPr="004F1032">
        <w:rPr>
          <w:rFonts w:cs="Times New Roman"/>
          <w:kern w:val="22"/>
          <w:sz w:val="22"/>
          <w:lang w:val="fr-FR"/>
        </w:rPr>
        <w:t xml:space="preserve"> </w:t>
      </w:r>
      <w:r w:rsidR="001A200E" w:rsidRPr="004F1032">
        <w:rPr>
          <w:rFonts w:cs="Times New Roman"/>
          <w:kern w:val="22"/>
          <w:sz w:val="22"/>
          <w:lang w:val="fr-FR"/>
        </w:rPr>
        <w:t>approche</w:t>
      </w:r>
      <w:r w:rsidR="00E600A0" w:rsidRPr="004F1032">
        <w:rPr>
          <w:rFonts w:cs="Times New Roman"/>
          <w:kern w:val="22"/>
          <w:sz w:val="22"/>
          <w:lang w:val="fr-FR"/>
        </w:rPr>
        <w:t>.</w:t>
      </w:r>
      <w:r w:rsidR="00E600A0" w:rsidRPr="002364AB">
        <w:rPr>
          <w:rStyle w:val="FootnoteReference"/>
          <w:kern w:val="22"/>
          <w:sz w:val="22"/>
          <w:lang w:val="en-GB"/>
        </w:rPr>
        <w:footnoteReference w:id="169"/>
      </w:r>
      <w:r w:rsidR="00E600A0" w:rsidRPr="004F1032">
        <w:rPr>
          <w:rFonts w:cs="Times New Roman"/>
          <w:kern w:val="22"/>
          <w:sz w:val="22"/>
          <w:lang w:val="fr-FR"/>
        </w:rPr>
        <w:t xml:space="preserve"> </w:t>
      </w:r>
      <w:r w:rsidR="00BE5611">
        <w:rPr>
          <w:rFonts w:cs="Times New Roman"/>
          <w:kern w:val="22"/>
          <w:sz w:val="22"/>
          <w:lang w:val="fr-FR"/>
        </w:rPr>
        <w:t>On notera qu’un tel</w:t>
      </w:r>
      <w:r w:rsidR="00D10719" w:rsidRPr="00D10719">
        <w:rPr>
          <w:rFonts w:cs="Times New Roman"/>
          <w:kern w:val="22"/>
          <w:sz w:val="22"/>
          <w:lang w:val="fr-FR"/>
        </w:rPr>
        <w:t xml:space="preserve"> type de</w:t>
      </w:r>
      <w:r w:rsidR="009F0C7E" w:rsidRPr="00D10719">
        <w:rPr>
          <w:rFonts w:cs="Times New Roman"/>
          <w:kern w:val="22"/>
          <w:sz w:val="22"/>
          <w:lang w:val="fr-FR"/>
        </w:rPr>
        <w:t xml:space="preserve"> </w:t>
      </w:r>
      <w:r w:rsidR="00D10719">
        <w:rPr>
          <w:rFonts w:cs="Times New Roman"/>
          <w:kern w:val="22"/>
          <w:sz w:val="22"/>
          <w:lang w:val="fr-FR"/>
        </w:rPr>
        <w:t>scé</w:t>
      </w:r>
      <w:r w:rsidR="00D10719" w:rsidRPr="00D10719">
        <w:rPr>
          <w:rFonts w:cs="Times New Roman"/>
          <w:kern w:val="22"/>
          <w:sz w:val="22"/>
          <w:lang w:val="fr-FR"/>
        </w:rPr>
        <w:t xml:space="preserve">nario pourrait </w:t>
      </w:r>
      <w:r w:rsidR="00BE5611">
        <w:rPr>
          <w:rFonts w:cs="Times New Roman"/>
          <w:kern w:val="22"/>
          <w:sz w:val="22"/>
          <w:lang w:val="fr-FR"/>
        </w:rPr>
        <w:t>être traité</w:t>
      </w:r>
      <w:r w:rsidR="00D10719">
        <w:rPr>
          <w:rFonts w:cs="Times New Roman"/>
          <w:kern w:val="22"/>
          <w:sz w:val="22"/>
          <w:lang w:val="fr-FR"/>
        </w:rPr>
        <w:t xml:space="preserve"> dans le cadre </w:t>
      </w:r>
      <w:r w:rsidR="00B90EF3" w:rsidRPr="00D10719">
        <w:rPr>
          <w:rFonts w:cs="Times New Roman"/>
          <w:kern w:val="22"/>
          <w:sz w:val="22"/>
          <w:lang w:val="fr-FR"/>
        </w:rPr>
        <w:t>de l’article</w:t>
      </w:r>
      <w:r w:rsidR="004C40F1" w:rsidRPr="00D10719">
        <w:rPr>
          <w:rFonts w:cs="Times New Roman"/>
          <w:kern w:val="22"/>
          <w:sz w:val="22"/>
          <w:lang w:val="fr-FR"/>
        </w:rPr>
        <w:t xml:space="preserve"> 11 </w:t>
      </w:r>
      <w:r w:rsidR="00F27467" w:rsidRPr="00D10719">
        <w:rPr>
          <w:rFonts w:cs="Times New Roman"/>
          <w:kern w:val="22"/>
          <w:sz w:val="22"/>
          <w:lang w:val="fr-FR"/>
        </w:rPr>
        <w:t>du Protocole</w:t>
      </w:r>
      <w:r w:rsidR="004C40F1" w:rsidRPr="00D10719">
        <w:rPr>
          <w:rFonts w:cs="Times New Roman"/>
          <w:kern w:val="22"/>
          <w:sz w:val="22"/>
          <w:lang w:val="fr-FR"/>
        </w:rPr>
        <w:t>.</w:t>
      </w:r>
      <w:r w:rsidR="00E600A0" w:rsidRPr="00D10719">
        <w:rPr>
          <w:rFonts w:cs="Times New Roman"/>
          <w:kern w:val="22"/>
          <w:sz w:val="22"/>
          <w:lang w:val="fr-FR"/>
        </w:rPr>
        <w:t xml:space="preserve"> </w:t>
      </w:r>
      <w:r w:rsidR="00D6232E" w:rsidRPr="00D10719">
        <w:rPr>
          <w:rFonts w:cs="Times New Roman"/>
          <w:kern w:val="22"/>
          <w:sz w:val="22"/>
          <w:lang w:val="fr-FR"/>
        </w:rPr>
        <w:t>Cependant</w:t>
      </w:r>
      <w:r w:rsidR="00BE5611">
        <w:rPr>
          <w:rFonts w:cs="Times New Roman"/>
          <w:kern w:val="22"/>
          <w:sz w:val="22"/>
          <w:lang w:val="fr-FR"/>
        </w:rPr>
        <w:t>, il convient d’indiquer</w:t>
      </w:r>
      <w:r w:rsidR="00D10719" w:rsidRPr="00D10719">
        <w:rPr>
          <w:rFonts w:cs="Times New Roman"/>
          <w:kern w:val="22"/>
          <w:sz w:val="22"/>
          <w:lang w:val="fr-FR"/>
        </w:rPr>
        <w:t xml:space="preserve"> que le</w:t>
      </w:r>
      <w:r w:rsidR="00D10719">
        <w:rPr>
          <w:rFonts w:cs="Times New Roman"/>
          <w:kern w:val="22"/>
          <w:sz w:val="22"/>
          <w:lang w:val="fr-FR"/>
        </w:rPr>
        <w:t xml:space="preserve"> </w:t>
      </w:r>
      <w:r w:rsidR="00E600A0" w:rsidRPr="00D10719">
        <w:rPr>
          <w:rFonts w:cs="Times New Roman"/>
          <w:kern w:val="22"/>
          <w:sz w:val="22"/>
          <w:lang w:val="fr-FR"/>
        </w:rPr>
        <w:t xml:space="preserve">Costa Rica </w:t>
      </w:r>
      <w:r w:rsidR="00BE5611">
        <w:rPr>
          <w:rFonts w:cs="Times New Roman"/>
          <w:kern w:val="22"/>
          <w:sz w:val="22"/>
          <w:lang w:val="fr-FR"/>
        </w:rPr>
        <w:t xml:space="preserve">a </w:t>
      </w:r>
      <w:r w:rsidR="00D10719">
        <w:rPr>
          <w:rFonts w:cs="Times New Roman"/>
          <w:kern w:val="22"/>
          <w:sz w:val="22"/>
          <w:lang w:val="fr-FR"/>
        </w:rPr>
        <w:t>identifié le</w:t>
      </w:r>
      <w:r w:rsidR="00E600A0" w:rsidRPr="00D10719">
        <w:rPr>
          <w:rFonts w:cs="Times New Roman"/>
          <w:kern w:val="22"/>
          <w:sz w:val="22"/>
          <w:lang w:val="fr-FR"/>
        </w:rPr>
        <w:t xml:space="preserve"> </w:t>
      </w:r>
      <w:r w:rsidR="00D10719">
        <w:rPr>
          <w:rFonts w:cs="Times New Roman"/>
          <w:kern w:val="22"/>
          <w:sz w:val="22"/>
          <w:lang w:val="fr-FR"/>
        </w:rPr>
        <w:t>cas du peuple Ngobe Bugle</w:t>
      </w:r>
      <w:r w:rsidR="004C40F1" w:rsidRPr="00D10719">
        <w:rPr>
          <w:rFonts w:cs="Times New Roman"/>
          <w:kern w:val="22"/>
          <w:sz w:val="22"/>
          <w:lang w:val="fr-FR"/>
        </w:rPr>
        <w:t>,</w:t>
      </w:r>
      <w:r w:rsidR="00E600A0" w:rsidRPr="00D10719">
        <w:rPr>
          <w:rFonts w:cs="Times New Roman"/>
          <w:kern w:val="22"/>
          <w:sz w:val="22"/>
          <w:lang w:val="fr-FR"/>
        </w:rPr>
        <w:t xml:space="preserve"> </w:t>
      </w:r>
      <w:r w:rsidR="00BE5611">
        <w:rPr>
          <w:rFonts w:cs="Times New Roman"/>
          <w:kern w:val="22"/>
          <w:sz w:val="22"/>
          <w:lang w:val="fr-FR"/>
        </w:rPr>
        <w:t>qui est situé à la fois au</w:t>
      </w:r>
      <w:r w:rsidR="00E600A0" w:rsidRPr="00D10719">
        <w:rPr>
          <w:rFonts w:cs="Times New Roman"/>
          <w:kern w:val="22"/>
          <w:sz w:val="22"/>
          <w:lang w:val="fr-FR"/>
        </w:rPr>
        <w:t xml:space="preserve"> Costa Rica</w:t>
      </w:r>
      <w:r w:rsidR="00E3674F" w:rsidRPr="00D10719">
        <w:rPr>
          <w:rFonts w:cs="Times New Roman"/>
          <w:kern w:val="22"/>
          <w:sz w:val="22"/>
          <w:lang w:val="fr-FR"/>
        </w:rPr>
        <w:t xml:space="preserve"> et</w:t>
      </w:r>
      <w:r w:rsidR="00BE5611">
        <w:rPr>
          <w:rFonts w:cs="Times New Roman"/>
          <w:kern w:val="22"/>
          <w:sz w:val="22"/>
          <w:lang w:val="fr-FR"/>
        </w:rPr>
        <w:t xml:space="preserve"> au</w:t>
      </w:r>
      <w:r w:rsidR="00E3674F" w:rsidRPr="00D10719">
        <w:rPr>
          <w:rFonts w:cs="Times New Roman"/>
          <w:kern w:val="22"/>
          <w:sz w:val="22"/>
          <w:lang w:val="fr-FR"/>
        </w:rPr>
        <w:t xml:space="preserve"> </w:t>
      </w:r>
      <w:r w:rsidR="00E600A0" w:rsidRPr="00D10719">
        <w:rPr>
          <w:rFonts w:cs="Times New Roman"/>
          <w:kern w:val="22"/>
          <w:sz w:val="22"/>
          <w:lang w:val="fr-FR"/>
        </w:rPr>
        <w:t>Panama</w:t>
      </w:r>
      <w:r w:rsidR="004C40F1" w:rsidRPr="00D10719">
        <w:rPr>
          <w:rFonts w:cs="Times New Roman"/>
          <w:kern w:val="22"/>
          <w:sz w:val="22"/>
          <w:lang w:val="fr-FR"/>
        </w:rPr>
        <w:t>,</w:t>
      </w:r>
      <w:r w:rsidR="00E600A0" w:rsidRPr="00D10719">
        <w:rPr>
          <w:rFonts w:cs="Times New Roman"/>
          <w:kern w:val="22"/>
          <w:sz w:val="22"/>
          <w:lang w:val="fr-FR"/>
        </w:rPr>
        <w:t xml:space="preserve"> </w:t>
      </w:r>
      <w:r w:rsidR="00BE5611">
        <w:rPr>
          <w:rFonts w:cs="Times New Roman"/>
          <w:kern w:val="22"/>
          <w:sz w:val="22"/>
          <w:lang w:val="fr-FR"/>
        </w:rPr>
        <w:t>comme pouvant être gér</w:t>
      </w:r>
      <w:r w:rsidR="00D10719">
        <w:rPr>
          <w:rFonts w:cs="Times New Roman"/>
          <w:kern w:val="22"/>
          <w:sz w:val="22"/>
          <w:lang w:val="fr-FR"/>
        </w:rPr>
        <w:t xml:space="preserve">é potentiellement dans le cadre d’un </w:t>
      </w:r>
      <w:r w:rsidR="001A200E" w:rsidRPr="00D10719">
        <w:rPr>
          <w:rFonts w:cs="Times New Roman"/>
          <w:kern w:val="22"/>
          <w:sz w:val="22"/>
          <w:lang w:val="fr-FR"/>
        </w:rPr>
        <w:t>mécanisme multilatéral mondial</w:t>
      </w:r>
      <w:r w:rsidR="00E3674F" w:rsidRPr="00D10719">
        <w:rPr>
          <w:rFonts w:cs="Times New Roman"/>
          <w:kern w:val="22"/>
          <w:sz w:val="22"/>
          <w:lang w:val="fr-FR"/>
        </w:rPr>
        <w:t xml:space="preserve"> de partage des avantages</w:t>
      </w:r>
      <w:r w:rsidR="00E600A0" w:rsidRPr="00D10719">
        <w:rPr>
          <w:rFonts w:cs="Times New Roman"/>
          <w:kern w:val="22"/>
          <w:sz w:val="22"/>
          <w:lang w:val="fr-FR"/>
        </w:rPr>
        <w:t>.</w:t>
      </w:r>
      <w:r w:rsidR="00E600A0" w:rsidRPr="002364AB">
        <w:rPr>
          <w:rStyle w:val="FootnoteReference"/>
          <w:kern w:val="22"/>
          <w:sz w:val="22"/>
          <w:lang w:val="en-GB"/>
        </w:rPr>
        <w:footnoteReference w:id="170"/>
      </w:r>
    </w:p>
    <w:p w14:paraId="6E007911" w14:textId="7133E069" w:rsidR="00E600A0" w:rsidRPr="003F6B4A" w:rsidRDefault="008A5BE1" w:rsidP="00E600A0">
      <w:pPr>
        <w:rPr>
          <w:i/>
          <w:kern w:val="22"/>
          <w:sz w:val="22"/>
          <w:lang w:val="fr-FR"/>
        </w:rPr>
      </w:pPr>
      <w:r>
        <w:rPr>
          <w:i/>
          <w:kern w:val="22"/>
          <w:sz w:val="22"/>
          <w:lang w:val="fr-FR"/>
        </w:rPr>
        <w:t>Scé</w:t>
      </w:r>
      <w:r w:rsidR="00E600A0" w:rsidRPr="003F6B4A">
        <w:rPr>
          <w:i/>
          <w:kern w:val="22"/>
          <w:sz w:val="22"/>
          <w:lang w:val="fr-FR"/>
        </w:rPr>
        <w:t xml:space="preserve">nario </w:t>
      </w:r>
      <w:r w:rsidR="00B87DAB" w:rsidRPr="003F6B4A">
        <w:rPr>
          <w:i/>
          <w:kern w:val="22"/>
          <w:sz w:val="22"/>
          <w:lang w:val="fr-FR"/>
        </w:rPr>
        <w:t>2</w:t>
      </w:r>
      <w:r w:rsidR="00E600A0" w:rsidRPr="003F6B4A">
        <w:rPr>
          <w:i/>
          <w:kern w:val="22"/>
          <w:sz w:val="22"/>
          <w:lang w:val="fr-FR"/>
        </w:rPr>
        <w:t xml:space="preserve">: </w:t>
      </w:r>
      <w:r w:rsidR="00E3674F" w:rsidRPr="003F6B4A">
        <w:rPr>
          <w:i/>
          <w:kern w:val="22"/>
          <w:sz w:val="22"/>
          <w:lang w:val="fr-FR"/>
        </w:rPr>
        <w:t>Connaissances traditionnelles</w:t>
      </w:r>
      <w:r w:rsidR="00E600A0" w:rsidRPr="003F6B4A">
        <w:rPr>
          <w:i/>
          <w:kern w:val="22"/>
          <w:sz w:val="22"/>
          <w:lang w:val="fr-FR"/>
        </w:rPr>
        <w:t xml:space="preserve"> </w:t>
      </w:r>
      <w:r w:rsidR="003F6B4A" w:rsidRPr="003F6B4A">
        <w:rPr>
          <w:i/>
          <w:kern w:val="22"/>
          <w:sz w:val="22"/>
          <w:lang w:val="fr-FR"/>
        </w:rPr>
        <w:t>détenues par</w:t>
      </w:r>
      <w:r w:rsidR="00E600A0" w:rsidRPr="003F6B4A">
        <w:rPr>
          <w:i/>
          <w:kern w:val="22"/>
          <w:sz w:val="22"/>
          <w:lang w:val="fr-FR"/>
        </w:rPr>
        <w:t xml:space="preserve"> </w:t>
      </w:r>
      <w:r w:rsidR="00BC0012">
        <w:rPr>
          <w:i/>
          <w:kern w:val="22"/>
          <w:sz w:val="22"/>
          <w:lang w:val="fr-FR"/>
        </w:rPr>
        <w:t>plusieurs groupes situé</w:t>
      </w:r>
      <w:r w:rsidR="0092735F">
        <w:rPr>
          <w:i/>
          <w:kern w:val="22"/>
          <w:sz w:val="22"/>
          <w:lang w:val="fr-FR"/>
        </w:rPr>
        <w:t xml:space="preserve">s </w:t>
      </w:r>
      <w:r w:rsidR="00BE4772">
        <w:rPr>
          <w:i/>
          <w:kern w:val="22"/>
          <w:sz w:val="22"/>
          <w:lang w:val="fr-FR"/>
        </w:rPr>
        <w:t>dans plusieurs pays</w:t>
      </w:r>
    </w:p>
    <w:p w14:paraId="23317B03" w14:textId="736011D6" w:rsidR="00E600A0" w:rsidRPr="005B26A0" w:rsidRDefault="00BE5611" w:rsidP="00E600A0">
      <w:pPr>
        <w:rPr>
          <w:kern w:val="22"/>
          <w:sz w:val="22"/>
          <w:lang w:val="fr-FR"/>
        </w:rPr>
      </w:pPr>
      <w:r>
        <w:rPr>
          <w:kern w:val="22"/>
          <w:sz w:val="22"/>
          <w:lang w:val="fr-FR"/>
        </w:rPr>
        <w:t>Les cas</w:t>
      </w:r>
      <w:r w:rsidR="000C7687">
        <w:rPr>
          <w:kern w:val="22"/>
          <w:sz w:val="22"/>
          <w:lang w:val="fr-FR"/>
        </w:rPr>
        <w:t xml:space="preserve"> releva</w:t>
      </w:r>
      <w:r w:rsidR="00D5202C">
        <w:rPr>
          <w:kern w:val="22"/>
          <w:sz w:val="22"/>
          <w:lang w:val="fr-FR"/>
        </w:rPr>
        <w:t xml:space="preserve">nt du </w:t>
      </w:r>
      <w:r w:rsidR="0062035A" w:rsidRPr="0062035A">
        <w:rPr>
          <w:kern w:val="22"/>
          <w:sz w:val="22"/>
          <w:lang w:val="fr-FR"/>
        </w:rPr>
        <w:t>s</w:t>
      </w:r>
      <w:r w:rsidR="00E752CB" w:rsidRPr="0062035A">
        <w:rPr>
          <w:kern w:val="22"/>
          <w:sz w:val="22"/>
          <w:lang w:val="fr-FR"/>
        </w:rPr>
        <w:t>cénario</w:t>
      </w:r>
      <w:r w:rsidR="00E600A0" w:rsidRPr="0062035A">
        <w:rPr>
          <w:kern w:val="22"/>
          <w:sz w:val="22"/>
          <w:lang w:val="fr-FR"/>
        </w:rPr>
        <w:t xml:space="preserve"> </w:t>
      </w:r>
      <w:r w:rsidR="00BF11E5" w:rsidRPr="0062035A">
        <w:rPr>
          <w:kern w:val="22"/>
          <w:sz w:val="22"/>
          <w:lang w:val="fr-FR"/>
        </w:rPr>
        <w:t>2</w:t>
      </w:r>
      <w:r w:rsidR="005B26A0">
        <w:rPr>
          <w:kern w:val="22"/>
          <w:sz w:val="22"/>
          <w:lang w:val="fr-FR"/>
        </w:rPr>
        <w:t xml:space="preserve"> font partie des cas les plus </w:t>
      </w:r>
      <w:r w:rsidR="00E600A0" w:rsidRPr="0062035A">
        <w:rPr>
          <w:kern w:val="22"/>
          <w:sz w:val="22"/>
          <w:lang w:val="fr-FR"/>
        </w:rPr>
        <w:t>complex</w:t>
      </w:r>
      <w:r w:rsidR="000C7687">
        <w:rPr>
          <w:kern w:val="22"/>
          <w:sz w:val="22"/>
          <w:lang w:val="fr-FR"/>
        </w:rPr>
        <w:t>es à résoudre</w:t>
      </w:r>
      <w:r w:rsidR="005B26A0">
        <w:rPr>
          <w:kern w:val="22"/>
          <w:sz w:val="22"/>
          <w:lang w:val="fr-FR"/>
        </w:rPr>
        <w:t xml:space="preserve"> dans un contexte bilaté</w:t>
      </w:r>
      <w:r w:rsidR="00E600A0" w:rsidRPr="0062035A">
        <w:rPr>
          <w:kern w:val="22"/>
          <w:sz w:val="22"/>
          <w:lang w:val="fr-FR"/>
        </w:rPr>
        <w:t xml:space="preserve">ral </w:t>
      </w:r>
      <w:r w:rsidR="005B26A0">
        <w:rPr>
          <w:kern w:val="22"/>
          <w:sz w:val="22"/>
          <w:lang w:val="fr-FR"/>
        </w:rPr>
        <w:t>d’</w:t>
      </w:r>
      <w:r w:rsidR="00A70F9B" w:rsidRPr="0062035A">
        <w:rPr>
          <w:kern w:val="22"/>
          <w:sz w:val="22"/>
          <w:lang w:val="fr-FR"/>
        </w:rPr>
        <w:t xml:space="preserve">accès et </w:t>
      </w:r>
      <w:r w:rsidR="005B26A0">
        <w:rPr>
          <w:kern w:val="22"/>
          <w:sz w:val="22"/>
          <w:lang w:val="fr-FR"/>
        </w:rPr>
        <w:t xml:space="preserve">de </w:t>
      </w:r>
      <w:r w:rsidR="00A70F9B" w:rsidRPr="0062035A">
        <w:rPr>
          <w:kern w:val="22"/>
          <w:sz w:val="22"/>
          <w:lang w:val="fr-FR"/>
        </w:rPr>
        <w:t>partage des avantages</w:t>
      </w:r>
      <w:r w:rsidR="00E600A0" w:rsidRPr="0062035A">
        <w:rPr>
          <w:kern w:val="22"/>
          <w:sz w:val="22"/>
          <w:lang w:val="fr-FR"/>
        </w:rPr>
        <w:t xml:space="preserve">. </w:t>
      </w:r>
      <w:r>
        <w:rPr>
          <w:kern w:val="22"/>
          <w:sz w:val="22"/>
          <w:lang w:val="fr-FR"/>
        </w:rPr>
        <w:t xml:space="preserve">En effet, non seulement </w:t>
      </w:r>
      <w:r w:rsidR="000C7687">
        <w:rPr>
          <w:kern w:val="22"/>
          <w:sz w:val="22"/>
          <w:lang w:val="fr-FR"/>
        </w:rPr>
        <w:t>on est en pré</w:t>
      </w:r>
      <w:r w:rsidR="005B26A0" w:rsidRPr="005B26A0">
        <w:rPr>
          <w:kern w:val="22"/>
          <w:sz w:val="22"/>
          <w:lang w:val="fr-FR"/>
        </w:rPr>
        <w:t>sence de plusieurs</w:t>
      </w:r>
      <w:r w:rsidR="00830BE4" w:rsidRPr="005B26A0">
        <w:rPr>
          <w:kern w:val="22"/>
          <w:sz w:val="22"/>
          <w:lang w:val="fr-FR"/>
        </w:rPr>
        <w:t xml:space="preserve"> peuples autochtones et communautés locales</w:t>
      </w:r>
      <w:r>
        <w:rPr>
          <w:kern w:val="22"/>
          <w:sz w:val="22"/>
          <w:lang w:val="fr-FR"/>
        </w:rPr>
        <w:t xml:space="preserve"> disposant ou non de</w:t>
      </w:r>
      <w:r w:rsidR="005B26A0">
        <w:rPr>
          <w:kern w:val="22"/>
          <w:sz w:val="22"/>
          <w:lang w:val="fr-FR"/>
        </w:rPr>
        <w:t xml:space="preserve"> </w:t>
      </w:r>
      <w:r w:rsidR="0022044D" w:rsidRPr="005B26A0">
        <w:rPr>
          <w:kern w:val="22"/>
          <w:sz w:val="22"/>
          <w:lang w:val="fr-FR"/>
        </w:rPr>
        <w:t>protocol</w:t>
      </w:r>
      <w:r w:rsidR="005B26A0">
        <w:rPr>
          <w:kern w:val="22"/>
          <w:sz w:val="22"/>
          <w:lang w:val="fr-FR"/>
        </w:rPr>
        <w:t>e</w:t>
      </w:r>
      <w:r>
        <w:rPr>
          <w:kern w:val="22"/>
          <w:sz w:val="22"/>
          <w:lang w:val="fr-FR"/>
        </w:rPr>
        <w:t>s</w:t>
      </w:r>
      <w:r w:rsidR="005B26A0">
        <w:rPr>
          <w:kern w:val="22"/>
          <w:sz w:val="22"/>
          <w:lang w:val="fr-FR"/>
        </w:rPr>
        <w:t xml:space="preserve"> communautaire</w:t>
      </w:r>
      <w:r>
        <w:rPr>
          <w:kern w:val="22"/>
          <w:sz w:val="22"/>
          <w:lang w:val="fr-FR"/>
        </w:rPr>
        <w:t>s</w:t>
      </w:r>
      <w:r w:rsidR="00E600A0" w:rsidRPr="005B26A0">
        <w:rPr>
          <w:kern w:val="22"/>
          <w:sz w:val="22"/>
          <w:lang w:val="fr-FR"/>
        </w:rPr>
        <w:t>,</w:t>
      </w:r>
      <w:r w:rsidR="009F0C7E" w:rsidRPr="002364AB">
        <w:rPr>
          <w:rStyle w:val="FootnoteReference"/>
          <w:kern w:val="22"/>
          <w:sz w:val="22"/>
          <w:lang w:val="en-GB"/>
        </w:rPr>
        <w:footnoteReference w:id="171"/>
      </w:r>
      <w:r w:rsidR="00E600A0" w:rsidRPr="005B26A0">
        <w:rPr>
          <w:kern w:val="22"/>
          <w:sz w:val="22"/>
          <w:lang w:val="fr-FR"/>
        </w:rPr>
        <w:t xml:space="preserve"> </w:t>
      </w:r>
      <w:r w:rsidR="005B26A0">
        <w:rPr>
          <w:kern w:val="22"/>
          <w:sz w:val="22"/>
          <w:lang w:val="fr-FR"/>
        </w:rPr>
        <w:t>mais aussi, plusieurs Etat</w:t>
      </w:r>
      <w:r w:rsidR="00E40444" w:rsidRPr="005B26A0">
        <w:rPr>
          <w:kern w:val="22"/>
          <w:sz w:val="22"/>
          <w:lang w:val="fr-FR"/>
        </w:rPr>
        <w:t>s</w:t>
      </w:r>
      <w:r w:rsidR="005B26A0">
        <w:rPr>
          <w:kern w:val="22"/>
          <w:sz w:val="22"/>
          <w:lang w:val="fr-FR"/>
        </w:rPr>
        <w:t xml:space="preserve"> souverains sont concernés et ne sont pas toujours en m</w:t>
      </w:r>
      <w:r w:rsidR="004C4432">
        <w:rPr>
          <w:kern w:val="22"/>
          <w:sz w:val="22"/>
          <w:lang w:val="fr-FR"/>
        </w:rPr>
        <w:t>esure d’identifier facilement</w:t>
      </w:r>
      <w:r w:rsidR="005B26A0">
        <w:rPr>
          <w:kern w:val="22"/>
          <w:sz w:val="22"/>
          <w:lang w:val="fr-FR"/>
        </w:rPr>
        <w:t xml:space="preserve"> les pers</w:t>
      </w:r>
      <w:r w:rsidR="004C4432">
        <w:rPr>
          <w:kern w:val="22"/>
          <w:sz w:val="22"/>
          <w:lang w:val="fr-FR"/>
        </w:rPr>
        <w:t>onnes qui doivent bénéficier d’un partage des</w:t>
      </w:r>
      <w:r w:rsidR="00E600A0" w:rsidRPr="005B26A0">
        <w:rPr>
          <w:kern w:val="22"/>
          <w:sz w:val="22"/>
          <w:lang w:val="fr-FR"/>
        </w:rPr>
        <w:t xml:space="preserve"> </w:t>
      </w:r>
      <w:r w:rsidR="000B36BE" w:rsidRPr="005B26A0">
        <w:rPr>
          <w:kern w:val="22"/>
          <w:sz w:val="22"/>
          <w:lang w:val="fr-FR"/>
        </w:rPr>
        <w:t>avantages</w:t>
      </w:r>
      <w:r w:rsidR="00C61126" w:rsidRPr="005B26A0">
        <w:rPr>
          <w:kern w:val="22"/>
          <w:sz w:val="22"/>
          <w:lang w:val="fr-FR"/>
        </w:rPr>
        <w:t>,</w:t>
      </w:r>
      <w:r w:rsidR="0028742E" w:rsidRPr="005B26A0">
        <w:rPr>
          <w:kern w:val="22"/>
          <w:sz w:val="22"/>
          <w:lang w:val="fr-FR"/>
        </w:rPr>
        <w:t xml:space="preserve"> ou </w:t>
      </w:r>
      <w:r w:rsidR="005B26A0">
        <w:rPr>
          <w:kern w:val="22"/>
          <w:sz w:val="22"/>
          <w:lang w:val="fr-FR"/>
        </w:rPr>
        <w:t>avec lesq</w:t>
      </w:r>
      <w:r w:rsidR="004C4432">
        <w:rPr>
          <w:kern w:val="22"/>
          <w:sz w:val="22"/>
          <w:lang w:val="fr-FR"/>
        </w:rPr>
        <w:t>uelles il convient de conclure</w:t>
      </w:r>
      <w:r w:rsidR="005B26A0">
        <w:rPr>
          <w:kern w:val="22"/>
          <w:sz w:val="22"/>
          <w:lang w:val="fr-FR"/>
        </w:rPr>
        <w:t xml:space="preserve"> un </w:t>
      </w:r>
      <w:r w:rsidR="00E15AC0" w:rsidRPr="005B26A0">
        <w:rPr>
          <w:kern w:val="22"/>
          <w:sz w:val="22"/>
          <w:lang w:val="fr-FR"/>
        </w:rPr>
        <w:t>accord</w:t>
      </w:r>
      <w:r w:rsidR="00E600A0" w:rsidRPr="005B26A0">
        <w:rPr>
          <w:kern w:val="22"/>
          <w:sz w:val="22"/>
          <w:lang w:val="fr-FR"/>
        </w:rPr>
        <w:t xml:space="preserve"> </w:t>
      </w:r>
      <w:r w:rsidR="005B26A0">
        <w:rPr>
          <w:kern w:val="22"/>
          <w:sz w:val="22"/>
          <w:lang w:val="fr-FR"/>
        </w:rPr>
        <w:t xml:space="preserve">sur la </w:t>
      </w:r>
      <w:r w:rsidR="004C4432">
        <w:rPr>
          <w:kern w:val="22"/>
          <w:sz w:val="22"/>
          <w:lang w:val="fr-FR"/>
        </w:rPr>
        <w:t>voie à suivre, ce qui peut aboutir à une impossibilité pour les</w:t>
      </w:r>
      <w:r w:rsidR="005B26A0">
        <w:rPr>
          <w:kern w:val="22"/>
          <w:sz w:val="22"/>
          <w:lang w:val="fr-FR"/>
        </w:rPr>
        <w:t xml:space="preserve"> </w:t>
      </w:r>
      <w:r w:rsidR="008A362D" w:rsidRPr="005B26A0">
        <w:rPr>
          <w:kern w:val="22"/>
          <w:sz w:val="22"/>
          <w:lang w:val="fr-FR"/>
        </w:rPr>
        <w:t>chercheurs</w:t>
      </w:r>
      <w:r w:rsidR="005B26A0">
        <w:rPr>
          <w:kern w:val="22"/>
          <w:sz w:val="22"/>
          <w:lang w:val="fr-FR"/>
        </w:rPr>
        <w:t xml:space="preserve"> d’ob</w:t>
      </w:r>
      <w:r w:rsidR="004C4432">
        <w:rPr>
          <w:kern w:val="22"/>
          <w:sz w:val="22"/>
          <w:lang w:val="fr-FR"/>
        </w:rPr>
        <w:t>tenir les autorisations requises</w:t>
      </w:r>
      <w:r w:rsidR="005B26A0">
        <w:rPr>
          <w:kern w:val="22"/>
          <w:sz w:val="22"/>
          <w:lang w:val="fr-FR"/>
        </w:rPr>
        <w:t xml:space="preserve"> ou de partager équitablement les</w:t>
      </w:r>
      <w:r w:rsidR="00E600A0" w:rsidRPr="005B26A0">
        <w:rPr>
          <w:kern w:val="22"/>
          <w:sz w:val="22"/>
          <w:lang w:val="fr-FR"/>
        </w:rPr>
        <w:t xml:space="preserve"> </w:t>
      </w:r>
      <w:r w:rsidR="000B36BE" w:rsidRPr="005B26A0">
        <w:rPr>
          <w:kern w:val="22"/>
          <w:sz w:val="22"/>
          <w:lang w:val="fr-FR"/>
        </w:rPr>
        <w:t>avantages</w:t>
      </w:r>
      <w:r w:rsidR="005B26A0">
        <w:rPr>
          <w:kern w:val="22"/>
          <w:sz w:val="22"/>
          <w:lang w:val="fr-FR"/>
        </w:rPr>
        <w:t xml:space="preserve"> retirés</w:t>
      </w:r>
      <w:r w:rsidR="00E600A0" w:rsidRPr="005B26A0">
        <w:rPr>
          <w:kern w:val="22"/>
          <w:sz w:val="22"/>
          <w:lang w:val="fr-FR"/>
        </w:rPr>
        <w:t xml:space="preserve">. </w:t>
      </w:r>
    </w:p>
    <w:p w14:paraId="6A4F442B" w14:textId="705B467F" w:rsidR="00382C90" w:rsidRPr="00B143C2" w:rsidRDefault="008A5BE1" w:rsidP="00382C90">
      <w:pPr>
        <w:rPr>
          <w:rFonts w:eastAsia="Calibri" w:cs="Times New Roman"/>
          <w:color w:val="000000"/>
          <w:kern w:val="22"/>
          <w:sz w:val="22"/>
          <w:lang w:val="fr-FR"/>
        </w:rPr>
      </w:pPr>
      <w:r w:rsidRPr="005B26A0">
        <w:rPr>
          <w:kern w:val="22"/>
          <w:sz w:val="22"/>
          <w:lang w:val="fr-FR"/>
        </w:rPr>
        <w:t>À titre d’exemple</w:t>
      </w:r>
      <w:r w:rsidR="00382C90" w:rsidRPr="005B26A0">
        <w:rPr>
          <w:kern w:val="22"/>
          <w:sz w:val="22"/>
          <w:lang w:val="fr-FR"/>
        </w:rPr>
        <w:t xml:space="preserve">, </w:t>
      </w:r>
      <w:bookmarkStart w:id="163" w:name="_Hlk42085977"/>
      <w:r w:rsidR="005B26A0" w:rsidRPr="005B26A0">
        <w:rPr>
          <w:kern w:val="22"/>
          <w:sz w:val="22"/>
          <w:lang w:val="fr-FR"/>
        </w:rPr>
        <w:t xml:space="preserve">l’espèce </w:t>
      </w:r>
      <w:r w:rsidR="00382C90" w:rsidRPr="005B26A0">
        <w:rPr>
          <w:rFonts w:eastAsia="Calibri" w:cs="Times New Roman"/>
          <w:i/>
          <w:color w:val="000000"/>
          <w:kern w:val="22"/>
          <w:sz w:val="22"/>
          <w:lang w:val="fr-FR"/>
        </w:rPr>
        <w:t>Artemesia judaica</w:t>
      </w:r>
      <w:bookmarkEnd w:id="163"/>
      <w:r w:rsidR="005B26A0" w:rsidRPr="005B26A0">
        <w:rPr>
          <w:rFonts w:eastAsia="Calibri" w:cs="Times New Roman"/>
          <w:color w:val="000000"/>
          <w:kern w:val="22"/>
          <w:sz w:val="22"/>
          <w:lang w:val="fr-FR"/>
        </w:rPr>
        <w:t>, aussi connue sous le nom d</w:t>
      </w:r>
      <w:r w:rsidR="002E33B3" w:rsidRPr="005B26A0">
        <w:rPr>
          <w:rFonts w:eastAsia="Calibri" w:cs="Times New Roman"/>
          <w:color w:val="000000"/>
          <w:kern w:val="22"/>
          <w:sz w:val="22"/>
          <w:lang w:val="fr-FR"/>
        </w:rPr>
        <w:t>’</w:t>
      </w:r>
      <w:r w:rsidR="00EC2C07">
        <w:rPr>
          <w:rFonts w:eastAsia="Calibri" w:cs="Times New Roman"/>
          <w:color w:val="000000"/>
          <w:kern w:val="22"/>
          <w:sz w:val="22"/>
          <w:lang w:val="fr-FR"/>
        </w:rPr>
        <w:t>Armoise de Judée</w:t>
      </w:r>
      <w:r w:rsidR="0092735F">
        <w:rPr>
          <w:rFonts w:eastAsia="Calibri" w:cs="Times New Roman"/>
          <w:color w:val="000000"/>
          <w:kern w:val="22"/>
          <w:sz w:val="22"/>
          <w:lang w:val="fr-FR"/>
        </w:rPr>
        <w:t xml:space="preserve">, </w:t>
      </w:r>
      <w:r w:rsidR="004C4432">
        <w:rPr>
          <w:rFonts w:eastAsia="Calibri" w:cs="Times New Roman"/>
          <w:color w:val="000000"/>
          <w:kern w:val="22"/>
          <w:sz w:val="22"/>
          <w:lang w:val="fr-FR"/>
        </w:rPr>
        <w:t xml:space="preserve">est un arbuste </w:t>
      </w:r>
      <w:r w:rsidR="000C7687">
        <w:rPr>
          <w:rFonts w:eastAsia="Calibri" w:cs="Times New Roman"/>
          <w:color w:val="000000"/>
          <w:kern w:val="22"/>
          <w:sz w:val="22"/>
          <w:lang w:val="fr-FR"/>
        </w:rPr>
        <w:t>très souvent</w:t>
      </w:r>
      <w:r w:rsidR="004C4432">
        <w:rPr>
          <w:rFonts w:eastAsia="Calibri" w:cs="Times New Roman"/>
          <w:color w:val="000000"/>
          <w:kern w:val="22"/>
          <w:sz w:val="22"/>
          <w:lang w:val="fr-FR"/>
        </w:rPr>
        <w:t xml:space="preserve"> utilisé à </w:t>
      </w:r>
      <w:r w:rsidR="0092735F">
        <w:rPr>
          <w:rFonts w:eastAsia="Calibri" w:cs="Times New Roman"/>
          <w:color w:val="000000"/>
          <w:kern w:val="22"/>
          <w:sz w:val="22"/>
          <w:lang w:val="fr-FR"/>
        </w:rPr>
        <w:t xml:space="preserve">des fins </w:t>
      </w:r>
      <w:r w:rsidR="005B26A0">
        <w:rPr>
          <w:rFonts w:eastAsia="Calibri" w:cs="Times New Roman"/>
          <w:color w:val="000000"/>
          <w:kern w:val="22"/>
          <w:sz w:val="22"/>
          <w:lang w:val="fr-FR"/>
        </w:rPr>
        <w:t>médicinal</w:t>
      </w:r>
      <w:r w:rsidR="0092735F">
        <w:rPr>
          <w:rFonts w:eastAsia="Calibri" w:cs="Times New Roman"/>
          <w:color w:val="000000"/>
          <w:kern w:val="22"/>
          <w:sz w:val="22"/>
          <w:lang w:val="fr-FR"/>
        </w:rPr>
        <w:t>es dans toutes les zones désertiques d’</w:t>
      </w:r>
      <w:r w:rsidR="00F86971" w:rsidRPr="005B26A0">
        <w:rPr>
          <w:rFonts w:eastAsia="Calibri" w:cs="Times New Roman"/>
          <w:color w:val="000000"/>
          <w:kern w:val="22"/>
          <w:sz w:val="22"/>
          <w:lang w:val="fr-FR"/>
        </w:rPr>
        <w:t>Afrique du Nord</w:t>
      </w:r>
      <w:r w:rsidR="00E3674F" w:rsidRPr="005B26A0">
        <w:rPr>
          <w:rFonts w:eastAsia="Calibri" w:cs="Times New Roman"/>
          <w:color w:val="000000"/>
          <w:kern w:val="22"/>
          <w:sz w:val="22"/>
          <w:lang w:val="fr-FR"/>
        </w:rPr>
        <w:t xml:space="preserve"> et </w:t>
      </w:r>
      <w:r w:rsidR="0092735F">
        <w:rPr>
          <w:rFonts w:eastAsia="Calibri" w:cs="Times New Roman"/>
          <w:color w:val="000000"/>
          <w:kern w:val="22"/>
          <w:sz w:val="22"/>
          <w:lang w:val="fr-FR"/>
        </w:rPr>
        <w:t>d’Arabie</w:t>
      </w:r>
      <w:r w:rsidR="00382C90" w:rsidRPr="005B26A0">
        <w:rPr>
          <w:rFonts w:eastAsia="Calibri" w:cs="Times New Roman"/>
          <w:color w:val="000000"/>
          <w:kern w:val="22"/>
          <w:sz w:val="22"/>
          <w:lang w:val="fr-FR"/>
        </w:rPr>
        <w:t xml:space="preserve">. </w:t>
      </w:r>
      <w:r w:rsidR="004478A5" w:rsidRPr="005B26A0">
        <w:rPr>
          <w:rFonts w:eastAsia="Calibri" w:cs="Times New Roman"/>
          <w:color w:val="000000"/>
          <w:kern w:val="22"/>
          <w:sz w:val="22"/>
          <w:lang w:val="fr-FR"/>
        </w:rPr>
        <w:t>Les utilisations traditionnelles</w:t>
      </w:r>
      <w:r w:rsidR="0092735F">
        <w:rPr>
          <w:rFonts w:eastAsia="Calibri" w:cs="Times New Roman"/>
          <w:color w:val="000000"/>
          <w:kern w:val="22"/>
          <w:sz w:val="22"/>
          <w:lang w:val="fr-FR"/>
        </w:rPr>
        <w:t xml:space="preserve"> de cette</w:t>
      </w:r>
      <w:r w:rsidR="00382C90" w:rsidRPr="005B26A0">
        <w:rPr>
          <w:rFonts w:eastAsia="Calibri" w:cs="Times New Roman"/>
          <w:color w:val="000000"/>
          <w:kern w:val="22"/>
          <w:sz w:val="22"/>
          <w:lang w:val="fr-FR"/>
        </w:rPr>
        <w:t xml:space="preserve"> plant</w:t>
      </w:r>
      <w:r w:rsidR="0092735F">
        <w:rPr>
          <w:rFonts w:eastAsia="Calibri" w:cs="Times New Roman"/>
          <w:color w:val="000000"/>
          <w:kern w:val="22"/>
          <w:sz w:val="22"/>
          <w:lang w:val="fr-FR"/>
        </w:rPr>
        <w:t>e incluent des traitements contre le</w:t>
      </w:r>
      <w:r w:rsidR="00382C90" w:rsidRPr="005B26A0">
        <w:rPr>
          <w:rFonts w:eastAsia="Calibri" w:cs="Times New Roman"/>
          <w:color w:val="000000"/>
          <w:kern w:val="22"/>
          <w:sz w:val="22"/>
          <w:lang w:val="fr-FR"/>
        </w:rPr>
        <w:t xml:space="preserve"> cancer, </w:t>
      </w:r>
      <w:r w:rsidR="0092735F">
        <w:rPr>
          <w:rFonts w:eastAsia="Calibri" w:cs="Times New Roman"/>
          <w:color w:val="000000"/>
          <w:kern w:val="22"/>
          <w:sz w:val="22"/>
          <w:lang w:val="fr-FR"/>
        </w:rPr>
        <w:t>le diabète</w:t>
      </w:r>
      <w:r w:rsidR="00382C90" w:rsidRPr="005B26A0">
        <w:rPr>
          <w:rFonts w:eastAsia="Calibri" w:cs="Times New Roman"/>
          <w:color w:val="000000"/>
          <w:kern w:val="22"/>
          <w:sz w:val="22"/>
          <w:lang w:val="fr-FR"/>
        </w:rPr>
        <w:t xml:space="preserve">, </w:t>
      </w:r>
      <w:r w:rsidR="00F77FB6">
        <w:rPr>
          <w:rFonts w:eastAsia="Calibri" w:cs="Times New Roman"/>
          <w:color w:val="000000"/>
          <w:kern w:val="22"/>
          <w:sz w:val="22"/>
          <w:lang w:val="fr-FR"/>
        </w:rPr>
        <w:t>les infections fongiques</w:t>
      </w:r>
      <w:r w:rsidR="00382C90" w:rsidRPr="005B26A0">
        <w:rPr>
          <w:rFonts w:eastAsia="Calibri" w:cs="Times New Roman"/>
          <w:color w:val="000000"/>
          <w:kern w:val="22"/>
          <w:sz w:val="22"/>
          <w:lang w:val="fr-FR"/>
        </w:rPr>
        <w:t xml:space="preserve">, </w:t>
      </w:r>
      <w:r w:rsidR="0092735F">
        <w:rPr>
          <w:rFonts w:eastAsia="Calibri" w:cs="Times New Roman"/>
          <w:color w:val="000000"/>
          <w:kern w:val="22"/>
          <w:sz w:val="22"/>
          <w:lang w:val="fr-FR"/>
        </w:rPr>
        <w:t>l’</w:t>
      </w:r>
      <w:r w:rsidR="00A14BDE" w:rsidRPr="005B26A0">
        <w:rPr>
          <w:rFonts w:eastAsia="Calibri" w:cs="Times New Roman"/>
          <w:color w:val="000000"/>
          <w:kern w:val="22"/>
          <w:sz w:val="22"/>
          <w:lang w:val="fr-FR"/>
        </w:rPr>
        <w:t>a</w:t>
      </w:r>
      <w:r w:rsidR="00A14BDE">
        <w:rPr>
          <w:rFonts w:eastAsia="Calibri" w:cs="Times New Roman"/>
          <w:color w:val="000000"/>
          <w:kern w:val="22"/>
          <w:sz w:val="22"/>
          <w:lang w:val="fr-FR"/>
        </w:rPr>
        <w:t>rtér</w:t>
      </w:r>
      <w:r w:rsidR="00A14BDE" w:rsidRPr="005B26A0">
        <w:rPr>
          <w:rFonts w:eastAsia="Calibri" w:cs="Times New Roman"/>
          <w:color w:val="000000"/>
          <w:kern w:val="22"/>
          <w:sz w:val="22"/>
          <w:lang w:val="fr-FR"/>
        </w:rPr>
        <w:t>i</w:t>
      </w:r>
      <w:r w:rsidR="00A14BDE">
        <w:rPr>
          <w:rFonts w:eastAsia="Calibri" w:cs="Times New Roman"/>
          <w:color w:val="000000"/>
          <w:kern w:val="22"/>
          <w:sz w:val="22"/>
          <w:lang w:val="fr-FR"/>
        </w:rPr>
        <w:t>osclérose</w:t>
      </w:r>
      <w:r w:rsidR="00E3674F" w:rsidRPr="005B26A0">
        <w:rPr>
          <w:rFonts w:eastAsia="Calibri" w:cs="Times New Roman"/>
          <w:color w:val="000000"/>
          <w:kern w:val="22"/>
          <w:sz w:val="22"/>
          <w:lang w:val="fr-FR"/>
        </w:rPr>
        <w:t xml:space="preserve"> et </w:t>
      </w:r>
      <w:r w:rsidR="0092735F">
        <w:rPr>
          <w:rFonts w:eastAsia="Calibri" w:cs="Times New Roman"/>
          <w:color w:val="000000"/>
          <w:kern w:val="22"/>
          <w:sz w:val="22"/>
          <w:lang w:val="fr-FR"/>
        </w:rPr>
        <w:t>l’arthrite</w:t>
      </w:r>
      <w:r w:rsidR="00382C90" w:rsidRPr="005B26A0">
        <w:rPr>
          <w:rFonts w:eastAsia="Calibri" w:cs="Times New Roman"/>
          <w:color w:val="000000"/>
          <w:kern w:val="22"/>
          <w:sz w:val="22"/>
          <w:lang w:val="fr-FR"/>
        </w:rPr>
        <w:t>,</w:t>
      </w:r>
      <w:r w:rsidR="00E3674F" w:rsidRPr="005B26A0">
        <w:rPr>
          <w:rFonts w:eastAsia="Calibri" w:cs="Times New Roman"/>
          <w:color w:val="000000"/>
          <w:kern w:val="22"/>
          <w:sz w:val="22"/>
          <w:lang w:val="fr-FR"/>
        </w:rPr>
        <w:t xml:space="preserve"> et </w:t>
      </w:r>
      <w:r w:rsidR="00F77FB6">
        <w:rPr>
          <w:rFonts w:eastAsia="Calibri" w:cs="Times New Roman"/>
          <w:color w:val="000000"/>
          <w:kern w:val="22"/>
          <w:sz w:val="22"/>
          <w:lang w:val="fr-FR"/>
        </w:rPr>
        <w:t>on sait que cette plante est utilisée</w:t>
      </w:r>
      <w:r w:rsidR="00424B6E">
        <w:rPr>
          <w:rFonts w:eastAsia="Calibri" w:cs="Times New Roman"/>
          <w:color w:val="000000"/>
          <w:kern w:val="22"/>
          <w:sz w:val="22"/>
          <w:lang w:val="fr-FR"/>
        </w:rPr>
        <w:t xml:space="preserve"> </w:t>
      </w:r>
      <w:r w:rsidR="00F77FB6">
        <w:rPr>
          <w:rFonts w:eastAsia="Calibri" w:cs="Times New Roman"/>
          <w:color w:val="000000"/>
          <w:kern w:val="22"/>
          <w:sz w:val="22"/>
          <w:lang w:val="fr-FR"/>
        </w:rPr>
        <w:t xml:space="preserve">comme médicament </w:t>
      </w:r>
      <w:r w:rsidR="00F77FB6">
        <w:rPr>
          <w:rFonts w:eastAsia="Calibri" w:cs="Times New Roman"/>
          <w:color w:val="000000"/>
          <w:kern w:val="22"/>
          <w:sz w:val="22"/>
          <w:lang w:val="fr-FR"/>
        </w:rPr>
        <w:lastRenderedPageBreak/>
        <w:t>traditionne</w:t>
      </w:r>
      <w:r w:rsidR="00382C90" w:rsidRPr="005B26A0">
        <w:rPr>
          <w:rFonts w:eastAsia="Calibri" w:cs="Times New Roman"/>
          <w:color w:val="000000"/>
          <w:kern w:val="22"/>
          <w:sz w:val="22"/>
          <w:lang w:val="fr-FR"/>
        </w:rPr>
        <w:t xml:space="preserve">l </w:t>
      </w:r>
      <w:r w:rsidR="004C4432">
        <w:rPr>
          <w:rFonts w:eastAsia="Calibri" w:cs="Times New Roman"/>
          <w:color w:val="000000"/>
          <w:kern w:val="22"/>
          <w:sz w:val="22"/>
          <w:lang w:val="fr-FR"/>
        </w:rPr>
        <w:t>par plusieurs</w:t>
      </w:r>
      <w:r w:rsidR="00F77FB6">
        <w:rPr>
          <w:rFonts w:eastAsia="Calibri" w:cs="Times New Roman"/>
          <w:color w:val="000000"/>
          <w:kern w:val="22"/>
          <w:sz w:val="22"/>
          <w:lang w:val="fr-FR"/>
        </w:rPr>
        <w:t xml:space="preserve"> </w:t>
      </w:r>
      <w:r w:rsidR="00830BE4" w:rsidRPr="005B26A0">
        <w:rPr>
          <w:rFonts w:eastAsia="Calibri" w:cs="Times New Roman"/>
          <w:color w:val="000000"/>
          <w:kern w:val="22"/>
          <w:sz w:val="22"/>
          <w:lang w:val="fr-FR"/>
        </w:rPr>
        <w:t>peuples autochtones et communautés locales</w:t>
      </w:r>
      <w:r w:rsidR="005B26A0" w:rsidRPr="005B26A0">
        <w:rPr>
          <w:rFonts w:eastAsia="Calibri" w:cs="Times New Roman"/>
          <w:color w:val="000000"/>
          <w:kern w:val="22"/>
          <w:sz w:val="22"/>
          <w:lang w:val="fr-FR"/>
        </w:rPr>
        <w:t xml:space="preserve"> e</w:t>
      </w:r>
      <w:r w:rsidR="005B26A0">
        <w:rPr>
          <w:rFonts w:eastAsia="Calibri" w:cs="Times New Roman"/>
          <w:color w:val="000000"/>
          <w:kern w:val="22"/>
          <w:sz w:val="22"/>
          <w:lang w:val="fr-FR"/>
        </w:rPr>
        <w:t>n Libye</w:t>
      </w:r>
      <w:r w:rsidR="00382C90" w:rsidRPr="005B26A0">
        <w:rPr>
          <w:rFonts w:eastAsia="Calibri" w:cs="Times New Roman"/>
          <w:color w:val="000000"/>
          <w:kern w:val="22"/>
          <w:sz w:val="22"/>
          <w:lang w:val="fr-FR"/>
        </w:rPr>
        <w:t>,</w:t>
      </w:r>
      <w:r w:rsidR="00382C90" w:rsidRPr="002364AB">
        <w:rPr>
          <w:rFonts w:eastAsia="Calibri" w:cs="Times New Roman"/>
          <w:color w:val="000000"/>
          <w:kern w:val="22"/>
          <w:sz w:val="22"/>
          <w:vertAlign w:val="superscript"/>
          <w:lang w:val="en-GB"/>
        </w:rPr>
        <w:footnoteReference w:id="172"/>
      </w:r>
      <w:r w:rsidR="00382C90" w:rsidRPr="005B26A0">
        <w:rPr>
          <w:rFonts w:eastAsia="Calibri" w:cs="Times New Roman"/>
          <w:color w:val="000000"/>
          <w:kern w:val="22"/>
          <w:sz w:val="22"/>
          <w:lang w:val="fr-FR"/>
        </w:rPr>
        <w:t xml:space="preserve"> </w:t>
      </w:r>
      <w:r w:rsidR="004C4432">
        <w:rPr>
          <w:rFonts w:eastAsia="Calibri" w:cs="Times New Roman"/>
          <w:color w:val="000000"/>
          <w:kern w:val="22"/>
          <w:sz w:val="22"/>
          <w:lang w:val="fr-FR"/>
        </w:rPr>
        <w:t xml:space="preserve">en </w:t>
      </w:r>
      <w:r w:rsidR="00382C90" w:rsidRPr="005B26A0">
        <w:rPr>
          <w:rFonts w:eastAsia="Calibri" w:cs="Times New Roman"/>
          <w:color w:val="000000"/>
          <w:kern w:val="22"/>
          <w:sz w:val="22"/>
          <w:lang w:val="fr-FR"/>
        </w:rPr>
        <w:t>Jordan</w:t>
      </w:r>
      <w:r w:rsidR="005B26A0">
        <w:rPr>
          <w:rFonts w:eastAsia="Calibri" w:cs="Times New Roman"/>
          <w:color w:val="000000"/>
          <w:kern w:val="22"/>
          <w:sz w:val="22"/>
          <w:lang w:val="fr-FR"/>
        </w:rPr>
        <w:t>ie</w:t>
      </w:r>
      <w:r w:rsidR="00382C90" w:rsidRPr="005B26A0">
        <w:rPr>
          <w:rFonts w:eastAsia="Calibri" w:cs="Times New Roman"/>
          <w:color w:val="000000"/>
          <w:kern w:val="22"/>
          <w:sz w:val="22"/>
          <w:lang w:val="fr-FR"/>
        </w:rPr>
        <w:t>,</w:t>
      </w:r>
      <w:r w:rsidR="00382C90" w:rsidRPr="002364AB">
        <w:rPr>
          <w:rFonts w:eastAsia="Calibri" w:cs="Times New Roman"/>
          <w:color w:val="000000"/>
          <w:kern w:val="22"/>
          <w:sz w:val="22"/>
          <w:vertAlign w:val="superscript"/>
          <w:lang w:val="en-GB"/>
        </w:rPr>
        <w:footnoteReference w:id="173"/>
      </w:r>
      <w:r w:rsidR="00382C90" w:rsidRPr="005B26A0">
        <w:rPr>
          <w:rFonts w:eastAsia="Calibri" w:cs="Times New Roman"/>
          <w:color w:val="000000"/>
          <w:kern w:val="22"/>
          <w:sz w:val="22"/>
          <w:lang w:val="fr-FR"/>
        </w:rPr>
        <w:t xml:space="preserve"> </w:t>
      </w:r>
      <w:r w:rsidR="004C4432">
        <w:rPr>
          <w:rFonts w:eastAsia="Calibri" w:cs="Times New Roman"/>
          <w:color w:val="000000"/>
          <w:kern w:val="22"/>
          <w:sz w:val="22"/>
          <w:lang w:val="fr-FR"/>
        </w:rPr>
        <w:t xml:space="preserve">en </w:t>
      </w:r>
      <w:r w:rsidR="00382C90" w:rsidRPr="005B26A0">
        <w:rPr>
          <w:rFonts w:eastAsia="Calibri" w:cs="Times New Roman"/>
          <w:color w:val="000000"/>
          <w:kern w:val="22"/>
          <w:sz w:val="22"/>
          <w:lang w:val="fr-FR"/>
        </w:rPr>
        <w:t>Egypt</w:t>
      </w:r>
      <w:r w:rsidR="005B26A0">
        <w:rPr>
          <w:rFonts w:eastAsia="Calibri" w:cs="Times New Roman"/>
          <w:color w:val="000000"/>
          <w:kern w:val="22"/>
          <w:sz w:val="22"/>
          <w:lang w:val="fr-FR"/>
        </w:rPr>
        <w:t>e</w:t>
      </w:r>
      <w:r w:rsidR="00382C90" w:rsidRPr="002364AB">
        <w:rPr>
          <w:rFonts w:eastAsia="Calibri" w:cs="Times New Roman"/>
          <w:color w:val="000000"/>
          <w:kern w:val="22"/>
          <w:sz w:val="22"/>
          <w:vertAlign w:val="superscript"/>
          <w:lang w:val="en-GB"/>
        </w:rPr>
        <w:footnoteReference w:id="174"/>
      </w:r>
      <w:r w:rsidR="00E3674F" w:rsidRPr="005B26A0">
        <w:rPr>
          <w:rFonts w:eastAsia="Calibri" w:cs="Times New Roman"/>
          <w:color w:val="000000"/>
          <w:kern w:val="22"/>
          <w:sz w:val="22"/>
          <w:lang w:val="fr-FR"/>
        </w:rPr>
        <w:t xml:space="preserve"> et </w:t>
      </w:r>
      <w:r w:rsidR="005B26A0">
        <w:rPr>
          <w:rFonts w:eastAsia="Calibri" w:cs="Times New Roman"/>
          <w:color w:val="000000"/>
          <w:kern w:val="22"/>
          <w:sz w:val="22"/>
          <w:lang w:val="fr-FR"/>
        </w:rPr>
        <w:t>ailleurs</w:t>
      </w:r>
      <w:r w:rsidR="00F77FB6">
        <w:rPr>
          <w:rFonts w:eastAsia="Calibri" w:cs="Times New Roman"/>
          <w:color w:val="000000"/>
          <w:kern w:val="22"/>
          <w:sz w:val="22"/>
          <w:lang w:val="fr-FR"/>
        </w:rPr>
        <w:t xml:space="preserve">. </w:t>
      </w:r>
      <w:r w:rsidR="00AB6A02" w:rsidRPr="005645F7">
        <w:rPr>
          <w:rFonts w:eastAsia="Calibri" w:cs="Times New Roman"/>
          <w:color w:val="000000"/>
          <w:kern w:val="22"/>
          <w:sz w:val="22"/>
          <w:lang w:val="fr-FR"/>
        </w:rPr>
        <w:t>Plusieurs</w:t>
      </w:r>
      <w:r w:rsidR="00382C90" w:rsidRPr="005645F7">
        <w:rPr>
          <w:rFonts w:eastAsia="Calibri" w:cs="Times New Roman"/>
          <w:color w:val="000000"/>
          <w:kern w:val="22"/>
          <w:sz w:val="22"/>
          <w:lang w:val="fr-FR"/>
        </w:rPr>
        <w:t xml:space="preserve"> </w:t>
      </w:r>
      <w:r w:rsidR="005D11BF">
        <w:rPr>
          <w:rFonts w:eastAsia="Calibri" w:cs="Times New Roman"/>
          <w:color w:val="000000"/>
          <w:kern w:val="22"/>
          <w:sz w:val="22"/>
          <w:lang w:val="fr-FR"/>
        </w:rPr>
        <w:t>demandes de brevet</w:t>
      </w:r>
      <w:r w:rsidR="00F77FB6">
        <w:rPr>
          <w:rFonts w:eastAsia="Calibri" w:cs="Times New Roman"/>
          <w:color w:val="000000"/>
          <w:kern w:val="22"/>
          <w:sz w:val="22"/>
          <w:lang w:val="fr-FR"/>
        </w:rPr>
        <w:t xml:space="preserve"> ont été dé</w:t>
      </w:r>
      <w:r w:rsidR="004C4432">
        <w:rPr>
          <w:rFonts w:eastAsia="Calibri" w:cs="Times New Roman"/>
          <w:color w:val="000000"/>
          <w:kern w:val="22"/>
          <w:sz w:val="22"/>
          <w:lang w:val="fr-FR"/>
        </w:rPr>
        <w:t xml:space="preserve">posées concernant </w:t>
      </w:r>
      <w:r w:rsidR="00F77FB6">
        <w:rPr>
          <w:rFonts w:eastAsia="Calibri" w:cs="Times New Roman"/>
          <w:color w:val="000000"/>
          <w:kern w:val="22"/>
          <w:sz w:val="22"/>
          <w:lang w:val="fr-FR"/>
        </w:rPr>
        <w:t>l’espèce</w:t>
      </w:r>
      <w:r w:rsidR="00382C90" w:rsidRPr="005645F7">
        <w:rPr>
          <w:rFonts w:eastAsia="Calibri" w:cs="Times New Roman"/>
          <w:color w:val="000000"/>
          <w:kern w:val="22"/>
          <w:sz w:val="22"/>
          <w:lang w:val="fr-FR"/>
        </w:rPr>
        <w:t xml:space="preserve"> </w:t>
      </w:r>
      <w:r w:rsidR="00C0021E">
        <w:rPr>
          <w:rFonts w:eastAsia="Calibri" w:cs="Times New Roman"/>
          <w:i/>
          <w:color w:val="000000"/>
          <w:kern w:val="22"/>
          <w:sz w:val="22"/>
          <w:lang w:val="fr-FR"/>
        </w:rPr>
        <w:t>A. </w:t>
      </w:r>
      <w:r w:rsidR="00EA0D6C" w:rsidRPr="005645F7">
        <w:rPr>
          <w:rFonts w:eastAsia="Calibri" w:cs="Times New Roman"/>
          <w:i/>
          <w:color w:val="000000"/>
          <w:kern w:val="22"/>
          <w:sz w:val="22"/>
          <w:lang w:val="fr-FR"/>
        </w:rPr>
        <w:t>j</w:t>
      </w:r>
      <w:r w:rsidR="00382C90" w:rsidRPr="005645F7">
        <w:rPr>
          <w:rFonts w:eastAsia="Calibri" w:cs="Times New Roman"/>
          <w:i/>
          <w:color w:val="000000"/>
          <w:kern w:val="22"/>
          <w:sz w:val="22"/>
          <w:lang w:val="fr-FR"/>
        </w:rPr>
        <w:t>udaica</w:t>
      </w:r>
      <w:r w:rsidR="00E3674F" w:rsidRPr="005645F7">
        <w:rPr>
          <w:rFonts w:eastAsia="Calibri" w:cs="Times New Roman"/>
          <w:color w:val="000000"/>
          <w:kern w:val="22"/>
          <w:sz w:val="22"/>
          <w:lang w:val="fr-FR"/>
        </w:rPr>
        <w:t xml:space="preserve"> et </w:t>
      </w:r>
      <w:r w:rsidR="00F77FB6">
        <w:rPr>
          <w:rFonts w:eastAsia="Calibri" w:cs="Times New Roman"/>
          <w:color w:val="000000"/>
          <w:kern w:val="22"/>
          <w:sz w:val="22"/>
          <w:lang w:val="fr-FR"/>
        </w:rPr>
        <w:t>mention</w:t>
      </w:r>
      <w:r w:rsidR="004C4432">
        <w:rPr>
          <w:rFonts w:eastAsia="Calibri" w:cs="Times New Roman"/>
          <w:color w:val="000000"/>
          <w:kern w:val="22"/>
          <w:sz w:val="22"/>
          <w:lang w:val="fr-FR"/>
        </w:rPr>
        <w:t>nent, directement ou indirectement</w:t>
      </w:r>
      <w:r w:rsidR="00382C90" w:rsidRPr="005645F7">
        <w:rPr>
          <w:rFonts w:eastAsia="Calibri" w:cs="Times New Roman"/>
          <w:color w:val="000000"/>
          <w:kern w:val="22"/>
          <w:sz w:val="22"/>
          <w:lang w:val="fr-FR"/>
        </w:rPr>
        <w:t xml:space="preserve">, </w:t>
      </w:r>
      <w:r w:rsidR="004478A5" w:rsidRPr="005645F7">
        <w:rPr>
          <w:rFonts w:eastAsia="Calibri" w:cs="Times New Roman"/>
          <w:color w:val="000000"/>
          <w:kern w:val="22"/>
          <w:sz w:val="22"/>
          <w:lang w:val="fr-FR"/>
        </w:rPr>
        <w:t>les utilisations traditionnelles</w:t>
      </w:r>
      <w:r w:rsidR="00F77FB6">
        <w:rPr>
          <w:rFonts w:eastAsia="Calibri" w:cs="Times New Roman"/>
          <w:color w:val="000000"/>
          <w:kern w:val="22"/>
          <w:sz w:val="22"/>
          <w:lang w:val="fr-FR"/>
        </w:rPr>
        <w:t xml:space="preserve"> de cette</w:t>
      </w:r>
      <w:r w:rsidR="00382C90" w:rsidRPr="005645F7">
        <w:rPr>
          <w:rFonts w:eastAsia="Calibri" w:cs="Times New Roman"/>
          <w:color w:val="000000"/>
          <w:kern w:val="22"/>
          <w:sz w:val="22"/>
          <w:lang w:val="fr-FR"/>
        </w:rPr>
        <w:t xml:space="preserve"> plant</w:t>
      </w:r>
      <w:r w:rsidR="00F77FB6">
        <w:rPr>
          <w:rFonts w:eastAsia="Calibri" w:cs="Times New Roman"/>
          <w:color w:val="000000"/>
          <w:kern w:val="22"/>
          <w:sz w:val="22"/>
          <w:lang w:val="fr-FR"/>
        </w:rPr>
        <w:t>e</w:t>
      </w:r>
      <w:r w:rsidR="00382C90" w:rsidRPr="005645F7">
        <w:rPr>
          <w:rFonts w:eastAsia="Calibri" w:cs="Times New Roman"/>
          <w:color w:val="000000"/>
          <w:kern w:val="22"/>
          <w:sz w:val="22"/>
          <w:lang w:val="fr-FR"/>
        </w:rPr>
        <w:t xml:space="preserve">. </w:t>
      </w:r>
      <w:r w:rsidR="00F77FB6">
        <w:rPr>
          <w:rFonts w:eastAsia="Calibri" w:cs="Times New Roman"/>
          <w:color w:val="000000"/>
          <w:kern w:val="22"/>
          <w:sz w:val="22"/>
          <w:lang w:val="fr-FR"/>
        </w:rPr>
        <w:t>Ceci inclut le b</w:t>
      </w:r>
      <w:r w:rsidR="00B43E38" w:rsidRPr="00B143C2">
        <w:rPr>
          <w:rFonts w:eastAsia="Calibri" w:cs="Times New Roman"/>
          <w:color w:val="000000"/>
          <w:kern w:val="22"/>
          <w:sz w:val="22"/>
          <w:lang w:val="fr-FR"/>
        </w:rPr>
        <w:t>revet</w:t>
      </w:r>
      <w:r w:rsidR="00F77FB6">
        <w:rPr>
          <w:rFonts w:eastAsia="Calibri" w:cs="Times New Roman"/>
          <w:color w:val="000000"/>
          <w:kern w:val="22"/>
          <w:sz w:val="22"/>
          <w:lang w:val="fr-FR"/>
        </w:rPr>
        <w:t xml:space="preserve"> européen No. EP2170360B1, intitulé “c</w:t>
      </w:r>
      <w:r w:rsidR="00382C90" w:rsidRPr="00B143C2">
        <w:rPr>
          <w:rFonts w:eastAsia="Calibri" w:cs="Times New Roman"/>
          <w:color w:val="000000"/>
          <w:kern w:val="22"/>
          <w:sz w:val="22"/>
          <w:lang w:val="fr-FR"/>
        </w:rPr>
        <w:t>ompositions</w:t>
      </w:r>
      <w:r w:rsidR="004D7B14">
        <w:rPr>
          <w:rFonts w:eastAsia="Calibri" w:cs="Times New Roman"/>
          <w:color w:val="000000"/>
          <w:kern w:val="22"/>
          <w:sz w:val="22"/>
          <w:lang w:val="fr-FR"/>
        </w:rPr>
        <w:t xml:space="preserve"> à base de plantes pour le traitement du diabète et/ou de conditions y afférent</w:t>
      </w:r>
      <w:r w:rsidR="00F77FB6">
        <w:rPr>
          <w:rFonts w:eastAsia="Calibri" w:cs="Times New Roman"/>
          <w:color w:val="000000"/>
          <w:kern w:val="22"/>
          <w:sz w:val="22"/>
          <w:lang w:val="fr-FR"/>
        </w:rPr>
        <w:t> </w:t>
      </w:r>
      <w:r w:rsidR="004D7B14">
        <w:rPr>
          <w:rFonts w:eastAsia="Calibri" w:cs="Times New Roman"/>
          <w:color w:val="000000"/>
          <w:kern w:val="22"/>
          <w:sz w:val="22"/>
          <w:lang w:val="fr-FR"/>
        </w:rPr>
        <w:t>», qui inclut des composition</w:t>
      </w:r>
      <w:r w:rsidR="004C4432">
        <w:rPr>
          <w:rFonts w:eastAsia="Calibri" w:cs="Times New Roman"/>
          <w:color w:val="000000"/>
          <w:kern w:val="22"/>
          <w:sz w:val="22"/>
          <w:lang w:val="fr-FR"/>
        </w:rPr>
        <w:t>s</w:t>
      </w:r>
      <w:r w:rsidR="00F77FB6">
        <w:rPr>
          <w:rFonts w:eastAsia="Calibri" w:cs="Times New Roman"/>
          <w:color w:val="000000"/>
          <w:kern w:val="22"/>
          <w:sz w:val="22"/>
          <w:lang w:val="fr-FR"/>
        </w:rPr>
        <w:t xml:space="preserve"> contenant du</w:t>
      </w:r>
      <w:r w:rsidR="00382C90" w:rsidRPr="00B143C2">
        <w:rPr>
          <w:rFonts w:eastAsia="Calibri" w:cs="Times New Roman"/>
          <w:color w:val="000000"/>
          <w:kern w:val="22"/>
          <w:sz w:val="22"/>
          <w:lang w:val="fr-FR"/>
        </w:rPr>
        <w:t xml:space="preserve"> </w:t>
      </w:r>
      <w:r w:rsidR="00382C90" w:rsidRPr="00B143C2">
        <w:rPr>
          <w:rFonts w:eastAsia="Calibri" w:cs="Times New Roman"/>
          <w:i/>
          <w:color w:val="000000"/>
          <w:kern w:val="22"/>
          <w:sz w:val="22"/>
          <w:lang w:val="fr-FR"/>
        </w:rPr>
        <w:t xml:space="preserve">A. </w:t>
      </w:r>
      <w:r w:rsidR="00EA0D6C" w:rsidRPr="00B143C2">
        <w:rPr>
          <w:rFonts w:eastAsia="Calibri" w:cs="Times New Roman"/>
          <w:i/>
          <w:color w:val="000000"/>
          <w:kern w:val="22"/>
          <w:sz w:val="22"/>
          <w:lang w:val="fr-FR"/>
        </w:rPr>
        <w:t>j</w:t>
      </w:r>
      <w:r w:rsidR="00382C90" w:rsidRPr="00B143C2">
        <w:rPr>
          <w:rFonts w:eastAsia="Calibri" w:cs="Times New Roman"/>
          <w:i/>
          <w:color w:val="000000"/>
          <w:kern w:val="22"/>
          <w:sz w:val="22"/>
          <w:lang w:val="fr-FR"/>
        </w:rPr>
        <w:t>udaica</w:t>
      </w:r>
      <w:r w:rsidR="004D7B14">
        <w:rPr>
          <w:rFonts w:eastAsia="Calibri" w:cs="Times New Roman"/>
          <w:color w:val="000000"/>
          <w:kern w:val="22"/>
          <w:sz w:val="22"/>
          <w:lang w:val="fr-FR"/>
        </w:rPr>
        <w:t xml:space="preserve"> comme</w:t>
      </w:r>
      <w:r w:rsidR="00A2305F" w:rsidRPr="00B143C2">
        <w:rPr>
          <w:rFonts w:eastAsia="Calibri" w:cs="Times New Roman"/>
          <w:color w:val="000000"/>
          <w:kern w:val="22"/>
          <w:sz w:val="22"/>
          <w:lang w:val="fr-FR"/>
        </w:rPr>
        <w:t xml:space="preserve"> traitement</w:t>
      </w:r>
      <w:r w:rsidR="004D7B14">
        <w:rPr>
          <w:rFonts w:eastAsia="Calibri" w:cs="Times New Roman"/>
          <w:color w:val="000000"/>
          <w:kern w:val="22"/>
          <w:sz w:val="22"/>
          <w:lang w:val="fr-FR"/>
        </w:rPr>
        <w:t xml:space="preserve"> du</w:t>
      </w:r>
      <w:r w:rsidR="00F77FB6">
        <w:rPr>
          <w:rFonts w:eastAsia="Calibri" w:cs="Times New Roman"/>
          <w:color w:val="000000"/>
          <w:kern w:val="22"/>
          <w:sz w:val="22"/>
          <w:lang w:val="fr-FR"/>
        </w:rPr>
        <w:t xml:space="preserve"> diabète</w:t>
      </w:r>
      <w:r w:rsidR="00382C90" w:rsidRPr="00B143C2">
        <w:rPr>
          <w:rFonts w:eastAsia="Calibri" w:cs="Times New Roman"/>
          <w:color w:val="000000"/>
          <w:kern w:val="22"/>
          <w:sz w:val="22"/>
          <w:lang w:val="fr-FR"/>
        </w:rPr>
        <w:t xml:space="preserve">. </w:t>
      </w:r>
    </w:p>
    <w:p w14:paraId="1289E1B0" w14:textId="08C805F7" w:rsidR="005B26A0" w:rsidRPr="005645F7" w:rsidRDefault="001E6A2B" w:rsidP="00E600A0">
      <w:pPr>
        <w:rPr>
          <w:kern w:val="22"/>
          <w:sz w:val="22"/>
          <w:lang w:val="fr-FR"/>
        </w:rPr>
      </w:pPr>
      <w:r w:rsidRPr="00B143C2">
        <w:rPr>
          <w:kern w:val="22"/>
          <w:sz w:val="22"/>
          <w:lang w:val="fr-FR"/>
        </w:rPr>
        <w:t>Pour différentes r</w:t>
      </w:r>
      <w:r w:rsidR="00382C90" w:rsidRPr="00B143C2">
        <w:rPr>
          <w:kern w:val="22"/>
          <w:sz w:val="22"/>
          <w:lang w:val="fr-FR"/>
        </w:rPr>
        <w:t>a</w:t>
      </w:r>
      <w:r w:rsidRPr="00B143C2">
        <w:rPr>
          <w:kern w:val="22"/>
          <w:sz w:val="22"/>
          <w:lang w:val="fr-FR"/>
        </w:rPr>
        <w:t>i</w:t>
      </w:r>
      <w:r w:rsidR="00382C90" w:rsidRPr="00B143C2">
        <w:rPr>
          <w:kern w:val="22"/>
          <w:sz w:val="22"/>
          <w:lang w:val="fr-FR"/>
        </w:rPr>
        <w:t xml:space="preserve">sons, </w:t>
      </w:r>
      <w:r w:rsidR="00C0021E">
        <w:rPr>
          <w:kern w:val="22"/>
          <w:sz w:val="22"/>
          <w:lang w:val="fr-FR"/>
        </w:rPr>
        <w:t>d</w:t>
      </w:r>
      <w:r w:rsidR="00DF00EA" w:rsidRPr="00B143C2">
        <w:rPr>
          <w:kern w:val="22"/>
          <w:sz w:val="22"/>
          <w:lang w:val="fr-FR"/>
        </w:rPr>
        <w:t>e</w:t>
      </w:r>
      <w:r w:rsidRPr="00B143C2">
        <w:rPr>
          <w:kern w:val="22"/>
          <w:sz w:val="22"/>
          <w:lang w:val="fr-FR"/>
        </w:rPr>
        <w:t>s obligations relatives au</w:t>
      </w:r>
      <w:r w:rsidR="00DF00EA" w:rsidRPr="00B143C2">
        <w:rPr>
          <w:kern w:val="22"/>
          <w:sz w:val="22"/>
          <w:lang w:val="fr-FR"/>
        </w:rPr>
        <w:t xml:space="preserve"> partage des avantages</w:t>
      </w:r>
      <w:r w:rsidR="00F77FB6">
        <w:rPr>
          <w:kern w:val="22"/>
          <w:sz w:val="22"/>
          <w:lang w:val="fr-FR"/>
        </w:rPr>
        <w:t xml:space="preserve"> ne sont pas toujours incluses dans les utilisations</w:t>
      </w:r>
      <w:r w:rsidR="00382C90" w:rsidRPr="00B143C2">
        <w:rPr>
          <w:kern w:val="22"/>
          <w:sz w:val="22"/>
          <w:lang w:val="fr-FR"/>
        </w:rPr>
        <w:t xml:space="preserve"> </w:t>
      </w:r>
      <w:r w:rsidR="008D32AF" w:rsidRPr="00B143C2">
        <w:rPr>
          <w:kern w:val="22"/>
          <w:sz w:val="22"/>
          <w:lang w:val="fr-FR"/>
        </w:rPr>
        <w:t>commercial</w:t>
      </w:r>
      <w:r w:rsidR="00F77FB6">
        <w:rPr>
          <w:kern w:val="22"/>
          <w:sz w:val="22"/>
          <w:lang w:val="fr-FR"/>
        </w:rPr>
        <w:t>es</w:t>
      </w:r>
      <w:r w:rsidR="008D32AF" w:rsidRPr="00B143C2">
        <w:rPr>
          <w:kern w:val="22"/>
          <w:sz w:val="22"/>
          <w:lang w:val="fr-FR"/>
        </w:rPr>
        <w:t xml:space="preserve"> </w:t>
      </w:r>
      <w:r w:rsidR="00F77FB6">
        <w:rPr>
          <w:kern w:val="22"/>
          <w:sz w:val="22"/>
          <w:lang w:val="fr-FR"/>
        </w:rPr>
        <w:t xml:space="preserve">de l’espèce </w:t>
      </w:r>
      <w:r w:rsidR="008D32AF" w:rsidRPr="00B143C2">
        <w:rPr>
          <w:i/>
          <w:kern w:val="22"/>
          <w:sz w:val="22"/>
          <w:lang w:val="fr-FR"/>
        </w:rPr>
        <w:t xml:space="preserve">A. </w:t>
      </w:r>
      <w:r w:rsidR="000431D0" w:rsidRPr="00B143C2">
        <w:rPr>
          <w:i/>
          <w:kern w:val="22"/>
          <w:sz w:val="22"/>
          <w:lang w:val="fr-FR"/>
        </w:rPr>
        <w:t>j</w:t>
      </w:r>
      <w:r w:rsidR="008D32AF" w:rsidRPr="00B143C2">
        <w:rPr>
          <w:i/>
          <w:kern w:val="22"/>
          <w:sz w:val="22"/>
          <w:lang w:val="fr-FR"/>
        </w:rPr>
        <w:t>udaica</w:t>
      </w:r>
      <w:r w:rsidR="00F77FB6">
        <w:rPr>
          <w:i/>
          <w:kern w:val="22"/>
          <w:sz w:val="22"/>
          <w:lang w:val="fr-FR"/>
        </w:rPr>
        <w:t xml:space="preserve"> </w:t>
      </w:r>
      <w:r w:rsidR="004D7B14">
        <w:rPr>
          <w:kern w:val="22"/>
          <w:sz w:val="22"/>
          <w:lang w:val="fr-FR"/>
        </w:rPr>
        <w:t>qui traitent une</w:t>
      </w:r>
      <w:r w:rsidR="00C0021E">
        <w:rPr>
          <w:kern w:val="22"/>
          <w:sz w:val="22"/>
          <w:lang w:val="fr-FR"/>
        </w:rPr>
        <w:t xml:space="preserve"> mêm</w:t>
      </w:r>
      <w:r w:rsidR="004D7B14">
        <w:rPr>
          <w:kern w:val="22"/>
          <w:sz w:val="22"/>
          <w:lang w:val="fr-FR"/>
        </w:rPr>
        <w:t xml:space="preserve">e maladie que celle pour </w:t>
      </w:r>
      <w:r w:rsidR="00A14BDE">
        <w:rPr>
          <w:kern w:val="22"/>
          <w:sz w:val="22"/>
          <w:lang w:val="fr-FR"/>
        </w:rPr>
        <w:t>laquelle</w:t>
      </w:r>
      <w:r w:rsidR="00C0021E">
        <w:rPr>
          <w:kern w:val="22"/>
          <w:sz w:val="22"/>
          <w:lang w:val="fr-FR"/>
        </w:rPr>
        <w:t xml:space="preserve"> la plante est </w:t>
      </w:r>
      <w:r w:rsidR="001F55AB" w:rsidRPr="00B143C2">
        <w:rPr>
          <w:kern w:val="22"/>
          <w:sz w:val="22"/>
          <w:lang w:val="fr-FR"/>
        </w:rPr>
        <w:t>utilisé</w:t>
      </w:r>
      <w:r w:rsidR="00F77FB6">
        <w:rPr>
          <w:kern w:val="22"/>
          <w:sz w:val="22"/>
          <w:lang w:val="fr-FR"/>
        </w:rPr>
        <w:t>e</w:t>
      </w:r>
      <w:r w:rsidR="001F55AB" w:rsidRPr="00B143C2">
        <w:rPr>
          <w:kern w:val="22"/>
          <w:sz w:val="22"/>
          <w:lang w:val="fr-FR"/>
        </w:rPr>
        <w:t xml:space="preserve"> </w:t>
      </w:r>
      <w:r w:rsidR="004F1D8A" w:rsidRPr="00B143C2">
        <w:rPr>
          <w:kern w:val="22"/>
          <w:sz w:val="22"/>
          <w:lang w:val="fr-FR"/>
        </w:rPr>
        <w:t>traditionnellement</w:t>
      </w:r>
      <w:r w:rsidR="004D7B14">
        <w:rPr>
          <w:kern w:val="22"/>
          <w:sz w:val="22"/>
          <w:lang w:val="fr-FR"/>
        </w:rPr>
        <w:t>. Dans certaines situations, il ne sera</w:t>
      </w:r>
      <w:r w:rsidR="00F77FB6">
        <w:rPr>
          <w:kern w:val="22"/>
          <w:sz w:val="22"/>
          <w:lang w:val="fr-FR"/>
        </w:rPr>
        <w:t xml:space="preserve"> pas toujours possible d’</w:t>
      </w:r>
      <w:r w:rsidR="00E3674F" w:rsidRPr="00B143C2">
        <w:rPr>
          <w:kern w:val="22"/>
          <w:sz w:val="22"/>
          <w:lang w:val="fr-FR"/>
        </w:rPr>
        <w:t>identifier</w:t>
      </w:r>
      <w:r w:rsidR="008D32AF" w:rsidRPr="00B143C2">
        <w:rPr>
          <w:kern w:val="22"/>
          <w:sz w:val="22"/>
          <w:lang w:val="fr-FR"/>
        </w:rPr>
        <w:t xml:space="preserve"> </w:t>
      </w:r>
      <w:r w:rsidR="00C0021E">
        <w:rPr>
          <w:kern w:val="22"/>
          <w:sz w:val="22"/>
          <w:lang w:val="fr-FR"/>
        </w:rPr>
        <w:t>avec certitude</w:t>
      </w:r>
      <w:r w:rsidR="004D7B14">
        <w:rPr>
          <w:kern w:val="22"/>
          <w:sz w:val="22"/>
          <w:lang w:val="fr-FR"/>
        </w:rPr>
        <w:t xml:space="preserve"> les</w:t>
      </w:r>
      <w:r w:rsidR="00830BE4" w:rsidRPr="00B143C2">
        <w:rPr>
          <w:kern w:val="22"/>
          <w:sz w:val="22"/>
          <w:lang w:val="fr-FR"/>
        </w:rPr>
        <w:t xml:space="preserve"> peuples autochtones et communautés locales</w:t>
      </w:r>
      <w:r w:rsidR="008D32AF" w:rsidRPr="00B143C2">
        <w:rPr>
          <w:kern w:val="22"/>
          <w:sz w:val="22"/>
          <w:lang w:val="fr-FR"/>
        </w:rPr>
        <w:t xml:space="preserve">, </w:t>
      </w:r>
      <w:r w:rsidR="004D7B14">
        <w:rPr>
          <w:kern w:val="22"/>
          <w:sz w:val="22"/>
          <w:lang w:val="fr-FR"/>
        </w:rPr>
        <w:t>ainsi que les</w:t>
      </w:r>
      <w:r w:rsidR="008D32AF" w:rsidRPr="00B143C2">
        <w:rPr>
          <w:kern w:val="22"/>
          <w:sz w:val="22"/>
          <w:lang w:val="fr-FR"/>
        </w:rPr>
        <w:t xml:space="preserve"> </w:t>
      </w:r>
      <w:r w:rsidR="00E40444" w:rsidRPr="00B143C2">
        <w:rPr>
          <w:kern w:val="22"/>
          <w:sz w:val="22"/>
          <w:lang w:val="fr-FR"/>
        </w:rPr>
        <w:t>pays</w:t>
      </w:r>
      <w:r w:rsidR="004D7B14">
        <w:rPr>
          <w:kern w:val="22"/>
          <w:sz w:val="22"/>
          <w:lang w:val="fr-FR"/>
        </w:rPr>
        <w:t xml:space="preserve"> qui</w:t>
      </w:r>
      <w:r w:rsidR="008D32AF" w:rsidRPr="00B143C2">
        <w:rPr>
          <w:kern w:val="22"/>
          <w:sz w:val="22"/>
          <w:lang w:val="fr-FR"/>
        </w:rPr>
        <w:t xml:space="preserve"> </w:t>
      </w:r>
      <w:r w:rsidR="00F77FB6">
        <w:rPr>
          <w:kern w:val="22"/>
          <w:sz w:val="22"/>
          <w:lang w:val="fr-FR"/>
        </w:rPr>
        <w:t xml:space="preserve">sont en droit de </w:t>
      </w:r>
      <w:r w:rsidR="00AA5919" w:rsidRPr="00B143C2">
        <w:rPr>
          <w:kern w:val="22"/>
          <w:sz w:val="22"/>
          <w:lang w:val="fr-FR"/>
        </w:rPr>
        <w:t xml:space="preserve">négocier </w:t>
      </w:r>
      <w:r w:rsidR="00F77FB6">
        <w:rPr>
          <w:kern w:val="22"/>
          <w:sz w:val="22"/>
          <w:lang w:val="fr-FR"/>
        </w:rPr>
        <w:t>un</w:t>
      </w:r>
      <w:r w:rsidR="00AA5919" w:rsidRPr="00B143C2">
        <w:rPr>
          <w:kern w:val="22"/>
          <w:sz w:val="22"/>
          <w:lang w:val="fr-FR"/>
        </w:rPr>
        <w:t xml:space="preserve"> </w:t>
      </w:r>
      <w:r w:rsidR="007D7761">
        <w:rPr>
          <w:kern w:val="22"/>
          <w:sz w:val="22"/>
          <w:lang w:val="fr-FR"/>
        </w:rPr>
        <w:t>consentement préalable donné en connaissance de cause</w:t>
      </w:r>
      <w:r w:rsidR="00E3674F" w:rsidRPr="00B143C2">
        <w:rPr>
          <w:kern w:val="22"/>
          <w:sz w:val="22"/>
          <w:lang w:val="fr-FR"/>
        </w:rPr>
        <w:t xml:space="preserve"> et </w:t>
      </w:r>
      <w:r w:rsidR="00F77FB6">
        <w:rPr>
          <w:kern w:val="22"/>
          <w:sz w:val="22"/>
          <w:lang w:val="fr-FR"/>
        </w:rPr>
        <w:t xml:space="preserve">des </w:t>
      </w:r>
      <w:r w:rsidR="000B36D3" w:rsidRPr="00B143C2">
        <w:rPr>
          <w:kern w:val="22"/>
          <w:sz w:val="22"/>
          <w:lang w:val="fr-FR"/>
        </w:rPr>
        <w:t>conditions convenues d’un commun accord</w:t>
      </w:r>
      <w:r w:rsidR="004D7B14">
        <w:rPr>
          <w:kern w:val="22"/>
          <w:sz w:val="22"/>
          <w:lang w:val="fr-FR"/>
        </w:rPr>
        <w:t> ; de même, une source de difficulté supplémentaire surgira lorsque la</w:t>
      </w:r>
      <w:r w:rsidR="00F77FB6">
        <w:rPr>
          <w:kern w:val="22"/>
          <w:sz w:val="22"/>
          <w:lang w:val="fr-FR"/>
        </w:rPr>
        <w:t xml:space="preserve"> </w:t>
      </w:r>
      <w:r w:rsidR="00BE4772" w:rsidRPr="00B143C2">
        <w:rPr>
          <w:kern w:val="22"/>
          <w:sz w:val="22"/>
          <w:lang w:val="fr-FR"/>
        </w:rPr>
        <w:t>ressource génétique</w:t>
      </w:r>
      <w:r w:rsidR="004D7B14">
        <w:rPr>
          <w:kern w:val="22"/>
          <w:sz w:val="22"/>
          <w:lang w:val="fr-FR"/>
        </w:rPr>
        <w:t xml:space="preserve"> en question</w:t>
      </w:r>
      <w:r w:rsidR="00F77FB6">
        <w:rPr>
          <w:kern w:val="22"/>
          <w:sz w:val="22"/>
          <w:lang w:val="fr-FR"/>
        </w:rPr>
        <w:t xml:space="preserve"> </w:t>
      </w:r>
      <w:r w:rsidR="004D7B14">
        <w:rPr>
          <w:kern w:val="22"/>
          <w:sz w:val="22"/>
          <w:lang w:val="fr-FR"/>
        </w:rPr>
        <w:t>est située dans plusieurs pays</w:t>
      </w:r>
      <w:r w:rsidR="008D32AF" w:rsidRPr="00B143C2">
        <w:rPr>
          <w:kern w:val="22"/>
          <w:sz w:val="22"/>
          <w:lang w:val="fr-FR"/>
        </w:rPr>
        <w:t xml:space="preserve">. </w:t>
      </w:r>
    </w:p>
    <w:p w14:paraId="616F6F7F" w14:textId="00A662A4" w:rsidR="00E600A0" w:rsidRPr="001E3F1C" w:rsidRDefault="005B26A0" w:rsidP="00E600A0">
      <w:pPr>
        <w:rPr>
          <w:kern w:val="22"/>
          <w:sz w:val="22"/>
          <w:lang w:val="fr-FR"/>
        </w:rPr>
      </w:pPr>
      <w:r w:rsidRPr="005B26A0">
        <w:rPr>
          <w:kern w:val="22"/>
          <w:sz w:val="22"/>
          <w:lang w:val="fr-FR"/>
        </w:rPr>
        <w:t>Lorsqu’un</w:t>
      </w:r>
      <w:r w:rsidR="00E600A0" w:rsidRPr="005B26A0">
        <w:rPr>
          <w:kern w:val="22"/>
          <w:sz w:val="22"/>
          <w:lang w:val="fr-FR"/>
        </w:rPr>
        <w:t xml:space="preserve"> </w:t>
      </w:r>
      <w:r w:rsidR="007D7761">
        <w:rPr>
          <w:kern w:val="22"/>
          <w:sz w:val="22"/>
          <w:lang w:val="fr-FR"/>
        </w:rPr>
        <w:t>consentement préalable donné en connaissance de cause</w:t>
      </w:r>
      <w:r w:rsidR="00E3674F" w:rsidRPr="005B26A0">
        <w:rPr>
          <w:kern w:val="22"/>
          <w:sz w:val="22"/>
          <w:lang w:val="fr-FR"/>
        </w:rPr>
        <w:t xml:space="preserve"> et </w:t>
      </w:r>
      <w:r w:rsidRPr="005B26A0">
        <w:rPr>
          <w:kern w:val="22"/>
          <w:sz w:val="22"/>
          <w:lang w:val="fr-FR"/>
        </w:rPr>
        <w:t xml:space="preserve">des </w:t>
      </w:r>
      <w:r w:rsidR="000B36D3" w:rsidRPr="005B26A0">
        <w:rPr>
          <w:kern w:val="22"/>
          <w:sz w:val="22"/>
          <w:lang w:val="fr-FR"/>
        </w:rPr>
        <w:t>conditions convenues d’un commun accord</w:t>
      </w:r>
      <w:r w:rsidR="00F573D3">
        <w:rPr>
          <w:kern w:val="22"/>
          <w:sz w:val="22"/>
          <w:lang w:val="fr-FR"/>
        </w:rPr>
        <w:t xml:space="preserve"> sont </w:t>
      </w:r>
      <w:r w:rsidR="004D7B14">
        <w:rPr>
          <w:kern w:val="22"/>
          <w:sz w:val="22"/>
          <w:lang w:val="fr-FR"/>
        </w:rPr>
        <w:t>recherchés dans une situation</w:t>
      </w:r>
      <w:r w:rsidRPr="005B26A0">
        <w:rPr>
          <w:kern w:val="22"/>
          <w:sz w:val="22"/>
          <w:lang w:val="fr-FR"/>
        </w:rPr>
        <w:t xml:space="preserve"> relevant du s</w:t>
      </w:r>
      <w:r w:rsidR="00E752CB" w:rsidRPr="005B26A0">
        <w:rPr>
          <w:kern w:val="22"/>
          <w:sz w:val="22"/>
          <w:lang w:val="fr-FR"/>
        </w:rPr>
        <w:t>cénario</w:t>
      </w:r>
      <w:r w:rsidR="00E600A0" w:rsidRPr="005B26A0">
        <w:rPr>
          <w:kern w:val="22"/>
          <w:sz w:val="22"/>
          <w:lang w:val="fr-FR"/>
        </w:rPr>
        <w:t xml:space="preserve"> </w:t>
      </w:r>
      <w:r w:rsidR="00C77AE8" w:rsidRPr="005B26A0">
        <w:rPr>
          <w:kern w:val="22"/>
          <w:sz w:val="22"/>
          <w:lang w:val="fr-FR"/>
        </w:rPr>
        <w:t>2</w:t>
      </w:r>
      <w:r w:rsidR="00F573D3">
        <w:rPr>
          <w:kern w:val="22"/>
          <w:sz w:val="22"/>
          <w:lang w:val="fr-FR"/>
        </w:rPr>
        <w:t xml:space="preserve">, </w:t>
      </w:r>
      <w:r w:rsidR="001E3F1C">
        <w:rPr>
          <w:kern w:val="22"/>
          <w:sz w:val="22"/>
          <w:lang w:val="fr-FR"/>
        </w:rPr>
        <w:t xml:space="preserve">et </w:t>
      </w:r>
      <w:r w:rsidR="00F573D3">
        <w:rPr>
          <w:kern w:val="22"/>
          <w:sz w:val="22"/>
          <w:lang w:val="fr-FR"/>
        </w:rPr>
        <w:t xml:space="preserve">avant que des </w:t>
      </w:r>
      <w:r w:rsidR="00121FCD">
        <w:rPr>
          <w:kern w:val="22"/>
          <w:sz w:val="22"/>
          <w:lang w:val="fr-FR"/>
        </w:rPr>
        <w:t>recherche</w:t>
      </w:r>
      <w:r w:rsidR="004D7B14">
        <w:rPr>
          <w:kern w:val="22"/>
          <w:sz w:val="22"/>
          <w:lang w:val="fr-FR"/>
        </w:rPr>
        <w:t>s plus approfondie</w:t>
      </w:r>
      <w:r w:rsidR="00F573D3">
        <w:rPr>
          <w:kern w:val="22"/>
          <w:sz w:val="22"/>
          <w:lang w:val="fr-FR"/>
        </w:rPr>
        <w:t xml:space="preserve">s commencent sur un </w:t>
      </w:r>
      <w:r w:rsidR="0033537F">
        <w:rPr>
          <w:kern w:val="22"/>
          <w:sz w:val="22"/>
          <w:lang w:val="fr-FR"/>
        </w:rPr>
        <w:t>projet</w:t>
      </w:r>
      <w:r w:rsidR="00E600A0" w:rsidRPr="005B26A0">
        <w:rPr>
          <w:kern w:val="22"/>
          <w:sz w:val="22"/>
          <w:lang w:val="fr-FR"/>
        </w:rPr>
        <w:t xml:space="preserve"> </w:t>
      </w:r>
      <w:r w:rsidR="00F573D3">
        <w:rPr>
          <w:kern w:val="22"/>
          <w:sz w:val="22"/>
          <w:lang w:val="fr-FR"/>
        </w:rPr>
        <w:t xml:space="preserve">impliquant des </w:t>
      </w:r>
      <w:r w:rsidR="00E3674F" w:rsidRPr="005B26A0">
        <w:rPr>
          <w:iCs/>
          <w:kern w:val="22"/>
          <w:sz w:val="22"/>
          <w:lang w:val="fr-FR"/>
        </w:rPr>
        <w:t>connaissances traditionnelles</w:t>
      </w:r>
      <w:r w:rsidR="00F573D3">
        <w:rPr>
          <w:kern w:val="22"/>
          <w:sz w:val="22"/>
          <w:lang w:val="fr-FR"/>
        </w:rPr>
        <w:t xml:space="preserve"> connexes</w:t>
      </w:r>
      <w:r w:rsidR="00E600A0" w:rsidRPr="005B26A0">
        <w:rPr>
          <w:kern w:val="22"/>
          <w:sz w:val="22"/>
          <w:lang w:val="fr-FR"/>
        </w:rPr>
        <w:t xml:space="preserve">, </w:t>
      </w:r>
      <w:r w:rsidR="00F573D3">
        <w:rPr>
          <w:kern w:val="22"/>
          <w:sz w:val="22"/>
          <w:lang w:val="fr-FR"/>
        </w:rPr>
        <w:t>les retards subis pour obtenir un</w:t>
      </w:r>
      <w:r w:rsidR="004D7B14">
        <w:rPr>
          <w:kern w:val="22"/>
          <w:sz w:val="22"/>
          <w:lang w:val="fr-FR"/>
        </w:rPr>
        <w:t xml:space="preserve"> tel</w:t>
      </w:r>
      <w:r w:rsidR="00F573D3">
        <w:rPr>
          <w:kern w:val="22"/>
          <w:sz w:val="22"/>
          <w:lang w:val="fr-FR"/>
        </w:rPr>
        <w:t xml:space="preserve"> consentement auprès de</w:t>
      </w:r>
      <w:r w:rsidR="00E600A0" w:rsidRPr="005B26A0">
        <w:rPr>
          <w:kern w:val="22"/>
          <w:sz w:val="22"/>
          <w:lang w:val="fr-FR"/>
        </w:rPr>
        <w:t xml:space="preserve"> multiple</w:t>
      </w:r>
      <w:r w:rsidR="00F573D3">
        <w:rPr>
          <w:kern w:val="22"/>
          <w:sz w:val="22"/>
          <w:lang w:val="fr-FR"/>
        </w:rPr>
        <w:t>s</w:t>
      </w:r>
      <w:r w:rsidR="00E600A0" w:rsidRPr="005B26A0">
        <w:rPr>
          <w:kern w:val="22"/>
          <w:sz w:val="22"/>
          <w:lang w:val="fr-FR"/>
        </w:rPr>
        <w:t xml:space="preserve"> group</w:t>
      </w:r>
      <w:r w:rsidR="00F573D3">
        <w:rPr>
          <w:kern w:val="22"/>
          <w:sz w:val="22"/>
          <w:lang w:val="fr-FR"/>
        </w:rPr>
        <w:t>es dans de</w:t>
      </w:r>
      <w:r w:rsidR="00E600A0" w:rsidRPr="005B26A0">
        <w:rPr>
          <w:kern w:val="22"/>
          <w:sz w:val="22"/>
          <w:lang w:val="fr-FR"/>
        </w:rPr>
        <w:t xml:space="preserve"> multiple </w:t>
      </w:r>
      <w:r w:rsidR="00E40444" w:rsidRPr="005B26A0">
        <w:rPr>
          <w:kern w:val="22"/>
          <w:sz w:val="22"/>
          <w:lang w:val="fr-FR"/>
        </w:rPr>
        <w:t>pays</w:t>
      </w:r>
      <w:r w:rsidR="004D7B14">
        <w:rPr>
          <w:kern w:val="22"/>
          <w:sz w:val="22"/>
          <w:lang w:val="fr-FR"/>
        </w:rPr>
        <w:t xml:space="preserve"> avec </w:t>
      </w:r>
      <w:r w:rsidR="00F573D3">
        <w:rPr>
          <w:kern w:val="22"/>
          <w:sz w:val="22"/>
          <w:lang w:val="fr-FR"/>
        </w:rPr>
        <w:t>des</w:t>
      </w:r>
      <w:r w:rsidR="00D6232E" w:rsidRPr="005B26A0">
        <w:rPr>
          <w:kern w:val="22"/>
          <w:sz w:val="22"/>
          <w:lang w:val="fr-FR"/>
        </w:rPr>
        <w:t xml:space="preserve"> </w:t>
      </w:r>
      <w:r w:rsidR="0022044D" w:rsidRPr="005B26A0">
        <w:rPr>
          <w:kern w:val="22"/>
          <w:sz w:val="22"/>
          <w:lang w:val="fr-FR"/>
        </w:rPr>
        <w:t>protocoles communautaires</w:t>
      </w:r>
      <w:r w:rsidR="00F573D3">
        <w:rPr>
          <w:kern w:val="22"/>
          <w:sz w:val="22"/>
          <w:lang w:val="fr-FR"/>
        </w:rPr>
        <w:t xml:space="preserve"> différents (ou inexistants),</w:t>
      </w:r>
      <w:r w:rsidR="00E3674F" w:rsidRPr="005B26A0">
        <w:rPr>
          <w:kern w:val="22"/>
          <w:sz w:val="22"/>
          <w:lang w:val="fr-FR"/>
        </w:rPr>
        <w:t xml:space="preserve"> et </w:t>
      </w:r>
      <w:r w:rsidR="004D7B14">
        <w:rPr>
          <w:kern w:val="22"/>
          <w:sz w:val="22"/>
          <w:lang w:val="fr-FR"/>
        </w:rPr>
        <w:t>pour se mettre d’accord sur</w:t>
      </w:r>
      <w:r w:rsidR="00F573D3">
        <w:rPr>
          <w:kern w:val="22"/>
          <w:sz w:val="22"/>
          <w:lang w:val="fr-FR"/>
        </w:rPr>
        <w:t xml:space="preserve"> des</w:t>
      </w:r>
      <w:r w:rsidR="00E600A0" w:rsidRPr="005B26A0">
        <w:rPr>
          <w:kern w:val="22"/>
          <w:sz w:val="22"/>
          <w:lang w:val="fr-FR"/>
        </w:rPr>
        <w:t xml:space="preserve"> </w:t>
      </w:r>
      <w:r w:rsidR="000B36D3" w:rsidRPr="005B26A0">
        <w:rPr>
          <w:kern w:val="22"/>
          <w:sz w:val="22"/>
          <w:lang w:val="fr-FR"/>
        </w:rPr>
        <w:t>conditions convenues d’un commun accord</w:t>
      </w:r>
      <w:r w:rsidR="004D7B14">
        <w:rPr>
          <w:kern w:val="22"/>
          <w:sz w:val="22"/>
          <w:lang w:val="fr-FR"/>
        </w:rPr>
        <w:t xml:space="preserve"> avec plusieurs</w:t>
      </w:r>
      <w:r w:rsidR="00830BE4" w:rsidRPr="005B26A0">
        <w:rPr>
          <w:kern w:val="22"/>
          <w:sz w:val="22"/>
          <w:lang w:val="fr-FR"/>
        </w:rPr>
        <w:t xml:space="preserve"> peuples autochtones et communautés locales</w:t>
      </w:r>
      <w:r w:rsidR="00E600A0" w:rsidRPr="005B26A0">
        <w:rPr>
          <w:kern w:val="22"/>
          <w:sz w:val="22"/>
          <w:lang w:val="fr-FR"/>
        </w:rPr>
        <w:t xml:space="preserve"> </w:t>
      </w:r>
      <w:r w:rsidR="00C0482B" w:rsidRPr="005B26A0">
        <w:rPr>
          <w:kern w:val="22"/>
          <w:sz w:val="22"/>
          <w:lang w:val="fr-FR"/>
        </w:rPr>
        <w:t>(</w:t>
      </w:r>
      <w:r w:rsidR="001E3F1C">
        <w:rPr>
          <w:kern w:val="22"/>
          <w:sz w:val="22"/>
          <w:lang w:val="fr-FR"/>
        </w:rPr>
        <w:t>y compris</w:t>
      </w:r>
      <w:r w:rsidR="004D7B14">
        <w:rPr>
          <w:kern w:val="22"/>
          <w:sz w:val="22"/>
          <w:lang w:val="fr-FR"/>
        </w:rPr>
        <w:t>, lorsque la loi le prévoit, une autorisation du gouvernement</w:t>
      </w:r>
      <w:r w:rsidR="00F573D3">
        <w:rPr>
          <w:kern w:val="22"/>
          <w:sz w:val="22"/>
          <w:lang w:val="fr-FR"/>
        </w:rPr>
        <w:t xml:space="preserve"> des pays concernés</w:t>
      </w:r>
      <w:r w:rsidR="00C0482B" w:rsidRPr="005B26A0">
        <w:rPr>
          <w:kern w:val="22"/>
          <w:sz w:val="22"/>
          <w:lang w:val="fr-FR"/>
        </w:rPr>
        <w:t>)</w:t>
      </w:r>
      <w:r w:rsidR="00E600A0" w:rsidRPr="005B26A0">
        <w:rPr>
          <w:kern w:val="22"/>
          <w:sz w:val="22"/>
          <w:lang w:val="fr-FR"/>
        </w:rPr>
        <w:t xml:space="preserve">, </w:t>
      </w:r>
      <w:r w:rsidR="004D7B14">
        <w:rPr>
          <w:kern w:val="22"/>
          <w:sz w:val="22"/>
          <w:lang w:val="fr-FR"/>
        </w:rPr>
        <w:t>pourraient mettre un terme au</w:t>
      </w:r>
      <w:r w:rsidR="00F573D3">
        <w:rPr>
          <w:kern w:val="22"/>
          <w:sz w:val="22"/>
          <w:lang w:val="fr-FR"/>
        </w:rPr>
        <w:t xml:space="preserve"> </w:t>
      </w:r>
      <w:r w:rsidR="0033537F">
        <w:rPr>
          <w:kern w:val="22"/>
          <w:sz w:val="22"/>
          <w:lang w:val="fr-FR"/>
        </w:rPr>
        <w:t>projet</w:t>
      </w:r>
      <w:r w:rsidR="00E600A0" w:rsidRPr="005B26A0">
        <w:rPr>
          <w:kern w:val="22"/>
          <w:sz w:val="22"/>
          <w:lang w:val="fr-FR"/>
        </w:rPr>
        <w:t xml:space="preserve"> </w:t>
      </w:r>
      <w:r w:rsidR="004D7B14">
        <w:rPr>
          <w:kern w:val="22"/>
          <w:sz w:val="22"/>
          <w:lang w:val="fr-FR"/>
        </w:rPr>
        <w:t>dès sa</w:t>
      </w:r>
      <w:r w:rsidR="00F573D3">
        <w:rPr>
          <w:kern w:val="22"/>
          <w:sz w:val="22"/>
          <w:lang w:val="fr-FR"/>
        </w:rPr>
        <w:t xml:space="preserve"> conce</w:t>
      </w:r>
      <w:r w:rsidR="00E600A0" w:rsidRPr="005B26A0">
        <w:rPr>
          <w:kern w:val="22"/>
          <w:sz w:val="22"/>
          <w:lang w:val="fr-FR"/>
        </w:rPr>
        <w:t xml:space="preserve">ption, </w:t>
      </w:r>
      <w:r w:rsidR="00F573D3">
        <w:rPr>
          <w:kern w:val="22"/>
          <w:sz w:val="22"/>
          <w:lang w:val="fr-FR"/>
        </w:rPr>
        <w:t>quel que soi</w:t>
      </w:r>
      <w:r w:rsidR="001E3F1C">
        <w:rPr>
          <w:kern w:val="22"/>
          <w:sz w:val="22"/>
          <w:lang w:val="fr-FR"/>
        </w:rPr>
        <w:t>en</w:t>
      </w:r>
      <w:r w:rsidR="00F573D3">
        <w:rPr>
          <w:kern w:val="22"/>
          <w:sz w:val="22"/>
          <w:lang w:val="fr-FR"/>
        </w:rPr>
        <w:t xml:space="preserve">t </w:t>
      </w:r>
      <w:r w:rsidR="004D7B14">
        <w:rPr>
          <w:kern w:val="22"/>
          <w:sz w:val="22"/>
          <w:lang w:val="fr-FR"/>
        </w:rPr>
        <w:t xml:space="preserve">les </w:t>
      </w:r>
      <w:r w:rsidR="00F573D3">
        <w:rPr>
          <w:kern w:val="22"/>
          <w:sz w:val="22"/>
          <w:lang w:val="fr-FR"/>
        </w:rPr>
        <w:t xml:space="preserve">avantages </w:t>
      </w:r>
      <w:r w:rsidR="001E3F1C">
        <w:rPr>
          <w:kern w:val="22"/>
          <w:sz w:val="22"/>
          <w:lang w:val="fr-FR"/>
        </w:rPr>
        <w:t>potentiels retirés pour la société</w:t>
      </w:r>
      <w:r w:rsidR="004D7B14">
        <w:rPr>
          <w:kern w:val="22"/>
          <w:sz w:val="22"/>
          <w:lang w:val="fr-FR"/>
        </w:rPr>
        <w:t xml:space="preserve"> en termes de vies </w:t>
      </w:r>
      <w:r w:rsidR="001E3F1C">
        <w:rPr>
          <w:kern w:val="22"/>
          <w:sz w:val="22"/>
          <w:lang w:val="fr-FR"/>
        </w:rPr>
        <w:t>sauvées</w:t>
      </w:r>
      <w:r w:rsidR="00E600A0" w:rsidRPr="005B26A0">
        <w:rPr>
          <w:kern w:val="22"/>
          <w:sz w:val="22"/>
          <w:lang w:val="fr-FR"/>
        </w:rPr>
        <w:t>.</w:t>
      </w:r>
      <w:r w:rsidR="00E600A0" w:rsidRPr="002364AB">
        <w:rPr>
          <w:rStyle w:val="FootnoteReference"/>
          <w:kern w:val="22"/>
          <w:sz w:val="22"/>
          <w:lang w:val="en-GB"/>
        </w:rPr>
        <w:footnoteReference w:id="175"/>
      </w:r>
      <w:r w:rsidR="00E600A0" w:rsidRPr="005B26A0">
        <w:rPr>
          <w:kern w:val="22"/>
          <w:sz w:val="22"/>
          <w:lang w:val="fr-FR"/>
        </w:rPr>
        <w:t xml:space="preserve"> </w:t>
      </w:r>
      <w:r w:rsidR="001E3F1C">
        <w:rPr>
          <w:kern w:val="22"/>
          <w:sz w:val="22"/>
          <w:lang w:val="fr-FR"/>
        </w:rPr>
        <w:t>D’autre part</w:t>
      </w:r>
      <w:r w:rsidR="00FA28AC" w:rsidRPr="008A5BE1">
        <w:rPr>
          <w:kern w:val="22"/>
          <w:sz w:val="22"/>
          <w:lang w:val="fr-FR"/>
        </w:rPr>
        <w:t>,</w:t>
      </w:r>
      <w:r w:rsidR="00AA5919">
        <w:rPr>
          <w:kern w:val="22"/>
          <w:sz w:val="22"/>
          <w:lang w:val="fr-FR"/>
        </w:rPr>
        <w:t xml:space="preserve"> </w:t>
      </w:r>
      <w:r w:rsidR="00F573D3">
        <w:rPr>
          <w:kern w:val="22"/>
          <w:sz w:val="22"/>
          <w:lang w:val="fr-FR"/>
        </w:rPr>
        <w:t xml:space="preserve">les </w:t>
      </w:r>
      <w:r w:rsidR="00AA5919">
        <w:rPr>
          <w:kern w:val="22"/>
          <w:sz w:val="22"/>
          <w:lang w:val="fr-FR"/>
        </w:rPr>
        <w:t>utilisateurs</w:t>
      </w:r>
      <w:r w:rsidR="001E3F1C">
        <w:rPr>
          <w:kern w:val="22"/>
          <w:sz w:val="22"/>
          <w:lang w:val="fr-FR"/>
        </w:rPr>
        <w:t xml:space="preserve"> pourraient choisi</w:t>
      </w:r>
      <w:r w:rsidR="00F573D3">
        <w:rPr>
          <w:kern w:val="22"/>
          <w:sz w:val="22"/>
          <w:lang w:val="fr-FR"/>
        </w:rPr>
        <w:t xml:space="preserve">r de travailler uniquement </w:t>
      </w:r>
      <w:r w:rsidR="001E3F1C">
        <w:rPr>
          <w:kern w:val="22"/>
          <w:sz w:val="22"/>
          <w:lang w:val="fr-FR"/>
        </w:rPr>
        <w:t>avec des</w:t>
      </w:r>
      <w:r w:rsidR="00830BE4" w:rsidRPr="008A5BE1">
        <w:rPr>
          <w:kern w:val="22"/>
          <w:sz w:val="22"/>
          <w:lang w:val="fr-FR"/>
        </w:rPr>
        <w:t xml:space="preserve"> peuples autochtones et communautés locales</w:t>
      </w:r>
      <w:r w:rsidR="00B17E05" w:rsidRPr="008A5BE1">
        <w:rPr>
          <w:kern w:val="22"/>
          <w:sz w:val="22"/>
          <w:lang w:val="fr-FR"/>
        </w:rPr>
        <w:t xml:space="preserve"> </w:t>
      </w:r>
      <w:r w:rsidR="008A5BE1" w:rsidRPr="008A5BE1">
        <w:rPr>
          <w:kern w:val="22"/>
          <w:sz w:val="22"/>
          <w:lang w:val="fr-FR"/>
        </w:rPr>
        <w:t>dans un pays</w:t>
      </w:r>
      <w:r w:rsidR="00F573D3">
        <w:rPr>
          <w:kern w:val="22"/>
          <w:sz w:val="22"/>
          <w:lang w:val="fr-FR"/>
        </w:rPr>
        <w:t xml:space="preserve"> donné</w:t>
      </w:r>
      <w:r w:rsidR="00B17E05" w:rsidRPr="008A5BE1">
        <w:rPr>
          <w:kern w:val="22"/>
          <w:sz w:val="22"/>
          <w:lang w:val="fr-FR"/>
        </w:rPr>
        <w:t xml:space="preserve">, </w:t>
      </w:r>
      <w:r w:rsidR="00F573D3">
        <w:rPr>
          <w:kern w:val="22"/>
          <w:sz w:val="22"/>
          <w:lang w:val="fr-FR"/>
        </w:rPr>
        <w:t xml:space="preserve">au détriment potentiellement </w:t>
      </w:r>
      <w:r w:rsidR="001E3F1C">
        <w:rPr>
          <w:kern w:val="22"/>
          <w:sz w:val="22"/>
          <w:lang w:val="fr-FR"/>
        </w:rPr>
        <w:t>des</w:t>
      </w:r>
      <w:r w:rsidR="00830BE4" w:rsidRPr="008A5BE1">
        <w:rPr>
          <w:kern w:val="22"/>
          <w:sz w:val="22"/>
          <w:lang w:val="fr-FR"/>
        </w:rPr>
        <w:t xml:space="preserve"> peuples autochtones et communautés locales</w:t>
      </w:r>
      <w:r w:rsidR="00F573D3">
        <w:rPr>
          <w:kern w:val="22"/>
          <w:sz w:val="22"/>
          <w:lang w:val="fr-FR"/>
        </w:rPr>
        <w:t xml:space="preserve"> </w:t>
      </w:r>
      <w:r w:rsidR="002518EB">
        <w:rPr>
          <w:kern w:val="22"/>
          <w:sz w:val="22"/>
          <w:lang w:val="fr-FR"/>
        </w:rPr>
        <w:t xml:space="preserve">d’autres </w:t>
      </w:r>
      <w:r w:rsidR="00E40444" w:rsidRPr="008A5BE1">
        <w:rPr>
          <w:kern w:val="22"/>
          <w:sz w:val="22"/>
          <w:lang w:val="fr-FR"/>
        </w:rPr>
        <w:t>pays</w:t>
      </w:r>
      <w:r w:rsidR="001E3F1C">
        <w:rPr>
          <w:kern w:val="22"/>
          <w:sz w:val="22"/>
          <w:lang w:val="fr-FR"/>
        </w:rPr>
        <w:t xml:space="preserve"> concernés</w:t>
      </w:r>
      <w:r w:rsidR="00FB2D93" w:rsidRPr="008A5BE1">
        <w:rPr>
          <w:kern w:val="22"/>
          <w:sz w:val="22"/>
          <w:lang w:val="fr-FR"/>
        </w:rPr>
        <w:t>.</w:t>
      </w:r>
      <w:r w:rsidR="00FB2D93" w:rsidRPr="002364AB">
        <w:rPr>
          <w:rStyle w:val="FootnoteReference"/>
          <w:kern w:val="22"/>
          <w:sz w:val="22"/>
          <w:lang w:val="en-GB"/>
        </w:rPr>
        <w:footnoteReference w:id="176"/>
      </w:r>
    </w:p>
    <w:p w14:paraId="0B153368" w14:textId="2BA3DC63" w:rsidR="00E600A0" w:rsidRPr="008A5BE1" w:rsidRDefault="008A5BE1" w:rsidP="003D4064">
      <w:pPr>
        <w:jc w:val="left"/>
        <w:rPr>
          <w:i/>
          <w:iCs/>
          <w:kern w:val="22"/>
          <w:sz w:val="22"/>
          <w:lang w:val="fr-FR"/>
        </w:rPr>
      </w:pPr>
      <w:r w:rsidRPr="008A5BE1">
        <w:rPr>
          <w:i/>
          <w:iCs/>
          <w:kern w:val="22"/>
          <w:sz w:val="22"/>
          <w:lang w:val="fr-FR"/>
        </w:rPr>
        <w:t>Scé</w:t>
      </w:r>
      <w:r w:rsidR="00E600A0" w:rsidRPr="008A5BE1">
        <w:rPr>
          <w:i/>
          <w:iCs/>
          <w:kern w:val="22"/>
          <w:sz w:val="22"/>
          <w:lang w:val="fr-FR"/>
        </w:rPr>
        <w:t xml:space="preserve">nario </w:t>
      </w:r>
      <w:r w:rsidR="00B87DAB" w:rsidRPr="008A5BE1">
        <w:rPr>
          <w:i/>
          <w:iCs/>
          <w:kern w:val="22"/>
          <w:sz w:val="22"/>
          <w:lang w:val="fr-FR"/>
        </w:rPr>
        <w:t>3</w:t>
      </w:r>
      <w:r w:rsidR="00E600A0" w:rsidRPr="008A5BE1">
        <w:rPr>
          <w:i/>
          <w:iCs/>
          <w:kern w:val="22"/>
          <w:sz w:val="22"/>
          <w:lang w:val="fr-FR"/>
        </w:rPr>
        <w:t xml:space="preserve">: </w:t>
      </w:r>
      <w:r w:rsidRPr="008A5BE1">
        <w:rPr>
          <w:i/>
          <w:iCs/>
          <w:kern w:val="22"/>
          <w:sz w:val="22"/>
          <w:lang w:val="fr-FR"/>
        </w:rPr>
        <w:t>Une communauté</w:t>
      </w:r>
      <w:r w:rsidR="00E600A0" w:rsidRPr="008A5BE1">
        <w:rPr>
          <w:i/>
          <w:iCs/>
          <w:kern w:val="22"/>
          <w:sz w:val="22"/>
          <w:lang w:val="fr-FR"/>
        </w:rPr>
        <w:t xml:space="preserve"> </w:t>
      </w:r>
      <w:r w:rsidRPr="008A5BE1">
        <w:rPr>
          <w:i/>
          <w:iCs/>
          <w:kern w:val="22"/>
          <w:sz w:val="22"/>
          <w:lang w:val="fr-FR"/>
        </w:rPr>
        <w:t>dans un pays</w:t>
      </w:r>
      <w:r>
        <w:rPr>
          <w:i/>
          <w:iCs/>
          <w:kern w:val="22"/>
          <w:sz w:val="22"/>
          <w:lang w:val="fr-FR"/>
        </w:rPr>
        <w:t xml:space="preserve"> </w:t>
      </w:r>
      <w:r w:rsidR="00BC0012">
        <w:rPr>
          <w:i/>
          <w:iCs/>
          <w:kern w:val="22"/>
          <w:sz w:val="22"/>
          <w:lang w:val="fr-FR"/>
        </w:rPr>
        <w:t>donné est dépositaire de</w:t>
      </w:r>
      <w:r>
        <w:rPr>
          <w:i/>
          <w:iCs/>
          <w:kern w:val="22"/>
          <w:sz w:val="22"/>
          <w:lang w:val="fr-FR"/>
        </w:rPr>
        <w:t xml:space="preserve"> </w:t>
      </w:r>
      <w:r w:rsidR="00E3674F" w:rsidRPr="008A5BE1">
        <w:rPr>
          <w:i/>
          <w:iCs/>
          <w:kern w:val="22"/>
          <w:sz w:val="22"/>
          <w:lang w:val="fr-FR"/>
        </w:rPr>
        <w:t>connaissances traditionnelles</w:t>
      </w:r>
      <w:r w:rsidR="00E600A0" w:rsidRPr="008A5BE1">
        <w:rPr>
          <w:i/>
          <w:iCs/>
          <w:kern w:val="22"/>
          <w:sz w:val="22"/>
          <w:lang w:val="fr-FR"/>
        </w:rPr>
        <w:t xml:space="preserve"> </w:t>
      </w:r>
      <w:r>
        <w:rPr>
          <w:i/>
          <w:iCs/>
          <w:kern w:val="22"/>
          <w:sz w:val="22"/>
          <w:lang w:val="fr-FR"/>
        </w:rPr>
        <w:t xml:space="preserve">associées à une </w:t>
      </w:r>
      <w:r w:rsidR="00BE4772" w:rsidRPr="008A5BE1">
        <w:rPr>
          <w:i/>
          <w:iCs/>
          <w:kern w:val="22"/>
          <w:sz w:val="22"/>
          <w:lang w:val="fr-FR"/>
        </w:rPr>
        <w:t xml:space="preserve">ressource génétique </w:t>
      </w:r>
      <w:r w:rsidR="00BC0012">
        <w:rPr>
          <w:i/>
          <w:iCs/>
          <w:kern w:val="22"/>
          <w:sz w:val="22"/>
          <w:lang w:val="fr-FR"/>
        </w:rPr>
        <w:t>originaire d’</w:t>
      </w:r>
      <w:r>
        <w:rPr>
          <w:i/>
          <w:iCs/>
          <w:kern w:val="22"/>
          <w:sz w:val="22"/>
          <w:lang w:val="fr-FR"/>
        </w:rPr>
        <w:t>un autre</w:t>
      </w:r>
      <w:r w:rsidR="00E600A0" w:rsidRPr="008A5BE1">
        <w:rPr>
          <w:i/>
          <w:iCs/>
          <w:kern w:val="22"/>
          <w:sz w:val="22"/>
          <w:lang w:val="fr-FR"/>
        </w:rPr>
        <w:t xml:space="preserve"> </w:t>
      </w:r>
      <w:r w:rsidRPr="008A5BE1">
        <w:rPr>
          <w:i/>
          <w:iCs/>
          <w:kern w:val="22"/>
          <w:sz w:val="22"/>
          <w:lang w:val="fr-FR"/>
        </w:rPr>
        <w:t>pays</w:t>
      </w:r>
    </w:p>
    <w:p w14:paraId="26F5E3D7" w14:textId="6CF0D121" w:rsidR="004019ED" w:rsidRPr="005804E8" w:rsidRDefault="000725C0" w:rsidP="00E600A0">
      <w:pPr>
        <w:rPr>
          <w:kern w:val="22"/>
          <w:sz w:val="22"/>
          <w:lang w:val="fr-FR"/>
        </w:rPr>
      </w:pPr>
      <w:r w:rsidRPr="000725C0">
        <w:rPr>
          <w:kern w:val="22"/>
          <w:sz w:val="22"/>
          <w:lang w:val="fr-FR"/>
        </w:rPr>
        <w:t>Le cas de l</w:t>
      </w:r>
      <w:r w:rsidR="00C33E5E" w:rsidRPr="000725C0">
        <w:rPr>
          <w:kern w:val="22"/>
          <w:sz w:val="22"/>
          <w:lang w:val="fr-FR"/>
        </w:rPr>
        <w:t>a Pervenche rose</w:t>
      </w:r>
      <w:r w:rsidR="00D5202C">
        <w:rPr>
          <w:kern w:val="22"/>
          <w:sz w:val="22"/>
          <w:lang w:val="fr-FR"/>
        </w:rPr>
        <w:t xml:space="preserve"> relève du</w:t>
      </w:r>
      <w:r w:rsidR="00C77AE8" w:rsidRPr="000725C0">
        <w:rPr>
          <w:kern w:val="22"/>
          <w:sz w:val="22"/>
          <w:lang w:val="fr-FR"/>
        </w:rPr>
        <w:t xml:space="preserve"> </w:t>
      </w:r>
      <w:r>
        <w:rPr>
          <w:kern w:val="22"/>
          <w:sz w:val="22"/>
          <w:lang w:val="fr-FR"/>
        </w:rPr>
        <w:t>s</w:t>
      </w:r>
      <w:r w:rsidR="00E752CB" w:rsidRPr="000725C0">
        <w:rPr>
          <w:kern w:val="22"/>
          <w:sz w:val="22"/>
          <w:lang w:val="fr-FR"/>
        </w:rPr>
        <w:t>cénario</w:t>
      </w:r>
      <w:r w:rsidR="00C77AE8" w:rsidRPr="000725C0">
        <w:rPr>
          <w:kern w:val="22"/>
          <w:sz w:val="22"/>
          <w:lang w:val="fr-FR"/>
        </w:rPr>
        <w:t xml:space="preserve"> 3</w:t>
      </w:r>
      <w:r w:rsidR="00E600A0" w:rsidRPr="000725C0">
        <w:rPr>
          <w:kern w:val="22"/>
          <w:sz w:val="22"/>
          <w:lang w:val="fr-FR"/>
        </w:rPr>
        <w:t>.</w:t>
      </w:r>
      <w:r w:rsidR="004019ED" w:rsidRPr="002364AB">
        <w:rPr>
          <w:rStyle w:val="FootnoteReference"/>
          <w:kern w:val="22"/>
          <w:sz w:val="22"/>
          <w:lang w:val="en-GB"/>
        </w:rPr>
        <w:footnoteReference w:id="177"/>
      </w:r>
      <w:r w:rsidR="00E600A0" w:rsidRPr="000725C0">
        <w:rPr>
          <w:kern w:val="22"/>
          <w:sz w:val="22"/>
          <w:lang w:val="fr-FR"/>
        </w:rPr>
        <w:t xml:space="preserve"> </w:t>
      </w:r>
      <w:r w:rsidR="00C33E5E" w:rsidRPr="00C93E2C">
        <w:rPr>
          <w:kern w:val="22"/>
          <w:sz w:val="22"/>
          <w:lang w:val="fr-FR"/>
        </w:rPr>
        <w:t>La Pervenche rose</w:t>
      </w:r>
      <w:r w:rsidR="00E600A0" w:rsidRPr="00C93E2C">
        <w:rPr>
          <w:kern w:val="22"/>
          <w:sz w:val="22"/>
          <w:lang w:val="fr-FR"/>
        </w:rPr>
        <w:t>,</w:t>
      </w:r>
      <w:r w:rsidR="0028742E" w:rsidRPr="00C93E2C">
        <w:rPr>
          <w:kern w:val="22"/>
          <w:sz w:val="22"/>
          <w:lang w:val="fr-FR"/>
        </w:rPr>
        <w:t xml:space="preserve"> ou </w:t>
      </w:r>
      <w:r w:rsidR="00E600A0" w:rsidRPr="00C93E2C">
        <w:rPr>
          <w:i/>
          <w:kern w:val="22"/>
          <w:sz w:val="22"/>
          <w:lang w:val="fr-FR"/>
        </w:rPr>
        <w:t>Catharanthus roseus</w:t>
      </w:r>
      <w:r w:rsidR="00E600A0" w:rsidRPr="00C93E2C">
        <w:rPr>
          <w:kern w:val="22"/>
          <w:sz w:val="22"/>
          <w:lang w:val="fr-FR"/>
        </w:rPr>
        <w:t xml:space="preserve">, </w:t>
      </w:r>
      <w:r w:rsidRPr="00C93E2C">
        <w:rPr>
          <w:kern w:val="22"/>
          <w:sz w:val="22"/>
          <w:lang w:val="fr-FR"/>
        </w:rPr>
        <w:t xml:space="preserve"> est originaire de </w:t>
      </w:r>
      <w:r w:rsidR="00C93E2C" w:rsidRPr="00C93E2C">
        <w:rPr>
          <w:kern w:val="22"/>
          <w:sz w:val="22"/>
          <w:lang w:val="fr-FR"/>
        </w:rPr>
        <w:t>Madagascar, ma</w:t>
      </w:r>
      <w:r w:rsidR="00C93E2C">
        <w:rPr>
          <w:kern w:val="22"/>
          <w:sz w:val="22"/>
          <w:lang w:val="fr-FR"/>
        </w:rPr>
        <w:t>is elle est aujourd’hui</w:t>
      </w:r>
      <w:r w:rsidR="00113BA7" w:rsidRPr="00C93E2C">
        <w:rPr>
          <w:kern w:val="22"/>
          <w:sz w:val="22"/>
          <w:lang w:val="fr-FR"/>
        </w:rPr>
        <w:t xml:space="preserve"> “</w:t>
      </w:r>
      <w:r w:rsidR="00C93E2C">
        <w:rPr>
          <w:kern w:val="22"/>
          <w:sz w:val="22"/>
          <w:lang w:val="fr-FR"/>
        </w:rPr>
        <w:t xml:space="preserve">une espèce résolument cosmopolite, cultivée dans </w:t>
      </w:r>
      <w:r w:rsidR="00113BA7" w:rsidRPr="00C93E2C">
        <w:rPr>
          <w:kern w:val="22"/>
          <w:sz w:val="22"/>
          <w:lang w:val="fr-FR"/>
        </w:rPr>
        <w:t xml:space="preserve">six </w:t>
      </w:r>
      <w:r w:rsidR="00113BA7" w:rsidRPr="00C93E2C">
        <w:rPr>
          <w:kern w:val="22"/>
          <w:sz w:val="22"/>
          <w:lang w:val="fr-FR"/>
        </w:rPr>
        <w:lastRenderedPageBreak/>
        <w:t>continents</w:t>
      </w:r>
      <w:r w:rsidR="00E3674F" w:rsidRPr="00C93E2C">
        <w:rPr>
          <w:kern w:val="22"/>
          <w:sz w:val="22"/>
          <w:lang w:val="fr-FR"/>
        </w:rPr>
        <w:t xml:space="preserve"> et </w:t>
      </w:r>
      <w:r w:rsidR="00C93E2C">
        <w:rPr>
          <w:kern w:val="22"/>
          <w:sz w:val="22"/>
          <w:lang w:val="fr-FR"/>
        </w:rPr>
        <w:t xml:space="preserve">très bien intégrée dans </w:t>
      </w:r>
      <w:r w:rsidR="001E3F1C">
        <w:rPr>
          <w:kern w:val="22"/>
          <w:sz w:val="22"/>
          <w:lang w:val="fr-FR"/>
        </w:rPr>
        <w:t>la médecine traditionnelle</w:t>
      </w:r>
      <w:r w:rsidR="00C93E2C">
        <w:rPr>
          <w:kern w:val="22"/>
          <w:sz w:val="22"/>
          <w:lang w:val="fr-FR"/>
        </w:rPr>
        <w:t xml:space="preserve"> de</w:t>
      </w:r>
      <w:r w:rsidR="00113BA7" w:rsidRPr="00C93E2C">
        <w:rPr>
          <w:kern w:val="22"/>
          <w:sz w:val="22"/>
          <w:lang w:val="fr-FR"/>
        </w:rPr>
        <w:t xml:space="preserve"> </w:t>
      </w:r>
      <w:r w:rsidR="00E40444" w:rsidRPr="00C93E2C">
        <w:rPr>
          <w:kern w:val="22"/>
          <w:sz w:val="22"/>
          <w:lang w:val="fr-FR"/>
        </w:rPr>
        <w:t>pays</w:t>
      </w:r>
      <w:r w:rsidR="00C93E2C">
        <w:rPr>
          <w:kern w:val="22"/>
          <w:sz w:val="22"/>
          <w:lang w:val="fr-FR"/>
        </w:rPr>
        <w:t xml:space="preserve"> aussi</w:t>
      </w:r>
      <w:r w:rsidR="001E3F1C">
        <w:rPr>
          <w:kern w:val="22"/>
          <w:sz w:val="22"/>
          <w:lang w:val="fr-FR"/>
        </w:rPr>
        <w:t xml:space="preserve"> lointain</w:t>
      </w:r>
      <w:r w:rsidR="00C93E2C">
        <w:rPr>
          <w:kern w:val="22"/>
          <w:sz w:val="22"/>
          <w:lang w:val="fr-FR"/>
        </w:rPr>
        <w:t xml:space="preserve">s les uns des autres que l’Angleterre, le </w:t>
      </w:r>
      <w:r w:rsidR="00113BA7" w:rsidRPr="00C93E2C">
        <w:rPr>
          <w:kern w:val="22"/>
          <w:sz w:val="22"/>
          <w:lang w:val="fr-FR"/>
        </w:rPr>
        <w:t xml:space="preserve">Pakistan, </w:t>
      </w:r>
      <w:r w:rsidR="00C93E2C">
        <w:rPr>
          <w:kern w:val="22"/>
          <w:sz w:val="22"/>
          <w:lang w:val="fr-FR"/>
        </w:rPr>
        <w:t>le Vietnam</w:t>
      </w:r>
      <w:r w:rsidR="001E3F1C">
        <w:rPr>
          <w:kern w:val="22"/>
          <w:sz w:val="22"/>
          <w:lang w:val="fr-FR"/>
        </w:rPr>
        <w:t xml:space="preserve"> ou</w:t>
      </w:r>
      <w:r w:rsidR="00E3674F" w:rsidRPr="00C93E2C">
        <w:rPr>
          <w:kern w:val="22"/>
          <w:sz w:val="22"/>
          <w:lang w:val="fr-FR"/>
        </w:rPr>
        <w:t xml:space="preserve"> </w:t>
      </w:r>
      <w:r w:rsidR="00C93E2C">
        <w:rPr>
          <w:kern w:val="22"/>
          <w:sz w:val="22"/>
          <w:lang w:val="fr-FR"/>
        </w:rPr>
        <w:t xml:space="preserve">la </w:t>
      </w:r>
      <w:r w:rsidR="00113BA7" w:rsidRPr="00C93E2C">
        <w:rPr>
          <w:kern w:val="22"/>
          <w:sz w:val="22"/>
          <w:lang w:val="fr-FR"/>
        </w:rPr>
        <w:t>Domi</w:t>
      </w:r>
      <w:r w:rsidR="00C93E2C">
        <w:rPr>
          <w:kern w:val="22"/>
          <w:sz w:val="22"/>
          <w:lang w:val="fr-FR"/>
        </w:rPr>
        <w:t>nique</w:t>
      </w:r>
      <w:r w:rsidR="00113BA7" w:rsidRPr="00C93E2C">
        <w:rPr>
          <w:kern w:val="22"/>
          <w:sz w:val="22"/>
          <w:lang w:val="fr-FR"/>
        </w:rPr>
        <w:t>.”</w:t>
      </w:r>
      <w:r w:rsidR="00E600A0" w:rsidRPr="002364AB">
        <w:rPr>
          <w:rStyle w:val="FootnoteReference"/>
          <w:kern w:val="22"/>
          <w:sz w:val="22"/>
          <w:lang w:val="en-GB"/>
        </w:rPr>
        <w:footnoteReference w:id="178"/>
      </w:r>
      <w:r w:rsidR="00E600A0" w:rsidRPr="00C93E2C">
        <w:rPr>
          <w:kern w:val="22"/>
          <w:sz w:val="22"/>
          <w:lang w:val="fr-FR"/>
        </w:rPr>
        <w:t xml:space="preserve"> </w:t>
      </w:r>
      <w:r w:rsidR="00C93E2C" w:rsidRPr="005804E8">
        <w:rPr>
          <w:kern w:val="22"/>
          <w:sz w:val="22"/>
          <w:lang w:val="fr-FR"/>
        </w:rPr>
        <w:t xml:space="preserve">Le chercheur </w:t>
      </w:r>
      <w:r w:rsidR="00113BA7" w:rsidRPr="005804E8">
        <w:rPr>
          <w:kern w:val="22"/>
          <w:sz w:val="22"/>
          <w:lang w:val="fr-FR"/>
        </w:rPr>
        <w:t>Eli Lilly</w:t>
      </w:r>
      <w:r w:rsidR="00C93E2C" w:rsidRPr="005804E8">
        <w:rPr>
          <w:kern w:val="22"/>
          <w:sz w:val="22"/>
          <w:lang w:val="fr-FR"/>
        </w:rPr>
        <w:t xml:space="preserve"> a</w:t>
      </w:r>
      <w:r w:rsidR="001E3F1C">
        <w:rPr>
          <w:kern w:val="22"/>
          <w:sz w:val="22"/>
          <w:lang w:val="fr-FR"/>
        </w:rPr>
        <w:t xml:space="preserve"> étudié</w:t>
      </w:r>
      <w:r w:rsidR="005804E8" w:rsidRPr="005804E8">
        <w:rPr>
          <w:kern w:val="22"/>
          <w:sz w:val="22"/>
          <w:lang w:val="fr-FR"/>
        </w:rPr>
        <w:t xml:space="preserve"> le premi</w:t>
      </w:r>
      <w:r w:rsidR="001E3F1C">
        <w:rPr>
          <w:kern w:val="22"/>
          <w:sz w:val="22"/>
          <w:lang w:val="fr-FR"/>
        </w:rPr>
        <w:t>er</w:t>
      </w:r>
      <w:r w:rsidR="005804E8" w:rsidRPr="005804E8">
        <w:rPr>
          <w:kern w:val="22"/>
          <w:sz w:val="22"/>
          <w:lang w:val="fr-FR"/>
        </w:rPr>
        <w:t xml:space="preserve"> cette espèce</w:t>
      </w:r>
      <w:r w:rsidR="001E3F1C">
        <w:rPr>
          <w:kern w:val="22"/>
          <w:sz w:val="22"/>
          <w:lang w:val="fr-FR"/>
        </w:rPr>
        <w:t xml:space="preserve">, après avoir trouvé dans une </w:t>
      </w:r>
      <w:r w:rsidR="005804E8" w:rsidRPr="005804E8">
        <w:rPr>
          <w:kern w:val="22"/>
          <w:sz w:val="22"/>
          <w:lang w:val="fr-FR"/>
        </w:rPr>
        <w:t>recherche sur Internet des p</w:t>
      </w:r>
      <w:r w:rsidR="005804E8">
        <w:rPr>
          <w:kern w:val="22"/>
          <w:sz w:val="22"/>
          <w:lang w:val="fr-FR"/>
        </w:rPr>
        <w:t>ublications de plantes australasien</w:t>
      </w:r>
      <w:r w:rsidR="001E3F1C">
        <w:rPr>
          <w:kern w:val="22"/>
          <w:sz w:val="22"/>
          <w:lang w:val="fr-FR"/>
        </w:rPr>
        <w:t xml:space="preserve">nes comprenant des usages </w:t>
      </w:r>
      <w:r w:rsidR="005804E8">
        <w:rPr>
          <w:kern w:val="22"/>
          <w:sz w:val="22"/>
          <w:lang w:val="fr-FR"/>
        </w:rPr>
        <w:t>autochtone</w:t>
      </w:r>
      <w:r w:rsidR="001E3F1C">
        <w:rPr>
          <w:kern w:val="22"/>
          <w:sz w:val="22"/>
          <w:lang w:val="fr-FR"/>
        </w:rPr>
        <w:t>s</w:t>
      </w:r>
      <w:r w:rsidR="005804E8">
        <w:rPr>
          <w:kern w:val="22"/>
          <w:sz w:val="22"/>
          <w:lang w:val="fr-FR"/>
        </w:rPr>
        <w:t xml:space="preserve"> crédibles, </w:t>
      </w:r>
      <w:r w:rsidR="001E3F1C">
        <w:rPr>
          <w:kern w:val="22"/>
          <w:sz w:val="22"/>
          <w:lang w:val="fr-FR"/>
        </w:rPr>
        <w:t xml:space="preserve">ainsi que </w:t>
      </w:r>
      <w:r w:rsidR="005804E8">
        <w:rPr>
          <w:kern w:val="22"/>
          <w:sz w:val="22"/>
          <w:lang w:val="fr-FR"/>
        </w:rPr>
        <w:t xml:space="preserve">des rapports sur son </w:t>
      </w:r>
      <w:r w:rsidR="00424B6E" w:rsidRPr="005804E8">
        <w:rPr>
          <w:kern w:val="22"/>
          <w:sz w:val="22"/>
          <w:lang w:val="fr-FR"/>
        </w:rPr>
        <w:t xml:space="preserve">utilisation </w:t>
      </w:r>
      <w:r w:rsidR="001E3F1C">
        <w:rPr>
          <w:kern w:val="22"/>
          <w:sz w:val="22"/>
          <w:lang w:val="fr-FR"/>
        </w:rPr>
        <w:t>traditionnelle aux</w:t>
      </w:r>
      <w:r w:rsidR="00113BA7" w:rsidRPr="005804E8">
        <w:rPr>
          <w:kern w:val="22"/>
          <w:sz w:val="22"/>
          <w:lang w:val="fr-FR"/>
        </w:rPr>
        <w:t xml:space="preserve"> Philippines</w:t>
      </w:r>
      <w:r w:rsidR="005804E8">
        <w:rPr>
          <w:kern w:val="22"/>
          <w:sz w:val="22"/>
          <w:lang w:val="fr-FR"/>
        </w:rPr>
        <w:t xml:space="preserve"> comme produit de </w:t>
      </w:r>
      <w:r w:rsidR="00A14BDE">
        <w:rPr>
          <w:kern w:val="22"/>
          <w:sz w:val="22"/>
          <w:lang w:val="fr-FR"/>
        </w:rPr>
        <w:t>substitution</w:t>
      </w:r>
      <w:r w:rsidR="005804E8">
        <w:rPr>
          <w:kern w:val="22"/>
          <w:sz w:val="22"/>
          <w:lang w:val="fr-FR"/>
        </w:rPr>
        <w:t xml:space="preserve"> de l’insulin</w:t>
      </w:r>
      <w:r w:rsidR="00113BA7" w:rsidRPr="005804E8">
        <w:rPr>
          <w:kern w:val="22"/>
          <w:sz w:val="22"/>
          <w:lang w:val="fr-FR"/>
        </w:rPr>
        <w:t>e.</w:t>
      </w:r>
      <w:r w:rsidR="00113BA7" w:rsidRPr="002364AB">
        <w:rPr>
          <w:rStyle w:val="FootnoteReference"/>
          <w:kern w:val="22"/>
          <w:sz w:val="22"/>
          <w:lang w:val="en-GB"/>
        </w:rPr>
        <w:footnoteReference w:id="179"/>
      </w:r>
      <w:r w:rsidR="001E3F1C">
        <w:rPr>
          <w:kern w:val="22"/>
          <w:sz w:val="22"/>
          <w:lang w:val="fr-FR"/>
        </w:rPr>
        <w:t xml:space="preserve"> </w:t>
      </w:r>
      <w:r w:rsidR="005804E8" w:rsidRPr="005804E8">
        <w:rPr>
          <w:kern w:val="22"/>
          <w:sz w:val="22"/>
          <w:lang w:val="fr-FR"/>
        </w:rPr>
        <w:t xml:space="preserve">Lilly a d’abord obtenu des </w:t>
      </w:r>
      <w:r w:rsidR="00E40444" w:rsidRPr="005804E8">
        <w:rPr>
          <w:kern w:val="22"/>
          <w:sz w:val="22"/>
          <w:lang w:val="fr-FR"/>
        </w:rPr>
        <w:t>échantillons</w:t>
      </w:r>
      <w:r w:rsidR="005804E8" w:rsidRPr="005804E8">
        <w:rPr>
          <w:kern w:val="22"/>
          <w:sz w:val="22"/>
          <w:lang w:val="fr-FR"/>
        </w:rPr>
        <w:t xml:space="preserve"> </w:t>
      </w:r>
      <w:r w:rsidR="001E3F1C">
        <w:rPr>
          <w:kern w:val="22"/>
          <w:sz w:val="22"/>
          <w:lang w:val="fr-FR"/>
        </w:rPr>
        <w:t>provenant d’Inde, aboutissant finalement</w:t>
      </w:r>
      <w:r w:rsidR="005804E8">
        <w:rPr>
          <w:kern w:val="22"/>
          <w:sz w:val="22"/>
          <w:lang w:val="fr-FR"/>
        </w:rPr>
        <w:t xml:space="preserve"> au</w:t>
      </w:r>
      <w:r w:rsidR="00E3674F" w:rsidRPr="005804E8">
        <w:rPr>
          <w:kern w:val="22"/>
          <w:sz w:val="22"/>
          <w:lang w:val="fr-FR"/>
        </w:rPr>
        <w:t xml:space="preserve"> </w:t>
      </w:r>
      <w:r w:rsidR="005804E8" w:rsidRPr="005804E8">
        <w:rPr>
          <w:kern w:val="22"/>
          <w:sz w:val="22"/>
          <w:lang w:val="fr-FR"/>
        </w:rPr>
        <w:t>dé</w:t>
      </w:r>
      <w:r w:rsidR="000B705A" w:rsidRPr="005804E8">
        <w:rPr>
          <w:kern w:val="22"/>
          <w:sz w:val="22"/>
          <w:lang w:val="fr-FR"/>
        </w:rPr>
        <w:t>velo</w:t>
      </w:r>
      <w:r w:rsidR="005804E8" w:rsidRPr="005804E8">
        <w:rPr>
          <w:kern w:val="22"/>
          <w:sz w:val="22"/>
          <w:lang w:val="fr-FR"/>
        </w:rPr>
        <w:t>p</w:t>
      </w:r>
      <w:r w:rsidR="000B705A" w:rsidRPr="005804E8">
        <w:rPr>
          <w:kern w:val="22"/>
          <w:sz w:val="22"/>
          <w:lang w:val="fr-FR"/>
        </w:rPr>
        <w:t>p</w:t>
      </w:r>
      <w:r w:rsidR="005804E8" w:rsidRPr="005804E8">
        <w:rPr>
          <w:kern w:val="22"/>
          <w:sz w:val="22"/>
          <w:lang w:val="fr-FR"/>
        </w:rPr>
        <w:t>e</w:t>
      </w:r>
      <w:r w:rsidR="000B705A" w:rsidRPr="005804E8">
        <w:rPr>
          <w:kern w:val="22"/>
          <w:sz w:val="22"/>
          <w:lang w:val="fr-FR"/>
        </w:rPr>
        <w:t>ment</w:t>
      </w:r>
      <w:r w:rsidR="005804E8" w:rsidRPr="005804E8">
        <w:rPr>
          <w:kern w:val="22"/>
          <w:sz w:val="22"/>
          <w:lang w:val="fr-FR"/>
        </w:rPr>
        <w:t xml:space="preserve"> du </w:t>
      </w:r>
      <w:r w:rsidR="005804E8">
        <w:rPr>
          <w:kern w:val="22"/>
          <w:sz w:val="22"/>
          <w:lang w:val="fr-FR"/>
        </w:rPr>
        <w:t>mé</w:t>
      </w:r>
      <w:r w:rsidR="005804E8" w:rsidRPr="005804E8">
        <w:rPr>
          <w:kern w:val="22"/>
          <w:sz w:val="22"/>
          <w:lang w:val="fr-FR"/>
        </w:rPr>
        <w:t>dicament</w:t>
      </w:r>
      <w:r w:rsidR="005804E8">
        <w:rPr>
          <w:kern w:val="22"/>
          <w:sz w:val="22"/>
          <w:lang w:val="fr-FR"/>
        </w:rPr>
        <w:t xml:space="preserve"> reconnu</w:t>
      </w:r>
      <w:r w:rsidR="005804E8" w:rsidRPr="005804E8">
        <w:rPr>
          <w:kern w:val="22"/>
          <w:sz w:val="22"/>
          <w:lang w:val="fr-FR"/>
        </w:rPr>
        <w:t xml:space="preserve"> </w:t>
      </w:r>
      <w:r w:rsidR="001E3F1C">
        <w:rPr>
          <w:kern w:val="22"/>
          <w:sz w:val="22"/>
          <w:lang w:val="fr-FR"/>
        </w:rPr>
        <w:t>contre le cancer, Vincristine</w:t>
      </w:r>
      <w:r w:rsidR="000B705A" w:rsidRPr="005804E8">
        <w:rPr>
          <w:kern w:val="22"/>
          <w:sz w:val="22"/>
          <w:lang w:val="fr-FR"/>
        </w:rPr>
        <w:t xml:space="preserve">.  </w:t>
      </w:r>
      <w:r w:rsidR="001E3F1C">
        <w:rPr>
          <w:kern w:val="22"/>
          <w:sz w:val="22"/>
          <w:lang w:val="fr-FR"/>
        </w:rPr>
        <w:t>D</w:t>
      </w:r>
      <w:r w:rsidR="00A714AF">
        <w:rPr>
          <w:kern w:val="22"/>
          <w:sz w:val="22"/>
          <w:lang w:val="fr-FR"/>
        </w:rPr>
        <w:t>ans le cadre de recherches</w:t>
      </w:r>
      <w:r w:rsidR="001E3F1C">
        <w:rPr>
          <w:kern w:val="22"/>
          <w:sz w:val="22"/>
          <w:lang w:val="fr-FR"/>
        </w:rPr>
        <w:t xml:space="preserve"> distinct</w:t>
      </w:r>
      <w:r w:rsidR="00A714AF">
        <w:rPr>
          <w:kern w:val="22"/>
          <w:sz w:val="22"/>
          <w:lang w:val="fr-FR"/>
        </w:rPr>
        <w:t>es,</w:t>
      </w:r>
      <w:r w:rsidR="00E600A0" w:rsidRPr="005804E8">
        <w:rPr>
          <w:kern w:val="22"/>
          <w:sz w:val="22"/>
          <w:lang w:val="fr-FR"/>
        </w:rPr>
        <w:t xml:space="preserve"> </w:t>
      </w:r>
      <w:r w:rsidR="005804E8" w:rsidRPr="005804E8">
        <w:rPr>
          <w:kern w:val="22"/>
          <w:sz w:val="22"/>
          <w:lang w:val="fr-FR"/>
        </w:rPr>
        <w:t xml:space="preserve">des </w:t>
      </w:r>
      <w:r w:rsidR="00E40444" w:rsidRPr="005804E8">
        <w:rPr>
          <w:kern w:val="22"/>
          <w:sz w:val="22"/>
          <w:lang w:val="fr-FR"/>
        </w:rPr>
        <w:t>échantillons</w:t>
      </w:r>
      <w:r w:rsidR="00E600A0" w:rsidRPr="005804E8">
        <w:rPr>
          <w:kern w:val="22"/>
          <w:sz w:val="22"/>
          <w:lang w:val="fr-FR"/>
        </w:rPr>
        <w:t xml:space="preserve"> </w:t>
      </w:r>
      <w:r w:rsidR="005804E8" w:rsidRPr="005804E8">
        <w:rPr>
          <w:kern w:val="22"/>
          <w:sz w:val="22"/>
          <w:lang w:val="fr-FR"/>
        </w:rPr>
        <w:t>de f</w:t>
      </w:r>
      <w:r w:rsidR="001E3F1C">
        <w:rPr>
          <w:kern w:val="22"/>
          <w:sz w:val="22"/>
          <w:lang w:val="fr-FR"/>
        </w:rPr>
        <w:t xml:space="preserve">euilles de cette </w:t>
      </w:r>
      <w:r w:rsidR="005804E8">
        <w:rPr>
          <w:kern w:val="22"/>
          <w:sz w:val="22"/>
          <w:lang w:val="fr-FR"/>
        </w:rPr>
        <w:t>espèce ont été envoyés</w:t>
      </w:r>
      <w:r w:rsidR="001E3F1C">
        <w:rPr>
          <w:kern w:val="22"/>
          <w:sz w:val="22"/>
          <w:lang w:val="fr-FR"/>
        </w:rPr>
        <w:t xml:space="preserve"> au Canada par un docteur de la </w:t>
      </w:r>
      <w:r w:rsidR="00A14BDE">
        <w:rPr>
          <w:kern w:val="22"/>
          <w:sz w:val="22"/>
          <w:lang w:val="fr-FR"/>
        </w:rPr>
        <w:t>Jamaïque</w:t>
      </w:r>
      <w:r w:rsidR="00E600A0" w:rsidRPr="005804E8">
        <w:rPr>
          <w:kern w:val="22"/>
          <w:sz w:val="22"/>
          <w:lang w:val="fr-FR"/>
        </w:rPr>
        <w:t xml:space="preserve">, </w:t>
      </w:r>
      <w:r w:rsidR="005804E8">
        <w:rPr>
          <w:kern w:val="22"/>
          <w:sz w:val="22"/>
          <w:lang w:val="fr-FR"/>
        </w:rPr>
        <w:t xml:space="preserve">où la Pervenche rose est utilisée localement </w:t>
      </w:r>
      <w:r w:rsidR="001E3F1C">
        <w:rPr>
          <w:kern w:val="22"/>
          <w:sz w:val="22"/>
          <w:lang w:val="fr-FR"/>
        </w:rPr>
        <w:t xml:space="preserve">comme traitement contre le diabète, </w:t>
      </w:r>
      <w:r w:rsidR="00A714AF">
        <w:rPr>
          <w:kern w:val="22"/>
          <w:sz w:val="22"/>
          <w:lang w:val="fr-FR"/>
        </w:rPr>
        <w:t xml:space="preserve">conduisant </w:t>
      </w:r>
      <w:r w:rsidR="005804E8">
        <w:rPr>
          <w:kern w:val="22"/>
          <w:sz w:val="22"/>
          <w:lang w:val="fr-FR"/>
        </w:rPr>
        <w:t>des</w:t>
      </w:r>
      <w:r w:rsidR="00E600A0" w:rsidRPr="005804E8">
        <w:rPr>
          <w:kern w:val="22"/>
          <w:sz w:val="22"/>
          <w:lang w:val="fr-FR"/>
        </w:rPr>
        <w:t xml:space="preserve"> </w:t>
      </w:r>
      <w:r w:rsidR="008A362D" w:rsidRPr="005804E8">
        <w:rPr>
          <w:kern w:val="22"/>
          <w:sz w:val="22"/>
          <w:lang w:val="fr-FR"/>
        </w:rPr>
        <w:t>chercheurs</w:t>
      </w:r>
      <w:r w:rsidR="00E600A0" w:rsidRPr="005804E8">
        <w:rPr>
          <w:kern w:val="22"/>
          <w:sz w:val="22"/>
          <w:lang w:val="fr-FR"/>
        </w:rPr>
        <w:t xml:space="preserve"> </w:t>
      </w:r>
      <w:r w:rsidR="001E3F1C">
        <w:rPr>
          <w:kern w:val="22"/>
          <w:sz w:val="22"/>
          <w:lang w:val="fr-FR"/>
        </w:rPr>
        <w:t xml:space="preserve">à identifier puis à </w:t>
      </w:r>
      <w:r w:rsidR="00B43E38" w:rsidRPr="005804E8">
        <w:rPr>
          <w:kern w:val="22"/>
          <w:sz w:val="22"/>
          <w:lang w:val="fr-FR"/>
        </w:rPr>
        <w:t>brevet</w:t>
      </w:r>
      <w:r w:rsidR="001E3F1C">
        <w:rPr>
          <w:kern w:val="22"/>
          <w:sz w:val="22"/>
          <w:lang w:val="fr-FR"/>
        </w:rPr>
        <w:t>er</w:t>
      </w:r>
      <w:r w:rsidR="005804E8">
        <w:rPr>
          <w:kern w:val="22"/>
          <w:sz w:val="22"/>
          <w:lang w:val="fr-FR"/>
        </w:rPr>
        <w:t xml:space="preserve"> le médicament</w:t>
      </w:r>
      <w:r w:rsidR="00E600A0" w:rsidRPr="005804E8">
        <w:rPr>
          <w:kern w:val="22"/>
          <w:sz w:val="22"/>
          <w:lang w:val="fr-FR"/>
        </w:rPr>
        <w:t xml:space="preserve"> </w:t>
      </w:r>
      <w:r w:rsidR="005804E8">
        <w:rPr>
          <w:kern w:val="22"/>
          <w:sz w:val="22"/>
          <w:lang w:val="fr-FR"/>
        </w:rPr>
        <w:t>Vinblastine, un autre médicament contre le cancer</w:t>
      </w:r>
      <w:r w:rsidR="00E600A0" w:rsidRPr="005804E8">
        <w:rPr>
          <w:kern w:val="22"/>
          <w:sz w:val="22"/>
          <w:lang w:val="fr-FR"/>
        </w:rPr>
        <w:t>.</w:t>
      </w:r>
      <w:r w:rsidR="00E600A0" w:rsidRPr="002364AB">
        <w:rPr>
          <w:rStyle w:val="FootnoteReference"/>
          <w:kern w:val="22"/>
          <w:sz w:val="22"/>
          <w:lang w:val="en-GB"/>
        </w:rPr>
        <w:footnoteReference w:id="180"/>
      </w:r>
      <w:r w:rsidR="00E600A0" w:rsidRPr="005804E8">
        <w:rPr>
          <w:kern w:val="22"/>
          <w:sz w:val="22"/>
          <w:lang w:val="fr-FR"/>
        </w:rPr>
        <w:t xml:space="preserve"> </w:t>
      </w:r>
    </w:p>
    <w:p w14:paraId="4761CF35" w14:textId="5D170A46" w:rsidR="00E600A0" w:rsidRPr="005804E8" w:rsidRDefault="005804E8" w:rsidP="00E600A0">
      <w:pPr>
        <w:rPr>
          <w:kern w:val="22"/>
          <w:sz w:val="22"/>
          <w:lang w:val="fr-FR"/>
        </w:rPr>
      </w:pPr>
      <w:r w:rsidRPr="005804E8">
        <w:rPr>
          <w:kern w:val="22"/>
          <w:sz w:val="22"/>
          <w:lang w:val="fr-FR"/>
        </w:rPr>
        <w:t xml:space="preserve">Aucun de ces deux </w:t>
      </w:r>
      <w:r w:rsidR="00A714AF">
        <w:rPr>
          <w:kern w:val="22"/>
          <w:sz w:val="22"/>
          <w:lang w:val="fr-FR"/>
        </w:rPr>
        <w:t>traite</w:t>
      </w:r>
      <w:r w:rsidR="00D71F4E" w:rsidRPr="005804E8">
        <w:rPr>
          <w:kern w:val="22"/>
          <w:sz w:val="22"/>
          <w:lang w:val="fr-FR"/>
        </w:rPr>
        <w:t>ment</w:t>
      </w:r>
      <w:r>
        <w:rPr>
          <w:kern w:val="22"/>
          <w:sz w:val="22"/>
          <w:lang w:val="fr-FR"/>
        </w:rPr>
        <w:t>s contre le cancer n’était basé</w:t>
      </w:r>
      <w:r w:rsidR="00D71F4E" w:rsidRPr="005804E8">
        <w:rPr>
          <w:kern w:val="22"/>
          <w:sz w:val="22"/>
          <w:lang w:val="fr-FR"/>
        </w:rPr>
        <w:t xml:space="preserve"> </w:t>
      </w:r>
      <w:r>
        <w:rPr>
          <w:kern w:val="22"/>
          <w:sz w:val="22"/>
          <w:lang w:val="fr-FR"/>
        </w:rPr>
        <w:t>directement sur des</w:t>
      </w:r>
      <w:r w:rsidR="00E600A0" w:rsidRPr="005804E8">
        <w:rPr>
          <w:kern w:val="22"/>
          <w:sz w:val="22"/>
          <w:lang w:val="fr-FR"/>
        </w:rPr>
        <w:t xml:space="preserve"> </w:t>
      </w:r>
      <w:r w:rsidR="00830BE4" w:rsidRPr="005804E8">
        <w:rPr>
          <w:iCs/>
          <w:kern w:val="22"/>
          <w:sz w:val="22"/>
          <w:lang w:val="fr-FR"/>
        </w:rPr>
        <w:t>connaissances traditionnelles connexes</w:t>
      </w:r>
      <w:r w:rsidR="00A714AF">
        <w:rPr>
          <w:kern w:val="22"/>
          <w:sz w:val="22"/>
          <w:lang w:val="fr-FR"/>
        </w:rPr>
        <w:t xml:space="preserve"> (en raison </w:t>
      </w:r>
      <w:r>
        <w:rPr>
          <w:kern w:val="22"/>
          <w:sz w:val="22"/>
          <w:lang w:val="fr-FR"/>
        </w:rPr>
        <w:t>du fait que la plante est traditionnellement utilisée comme traitement contre le diabète, et non contre le cancer</w:t>
      </w:r>
      <w:r w:rsidR="00E600A0" w:rsidRPr="005804E8">
        <w:rPr>
          <w:kern w:val="22"/>
          <w:sz w:val="22"/>
          <w:lang w:val="fr-FR"/>
        </w:rPr>
        <w:t>)</w:t>
      </w:r>
      <w:r w:rsidR="005A4A51" w:rsidRPr="005804E8">
        <w:rPr>
          <w:kern w:val="22"/>
          <w:sz w:val="22"/>
          <w:lang w:val="fr-FR"/>
        </w:rPr>
        <w:t>.</w:t>
      </w:r>
      <w:r w:rsidR="00E600A0" w:rsidRPr="005804E8">
        <w:rPr>
          <w:kern w:val="22"/>
          <w:sz w:val="22"/>
          <w:lang w:val="fr-FR"/>
        </w:rPr>
        <w:t xml:space="preserve"> </w:t>
      </w:r>
      <w:r w:rsidRPr="005804E8">
        <w:rPr>
          <w:kern w:val="22"/>
          <w:sz w:val="22"/>
          <w:lang w:val="fr-FR"/>
        </w:rPr>
        <w:t>Cependant</w:t>
      </w:r>
      <w:r w:rsidR="00277CD9" w:rsidRPr="005804E8">
        <w:rPr>
          <w:kern w:val="22"/>
          <w:sz w:val="22"/>
          <w:lang w:val="fr-FR"/>
        </w:rPr>
        <w:t xml:space="preserve">, </w:t>
      </w:r>
      <w:r w:rsidR="00D95195">
        <w:rPr>
          <w:kern w:val="22"/>
          <w:sz w:val="22"/>
          <w:lang w:val="fr-FR"/>
        </w:rPr>
        <w:t>sans c</w:t>
      </w:r>
      <w:r w:rsidR="00A714AF">
        <w:rPr>
          <w:kern w:val="22"/>
          <w:sz w:val="22"/>
          <w:lang w:val="fr-FR"/>
        </w:rPr>
        <w:t>es</w:t>
      </w:r>
      <w:r w:rsidRPr="005804E8">
        <w:rPr>
          <w:kern w:val="22"/>
          <w:sz w:val="22"/>
          <w:lang w:val="fr-FR"/>
        </w:rPr>
        <w:t xml:space="preserve"> </w:t>
      </w:r>
      <w:r w:rsidR="00E3674F" w:rsidRPr="005804E8">
        <w:rPr>
          <w:iCs/>
          <w:kern w:val="22"/>
          <w:sz w:val="22"/>
          <w:lang w:val="fr-FR"/>
        </w:rPr>
        <w:t>connaissances traditionnelles</w:t>
      </w:r>
      <w:r w:rsidR="00D95195">
        <w:rPr>
          <w:kern w:val="22"/>
          <w:sz w:val="22"/>
          <w:lang w:val="fr-FR"/>
        </w:rPr>
        <w:t xml:space="preserve"> signalées au</w:t>
      </w:r>
      <w:r w:rsidR="00A714AF">
        <w:rPr>
          <w:kern w:val="22"/>
          <w:sz w:val="22"/>
          <w:lang w:val="fr-FR"/>
        </w:rPr>
        <w:t xml:space="preserve">x </w:t>
      </w:r>
      <w:r w:rsidR="00C76D95" w:rsidRPr="005804E8">
        <w:rPr>
          <w:kern w:val="22"/>
          <w:sz w:val="22"/>
          <w:lang w:val="fr-FR"/>
        </w:rPr>
        <w:t>Philippines,</w:t>
      </w:r>
      <w:r w:rsidR="00D95195">
        <w:rPr>
          <w:kern w:val="22"/>
          <w:sz w:val="22"/>
          <w:lang w:val="fr-FR"/>
        </w:rPr>
        <w:t xml:space="preserve"> ni l</w:t>
      </w:r>
      <w:r>
        <w:rPr>
          <w:kern w:val="22"/>
          <w:sz w:val="22"/>
          <w:lang w:val="fr-FR"/>
        </w:rPr>
        <w:t>es c</w:t>
      </w:r>
      <w:r w:rsidR="00830BE4" w:rsidRPr="005804E8">
        <w:rPr>
          <w:kern w:val="22"/>
          <w:sz w:val="22"/>
          <w:lang w:val="fr-FR"/>
        </w:rPr>
        <w:t>onnai</w:t>
      </w:r>
      <w:r w:rsidR="00A714AF">
        <w:rPr>
          <w:kern w:val="22"/>
          <w:sz w:val="22"/>
          <w:lang w:val="fr-FR"/>
        </w:rPr>
        <w:t xml:space="preserve">ssances traditionnelles connexes </w:t>
      </w:r>
      <w:r w:rsidR="00D95195">
        <w:rPr>
          <w:kern w:val="22"/>
          <w:sz w:val="22"/>
          <w:lang w:val="fr-FR"/>
        </w:rPr>
        <w:t xml:space="preserve">venant de </w:t>
      </w:r>
      <w:r w:rsidR="00A14BDE">
        <w:rPr>
          <w:kern w:val="22"/>
          <w:sz w:val="22"/>
          <w:lang w:val="fr-FR"/>
        </w:rPr>
        <w:t>Jamaïque</w:t>
      </w:r>
      <w:r>
        <w:rPr>
          <w:kern w:val="22"/>
          <w:sz w:val="22"/>
          <w:lang w:val="fr-FR"/>
        </w:rPr>
        <w:t>, respectivement</w:t>
      </w:r>
      <w:r w:rsidR="00C76D95" w:rsidRPr="005804E8">
        <w:rPr>
          <w:kern w:val="22"/>
          <w:sz w:val="22"/>
          <w:lang w:val="fr-FR"/>
        </w:rPr>
        <w:t>,</w:t>
      </w:r>
      <w:r w:rsidR="00E600A0" w:rsidRPr="005804E8">
        <w:rPr>
          <w:kern w:val="22"/>
          <w:sz w:val="22"/>
          <w:lang w:val="fr-FR"/>
        </w:rPr>
        <w:t xml:space="preserve"> </w:t>
      </w:r>
      <w:r>
        <w:rPr>
          <w:kern w:val="22"/>
          <w:sz w:val="22"/>
          <w:lang w:val="fr-FR"/>
        </w:rPr>
        <w:t xml:space="preserve">les deux équipes de </w:t>
      </w:r>
      <w:r w:rsidR="008A362D" w:rsidRPr="005804E8">
        <w:rPr>
          <w:kern w:val="22"/>
          <w:sz w:val="22"/>
          <w:lang w:val="fr-FR"/>
        </w:rPr>
        <w:t>chercheurs</w:t>
      </w:r>
      <w:r w:rsidR="00C76D95" w:rsidRPr="005804E8">
        <w:rPr>
          <w:kern w:val="22"/>
          <w:sz w:val="22"/>
          <w:lang w:val="fr-FR"/>
        </w:rPr>
        <w:t xml:space="preserve"> </w:t>
      </w:r>
      <w:r>
        <w:rPr>
          <w:kern w:val="22"/>
          <w:sz w:val="22"/>
          <w:lang w:val="fr-FR"/>
        </w:rPr>
        <w:t>n’aurai</w:t>
      </w:r>
      <w:r w:rsidR="00A714AF">
        <w:rPr>
          <w:kern w:val="22"/>
          <w:sz w:val="22"/>
          <w:lang w:val="fr-FR"/>
        </w:rPr>
        <w:t xml:space="preserve">ent sans doute pas étudié cette </w:t>
      </w:r>
      <w:r w:rsidR="003B220E" w:rsidRPr="005804E8">
        <w:rPr>
          <w:kern w:val="22"/>
          <w:sz w:val="22"/>
          <w:lang w:val="fr-FR"/>
        </w:rPr>
        <w:t>plant</w:t>
      </w:r>
      <w:r w:rsidR="00A714AF">
        <w:rPr>
          <w:kern w:val="22"/>
          <w:sz w:val="22"/>
          <w:lang w:val="fr-FR"/>
        </w:rPr>
        <w:t>e à des fins d’utilisation médicinale potentielle</w:t>
      </w:r>
      <w:r w:rsidR="00E600A0" w:rsidRPr="005804E8">
        <w:rPr>
          <w:kern w:val="22"/>
          <w:sz w:val="22"/>
          <w:lang w:val="fr-FR"/>
        </w:rPr>
        <w:t>.</w:t>
      </w:r>
      <w:r w:rsidR="004019ED" w:rsidRPr="005804E8" w:rsidDel="009F3C3A">
        <w:rPr>
          <w:kern w:val="22"/>
          <w:sz w:val="22"/>
          <w:lang w:val="fr-FR"/>
        </w:rPr>
        <w:t xml:space="preserve"> </w:t>
      </w:r>
      <w:r w:rsidR="00D95195">
        <w:rPr>
          <w:kern w:val="22"/>
          <w:sz w:val="22"/>
          <w:lang w:val="fr-FR"/>
        </w:rPr>
        <w:t>Cependant, cet</w:t>
      </w:r>
      <w:r>
        <w:rPr>
          <w:kern w:val="22"/>
          <w:sz w:val="22"/>
          <w:lang w:val="fr-FR"/>
        </w:rPr>
        <w:t xml:space="preserve"> </w:t>
      </w:r>
      <w:r w:rsidR="009D43F1" w:rsidRPr="005804E8">
        <w:rPr>
          <w:kern w:val="22"/>
          <w:sz w:val="22"/>
          <w:lang w:val="fr-FR"/>
        </w:rPr>
        <w:t>exemple</w:t>
      </w:r>
      <w:r w:rsidR="00D95195">
        <w:rPr>
          <w:kern w:val="22"/>
          <w:sz w:val="22"/>
          <w:lang w:val="fr-FR"/>
        </w:rPr>
        <w:t xml:space="preserve"> illustre </w:t>
      </w:r>
      <w:r>
        <w:rPr>
          <w:kern w:val="22"/>
          <w:sz w:val="22"/>
          <w:lang w:val="fr-FR"/>
        </w:rPr>
        <w:t>un type de</w:t>
      </w:r>
      <w:r w:rsidR="00C76D95" w:rsidRPr="005804E8">
        <w:rPr>
          <w:kern w:val="22"/>
          <w:sz w:val="22"/>
          <w:lang w:val="fr-FR"/>
        </w:rPr>
        <w:t xml:space="preserve"> </w:t>
      </w:r>
      <w:r w:rsidR="00E752CB" w:rsidRPr="005804E8">
        <w:rPr>
          <w:kern w:val="22"/>
          <w:sz w:val="22"/>
          <w:lang w:val="fr-FR"/>
        </w:rPr>
        <w:t>scénario</w:t>
      </w:r>
      <w:r w:rsidR="00A714AF">
        <w:rPr>
          <w:kern w:val="22"/>
          <w:sz w:val="22"/>
          <w:lang w:val="fr-FR"/>
        </w:rPr>
        <w:t xml:space="preserve"> dans lequel</w:t>
      </w:r>
      <w:r>
        <w:rPr>
          <w:kern w:val="22"/>
          <w:sz w:val="22"/>
          <w:lang w:val="fr-FR"/>
        </w:rPr>
        <w:t xml:space="preserve"> un</w:t>
      </w:r>
      <w:r w:rsidR="00C76D95" w:rsidRPr="005804E8">
        <w:rPr>
          <w:kern w:val="22"/>
          <w:sz w:val="22"/>
          <w:lang w:val="fr-FR"/>
        </w:rPr>
        <w:t xml:space="preserve"> </w:t>
      </w:r>
      <w:r w:rsidR="00D70471" w:rsidRPr="005804E8">
        <w:rPr>
          <w:kern w:val="22"/>
          <w:sz w:val="22"/>
          <w:lang w:val="fr-FR"/>
        </w:rPr>
        <w:t>pays fournisseur</w:t>
      </w:r>
      <w:r w:rsidR="00C76D95" w:rsidRPr="005804E8">
        <w:rPr>
          <w:kern w:val="22"/>
          <w:sz w:val="22"/>
          <w:lang w:val="fr-FR"/>
        </w:rPr>
        <w:t xml:space="preserve"> (</w:t>
      </w:r>
      <w:r>
        <w:rPr>
          <w:kern w:val="22"/>
          <w:sz w:val="22"/>
          <w:lang w:val="fr-FR"/>
        </w:rPr>
        <w:t>l’Inde) est différent du</w:t>
      </w:r>
      <w:r w:rsidR="00C76D95" w:rsidRPr="005804E8">
        <w:rPr>
          <w:kern w:val="22"/>
          <w:sz w:val="22"/>
          <w:lang w:val="fr-FR"/>
        </w:rPr>
        <w:t xml:space="preserve"> </w:t>
      </w:r>
      <w:r w:rsidR="008A5BE1" w:rsidRPr="005804E8">
        <w:rPr>
          <w:kern w:val="22"/>
          <w:sz w:val="22"/>
          <w:lang w:val="fr-FR"/>
        </w:rPr>
        <w:t>pays</w:t>
      </w:r>
      <w:r>
        <w:rPr>
          <w:kern w:val="22"/>
          <w:sz w:val="22"/>
          <w:lang w:val="fr-FR"/>
        </w:rPr>
        <w:t xml:space="preserve"> où résident l</w:t>
      </w:r>
      <w:r w:rsidR="00830BE4" w:rsidRPr="005804E8">
        <w:rPr>
          <w:kern w:val="22"/>
          <w:sz w:val="22"/>
          <w:lang w:val="fr-FR"/>
        </w:rPr>
        <w:t>es peuples autochtones et communautés locales</w:t>
      </w:r>
      <w:r>
        <w:rPr>
          <w:kern w:val="22"/>
          <w:sz w:val="22"/>
          <w:lang w:val="fr-FR"/>
        </w:rPr>
        <w:t xml:space="preserve"> qui ont contribué aux</w:t>
      </w:r>
      <w:r w:rsidR="00C76D95" w:rsidRPr="005804E8">
        <w:rPr>
          <w:kern w:val="22"/>
          <w:sz w:val="22"/>
          <w:lang w:val="fr-FR"/>
        </w:rPr>
        <w:t xml:space="preserve"> </w:t>
      </w:r>
      <w:r w:rsidR="00E3674F" w:rsidRPr="005804E8">
        <w:rPr>
          <w:kern w:val="22"/>
          <w:sz w:val="22"/>
          <w:lang w:val="fr-FR"/>
        </w:rPr>
        <w:t>connaissances traditionnelles</w:t>
      </w:r>
      <w:r w:rsidR="00A714AF">
        <w:rPr>
          <w:kern w:val="22"/>
          <w:sz w:val="22"/>
          <w:lang w:val="fr-FR"/>
        </w:rPr>
        <w:t xml:space="preserve"> (</w:t>
      </w:r>
      <w:r>
        <w:rPr>
          <w:kern w:val="22"/>
          <w:sz w:val="22"/>
          <w:lang w:val="fr-FR"/>
        </w:rPr>
        <w:t xml:space="preserve">les </w:t>
      </w:r>
      <w:r w:rsidR="00C76D95" w:rsidRPr="005804E8">
        <w:rPr>
          <w:kern w:val="22"/>
          <w:sz w:val="22"/>
          <w:lang w:val="fr-FR"/>
        </w:rPr>
        <w:t>Philippines),</w:t>
      </w:r>
      <w:r w:rsidR="00E3674F" w:rsidRPr="005804E8">
        <w:rPr>
          <w:kern w:val="22"/>
          <w:sz w:val="22"/>
          <w:lang w:val="fr-FR"/>
        </w:rPr>
        <w:t xml:space="preserve"> et </w:t>
      </w:r>
      <w:r w:rsidR="00CC51E7">
        <w:rPr>
          <w:kern w:val="22"/>
          <w:sz w:val="22"/>
          <w:lang w:val="fr-FR"/>
        </w:rPr>
        <w:t xml:space="preserve">l’identification </w:t>
      </w:r>
      <w:r w:rsidR="00830BE4" w:rsidRPr="005804E8">
        <w:rPr>
          <w:kern w:val="22"/>
          <w:sz w:val="22"/>
          <w:lang w:val="fr-FR"/>
        </w:rPr>
        <w:t>des peuples autochtones et communautés locales</w:t>
      </w:r>
      <w:r w:rsidR="00C76D95" w:rsidRPr="005804E8">
        <w:rPr>
          <w:kern w:val="22"/>
          <w:sz w:val="22"/>
          <w:lang w:val="fr-FR"/>
        </w:rPr>
        <w:t xml:space="preserve"> </w:t>
      </w:r>
      <w:r w:rsidR="00CC51E7">
        <w:rPr>
          <w:kern w:val="22"/>
          <w:sz w:val="22"/>
          <w:lang w:val="fr-FR"/>
        </w:rPr>
        <w:t>spécifiquement concernés n’est pas évidente, sur la base d’une</w:t>
      </w:r>
      <w:r w:rsidR="00D95195">
        <w:rPr>
          <w:kern w:val="22"/>
          <w:sz w:val="22"/>
          <w:lang w:val="fr-FR"/>
        </w:rPr>
        <w:t xml:space="preserve"> seule </w:t>
      </w:r>
      <w:r w:rsidR="00A714AF">
        <w:rPr>
          <w:kern w:val="22"/>
          <w:sz w:val="22"/>
          <w:lang w:val="fr-FR"/>
        </w:rPr>
        <w:t>recherche de</w:t>
      </w:r>
      <w:r w:rsidR="00CC51E7">
        <w:rPr>
          <w:kern w:val="22"/>
          <w:sz w:val="22"/>
          <w:lang w:val="fr-FR"/>
        </w:rPr>
        <w:t xml:space="preserve"> publications</w:t>
      </w:r>
      <w:r w:rsidR="00C76D95" w:rsidRPr="005804E8">
        <w:rPr>
          <w:kern w:val="22"/>
          <w:sz w:val="22"/>
          <w:lang w:val="fr-FR"/>
        </w:rPr>
        <w:t>.</w:t>
      </w:r>
      <w:r w:rsidR="00E600A0" w:rsidRPr="005804E8">
        <w:rPr>
          <w:kern w:val="22"/>
          <w:sz w:val="22"/>
          <w:lang w:val="fr-FR"/>
        </w:rPr>
        <w:t xml:space="preserve">   </w:t>
      </w:r>
    </w:p>
    <w:p w14:paraId="6F24587D" w14:textId="124D4482" w:rsidR="00FC5588" w:rsidRPr="00E3674F" w:rsidRDefault="002079AF" w:rsidP="00707D9C">
      <w:pPr>
        <w:pStyle w:val="Heading2"/>
        <w:rPr>
          <w:kern w:val="22"/>
          <w:sz w:val="22"/>
          <w:szCs w:val="22"/>
          <w:lang w:val="fr-FR"/>
        </w:rPr>
      </w:pPr>
      <w:bookmarkStart w:id="164" w:name="_Toc48914805"/>
      <w:r>
        <w:rPr>
          <w:kern w:val="22"/>
          <w:sz w:val="22"/>
          <w:szCs w:val="22"/>
          <w:lang w:val="fr-FR"/>
        </w:rPr>
        <w:t>Connaissances</w:t>
      </w:r>
      <w:r w:rsidR="00D2015A">
        <w:rPr>
          <w:kern w:val="22"/>
          <w:sz w:val="22"/>
          <w:szCs w:val="22"/>
          <w:lang w:val="fr-FR"/>
        </w:rPr>
        <w:t xml:space="preserve"> traditionnelles associées aux </w:t>
      </w:r>
      <w:r>
        <w:rPr>
          <w:kern w:val="22"/>
          <w:sz w:val="22"/>
          <w:szCs w:val="22"/>
          <w:lang w:val="fr-FR"/>
        </w:rPr>
        <w:t>ressources génétiques</w:t>
      </w:r>
      <w:bookmarkEnd w:id="164"/>
      <w:r w:rsidR="00D2015A">
        <w:rPr>
          <w:kern w:val="22"/>
          <w:sz w:val="22"/>
          <w:szCs w:val="22"/>
          <w:lang w:val="fr-FR"/>
        </w:rPr>
        <w:t xml:space="preserve"> accessibles au public</w:t>
      </w:r>
    </w:p>
    <w:p w14:paraId="7D9A5786" w14:textId="4614234D" w:rsidR="002F20A8" w:rsidRPr="00F27467" w:rsidRDefault="005B26A0" w:rsidP="003B2D54">
      <w:pPr>
        <w:rPr>
          <w:rFonts w:cs="Times New Roman"/>
          <w:kern w:val="22"/>
          <w:sz w:val="22"/>
          <w:lang w:val="fr-FR"/>
        </w:rPr>
      </w:pPr>
      <w:r>
        <w:rPr>
          <w:rFonts w:cs="Times New Roman"/>
          <w:kern w:val="22"/>
          <w:sz w:val="22"/>
          <w:lang w:val="fr-FR"/>
        </w:rPr>
        <w:t>La</w:t>
      </w:r>
      <w:r w:rsidR="007C77E2" w:rsidRPr="00E3674F">
        <w:rPr>
          <w:rFonts w:cs="Times New Roman"/>
          <w:kern w:val="22"/>
          <w:sz w:val="22"/>
          <w:lang w:val="fr-FR"/>
        </w:rPr>
        <w:t xml:space="preserve"> </w:t>
      </w:r>
      <w:r w:rsidR="00367430">
        <w:rPr>
          <w:rFonts w:cs="Times New Roman"/>
          <w:kern w:val="22"/>
          <w:sz w:val="22"/>
          <w:lang w:val="fr-FR"/>
        </w:rPr>
        <w:t>question</w:t>
      </w:r>
      <w:r>
        <w:rPr>
          <w:rFonts w:cs="Times New Roman"/>
          <w:kern w:val="22"/>
          <w:sz w:val="22"/>
          <w:lang w:val="fr-FR"/>
        </w:rPr>
        <w:t xml:space="preserve"> de savoir si </w:t>
      </w:r>
      <w:r w:rsidR="002079AF">
        <w:rPr>
          <w:rFonts w:cs="Times New Roman"/>
          <w:kern w:val="22"/>
          <w:sz w:val="22"/>
          <w:lang w:val="fr-FR"/>
        </w:rPr>
        <w:t>d</w:t>
      </w:r>
      <w:r w:rsidR="00367430">
        <w:rPr>
          <w:rFonts w:cs="Times New Roman"/>
          <w:kern w:val="22"/>
          <w:sz w:val="22"/>
          <w:lang w:val="fr-FR"/>
        </w:rPr>
        <w:t xml:space="preserve">es </w:t>
      </w:r>
      <w:r w:rsidR="002079AF">
        <w:rPr>
          <w:rFonts w:cs="Times New Roman"/>
          <w:kern w:val="22"/>
          <w:sz w:val="22"/>
          <w:lang w:val="fr-FR"/>
        </w:rPr>
        <w:t xml:space="preserve">connaissances traditionnelles </w:t>
      </w:r>
      <w:r w:rsidR="00D2015A">
        <w:rPr>
          <w:rFonts w:cs="Times New Roman"/>
          <w:kern w:val="22"/>
          <w:sz w:val="22"/>
          <w:lang w:val="fr-FR"/>
        </w:rPr>
        <w:t>associées aux</w:t>
      </w:r>
      <w:r w:rsidR="002079AF">
        <w:rPr>
          <w:rFonts w:cs="Times New Roman"/>
          <w:kern w:val="22"/>
          <w:sz w:val="22"/>
          <w:lang w:val="fr-FR"/>
        </w:rPr>
        <w:t xml:space="preserve"> ressources génétiques</w:t>
      </w:r>
      <w:r w:rsidR="00D95195">
        <w:rPr>
          <w:rFonts w:cs="Times New Roman"/>
          <w:kern w:val="22"/>
          <w:sz w:val="22"/>
          <w:lang w:val="fr-FR"/>
        </w:rPr>
        <w:t xml:space="preserve"> </w:t>
      </w:r>
      <w:r w:rsidR="00D2015A">
        <w:rPr>
          <w:rFonts w:cs="Times New Roman"/>
          <w:kern w:val="22"/>
          <w:sz w:val="22"/>
          <w:lang w:val="fr-FR"/>
        </w:rPr>
        <w:t xml:space="preserve">accessibles au public </w:t>
      </w:r>
      <w:r>
        <w:rPr>
          <w:rFonts w:cs="Times New Roman"/>
          <w:kern w:val="22"/>
          <w:sz w:val="22"/>
          <w:lang w:val="fr-FR"/>
        </w:rPr>
        <w:t xml:space="preserve">entrent </w:t>
      </w:r>
      <w:r w:rsidR="00934A20">
        <w:rPr>
          <w:rFonts w:cs="Times New Roman"/>
          <w:kern w:val="22"/>
          <w:sz w:val="22"/>
          <w:lang w:val="fr-FR"/>
        </w:rPr>
        <w:t>dans le champ d’application</w:t>
      </w:r>
      <w:r w:rsidR="007C77E2" w:rsidRPr="00E3674F">
        <w:rPr>
          <w:rFonts w:cs="Times New Roman"/>
          <w:kern w:val="22"/>
          <w:sz w:val="22"/>
          <w:lang w:val="fr-FR"/>
        </w:rPr>
        <w:t xml:space="preserve"> </w:t>
      </w:r>
      <w:r w:rsidR="00F27467">
        <w:rPr>
          <w:rFonts w:cs="Times New Roman"/>
          <w:kern w:val="22"/>
          <w:sz w:val="22"/>
          <w:lang w:val="fr-FR"/>
        </w:rPr>
        <w:t>du Protocole</w:t>
      </w:r>
      <w:r w:rsidR="00E3674F" w:rsidRPr="00E3674F">
        <w:rPr>
          <w:rFonts w:cs="Times New Roman"/>
          <w:kern w:val="22"/>
          <w:sz w:val="22"/>
          <w:lang w:val="fr-FR"/>
        </w:rPr>
        <w:t xml:space="preserve"> et </w:t>
      </w:r>
      <w:r w:rsidR="00D95195">
        <w:rPr>
          <w:rFonts w:cs="Times New Roman"/>
          <w:kern w:val="22"/>
          <w:sz w:val="22"/>
          <w:lang w:val="fr-FR"/>
        </w:rPr>
        <w:t>sont subordonnée</w:t>
      </w:r>
      <w:r>
        <w:rPr>
          <w:rFonts w:cs="Times New Roman"/>
          <w:kern w:val="22"/>
          <w:sz w:val="22"/>
          <w:lang w:val="fr-FR"/>
        </w:rPr>
        <w:t>s à un</w:t>
      </w:r>
      <w:r w:rsidR="007C77E2" w:rsidRPr="00E3674F">
        <w:rPr>
          <w:rFonts w:cs="Times New Roman"/>
          <w:kern w:val="22"/>
          <w:sz w:val="22"/>
          <w:lang w:val="fr-FR"/>
        </w:rPr>
        <w:t xml:space="preserve"> </w:t>
      </w:r>
      <w:r w:rsidR="00E3674F" w:rsidRPr="00E3674F">
        <w:rPr>
          <w:rFonts w:cs="Times New Roman"/>
          <w:kern w:val="22"/>
          <w:sz w:val="22"/>
          <w:lang w:val="fr-FR"/>
        </w:rPr>
        <w:t>partage des avantages</w:t>
      </w:r>
      <w:r w:rsidR="007C77E2" w:rsidRPr="00E3674F">
        <w:rPr>
          <w:rFonts w:cs="Times New Roman"/>
          <w:kern w:val="22"/>
          <w:sz w:val="22"/>
          <w:lang w:val="fr-FR"/>
        </w:rPr>
        <w:t xml:space="preserve"> </w:t>
      </w:r>
      <w:r>
        <w:rPr>
          <w:rFonts w:cs="Times New Roman"/>
          <w:kern w:val="22"/>
          <w:sz w:val="22"/>
          <w:lang w:val="fr-FR"/>
        </w:rPr>
        <w:t>n’est pas résolue</w:t>
      </w:r>
      <w:r w:rsidR="007C77E2" w:rsidRPr="00E3674F">
        <w:rPr>
          <w:rFonts w:cs="Times New Roman"/>
          <w:kern w:val="22"/>
          <w:sz w:val="22"/>
          <w:lang w:val="fr-FR"/>
        </w:rPr>
        <w:t xml:space="preserve">. </w:t>
      </w:r>
      <w:r w:rsidR="001A534B">
        <w:rPr>
          <w:rFonts w:cs="Times New Roman"/>
          <w:kern w:val="22"/>
          <w:sz w:val="22"/>
          <w:lang w:val="fr-FR"/>
        </w:rPr>
        <w:t>Cependant, même s’</w:t>
      </w:r>
      <w:r w:rsidR="002079AF">
        <w:rPr>
          <w:rFonts w:cs="Times New Roman"/>
          <w:kern w:val="22"/>
          <w:sz w:val="22"/>
          <w:lang w:val="fr-FR"/>
        </w:rPr>
        <w:t>il est</w:t>
      </w:r>
      <w:r w:rsidR="001A534B">
        <w:rPr>
          <w:rFonts w:cs="Times New Roman"/>
          <w:kern w:val="22"/>
          <w:sz w:val="22"/>
          <w:lang w:val="fr-FR"/>
        </w:rPr>
        <w:t xml:space="preserve"> décidé que ces connaissances entrent </w:t>
      </w:r>
      <w:r w:rsidR="00934A20" w:rsidRPr="00F27467">
        <w:rPr>
          <w:rFonts w:cs="Times New Roman"/>
          <w:kern w:val="22"/>
          <w:sz w:val="22"/>
          <w:lang w:val="fr-FR"/>
        </w:rPr>
        <w:t>dans le champ d’application</w:t>
      </w:r>
      <w:r w:rsidR="007C77E2" w:rsidRPr="00F27467">
        <w:rPr>
          <w:rFonts w:cs="Times New Roman"/>
          <w:kern w:val="22"/>
          <w:sz w:val="22"/>
          <w:lang w:val="fr-FR"/>
        </w:rPr>
        <w:t xml:space="preserve"> </w:t>
      </w:r>
      <w:r w:rsidR="00F27467" w:rsidRPr="00F27467">
        <w:rPr>
          <w:rFonts w:cs="Times New Roman"/>
          <w:kern w:val="22"/>
          <w:sz w:val="22"/>
          <w:lang w:val="fr-FR"/>
        </w:rPr>
        <w:t>du Protocole</w:t>
      </w:r>
      <w:r w:rsidR="007C77E2" w:rsidRPr="00F27467">
        <w:rPr>
          <w:rFonts w:cs="Times New Roman"/>
          <w:kern w:val="22"/>
          <w:sz w:val="22"/>
          <w:lang w:val="fr-FR"/>
        </w:rPr>
        <w:t xml:space="preserve">, </w:t>
      </w:r>
      <w:r w:rsidR="002079AF">
        <w:rPr>
          <w:rFonts w:cs="Times New Roman"/>
          <w:kern w:val="22"/>
          <w:sz w:val="22"/>
          <w:lang w:val="fr-FR"/>
        </w:rPr>
        <w:t>des négociations sur</w:t>
      </w:r>
      <w:r w:rsidR="001A534B">
        <w:rPr>
          <w:rFonts w:cs="Times New Roman"/>
          <w:kern w:val="22"/>
          <w:sz w:val="22"/>
          <w:lang w:val="fr-FR"/>
        </w:rPr>
        <w:t xml:space="preserve"> un </w:t>
      </w:r>
      <w:r w:rsidR="007D7761">
        <w:rPr>
          <w:rFonts w:cs="Times New Roman"/>
          <w:kern w:val="22"/>
          <w:sz w:val="22"/>
          <w:lang w:val="fr-FR"/>
        </w:rPr>
        <w:t>consentement préalable donné en connaissance de cause</w:t>
      </w:r>
      <w:r w:rsidR="00D95195">
        <w:rPr>
          <w:rFonts w:cs="Times New Roman"/>
          <w:kern w:val="22"/>
          <w:sz w:val="22"/>
          <w:lang w:val="fr-FR"/>
        </w:rPr>
        <w:t xml:space="preserve"> n’</w:t>
      </w:r>
      <w:r w:rsidR="001A534B">
        <w:rPr>
          <w:rFonts w:cs="Times New Roman"/>
          <w:kern w:val="22"/>
          <w:sz w:val="22"/>
          <w:lang w:val="fr-FR"/>
        </w:rPr>
        <w:t>auraient pas lieu, puis</w:t>
      </w:r>
      <w:r w:rsidR="00D95195">
        <w:rPr>
          <w:rFonts w:cs="Times New Roman"/>
          <w:kern w:val="22"/>
          <w:sz w:val="22"/>
          <w:lang w:val="fr-FR"/>
        </w:rPr>
        <w:t>que l’</w:t>
      </w:r>
      <w:r w:rsidR="002079AF">
        <w:rPr>
          <w:rFonts w:cs="Times New Roman"/>
          <w:kern w:val="22"/>
          <w:sz w:val="22"/>
          <w:lang w:val="fr-FR"/>
        </w:rPr>
        <w:t xml:space="preserve">accès est déjà </w:t>
      </w:r>
      <w:r w:rsidR="00D95195">
        <w:rPr>
          <w:rFonts w:cs="Times New Roman"/>
          <w:kern w:val="22"/>
          <w:sz w:val="22"/>
          <w:lang w:val="fr-FR"/>
        </w:rPr>
        <w:t xml:space="preserve">autorisé sans </w:t>
      </w:r>
      <w:r w:rsidR="007C77E2" w:rsidRPr="00F27467">
        <w:rPr>
          <w:rFonts w:cs="Times New Roman"/>
          <w:kern w:val="22"/>
          <w:sz w:val="22"/>
          <w:lang w:val="fr-FR"/>
        </w:rPr>
        <w:t>restriction.</w:t>
      </w:r>
      <w:r w:rsidR="006D397C" w:rsidRPr="00F27467">
        <w:rPr>
          <w:rFonts w:cs="Times New Roman"/>
          <w:kern w:val="22"/>
          <w:sz w:val="22"/>
          <w:lang w:val="fr-FR"/>
        </w:rPr>
        <w:t xml:space="preserve"> </w:t>
      </w:r>
    </w:p>
    <w:p w14:paraId="443D5C09" w14:textId="6676AFA5" w:rsidR="002F20A8" w:rsidRPr="006311A0" w:rsidRDefault="002079AF" w:rsidP="002F20A8">
      <w:pPr>
        <w:rPr>
          <w:rFonts w:cs="Times New Roman"/>
          <w:kern w:val="22"/>
          <w:sz w:val="22"/>
          <w:lang w:val="fr-FR"/>
        </w:rPr>
      </w:pPr>
      <w:r>
        <w:rPr>
          <w:rFonts w:cs="Times New Roman"/>
          <w:kern w:val="22"/>
          <w:sz w:val="22"/>
          <w:lang w:val="fr-FR"/>
        </w:rPr>
        <w:t>Cependant, il convient d’observer</w:t>
      </w:r>
      <w:r w:rsidR="005B26A0" w:rsidRPr="005B26A0">
        <w:rPr>
          <w:rFonts w:cs="Times New Roman"/>
          <w:kern w:val="22"/>
          <w:sz w:val="22"/>
          <w:lang w:val="fr-FR"/>
        </w:rPr>
        <w:t xml:space="preserve"> que le fait que l’</w:t>
      </w:r>
      <w:r w:rsidR="005B26A0">
        <w:rPr>
          <w:rFonts w:cs="Times New Roman"/>
          <w:kern w:val="22"/>
          <w:sz w:val="22"/>
          <w:lang w:val="fr-FR"/>
        </w:rPr>
        <w:t>information soit accessible au public</w:t>
      </w:r>
      <w:r w:rsidR="003B2D54" w:rsidRPr="005B26A0">
        <w:rPr>
          <w:rFonts w:cs="Times New Roman"/>
          <w:kern w:val="22"/>
          <w:sz w:val="22"/>
          <w:lang w:val="fr-FR"/>
        </w:rPr>
        <w:t xml:space="preserve"> </w:t>
      </w:r>
      <w:r w:rsidR="005B26A0">
        <w:rPr>
          <w:rFonts w:cs="Times New Roman"/>
          <w:kern w:val="22"/>
          <w:sz w:val="22"/>
          <w:lang w:val="fr-FR"/>
        </w:rPr>
        <w:t xml:space="preserve">ne signifie pas </w:t>
      </w:r>
      <w:r>
        <w:rPr>
          <w:rFonts w:cs="Times New Roman"/>
          <w:kern w:val="22"/>
          <w:sz w:val="22"/>
          <w:lang w:val="fr-FR"/>
        </w:rPr>
        <w:t xml:space="preserve">pour autant </w:t>
      </w:r>
      <w:r w:rsidR="005B26A0">
        <w:rPr>
          <w:rFonts w:cs="Times New Roman"/>
          <w:kern w:val="22"/>
          <w:sz w:val="22"/>
          <w:lang w:val="fr-FR"/>
        </w:rPr>
        <w:t>qu’ell</w:t>
      </w:r>
      <w:r>
        <w:rPr>
          <w:rFonts w:cs="Times New Roman"/>
          <w:kern w:val="22"/>
          <w:sz w:val="22"/>
          <w:lang w:val="fr-FR"/>
        </w:rPr>
        <w:t>e relève du domaine public et donc, qu’elle n’appartienne</w:t>
      </w:r>
      <w:r w:rsidR="005B26A0">
        <w:rPr>
          <w:rFonts w:cs="Times New Roman"/>
          <w:kern w:val="22"/>
          <w:sz w:val="22"/>
          <w:lang w:val="fr-FR"/>
        </w:rPr>
        <w:t xml:space="preserve"> à personne</w:t>
      </w:r>
      <w:r w:rsidR="003B2D54" w:rsidRPr="005B26A0">
        <w:rPr>
          <w:rFonts w:cs="Times New Roman"/>
          <w:kern w:val="22"/>
          <w:sz w:val="22"/>
          <w:lang w:val="fr-FR"/>
        </w:rPr>
        <w:t xml:space="preserve">. </w:t>
      </w:r>
      <w:r w:rsidR="00245E2A" w:rsidRPr="00245E2A">
        <w:rPr>
          <w:rFonts w:cs="Times New Roman"/>
          <w:kern w:val="22"/>
          <w:sz w:val="22"/>
          <w:lang w:val="fr-FR"/>
        </w:rPr>
        <w:t>Le terme</w:t>
      </w:r>
      <w:r w:rsidR="005B26A0" w:rsidRPr="00245E2A">
        <w:rPr>
          <w:rFonts w:cs="Times New Roman"/>
          <w:kern w:val="22"/>
          <w:sz w:val="22"/>
          <w:lang w:val="fr-FR"/>
        </w:rPr>
        <w:t xml:space="preserve"> “</w:t>
      </w:r>
      <w:r w:rsidR="003B2D54" w:rsidRPr="00245E2A">
        <w:rPr>
          <w:rFonts w:cs="Times New Roman"/>
          <w:kern w:val="22"/>
          <w:sz w:val="22"/>
          <w:lang w:val="fr-FR"/>
        </w:rPr>
        <w:t>domain</w:t>
      </w:r>
      <w:r w:rsidR="005B26A0" w:rsidRPr="00245E2A">
        <w:rPr>
          <w:rFonts w:cs="Times New Roman"/>
          <w:kern w:val="22"/>
          <w:sz w:val="22"/>
          <w:lang w:val="fr-FR"/>
        </w:rPr>
        <w:t>e public</w:t>
      </w:r>
      <w:r w:rsidR="00245E2A" w:rsidRPr="00245E2A">
        <w:rPr>
          <w:rFonts w:cs="Times New Roman"/>
          <w:kern w:val="22"/>
          <w:sz w:val="22"/>
          <w:lang w:val="fr-FR"/>
        </w:rPr>
        <w:t>” est un concept</w:t>
      </w:r>
      <w:r w:rsidR="003B2D54" w:rsidRPr="00245E2A">
        <w:rPr>
          <w:rFonts w:cs="Times New Roman"/>
          <w:kern w:val="22"/>
          <w:sz w:val="22"/>
          <w:lang w:val="fr-FR"/>
        </w:rPr>
        <w:t xml:space="preserve"> national</w:t>
      </w:r>
      <w:r>
        <w:rPr>
          <w:rFonts w:cs="Times New Roman"/>
          <w:kern w:val="22"/>
          <w:sz w:val="22"/>
          <w:lang w:val="fr-FR"/>
        </w:rPr>
        <w:t xml:space="preserve"> </w:t>
      </w:r>
      <w:r w:rsidR="00245E2A" w:rsidRPr="00245E2A">
        <w:rPr>
          <w:rFonts w:cs="Times New Roman"/>
          <w:kern w:val="22"/>
          <w:sz w:val="22"/>
          <w:lang w:val="fr-FR"/>
        </w:rPr>
        <w:t xml:space="preserve">interprété habituellement dans le </w:t>
      </w:r>
      <w:r w:rsidR="003B2D54" w:rsidRPr="00245E2A">
        <w:rPr>
          <w:rFonts w:cs="Times New Roman"/>
          <w:kern w:val="22"/>
          <w:sz w:val="22"/>
          <w:lang w:val="fr-FR"/>
        </w:rPr>
        <w:t>context</w:t>
      </w:r>
      <w:r w:rsidR="00245E2A" w:rsidRPr="00245E2A">
        <w:rPr>
          <w:rFonts w:cs="Times New Roman"/>
          <w:kern w:val="22"/>
          <w:sz w:val="22"/>
          <w:lang w:val="fr-FR"/>
        </w:rPr>
        <w:t>e</w:t>
      </w:r>
      <w:r w:rsidR="003B2D54" w:rsidRPr="00245E2A">
        <w:rPr>
          <w:rFonts w:cs="Times New Roman"/>
          <w:kern w:val="22"/>
          <w:sz w:val="22"/>
          <w:lang w:val="fr-FR"/>
        </w:rPr>
        <w:t xml:space="preserve"> </w:t>
      </w:r>
      <w:r>
        <w:rPr>
          <w:rFonts w:cs="Times New Roman"/>
          <w:kern w:val="22"/>
          <w:sz w:val="22"/>
          <w:lang w:val="fr-FR"/>
        </w:rPr>
        <w:t xml:space="preserve">de droits de </w:t>
      </w:r>
      <w:r w:rsidR="00245E2A" w:rsidRPr="00245E2A">
        <w:rPr>
          <w:rFonts w:cs="Times New Roman"/>
          <w:kern w:val="22"/>
          <w:sz w:val="22"/>
          <w:lang w:val="fr-FR"/>
        </w:rPr>
        <w:t>pro</w:t>
      </w:r>
      <w:r w:rsidR="00245E2A">
        <w:rPr>
          <w:rFonts w:cs="Times New Roman"/>
          <w:kern w:val="22"/>
          <w:sz w:val="22"/>
          <w:lang w:val="fr-FR"/>
        </w:rPr>
        <w:t>priété intellectuelle</w:t>
      </w:r>
      <w:r>
        <w:rPr>
          <w:rFonts w:cs="Times New Roman"/>
          <w:kern w:val="22"/>
          <w:sz w:val="22"/>
          <w:lang w:val="fr-FR"/>
        </w:rPr>
        <w:t>, pour signifier qu’une chose</w:t>
      </w:r>
      <w:r w:rsidR="00245E2A">
        <w:rPr>
          <w:rFonts w:cs="Times New Roman"/>
          <w:kern w:val="22"/>
          <w:sz w:val="22"/>
          <w:lang w:val="fr-FR"/>
        </w:rPr>
        <w:t xml:space="preserve"> donnée n’est plus</w:t>
      </w:r>
      <w:r w:rsidR="00785FBB" w:rsidRPr="00245E2A">
        <w:rPr>
          <w:rFonts w:cs="Times New Roman"/>
          <w:kern w:val="22"/>
          <w:sz w:val="22"/>
          <w:lang w:val="fr-FR"/>
        </w:rPr>
        <w:t xml:space="preserve"> </w:t>
      </w:r>
      <w:r w:rsidR="00245E2A">
        <w:rPr>
          <w:rFonts w:cs="Times New Roman"/>
          <w:kern w:val="22"/>
          <w:sz w:val="22"/>
          <w:lang w:val="fr-FR"/>
        </w:rPr>
        <w:t>(ou n’a jamais été) protégée p</w:t>
      </w:r>
      <w:r>
        <w:rPr>
          <w:rFonts w:cs="Times New Roman"/>
          <w:kern w:val="22"/>
          <w:sz w:val="22"/>
          <w:lang w:val="fr-FR"/>
        </w:rPr>
        <w:t>ar des droits exclusifs en vertu</w:t>
      </w:r>
      <w:r w:rsidR="00245E2A">
        <w:rPr>
          <w:rFonts w:cs="Times New Roman"/>
          <w:kern w:val="22"/>
          <w:sz w:val="22"/>
          <w:lang w:val="fr-FR"/>
        </w:rPr>
        <w:t xml:space="preserve"> d’un régime particulier</w:t>
      </w:r>
      <w:r w:rsidR="003B2D54" w:rsidRPr="00245E2A">
        <w:rPr>
          <w:rFonts w:cs="Times New Roman"/>
          <w:kern w:val="22"/>
          <w:sz w:val="22"/>
          <w:lang w:val="fr-FR"/>
        </w:rPr>
        <w:t xml:space="preserve">, </w:t>
      </w:r>
      <w:r w:rsidR="00245E2A">
        <w:rPr>
          <w:rFonts w:cs="Times New Roman"/>
          <w:kern w:val="22"/>
          <w:sz w:val="22"/>
          <w:lang w:val="fr-FR"/>
        </w:rPr>
        <w:t>comme les</w:t>
      </w:r>
      <w:r w:rsidR="003B2D54" w:rsidRPr="00245E2A">
        <w:rPr>
          <w:rFonts w:cs="Times New Roman"/>
          <w:kern w:val="22"/>
          <w:sz w:val="22"/>
          <w:lang w:val="fr-FR"/>
        </w:rPr>
        <w:t xml:space="preserve"> </w:t>
      </w:r>
      <w:r w:rsidR="00B43E38" w:rsidRPr="00245E2A">
        <w:rPr>
          <w:rFonts w:cs="Times New Roman"/>
          <w:kern w:val="22"/>
          <w:sz w:val="22"/>
          <w:lang w:val="fr-FR"/>
        </w:rPr>
        <w:t>brevet</w:t>
      </w:r>
      <w:r w:rsidR="00245E2A">
        <w:rPr>
          <w:rFonts w:cs="Times New Roman"/>
          <w:kern w:val="22"/>
          <w:sz w:val="22"/>
          <w:lang w:val="fr-FR"/>
        </w:rPr>
        <w:t>s</w:t>
      </w:r>
      <w:r w:rsidR="003B2D54" w:rsidRPr="00245E2A">
        <w:rPr>
          <w:rFonts w:cs="Times New Roman"/>
          <w:kern w:val="22"/>
          <w:sz w:val="22"/>
          <w:lang w:val="fr-FR"/>
        </w:rPr>
        <w:t xml:space="preserve">, </w:t>
      </w:r>
      <w:r>
        <w:rPr>
          <w:rFonts w:cs="Times New Roman"/>
          <w:kern w:val="22"/>
          <w:sz w:val="22"/>
          <w:lang w:val="fr-FR"/>
        </w:rPr>
        <w:t>les droits de propriété intellectuelle</w:t>
      </w:r>
      <w:r w:rsidR="003B2D54" w:rsidRPr="00245E2A">
        <w:rPr>
          <w:rFonts w:cs="Times New Roman"/>
          <w:kern w:val="22"/>
          <w:sz w:val="22"/>
          <w:lang w:val="fr-FR"/>
        </w:rPr>
        <w:t>,</w:t>
      </w:r>
      <w:r w:rsidR="0028742E" w:rsidRPr="00245E2A">
        <w:rPr>
          <w:rFonts w:cs="Times New Roman"/>
          <w:kern w:val="22"/>
          <w:sz w:val="22"/>
          <w:lang w:val="fr-FR"/>
        </w:rPr>
        <w:t xml:space="preserve"> ou</w:t>
      </w:r>
      <w:r w:rsidR="00245E2A">
        <w:rPr>
          <w:rFonts w:cs="Times New Roman"/>
          <w:kern w:val="22"/>
          <w:sz w:val="22"/>
          <w:lang w:val="fr-FR"/>
        </w:rPr>
        <w:t xml:space="preserve"> un système de protection</w:t>
      </w:r>
      <w:r w:rsidR="0028742E" w:rsidRPr="00245E2A">
        <w:rPr>
          <w:rFonts w:cs="Times New Roman"/>
          <w:kern w:val="22"/>
          <w:sz w:val="22"/>
          <w:lang w:val="fr-FR"/>
        </w:rPr>
        <w:t xml:space="preserve"> </w:t>
      </w:r>
      <w:r w:rsidR="003B2D54" w:rsidRPr="00245E2A">
        <w:rPr>
          <w:rFonts w:cs="Times New Roman"/>
          <w:i/>
          <w:kern w:val="22"/>
          <w:sz w:val="22"/>
          <w:lang w:val="fr-FR"/>
        </w:rPr>
        <w:t>sui generis</w:t>
      </w:r>
      <w:r w:rsidR="003B2D54" w:rsidRPr="00245E2A">
        <w:rPr>
          <w:rFonts w:cs="Times New Roman"/>
          <w:kern w:val="22"/>
          <w:sz w:val="22"/>
          <w:lang w:val="fr-FR"/>
        </w:rPr>
        <w:t xml:space="preserve"> </w:t>
      </w:r>
      <w:r w:rsidR="00245E2A">
        <w:rPr>
          <w:rFonts w:cs="Times New Roman"/>
          <w:kern w:val="22"/>
          <w:sz w:val="22"/>
          <w:lang w:val="fr-FR"/>
        </w:rPr>
        <w:t>sur un territoire donné</w:t>
      </w:r>
      <w:r w:rsidR="003B2D54" w:rsidRPr="00245E2A">
        <w:rPr>
          <w:rFonts w:cs="Times New Roman"/>
          <w:kern w:val="22"/>
          <w:sz w:val="22"/>
          <w:lang w:val="fr-FR"/>
        </w:rPr>
        <w:t>.</w:t>
      </w:r>
      <w:r w:rsidR="00900FD9" w:rsidRPr="002364AB">
        <w:rPr>
          <w:rStyle w:val="FootnoteReference"/>
          <w:rFonts w:cs="Times New Roman"/>
          <w:kern w:val="22"/>
          <w:sz w:val="22"/>
          <w:lang w:val="en-GB"/>
        </w:rPr>
        <w:footnoteReference w:id="181"/>
      </w:r>
      <w:r w:rsidR="003B2D54" w:rsidRPr="00245E2A">
        <w:rPr>
          <w:rFonts w:cs="Times New Roman"/>
          <w:kern w:val="22"/>
          <w:sz w:val="22"/>
          <w:lang w:val="fr-FR"/>
        </w:rPr>
        <w:t xml:space="preserve"> </w:t>
      </w:r>
      <w:r>
        <w:rPr>
          <w:rFonts w:cs="Times New Roman"/>
          <w:kern w:val="22"/>
          <w:sz w:val="22"/>
          <w:lang w:val="fr-FR"/>
        </w:rPr>
        <w:t xml:space="preserve">Bien </w:t>
      </w:r>
      <w:r w:rsidR="006311A0" w:rsidRPr="006311A0">
        <w:rPr>
          <w:rFonts w:cs="Times New Roman"/>
          <w:kern w:val="22"/>
          <w:sz w:val="22"/>
          <w:lang w:val="fr-FR"/>
        </w:rPr>
        <w:t>que personne ne poss</w:t>
      </w:r>
      <w:r>
        <w:rPr>
          <w:rFonts w:cs="Times New Roman"/>
          <w:kern w:val="22"/>
          <w:sz w:val="22"/>
          <w:lang w:val="fr-FR"/>
        </w:rPr>
        <w:t xml:space="preserve">ède quelque chose </w:t>
      </w:r>
      <w:r>
        <w:rPr>
          <w:rFonts w:cs="Times New Roman"/>
          <w:kern w:val="22"/>
          <w:sz w:val="22"/>
          <w:lang w:val="fr-FR"/>
        </w:rPr>
        <w:lastRenderedPageBreak/>
        <w:t>qui appartienne</w:t>
      </w:r>
      <w:r w:rsidR="006311A0" w:rsidRPr="006311A0">
        <w:rPr>
          <w:rFonts w:cs="Times New Roman"/>
          <w:kern w:val="22"/>
          <w:sz w:val="22"/>
          <w:lang w:val="fr-FR"/>
        </w:rPr>
        <w:t xml:space="preserve"> au domai</w:t>
      </w:r>
      <w:r>
        <w:rPr>
          <w:rFonts w:cs="Times New Roman"/>
          <w:kern w:val="22"/>
          <w:sz w:val="22"/>
          <w:lang w:val="fr-FR"/>
        </w:rPr>
        <w:t>ne public, quelle que soit sa dé</w:t>
      </w:r>
      <w:r w:rsidR="006311A0" w:rsidRPr="006311A0">
        <w:rPr>
          <w:rFonts w:cs="Times New Roman"/>
          <w:kern w:val="22"/>
          <w:sz w:val="22"/>
          <w:lang w:val="fr-FR"/>
        </w:rPr>
        <w:t>finition,</w:t>
      </w:r>
      <w:r>
        <w:rPr>
          <w:rFonts w:cs="Times New Roman"/>
          <w:kern w:val="22"/>
          <w:sz w:val="22"/>
          <w:lang w:val="fr-FR"/>
        </w:rPr>
        <w:t xml:space="preserve"> il est accepté</w:t>
      </w:r>
      <w:r w:rsidR="006311A0">
        <w:rPr>
          <w:rFonts w:cs="Times New Roman"/>
          <w:kern w:val="22"/>
          <w:sz w:val="22"/>
          <w:lang w:val="fr-FR"/>
        </w:rPr>
        <w:t xml:space="preserve"> que la</w:t>
      </w:r>
      <w:r w:rsidR="006311A0" w:rsidRPr="006311A0">
        <w:rPr>
          <w:rFonts w:cs="Times New Roman"/>
          <w:kern w:val="22"/>
          <w:sz w:val="22"/>
          <w:lang w:val="fr-FR"/>
        </w:rPr>
        <w:t xml:space="preserve"> plupart des données </w:t>
      </w:r>
      <w:r w:rsidR="005B26A0" w:rsidRPr="006311A0">
        <w:rPr>
          <w:rFonts w:cs="Times New Roman"/>
          <w:kern w:val="22"/>
          <w:sz w:val="22"/>
          <w:lang w:val="fr-FR"/>
        </w:rPr>
        <w:t>accessible</w:t>
      </w:r>
      <w:r w:rsidR="006311A0">
        <w:rPr>
          <w:rFonts w:cs="Times New Roman"/>
          <w:kern w:val="22"/>
          <w:sz w:val="22"/>
          <w:lang w:val="fr-FR"/>
        </w:rPr>
        <w:t>s</w:t>
      </w:r>
      <w:r w:rsidR="005B26A0" w:rsidRPr="006311A0">
        <w:rPr>
          <w:rFonts w:cs="Times New Roman"/>
          <w:kern w:val="22"/>
          <w:sz w:val="22"/>
          <w:lang w:val="fr-FR"/>
        </w:rPr>
        <w:t xml:space="preserve"> au public</w:t>
      </w:r>
      <w:r w:rsidR="003B2D54" w:rsidRPr="006311A0">
        <w:rPr>
          <w:rFonts w:cs="Times New Roman"/>
          <w:kern w:val="22"/>
          <w:sz w:val="22"/>
          <w:lang w:val="fr-FR"/>
        </w:rPr>
        <w:t xml:space="preserve"> </w:t>
      </w:r>
      <w:r w:rsidR="006311A0">
        <w:rPr>
          <w:rFonts w:cs="Times New Roman"/>
          <w:kern w:val="22"/>
          <w:sz w:val="22"/>
          <w:lang w:val="fr-FR"/>
        </w:rPr>
        <w:t>so</w:t>
      </w:r>
      <w:r>
        <w:rPr>
          <w:rFonts w:cs="Times New Roman"/>
          <w:kern w:val="22"/>
          <w:sz w:val="22"/>
          <w:lang w:val="fr-FR"/>
        </w:rPr>
        <w:t>ient néanmoins protégées par des droits d’exclusivité, tels que</w:t>
      </w:r>
      <w:r w:rsidR="006311A0">
        <w:rPr>
          <w:rFonts w:cs="Times New Roman"/>
          <w:kern w:val="22"/>
          <w:sz w:val="22"/>
          <w:lang w:val="fr-FR"/>
        </w:rPr>
        <w:t xml:space="preserve"> les données divulguées dans un document de brevet émis et non expiré sur un territoire donné</w:t>
      </w:r>
      <w:r w:rsidR="003B2D54" w:rsidRPr="006311A0">
        <w:rPr>
          <w:rFonts w:cs="Times New Roman"/>
          <w:kern w:val="22"/>
          <w:sz w:val="22"/>
          <w:lang w:val="fr-FR"/>
        </w:rPr>
        <w:t>.</w:t>
      </w:r>
      <w:r w:rsidR="002F20A8" w:rsidRPr="006311A0">
        <w:rPr>
          <w:rFonts w:cs="Times New Roman"/>
          <w:kern w:val="22"/>
          <w:sz w:val="22"/>
          <w:lang w:val="fr-FR"/>
        </w:rPr>
        <w:t xml:space="preserve"> </w:t>
      </w:r>
    </w:p>
    <w:p w14:paraId="45DE724D" w14:textId="707DB58E" w:rsidR="006D397C" w:rsidRPr="008A5BE1" w:rsidRDefault="005B26A0" w:rsidP="004D3337">
      <w:pPr>
        <w:rPr>
          <w:kern w:val="22"/>
          <w:sz w:val="22"/>
          <w:lang w:val="fr-FR"/>
        </w:rPr>
      </w:pPr>
      <w:r w:rsidRPr="005B26A0">
        <w:rPr>
          <w:rFonts w:cs="Times New Roman"/>
          <w:kern w:val="22"/>
          <w:sz w:val="22"/>
          <w:lang w:val="fr-FR"/>
        </w:rPr>
        <w:t>De nombreux</w:t>
      </w:r>
      <w:r w:rsidR="00BB3972" w:rsidRPr="005B26A0">
        <w:rPr>
          <w:rFonts w:cs="Times New Roman"/>
          <w:kern w:val="22"/>
          <w:sz w:val="22"/>
          <w:lang w:val="fr-FR"/>
        </w:rPr>
        <w:t xml:space="preserve"> </w:t>
      </w:r>
      <w:r w:rsidR="00E40444" w:rsidRPr="005B26A0">
        <w:rPr>
          <w:rFonts w:cs="Times New Roman"/>
          <w:kern w:val="22"/>
          <w:sz w:val="22"/>
          <w:lang w:val="fr-FR"/>
        </w:rPr>
        <w:t>pays</w:t>
      </w:r>
      <w:r w:rsidR="001E6A2B">
        <w:rPr>
          <w:rFonts w:cs="Times New Roman"/>
          <w:kern w:val="22"/>
          <w:sz w:val="22"/>
          <w:lang w:val="fr-FR"/>
        </w:rPr>
        <w:t xml:space="preserve"> d’Afrique</w:t>
      </w:r>
      <w:r>
        <w:rPr>
          <w:rFonts w:cs="Times New Roman"/>
          <w:kern w:val="22"/>
          <w:sz w:val="22"/>
          <w:lang w:val="fr-FR"/>
        </w:rPr>
        <w:t xml:space="preserve">, </w:t>
      </w:r>
      <w:r w:rsidR="002079AF">
        <w:rPr>
          <w:rFonts w:cs="Times New Roman"/>
          <w:kern w:val="22"/>
          <w:sz w:val="22"/>
          <w:lang w:val="fr-FR"/>
        </w:rPr>
        <w:t>d’</w:t>
      </w:r>
      <w:r>
        <w:rPr>
          <w:rFonts w:cs="Times New Roman"/>
          <w:kern w:val="22"/>
          <w:sz w:val="22"/>
          <w:lang w:val="fr-FR"/>
        </w:rPr>
        <w:t>Amérique</w:t>
      </w:r>
      <w:r w:rsidR="004B7FBD" w:rsidRPr="005B26A0">
        <w:rPr>
          <w:rFonts w:cs="Times New Roman"/>
          <w:kern w:val="22"/>
          <w:sz w:val="22"/>
          <w:lang w:val="fr-FR"/>
        </w:rPr>
        <w:t xml:space="preserve">, </w:t>
      </w:r>
      <w:r w:rsidR="002079AF">
        <w:rPr>
          <w:rFonts w:cs="Times New Roman"/>
          <w:kern w:val="22"/>
          <w:sz w:val="22"/>
          <w:lang w:val="fr-FR"/>
        </w:rPr>
        <w:t>d’</w:t>
      </w:r>
      <w:r>
        <w:rPr>
          <w:rFonts w:cs="Times New Roman"/>
          <w:kern w:val="22"/>
          <w:sz w:val="22"/>
          <w:lang w:val="fr-FR"/>
        </w:rPr>
        <w:t>Asie</w:t>
      </w:r>
      <w:r w:rsidR="00E3674F" w:rsidRPr="005B26A0">
        <w:rPr>
          <w:rFonts w:cs="Times New Roman"/>
          <w:kern w:val="22"/>
          <w:sz w:val="22"/>
          <w:lang w:val="fr-FR"/>
        </w:rPr>
        <w:t xml:space="preserve"> et </w:t>
      </w:r>
      <w:r w:rsidR="002079AF">
        <w:rPr>
          <w:rFonts w:cs="Times New Roman"/>
          <w:kern w:val="22"/>
          <w:sz w:val="22"/>
          <w:lang w:val="fr-FR"/>
        </w:rPr>
        <w:t>du Pacifique ont mis en place des</w:t>
      </w:r>
      <w:r>
        <w:rPr>
          <w:rFonts w:cs="Times New Roman"/>
          <w:kern w:val="22"/>
          <w:sz w:val="22"/>
          <w:lang w:val="fr-FR"/>
        </w:rPr>
        <w:t xml:space="preserve"> systèmes de</w:t>
      </w:r>
      <w:r w:rsidR="00BB3972" w:rsidRPr="005B26A0">
        <w:rPr>
          <w:rFonts w:cs="Times New Roman"/>
          <w:kern w:val="22"/>
          <w:sz w:val="22"/>
          <w:lang w:val="fr-FR"/>
        </w:rPr>
        <w:t xml:space="preserve"> </w:t>
      </w:r>
      <w:r w:rsidR="00F2681D">
        <w:rPr>
          <w:rFonts w:cs="Times New Roman"/>
          <w:kern w:val="22"/>
          <w:sz w:val="22"/>
          <w:lang w:val="fr-FR"/>
        </w:rPr>
        <w:t>protection d</w:t>
      </w:r>
      <w:r>
        <w:rPr>
          <w:rFonts w:cs="Times New Roman"/>
          <w:kern w:val="22"/>
          <w:sz w:val="22"/>
          <w:lang w:val="fr-FR"/>
        </w:rPr>
        <w:t>es</w:t>
      </w:r>
      <w:r w:rsidR="003B2D54" w:rsidRPr="005B26A0">
        <w:rPr>
          <w:rFonts w:cs="Times New Roman"/>
          <w:kern w:val="22"/>
          <w:sz w:val="22"/>
          <w:lang w:val="fr-FR"/>
        </w:rPr>
        <w:t xml:space="preserve"> </w:t>
      </w:r>
      <w:r w:rsidR="00E3674F" w:rsidRPr="005B26A0">
        <w:rPr>
          <w:rFonts w:cs="Times New Roman"/>
          <w:kern w:val="22"/>
          <w:sz w:val="22"/>
          <w:lang w:val="fr-FR"/>
        </w:rPr>
        <w:t>connaissances traditionnelles</w:t>
      </w:r>
      <w:r w:rsidR="00BB3972" w:rsidRPr="005B26A0">
        <w:rPr>
          <w:rFonts w:cs="Times New Roman"/>
          <w:kern w:val="22"/>
          <w:sz w:val="22"/>
          <w:lang w:val="fr-FR"/>
        </w:rPr>
        <w:t xml:space="preserve">. </w:t>
      </w:r>
      <w:r w:rsidR="006C57D5" w:rsidRPr="006C57D5">
        <w:rPr>
          <w:rFonts w:cs="Times New Roman"/>
          <w:kern w:val="22"/>
          <w:sz w:val="22"/>
          <w:lang w:val="fr-FR"/>
        </w:rPr>
        <w:t>Dans ces</w:t>
      </w:r>
      <w:r w:rsidR="003B2D54" w:rsidRPr="006C57D5">
        <w:rPr>
          <w:rFonts w:cs="Times New Roman"/>
          <w:kern w:val="22"/>
          <w:sz w:val="22"/>
          <w:lang w:val="fr-FR"/>
        </w:rPr>
        <w:t xml:space="preserve"> </w:t>
      </w:r>
      <w:r w:rsidR="00E40444" w:rsidRPr="006C57D5">
        <w:rPr>
          <w:rFonts w:cs="Times New Roman"/>
          <w:kern w:val="22"/>
          <w:sz w:val="22"/>
          <w:lang w:val="fr-FR"/>
        </w:rPr>
        <w:t>pays</w:t>
      </w:r>
      <w:r w:rsidR="006C57D5" w:rsidRPr="006C57D5">
        <w:rPr>
          <w:rFonts w:cs="Times New Roman"/>
          <w:kern w:val="22"/>
          <w:sz w:val="22"/>
          <w:lang w:val="fr-FR"/>
        </w:rPr>
        <w:t>, le</w:t>
      </w:r>
      <w:r w:rsidR="006C57D5">
        <w:rPr>
          <w:rFonts w:cs="Times New Roman"/>
          <w:kern w:val="22"/>
          <w:sz w:val="22"/>
          <w:lang w:val="fr-FR"/>
        </w:rPr>
        <w:t xml:space="preserve"> fait que les </w:t>
      </w:r>
      <w:r w:rsidR="005C70CA" w:rsidRPr="006C57D5">
        <w:rPr>
          <w:rFonts w:cs="Times New Roman"/>
          <w:kern w:val="22"/>
          <w:sz w:val="22"/>
          <w:lang w:val="fr-FR"/>
        </w:rPr>
        <w:t>connaissances</w:t>
      </w:r>
      <w:r w:rsidR="006C57D5">
        <w:rPr>
          <w:rFonts w:cs="Times New Roman"/>
          <w:kern w:val="22"/>
          <w:sz w:val="22"/>
          <w:lang w:val="fr-FR"/>
        </w:rPr>
        <w:t xml:space="preserve"> puissent être</w:t>
      </w:r>
      <w:r w:rsidR="003B2D54" w:rsidRPr="006C57D5">
        <w:rPr>
          <w:rFonts w:cs="Times New Roman"/>
          <w:kern w:val="22"/>
          <w:sz w:val="22"/>
          <w:lang w:val="fr-FR"/>
        </w:rPr>
        <w:t xml:space="preserve"> </w:t>
      </w:r>
      <w:r w:rsidRPr="006C57D5">
        <w:rPr>
          <w:rFonts w:cs="Times New Roman"/>
          <w:kern w:val="22"/>
          <w:sz w:val="22"/>
          <w:lang w:val="fr-FR"/>
        </w:rPr>
        <w:t>accessible</w:t>
      </w:r>
      <w:r w:rsidR="006C57D5">
        <w:rPr>
          <w:rFonts w:cs="Times New Roman"/>
          <w:kern w:val="22"/>
          <w:sz w:val="22"/>
          <w:lang w:val="fr-FR"/>
        </w:rPr>
        <w:t>s</w:t>
      </w:r>
      <w:r w:rsidRPr="006C57D5">
        <w:rPr>
          <w:rFonts w:cs="Times New Roman"/>
          <w:kern w:val="22"/>
          <w:sz w:val="22"/>
          <w:lang w:val="fr-FR"/>
        </w:rPr>
        <w:t xml:space="preserve"> au public</w:t>
      </w:r>
      <w:r w:rsidR="006C57D5">
        <w:rPr>
          <w:rFonts w:cs="Times New Roman"/>
          <w:kern w:val="22"/>
          <w:sz w:val="22"/>
          <w:lang w:val="fr-FR"/>
        </w:rPr>
        <w:t xml:space="preserve"> ne signifie pas forcément que des</w:t>
      </w:r>
      <w:r w:rsidR="003B2D54" w:rsidRPr="006C57D5">
        <w:rPr>
          <w:rFonts w:cs="Times New Roman"/>
          <w:kern w:val="22"/>
          <w:sz w:val="22"/>
          <w:lang w:val="fr-FR"/>
        </w:rPr>
        <w:t xml:space="preserve"> </w:t>
      </w:r>
      <w:r w:rsidR="007732EE" w:rsidRPr="006C57D5">
        <w:rPr>
          <w:rFonts w:cs="Times New Roman"/>
          <w:kern w:val="22"/>
          <w:sz w:val="22"/>
          <w:lang w:val="fr-FR"/>
        </w:rPr>
        <w:t>obligations relatives au partage des avantages</w:t>
      </w:r>
      <w:r w:rsidR="002F20A8" w:rsidRPr="006C57D5">
        <w:rPr>
          <w:rFonts w:cs="Times New Roman"/>
          <w:kern w:val="22"/>
          <w:sz w:val="22"/>
          <w:lang w:val="fr-FR"/>
        </w:rPr>
        <w:t xml:space="preserve"> </w:t>
      </w:r>
      <w:r w:rsidR="006C57D5">
        <w:rPr>
          <w:rFonts w:cs="Times New Roman"/>
          <w:kern w:val="22"/>
          <w:sz w:val="22"/>
          <w:lang w:val="fr-FR"/>
        </w:rPr>
        <w:t>ne so</w:t>
      </w:r>
      <w:r w:rsidR="002079AF">
        <w:rPr>
          <w:rFonts w:cs="Times New Roman"/>
          <w:kern w:val="22"/>
          <w:sz w:val="22"/>
          <w:lang w:val="fr-FR"/>
        </w:rPr>
        <w:t>ie</w:t>
      </w:r>
      <w:r w:rsidR="006C57D5">
        <w:rPr>
          <w:rFonts w:cs="Times New Roman"/>
          <w:kern w:val="22"/>
          <w:sz w:val="22"/>
          <w:lang w:val="fr-FR"/>
        </w:rPr>
        <w:t>nt pas</w:t>
      </w:r>
      <w:r w:rsidR="00BB3972" w:rsidRPr="006C57D5">
        <w:rPr>
          <w:rFonts w:cs="Times New Roman"/>
          <w:kern w:val="22"/>
          <w:sz w:val="22"/>
          <w:lang w:val="fr-FR"/>
        </w:rPr>
        <w:t xml:space="preserve"> applicable</w:t>
      </w:r>
      <w:r w:rsidR="006C57D5">
        <w:rPr>
          <w:rFonts w:cs="Times New Roman"/>
          <w:kern w:val="22"/>
          <w:sz w:val="22"/>
          <w:lang w:val="fr-FR"/>
        </w:rPr>
        <w:t>s</w:t>
      </w:r>
      <w:r w:rsidR="002F20A8" w:rsidRPr="006C57D5">
        <w:rPr>
          <w:rFonts w:cs="Times New Roman"/>
          <w:kern w:val="22"/>
          <w:sz w:val="22"/>
          <w:lang w:val="fr-FR"/>
        </w:rPr>
        <w:t xml:space="preserve">. </w:t>
      </w:r>
      <w:r w:rsidR="006C57D5">
        <w:rPr>
          <w:kern w:val="22"/>
          <w:sz w:val="22"/>
          <w:lang w:val="fr-FR"/>
        </w:rPr>
        <w:t xml:space="preserve">Le droit interne est ici déterminant : un utilisateur de </w:t>
      </w:r>
      <w:r w:rsidR="00830BE4" w:rsidRPr="00053E0E">
        <w:rPr>
          <w:kern w:val="22"/>
          <w:sz w:val="22"/>
          <w:lang w:val="fr-FR"/>
        </w:rPr>
        <w:t>connaissances traditionnelles connexes</w:t>
      </w:r>
      <w:r w:rsidR="006C57D5">
        <w:rPr>
          <w:kern w:val="22"/>
          <w:sz w:val="22"/>
          <w:lang w:val="fr-FR"/>
        </w:rPr>
        <w:t xml:space="preserve"> venant d’un </w:t>
      </w:r>
      <w:r w:rsidR="008A5BE1" w:rsidRPr="00053E0E">
        <w:rPr>
          <w:kern w:val="22"/>
          <w:sz w:val="22"/>
          <w:lang w:val="fr-FR"/>
        </w:rPr>
        <w:t>pays</w:t>
      </w:r>
      <w:r w:rsidR="006C57D5">
        <w:rPr>
          <w:kern w:val="22"/>
          <w:sz w:val="22"/>
          <w:lang w:val="fr-FR"/>
        </w:rPr>
        <w:t xml:space="preserve"> qui ne dispose d’aucune </w:t>
      </w:r>
      <w:r w:rsidR="00053E0E" w:rsidRPr="00053E0E">
        <w:rPr>
          <w:kern w:val="22"/>
          <w:sz w:val="22"/>
          <w:lang w:val="fr-FR"/>
        </w:rPr>
        <w:t>législation</w:t>
      </w:r>
      <w:r w:rsidR="006C57D5">
        <w:rPr>
          <w:kern w:val="22"/>
          <w:sz w:val="22"/>
          <w:lang w:val="fr-FR"/>
        </w:rPr>
        <w:t xml:space="preserve"> protégeant ces </w:t>
      </w:r>
      <w:r w:rsidR="005C70CA" w:rsidRPr="00053E0E">
        <w:rPr>
          <w:kern w:val="22"/>
          <w:sz w:val="22"/>
          <w:lang w:val="fr-FR"/>
        </w:rPr>
        <w:t>connaissances</w:t>
      </w:r>
      <w:r w:rsidR="00592155" w:rsidRPr="00053E0E">
        <w:rPr>
          <w:kern w:val="22"/>
          <w:sz w:val="22"/>
          <w:lang w:val="fr-FR"/>
        </w:rPr>
        <w:t xml:space="preserve"> </w:t>
      </w:r>
      <w:r w:rsidR="002079AF">
        <w:rPr>
          <w:kern w:val="22"/>
          <w:sz w:val="22"/>
          <w:lang w:val="fr-FR"/>
        </w:rPr>
        <w:t>ne sera en principe</w:t>
      </w:r>
      <w:r w:rsidR="006C57D5">
        <w:rPr>
          <w:kern w:val="22"/>
          <w:sz w:val="22"/>
          <w:lang w:val="fr-FR"/>
        </w:rPr>
        <w:t xml:space="preserve"> soumis à aucune contrainte juridique en matière de </w:t>
      </w:r>
      <w:r w:rsidR="007D7761">
        <w:rPr>
          <w:kern w:val="22"/>
          <w:sz w:val="22"/>
          <w:lang w:val="fr-FR"/>
        </w:rPr>
        <w:t>consentement préalable donné en connaissance de cause</w:t>
      </w:r>
      <w:r w:rsidR="006C57D5">
        <w:rPr>
          <w:kern w:val="22"/>
          <w:sz w:val="22"/>
          <w:lang w:val="fr-FR"/>
        </w:rPr>
        <w:t xml:space="preserve"> et</w:t>
      </w:r>
      <w:r w:rsidR="00592155" w:rsidRPr="00053E0E">
        <w:rPr>
          <w:kern w:val="22"/>
          <w:sz w:val="22"/>
          <w:lang w:val="fr-FR"/>
        </w:rPr>
        <w:t>/</w:t>
      </w:r>
      <w:r w:rsidR="006C57D5">
        <w:rPr>
          <w:kern w:val="22"/>
          <w:sz w:val="22"/>
          <w:lang w:val="fr-FR"/>
        </w:rPr>
        <w:t xml:space="preserve">ou </w:t>
      </w:r>
      <w:r w:rsidR="000B36D3" w:rsidRPr="00053E0E">
        <w:rPr>
          <w:kern w:val="22"/>
          <w:sz w:val="22"/>
          <w:lang w:val="fr-FR"/>
        </w:rPr>
        <w:t>conditions convenues d’un commun accord</w:t>
      </w:r>
      <w:r w:rsidR="00592155" w:rsidRPr="00053E0E">
        <w:rPr>
          <w:kern w:val="22"/>
          <w:sz w:val="22"/>
          <w:lang w:val="fr-FR"/>
        </w:rPr>
        <w:t xml:space="preserve">. </w:t>
      </w:r>
      <w:r w:rsidR="00D6232E" w:rsidRPr="008A5BE1">
        <w:rPr>
          <w:kern w:val="22"/>
          <w:sz w:val="22"/>
          <w:lang w:val="fr-FR"/>
        </w:rPr>
        <w:t>Cependant</w:t>
      </w:r>
      <w:r w:rsidR="00BB3972" w:rsidRPr="008A5BE1">
        <w:rPr>
          <w:kern w:val="22"/>
          <w:sz w:val="22"/>
          <w:lang w:val="fr-FR"/>
        </w:rPr>
        <w:t>,</w:t>
      </w:r>
      <w:r w:rsidR="00AA5919">
        <w:rPr>
          <w:kern w:val="22"/>
          <w:sz w:val="22"/>
          <w:lang w:val="fr-FR"/>
        </w:rPr>
        <w:t xml:space="preserve"> </w:t>
      </w:r>
      <w:r w:rsidR="006C57D5">
        <w:rPr>
          <w:kern w:val="22"/>
          <w:sz w:val="22"/>
          <w:lang w:val="fr-FR"/>
        </w:rPr>
        <w:t xml:space="preserve">les </w:t>
      </w:r>
      <w:r w:rsidR="00AA5919">
        <w:rPr>
          <w:kern w:val="22"/>
          <w:sz w:val="22"/>
          <w:lang w:val="fr-FR"/>
        </w:rPr>
        <w:t xml:space="preserve">utilisateurs </w:t>
      </w:r>
      <w:r w:rsidR="006C57D5">
        <w:rPr>
          <w:kern w:val="22"/>
          <w:sz w:val="22"/>
          <w:lang w:val="fr-FR"/>
        </w:rPr>
        <w:t>de</w:t>
      </w:r>
      <w:r w:rsidR="00592155" w:rsidRPr="008A5BE1">
        <w:rPr>
          <w:kern w:val="22"/>
          <w:sz w:val="22"/>
          <w:lang w:val="fr-FR"/>
        </w:rPr>
        <w:t xml:space="preserve"> </w:t>
      </w:r>
      <w:r w:rsidR="00830BE4" w:rsidRPr="008A5BE1">
        <w:rPr>
          <w:kern w:val="22"/>
          <w:sz w:val="22"/>
          <w:lang w:val="fr-FR"/>
        </w:rPr>
        <w:t>connaissances traditionnelles connexes</w:t>
      </w:r>
      <w:r w:rsidR="00592155" w:rsidRPr="008A5BE1">
        <w:rPr>
          <w:kern w:val="22"/>
          <w:sz w:val="22"/>
          <w:lang w:val="fr-FR"/>
        </w:rPr>
        <w:t xml:space="preserve"> </w:t>
      </w:r>
      <w:r w:rsidR="002079AF">
        <w:rPr>
          <w:kern w:val="22"/>
          <w:sz w:val="22"/>
          <w:lang w:val="fr-FR"/>
        </w:rPr>
        <w:t>venant</w:t>
      </w:r>
      <w:r w:rsidR="006C57D5">
        <w:rPr>
          <w:kern w:val="22"/>
          <w:sz w:val="22"/>
          <w:lang w:val="fr-FR"/>
        </w:rPr>
        <w:t xml:space="preserve"> de </w:t>
      </w:r>
      <w:r w:rsidR="00E40444" w:rsidRPr="008A5BE1">
        <w:rPr>
          <w:kern w:val="22"/>
          <w:sz w:val="22"/>
          <w:lang w:val="fr-FR"/>
        </w:rPr>
        <w:t>pays</w:t>
      </w:r>
      <w:r w:rsidR="006C57D5">
        <w:rPr>
          <w:kern w:val="22"/>
          <w:sz w:val="22"/>
          <w:lang w:val="fr-FR"/>
        </w:rPr>
        <w:t xml:space="preserve"> qui disposent d’une telle </w:t>
      </w:r>
      <w:r w:rsidR="00053E0E">
        <w:rPr>
          <w:kern w:val="22"/>
          <w:sz w:val="22"/>
          <w:lang w:val="fr-FR"/>
        </w:rPr>
        <w:t>législation</w:t>
      </w:r>
      <w:r w:rsidR="00592155" w:rsidRPr="008A5BE1">
        <w:rPr>
          <w:kern w:val="22"/>
          <w:sz w:val="22"/>
          <w:lang w:val="fr-FR"/>
        </w:rPr>
        <w:t xml:space="preserve">, </w:t>
      </w:r>
      <w:r w:rsidR="00C15236">
        <w:rPr>
          <w:kern w:val="22"/>
          <w:sz w:val="22"/>
          <w:lang w:val="fr-FR"/>
        </w:rPr>
        <w:t xml:space="preserve">ou </w:t>
      </w:r>
      <w:r w:rsidR="006C57D5">
        <w:rPr>
          <w:kern w:val="22"/>
          <w:sz w:val="22"/>
          <w:lang w:val="fr-FR"/>
        </w:rPr>
        <w:t xml:space="preserve">qui vivent dans ce pays ou dans un autre pays </w:t>
      </w:r>
      <w:r w:rsidR="001A200E" w:rsidRPr="008A5BE1">
        <w:rPr>
          <w:kern w:val="22"/>
          <w:sz w:val="22"/>
          <w:lang w:val="fr-FR"/>
        </w:rPr>
        <w:t>Partie</w:t>
      </w:r>
      <w:r w:rsidR="00592155" w:rsidRPr="008A5BE1">
        <w:rPr>
          <w:kern w:val="22"/>
          <w:sz w:val="22"/>
          <w:lang w:val="fr-FR"/>
        </w:rPr>
        <w:t xml:space="preserve"> </w:t>
      </w:r>
      <w:r w:rsidR="007A438A" w:rsidRPr="008A5BE1">
        <w:rPr>
          <w:kern w:val="22"/>
          <w:sz w:val="22"/>
          <w:lang w:val="fr-FR"/>
        </w:rPr>
        <w:t>au Protocole</w:t>
      </w:r>
      <w:r w:rsidR="00C15236">
        <w:rPr>
          <w:kern w:val="22"/>
          <w:sz w:val="22"/>
          <w:lang w:val="fr-FR"/>
        </w:rPr>
        <w:t xml:space="preserve"> de Nagoya, pourront être tenus de respecter </w:t>
      </w:r>
      <w:r w:rsidR="006C57D5">
        <w:rPr>
          <w:kern w:val="22"/>
          <w:sz w:val="22"/>
          <w:lang w:val="fr-FR"/>
        </w:rPr>
        <w:t xml:space="preserve">des obligations en matière de </w:t>
      </w:r>
      <w:r w:rsidR="007D7761">
        <w:rPr>
          <w:kern w:val="22"/>
          <w:sz w:val="22"/>
          <w:lang w:val="fr-FR"/>
        </w:rPr>
        <w:t>consentement préalable donné en connaissance de cause</w:t>
      </w:r>
      <w:r w:rsidR="006C57D5">
        <w:rPr>
          <w:kern w:val="22"/>
          <w:sz w:val="22"/>
          <w:lang w:val="fr-FR"/>
        </w:rPr>
        <w:t xml:space="preserve"> et</w:t>
      </w:r>
      <w:r w:rsidR="00592155" w:rsidRPr="008A5BE1">
        <w:rPr>
          <w:kern w:val="22"/>
          <w:sz w:val="22"/>
          <w:lang w:val="fr-FR"/>
        </w:rPr>
        <w:t>/</w:t>
      </w:r>
      <w:r w:rsidR="006C57D5">
        <w:rPr>
          <w:kern w:val="22"/>
          <w:sz w:val="22"/>
          <w:lang w:val="fr-FR"/>
        </w:rPr>
        <w:t xml:space="preserve">ou </w:t>
      </w:r>
      <w:r w:rsidR="00C15236">
        <w:rPr>
          <w:kern w:val="22"/>
          <w:sz w:val="22"/>
          <w:lang w:val="fr-FR"/>
        </w:rPr>
        <w:t xml:space="preserve">de </w:t>
      </w:r>
      <w:r w:rsidR="000B36D3" w:rsidRPr="008A5BE1">
        <w:rPr>
          <w:kern w:val="22"/>
          <w:sz w:val="22"/>
          <w:lang w:val="fr-FR"/>
        </w:rPr>
        <w:t>conditions convenues d’un commun accord</w:t>
      </w:r>
      <w:r w:rsidR="00592155" w:rsidRPr="008A5BE1">
        <w:rPr>
          <w:kern w:val="22"/>
          <w:sz w:val="22"/>
          <w:lang w:val="fr-FR"/>
        </w:rPr>
        <w:t>.</w:t>
      </w:r>
      <w:r w:rsidR="002F20A8" w:rsidRPr="002364AB">
        <w:rPr>
          <w:rStyle w:val="FootnoteReference"/>
          <w:kern w:val="22"/>
          <w:sz w:val="22"/>
          <w:lang w:val="en-GB"/>
        </w:rPr>
        <w:footnoteReference w:id="182"/>
      </w:r>
    </w:p>
    <w:p w14:paraId="55F72D5D" w14:textId="5E157F47" w:rsidR="001B5B7F" w:rsidRPr="00367430" w:rsidRDefault="00C15236" w:rsidP="004D3337">
      <w:pPr>
        <w:rPr>
          <w:rFonts w:cs="Times New Roman"/>
          <w:kern w:val="22"/>
          <w:sz w:val="22"/>
          <w:lang w:val="fr-FR"/>
        </w:rPr>
      </w:pPr>
      <w:r>
        <w:rPr>
          <w:rFonts w:cs="Times New Roman"/>
          <w:kern w:val="22"/>
          <w:sz w:val="22"/>
          <w:lang w:val="fr-FR"/>
        </w:rPr>
        <w:t xml:space="preserve">Il convient de noter que des négociations sur le </w:t>
      </w:r>
      <w:r w:rsidR="005C70CA" w:rsidRPr="005C70CA">
        <w:rPr>
          <w:rFonts w:cs="Times New Roman"/>
          <w:kern w:val="22"/>
          <w:sz w:val="22"/>
          <w:lang w:val="fr-FR"/>
        </w:rPr>
        <w:t>p</w:t>
      </w:r>
      <w:r w:rsidR="00E3674F" w:rsidRPr="005C70CA">
        <w:rPr>
          <w:rFonts w:cs="Times New Roman"/>
          <w:kern w:val="22"/>
          <w:sz w:val="22"/>
          <w:lang w:val="fr-FR"/>
        </w:rPr>
        <w:t>artage des avantages</w:t>
      </w:r>
      <w:r w:rsidR="007C77E2" w:rsidRPr="005C70CA">
        <w:rPr>
          <w:rFonts w:cs="Times New Roman"/>
          <w:kern w:val="22"/>
          <w:sz w:val="22"/>
          <w:lang w:val="fr-FR"/>
        </w:rPr>
        <w:t xml:space="preserve"> </w:t>
      </w:r>
      <w:r>
        <w:rPr>
          <w:rFonts w:cs="Times New Roman"/>
          <w:kern w:val="22"/>
          <w:sz w:val="22"/>
          <w:lang w:val="fr-FR"/>
        </w:rPr>
        <w:t>concernant</w:t>
      </w:r>
      <w:r w:rsidR="005C70CA" w:rsidRPr="005C70CA">
        <w:rPr>
          <w:rFonts w:cs="Times New Roman"/>
          <w:kern w:val="22"/>
          <w:sz w:val="22"/>
          <w:lang w:val="fr-FR"/>
        </w:rPr>
        <w:t xml:space="preserve"> des </w:t>
      </w:r>
      <w:r w:rsidR="00E3674F" w:rsidRPr="005C70CA">
        <w:rPr>
          <w:rFonts w:cs="Times New Roman"/>
          <w:kern w:val="22"/>
          <w:sz w:val="22"/>
          <w:lang w:val="fr-FR"/>
        </w:rPr>
        <w:t>connaissances traditionnelles</w:t>
      </w:r>
      <w:r w:rsidR="00F10CC4" w:rsidRPr="005C70CA">
        <w:rPr>
          <w:rFonts w:cs="Times New Roman"/>
          <w:kern w:val="22"/>
          <w:sz w:val="22"/>
          <w:lang w:val="fr-FR"/>
        </w:rPr>
        <w:t xml:space="preserve"> </w:t>
      </w:r>
      <w:r w:rsidR="005C70CA" w:rsidRPr="005C70CA">
        <w:rPr>
          <w:rFonts w:cs="Times New Roman"/>
          <w:kern w:val="22"/>
          <w:sz w:val="22"/>
          <w:lang w:val="fr-FR"/>
        </w:rPr>
        <w:t>accessibles au public ne</w:t>
      </w:r>
      <w:r w:rsidR="005C70CA">
        <w:rPr>
          <w:rFonts w:cs="Times New Roman"/>
          <w:kern w:val="22"/>
          <w:sz w:val="22"/>
          <w:lang w:val="fr-FR"/>
        </w:rPr>
        <w:t xml:space="preserve"> son</w:t>
      </w:r>
      <w:r>
        <w:rPr>
          <w:rFonts w:cs="Times New Roman"/>
          <w:kern w:val="22"/>
          <w:sz w:val="22"/>
          <w:lang w:val="fr-FR"/>
        </w:rPr>
        <w:t xml:space="preserve">t pas toujours possibles, entre autres, lorsque les </w:t>
      </w:r>
      <w:r w:rsidR="00B0526C">
        <w:rPr>
          <w:rFonts w:cs="Times New Roman"/>
          <w:kern w:val="22"/>
          <w:sz w:val="22"/>
          <w:lang w:val="fr-FR"/>
        </w:rPr>
        <w:t>dépositaires</w:t>
      </w:r>
      <w:r>
        <w:rPr>
          <w:rFonts w:cs="Times New Roman"/>
          <w:kern w:val="22"/>
          <w:sz w:val="22"/>
          <w:lang w:val="fr-FR"/>
        </w:rPr>
        <w:t xml:space="preserve"> originaires des connaissances</w:t>
      </w:r>
      <w:r w:rsidR="007C77E2" w:rsidRPr="005C70CA">
        <w:rPr>
          <w:rFonts w:cs="Times New Roman"/>
          <w:kern w:val="22"/>
          <w:sz w:val="22"/>
          <w:lang w:val="fr-FR"/>
        </w:rPr>
        <w:t xml:space="preserve"> </w:t>
      </w:r>
      <w:r>
        <w:rPr>
          <w:rFonts w:cs="Times New Roman"/>
          <w:kern w:val="22"/>
          <w:sz w:val="22"/>
          <w:lang w:val="fr-FR"/>
        </w:rPr>
        <w:t>ne peuvent pas être identifié</w:t>
      </w:r>
      <w:r w:rsidR="006C57D5">
        <w:rPr>
          <w:rFonts w:cs="Times New Roman"/>
          <w:kern w:val="22"/>
          <w:sz w:val="22"/>
          <w:lang w:val="fr-FR"/>
        </w:rPr>
        <w:t>s</w:t>
      </w:r>
      <w:r w:rsidR="0028742E">
        <w:rPr>
          <w:rFonts w:cs="Times New Roman"/>
          <w:kern w:val="22"/>
          <w:sz w:val="22"/>
          <w:lang w:val="fr-FR"/>
        </w:rPr>
        <w:t xml:space="preserve"> ou </w:t>
      </w:r>
      <w:r w:rsidR="006C57D5">
        <w:rPr>
          <w:rFonts w:cs="Times New Roman"/>
          <w:kern w:val="22"/>
          <w:sz w:val="22"/>
          <w:lang w:val="fr-FR"/>
        </w:rPr>
        <w:t>ont disparu</w:t>
      </w:r>
      <w:r w:rsidR="007C77E2" w:rsidRPr="005C70CA">
        <w:rPr>
          <w:rFonts w:cs="Times New Roman"/>
          <w:kern w:val="22"/>
          <w:sz w:val="22"/>
          <w:lang w:val="fr-FR"/>
        </w:rPr>
        <w:t>,</w:t>
      </w:r>
      <w:r w:rsidR="00A032D0" w:rsidRPr="002364AB">
        <w:rPr>
          <w:rStyle w:val="FootnoteReference"/>
          <w:kern w:val="22"/>
          <w:sz w:val="22"/>
          <w:lang w:val="en-GB"/>
        </w:rPr>
        <w:footnoteReference w:id="183"/>
      </w:r>
      <w:r>
        <w:rPr>
          <w:rFonts w:cs="Times New Roman"/>
          <w:kern w:val="22"/>
          <w:sz w:val="22"/>
          <w:lang w:val="fr-FR"/>
        </w:rPr>
        <w:t xml:space="preserve"> ou bien lorsque</w:t>
      </w:r>
      <w:r w:rsidR="006C57D5">
        <w:rPr>
          <w:rFonts w:cs="Times New Roman"/>
          <w:kern w:val="22"/>
          <w:sz w:val="22"/>
          <w:lang w:val="fr-FR"/>
        </w:rPr>
        <w:t xml:space="preserve"> ces</w:t>
      </w:r>
      <w:r w:rsidR="007C77E2" w:rsidRPr="005C70CA">
        <w:rPr>
          <w:rFonts w:cs="Times New Roman"/>
          <w:kern w:val="22"/>
          <w:sz w:val="22"/>
          <w:lang w:val="fr-FR"/>
        </w:rPr>
        <w:t xml:space="preserve"> </w:t>
      </w:r>
      <w:r w:rsidR="00E3674F" w:rsidRPr="005C70CA">
        <w:rPr>
          <w:rFonts w:cs="Times New Roman"/>
          <w:kern w:val="22"/>
          <w:sz w:val="22"/>
          <w:lang w:val="fr-FR"/>
        </w:rPr>
        <w:t>connaissances traditionnelles</w:t>
      </w:r>
      <w:r>
        <w:rPr>
          <w:rFonts w:cs="Times New Roman"/>
          <w:kern w:val="22"/>
          <w:sz w:val="22"/>
          <w:lang w:val="fr-FR"/>
        </w:rPr>
        <w:t xml:space="preserve"> sont</w:t>
      </w:r>
      <w:r w:rsidR="006C57D5">
        <w:rPr>
          <w:rFonts w:cs="Times New Roman"/>
          <w:kern w:val="22"/>
          <w:sz w:val="22"/>
          <w:lang w:val="fr-FR"/>
        </w:rPr>
        <w:t xml:space="preserve"> </w:t>
      </w:r>
      <w:r w:rsidR="007C77E2" w:rsidRPr="005C70CA">
        <w:rPr>
          <w:rFonts w:cs="Times New Roman"/>
          <w:kern w:val="22"/>
          <w:sz w:val="22"/>
          <w:lang w:val="fr-FR"/>
        </w:rPr>
        <w:t>attribu</w:t>
      </w:r>
      <w:r w:rsidR="006C57D5">
        <w:rPr>
          <w:rFonts w:cs="Times New Roman"/>
          <w:kern w:val="22"/>
          <w:sz w:val="22"/>
          <w:lang w:val="fr-FR"/>
        </w:rPr>
        <w:t xml:space="preserve">ées à un </w:t>
      </w:r>
      <w:r w:rsidR="008A5BE1" w:rsidRPr="005C70CA">
        <w:rPr>
          <w:rFonts w:cs="Times New Roman"/>
          <w:kern w:val="22"/>
          <w:sz w:val="22"/>
          <w:lang w:val="fr-FR"/>
        </w:rPr>
        <w:t>pays</w:t>
      </w:r>
      <w:r w:rsidR="00F64D83" w:rsidRPr="002364AB">
        <w:rPr>
          <w:rStyle w:val="FootnoteReference"/>
          <w:kern w:val="22"/>
          <w:sz w:val="22"/>
          <w:lang w:val="en-GB"/>
        </w:rPr>
        <w:footnoteReference w:id="184"/>
      </w:r>
      <w:r w:rsidR="006C57D5">
        <w:rPr>
          <w:rFonts w:cs="Times New Roman"/>
          <w:kern w:val="22"/>
          <w:sz w:val="22"/>
          <w:lang w:val="fr-FR"/>
        </w:rPr>
        <w:t xml:space="preserve">, mais pas à un peuple ou </w:t>
      </w:r>
      <w:r>
        <w:rPr>
          <w:rFonts w:cs="Times New Roman"/>
          <w:kern w:val="22"/>
          <w:sz w:val="22"/>
          <w:lang w:val="fr-FR"/>
        </w:rPr>
        <w:t xml:space="preserve">un </w:t>
      </w:r>
      <w:r w:rsidR="006C57D5">
        <w:rPr>
          <w:rFonts w:cs="Times New Roman"/>
          <w:kern w:val="22"/>
          <w:sz w:val="22"/>
          <w:lang w:val="fr-FR"/>
        </w:rPr>
        <w:t xml:space="preserve">groupe particulier, ou bien </w:t>
      </w:r>
      <w:r>
        <w:rPr>
          <w:rFonts w:cs="Times New Roman"/>
          <w:kern w:val="22"/>
          <w:sz w:val="22"/>
          <w:lang w:val="fr-FR"/>
        </w:rPr>
        <w:t xml:space="preserve">encore lorsque </w:t>
      </w:r>
      <w:r w:rsidR="003D0AF0">
        <w:rPr>
          <w:rFonts w:cs="Times New Roman"/>
          <w:kern w:val="22"/>
          <w:sz w:val="22"/>
          <w:lang w:val="fr-FR"/>
        </w:rPr>
        <w:t>d</w:t>
      </w:r>
      <w:r w:rsidR="006C57D5">
        <w:rPr>
          <w:rFonts w:cs="Times New Roman"/>
          <w:kern w:val="22"/>
          <w:sz w:val="22"/>
          <w:lang w:val="fr-FR"/>
        </w:rPr>
        <w:t xml:space="preserve">es </w:t>
      </w:r>
      <w:r w:rsidR="005C70CA" w:rsidRPr="005C70CA">
        <w:rPr>
          <w:rFonts w:cs="Times New Roman"/>
          <w:kern w:val="22"/>
          <w:sz w:val="22"/>
          <w:lang w:val="fr-FR"/>
        </w:rPr>
        <w:t>connaissances</w:t>
      </w:r>
      <w:r w:rsidR="002F20A8" w:rsidRPr="005C70CA">
        <w:rPr>
          <w:rFonts w:cs="Times New Roman"/>
          <w:kern w:val="22"/>
          <w:sz w:val="22"/>
          <w:lang w:val="fr-FR"/>
        </w:rPr>
        <w:t xml:space="preserve"> </w:t>
      </w:r>
      <w:r>
        <w:rPr>
          <w:rFonts w:cs="Times New Roman"/>
          <w:kern w:val="22"/>
          <w:sz w:val="22"/>
          <w:lang w:val="fr-FR"/>
        </w:rPr>
        <w:t>ont</w:t>
      </w:r>
      <w:r w:rsidR="006C57D5">
        <w:rPr>
          <w:rFonts w:cs="Times New Roman"/>
          <w:kern w:val="22"/>
          <w:sz w:val="22"/>
          <w:lang w:val="fr-FR"/>
        </w:rPr>
        <w:t xml:space="preserve"> été publiées originellement</w:t>
      </w:r>
      <w:r w:rsidR="007C77E2" w:rsidRPr="005C70CA">
        <w:rPr>
          <w:rFonts w:cs="Times New Roman"/>
          <w:kern w:val="22"/>
          <w:sz w:val="22"/>
          <w:lang w:val="fr-FR"/>
        </w:rPr>
        <w:t xml:space="preserve"> </w:t>
      </w:r>
      <w:r w:rsidR="003D0AF0">
        <w:rPr>
          <w:rFonts w:cs="Times New Roman"/>
          <w:kern w:val="22"/>
          <w:sz w:val="22"/>
          <w:lang w:val="fr-FR"/>
        </w:rPr>
        <w:t xml:space="preserve">et mises à disposition </w:t>
      </w:r>
      <w:r w:rsidR="00CA644E">
        <w:rPr>
          <w:rFonts w:cs="Times New Roman"/>
          <w:kern w:val="22"/>
          <w:sz w:val="22"/>
          <w:lang w:val="fr-FR"/>
        </w:rPr>
        <w:t>avant</w:t>
      </w:r>
      <w:r w:rsidR="007C77E2" w:rsidRPr="005C70CA">
        <w:rPr>
          <w:rFonts w:cs="Times New Roman"/>
          <w:kern w:val="22"/>
          <w:sz w:val="22"/>
          <w:lang w:val="fr-FR"/>
        </w:rPr>
        <w:t xml:space="preserve"> </w:t>
      </w:r>
      <w:r w:rsidR="00202126" w:rsidRPr="005C70CA">
        <w:rPr>
          <w:rFonts w:cs="Times New Roman"/>
          <w:kern w:val="22"/>
          <w:sz w:val="22"/>
          <w:lang w:val="fr-FR"/>
        </w:rPr>
        <w:t>l’entrée en vigueur</w:t>
      </w:r>
      <w:r w:rsidR="007C77E2" w:rsidRPr="005C70CA">
        <w:rPr>
          <w:rFonts w:cs="Times New Roman"/>
          <w:kern w:val="22"/>
          <w:sz w:val="22"/>
          <w:lang w:val="fr-FR"/>
        </w:rPr>
        <w:t xml:space="preserve"> </w:t>
      </w:r>
      <w:r w:rsidR="004F1D8A">
        <w:rPr>
          <w:rFonts w:cs="Times New Roman"/>
          <w:kern w:val="22"/>
          <w:sz w:val="22"/>
          <w:lang w:val="fr-FR"/>
        </w:rPr>
        <w:t xml:space="preserve">de la </w:t>
      </w:r>
      <w:r w:rsidR="007347F7">
        <w:rPr>
          <w:rFonts w:cs="Times New Roman"/>
          <w:kern w:val="22"/>
          <w:sz w:val="22"/>
          <w:lang w:val="fr-FR"/>
        </w:rPr>
        <w:t>Convention</w:t>
      </w:r>
      <w:r w:rsidR="0028742E">
        <w:rPr>
          <w:rFonts w:cs="Times New Roman"/>
          <w:kern w:val="22"/>
          <w:sz w:val="22"/>
          <w:lang w:val="fr-FR"/>
        </w:rPr>
        <w:t xml:space="preserve"> ou</w:t>
      </w:r>
      <w:r w:rsidR="001E6A2B">
        <w:rPr>
          <w:rFonts w:cs="Times New Roman"/>
          <w:kern w:val="22"/>
          <w:sz w:val="22"/>
          <w:lang w:val="fr-FR"/>
        </w:rPr>
        <w:t xml:space="preserve"> du</w:t>
      </w:r>
      <w:r w:rsidR="0028742E">
        <w:rPr>
          <w:rFonts w:cs="Times New Roman"/>
          <w:kern w:val="22"/>
          <w:sz w:val="22"/>
          <w:lang w:val="fr-FR"/>
        </w:rPr>
        <w:t xml:space="preserve"> </w:t>
      </w:r>
      <w:r w:rsidR="007C77E2" w:rsidRPr="005C70CA">
        <w:rPr>
          <w:rFonts w:cs="Times New Roman"/>
          <w:kern w:val="22"/>
          <w:sz w:val="22"/>
          <w:lang w:val="fr-FR"/>
        </w:rPr>
        <w:t>Protocol</w:t>
      </w:r>
      <w:r w:rsidR="001E6A2B">
        <w:rPr>
          <w:rFonts w:cs="Times New Roman"/>
          <w:kern w:val="22"/>
          <w:sz w:val="22"/>
          <w:lang w:val="fr-FR"/>
        </w:rPr>
        <w:t>e</w:t>
      </w:r>
      <w:r w:rsidR="007C77E2" w:rsidRPr="005C70CA">
        <w:rPr>
          <w:rFonts w:cs="Times New Roman"/>
          <w:kern w:val="22"/>
          <w:sz w:val="22"/>
          <w:lang w:val="fr-FR"/>
        </w:rPr>
        <w:t xml:space="preserve">. </w:t>
      </w:r>
      <w:r w:rsidR="003D0AF0">
        <w:rPr>
          <w:rFonts w:cs="Times New Roman"/>
          <w:kern w:val="22"/>
          <w:sz w:val="22"/>
          <w:lang w:val="fr-FR"/>
        </w:rPr>
        <w:t>Il convient de noter également</w:t>
      </w:r>
      <w:r w:rsidR="001E6A2B">
        <w:rPr>
          <w:rFonts w:cs="Times New Roman"/>
          <w:kern w:val="22"/>
          <w:sz w:val="22"/>
          <w:lang w:val="fr-FR"/>
        </w:rPr>
        <w:t xml:space="preserve"> que l’article 8 </w:t>
      </w:r>
      <w:r w:rsidR="00F10CC4" w:rsidRPr="00367430">
        <w:rPr>
          <w:rFonts w:cs="Times New Roman"/>
          <w:kern w:val="22"/>
          <w:sz w:val="22"/>
          <w:lang w:val="fr-FR"/>
        </w:rPr>
        <w:t xml:space="preserve">j) </w:t>
      </w:r>
      <w:r w:rsidR="004F1D8A">
        <w:rPr>
          <w:rFonts w:cs="Times New Roman"/>
          <w:kern w:val="22"/>
          <w:sz w:val="22"/>
          <w:lang w:val="fr-FR"/>
        </w:rPr>
        <w:t xml:space="preserve">de la </w:t>
      </w:r>
      <w:r w:rsidR="007347F7">
        <w:rPr>
          <w:rFonts w:cs="Times New Roman"/>
          <w:kern w:val="22"/>
          <w:sz w:val="22"/>
          <w:lang w:val="fr-FR"/>
        </w:rPr>
        <w:t>Convention</w:t>
      </w:r>
      <w:r w:rsidR="00E3674F" w:rsidRPr="00367430">
        <w:rPr>
          <w:rFonts w:cs="Times New Roman"/>
          <w:kern w:val="22"/>
          <w:sz w:val="22"/>
          <w:lang w:val="fr-FR"/>
        </w:rPr>
        <w:t xml:space="preserve"> et </w:t>
      </w:r>
      <w:r w:rsidR="001E6A2B">
        <w:rPr>
          <w:rFonts w:cs="Times New Roman"/>
          <w:kern w:val="22"/>
          <w:sz w:val="22"/>
          <w:lang w:val="fr-FR"/>
        </w:rPr>
        <w:t>les articles</w:t>
      </w:r>
      <w:r w:rsidR="00F10CC4" w:rsidRPr="00367430">
        <w:rPr>
          <w:rFonts w:cs="Times New Roman"/>
          <w:kern w:val="22"/>
          <w:sz w:val="22"/>
          <w:lang w:val="fr-FR"/>
        </w:rPr>
        <w:t xml:space="preserve"> 5.5</w:t>
      </w:r>
      <w:r w:rsidR="00E3674F" w:rsidRPr="00367430">
        <w:rPr>
          <w:rFonts w:cs="Times New Roman"/>
          <w:kern w:val="22"/>
          <w:sz w:val="22"/>
          <w:lang w:val="fr-FR"/>
        </w:rPr>
        <w:t xml:space="preserve"> et </w:t>
      </w:r>
      <w:r w:rsidR="00F10CC4" w:rsidRPr="00367430">
        <w:rPr>
          <w:rFonts w:cs="Times New Roman"/>
          <w:kern w:val="22"/>
          <w:sz w:val="22"/>
          <w:lang w:val="fr-FR"/>
        </w:rPr>
        <w:t xml:space="preserve">7 </w:t>
      </w:r>
      <w:r w:rsidR="00770AB8" w:rsidRPr="00367430">
        <w:rPr>
          <w:rFonts w:cs="Times New Roman"/>
          <w:kern w:val="22"/>
          <w:sz w:val="22"/>
          <w:lang w:val="fr-FR"/>
        </w:rPr>
        <w:t>du Pro</w:t>
      </w:r>
      <w:r w:rsidR="00E3674F" w:rsidRPr="00367430">
        <w:rPr>
          <w:rFonts w:cs="Times New Roman"/>
          <w:kern w:val="22"/>
          <w:sz w:val="22"/>
          <w:lang w:val="fr-FR"/>
        </w:rPr>
        <w:t>tocole de Nagoya</w:t>
      </w:r>
      <w:r>
        <w:rPr>
          <w:rFonts w:cs="Times New Roman"/>
          <w:kern w:val="22"/>
          <w:sz w:val="22"/>
          <w:lang w:val="fr-FR"/>
        </w:rPr>
        <w:t xml:space="preserve"> visent les</w:t>
      </w:r>
      <w:r w:rsidR="001E6A2B">
        <w:rPr>
          <w:rFonts w:cs="Times New Roman"/>
          <w:kern w:val="22"/>
          <w:sz w:val="22"/>
          <w:lang w:val="fr-FR"/>
        </w:rPr>
        <w:t xml:space="preserve"> </w:t>
      </w:r>
      <w:r w:rsidR="005C70CA" w:rsidRPr="00367430">
        <w:rPr>
          <w:rFonts w:cs="Times New Roman"/>
          <w:kern w:val="22"/>
          <w:sz w:val="22"/>
          <w:lang w:val="fr-FR"/>
        </w:rPr>
        <w:t>connaissances</w:t>
      </w:r>
      <w:r w:rsidR="001E6A2B">
        <w:rPr>
          <w:rFonts w:cs="Times New Roman"/>
          <w:kern w:val="22"/>
          <w:sz w:val="22"/>
          <w:lang w:val="fr-FR"/>
        </w:rPr>
        <w:t xml:space="preserve"> </w:t>
      </w:r>
      <w:r w:rsidR="00830BE4" w:rsidRPr="00367430">
        <w:rPr>
          <w:rFonts w:cs="Times New Roman"/>
          <w:kern w:val="22"/>
          <w:sz w:val="22"/>
          <w:lang w:val="fr-FR"/>
        </w:rPr>
        <w:t>des peuples autochtones et communautés locales</w:t>
      </w:r>
      <w:r w:rsidR="001E6A2B">
        <w:rPr>
          <w:rFonts w:cs="Times New Roman"/>
          <w:kern w:val="22"/>
          <w:sz w:val="22"/>
          <w:lang w:val="fr-FR"/>
        </w:rPr>
        <w:t xml:space="preserve"> uniquement</w:t>
      </w:r>
      <w:r w:rsidR="003D0AF0">
        <w:rPr>
          <w:rFonts w:cs="Times New Roman"/>
          <w:kern w:val="22"/>
          <w:sz w:val="22"/>
          <w:lang w:val="fr-FR"/>
        </w:rPr>
        <w:t> : il semble donc que</w:t>
      </w:r>
      <w:r>
        <w:rPr>
          <w:rFonts w:cs="Times New Roman"/>
          <w:kern w:val="22"/>
          <w:sz w:val="22"/>
          <w:lang w:val="fr-FR"/>
        </w:rPr>
        <w:t xml:space="preserve"> les</w:t>
      </w:r>
      <w:r w:rsidR="001E6A2B">
        <w:rPr>
          <w:rFonts w:cs="Times New Roman"/>
          <w:kern w:val="22"/>
          <w:sz w:val="22"/>
          <w:lang w:val="fr-FR"/>
        </w:rPr>
        <w:t xml:space="preserve"> </w:t>
      </w:r>
      <w:r w:rsidR="00E3674F" w:rsidRPr="00367430">
        <w:rPr>
          <w:rFonts w:cs="Times New Roman"/>
          <w:kern w:val="22"/>
          <w:sz w:val="22"/>
          <w:lang w:val="fr-FR"/>
        </w:rPr>
        <w:t>connaissances traditionnelles</w:t>
      </w:r>
      <w:r w:rsidR="00F10CC4" w:rsidRPr="00367430">
        <w:rPr>
          <w:rFonts w:cs="Times New Roman"/>
          <w:kern w:val="22"/>
          <w:sz w:val="22"/>
          <w:lang w:val="fr-FR"/>
        </w:rPr>
        <w:t xml:space="preserve"> attribu</w:t>
      </w:r>
      <w:r w:rsidR="00711C6C" w:rsidRPr="00367430">
        <w:rPr>
          <w:rFonts w:cs="Times New Roman"/>
          <w:kern w:val="22"/>
          <w:sz w:val="22"/>
          <w:lang w:val="fr-FR"/>
        </w:rPr>
        <w:t>ables</w:t>
      </w:r>
      <w:r>
        <w:rPr>
          <w:rFonts w:cs="Times New Roman"/>
          <w:kern w:val="22"/>
          <w:sz w:val="22"/>
          <w:lang w:val="fr-FR"/>
        </w:rPr>
        <w:t xml:space="preserve"> </w:t>
      </w:r>
      <w:r w:rsidR="003D0AF0">
        <w:rPr>
          <w:rFonts w:cs="Times New Roman"/>
          <w:kern w:val="22"/>
          <w:sz w:val="22"/>
          <w:lang w:val="fr-FR"/>
        </w:rPr>
        <w:t xml:space="preserve">soit </w:t>
      </w:r>
      <w:r>
        <w:rPr>
          <w:rFonts w:cs="Times New Roman"/>
          <w:kern w:val="22"/>
          <w:sz w:val="22"/>
          <w:lang w:val="fr-FR"/>
        </w:rPr>
        <w:t>à un</w:t>
      </w:r>
      <w:r w:rsidR="00F10CC4" w:rsidRPr="00367430">
        <w:rPr>
          <w:rFonts w:cs="Times New Roman"/>
          <w:kern w:val="22"/>
          <w:sz w:val="22"/>
          <w:lang w:val="fr-FR"/>
        </w:rPr>
        <w:t xml:space="preserve"> </w:t>
      </w:r>
      <w:r w:rsidR="00E40444" w:rsidRPr="00367430">
        <w:rPr>
          <w:rFonts w:cs="Times New Roman"/>
          <w:kern w:val="22"/>
          <w:sz w:val="22"/>
          <w:lang w:val="fr-FR"/>
        </w:rPr>
        <w:t>pays</w:t>
      </w:r>
      <w:r w:rsidR="003D0AF0">
        <w:rPr>
          <w:rFonts w:cs="Times New Roman"/>
          <w:kern w:val="22"/>
          <w:sz w:val="22"/>
          <w:lang w:val="fr-FR"/>
        </w:rPr>
        <w:t xml:space="preserve">, soit </w:t>
      </w:r>
      <w:r>
        <w:rPr>
          <w:rFonts w:cs="Times New Roman"/>
          <w:kern w:val="22"/>
          <w:sz w:val="22"/>
          <w:lang w:val="fr-FR"/>
        </w:rPr>
        <w:t>à un</w:t>
      </w:r>
      <w:r w:rsidR="006C57D5">
        <w:rPr>
          <w:rFonts w:cs="Times New Roman"/>
          <w:kern w:val="22"/>
          <w:sz w:val="22"/>
          <w:lang w:val="fr-FR"/>
        </w:rPr>
        <w:t xml:space="preserve"> </w:t>
      </w:r>
      <w:r w:rsidR="00F10CC4" w:rsidRPr="00367430">
        <w:rPr>
          <w:rFonts w:cs="Times New Roman"/>
          <w:kern w:val="22"/>
          <w:sz w:val="22"/>
          <w:lang w:val="fr-FR"/>
        </w:rPr>
        <w:t>group</w:t>
      </w:r>
      <w:r w:rsidR="006C57D5">
        <w:rPr>
          <w:rFonts w:cs="Times New Roman"/>
          <w:kern w:val="22"/>
          <w:sz w:val="22"/>
          <w:lang w:val="fr-FR"/>
        </w:rPr>
        <w:t>e</w:t>
      </w:r>
      <w:r>
        <w:rPr>
          <w:rFonts w:cs="Times New Roman"/>
          <w:kern w:val="22"/>
          <w:sz w:val="22"/>
          <w:lang w:val="fr-FR"/>
        </w:rPr>
        <w:t xml:space="preserve"> disparu</w:t>
      </w:r>
      <w:r w:rsidR="003D0AF0">
        <w:rPr>
          <w:rFonts w:cs="Times New Roman"/>
          <w:kern w:val="22"/>
          <w:sz w:val="22"/>
          <w:lang w:val="fr-FR"/>
        </w:rPr>
        <w:t>, n’entrent pas dans le</w:t>
      </w:r>
      <w:r w:rsidR="00934A20" w:rsidRPr="00367430">
        <w:rPr>
          <w:rFonts w:cs="Times New Roman"/>
          <w:kern w:val="22"/>
          <w:sz w:val="22"/>
          <w:lang w:val="fr-FR"/>
        </w:rPr>
        <w:t xml:space="preserve"> champ d’application</w:t>
      </w:r>
      <w:r w:rsidR="006C57D5">
        <w:rPr>
          <w:rFonts w:cs="Times New Roman"/>
          <w:kern w:val="22"/>
          <w:sz w:val="22"/>
          <w:lang w:val="fr-FR"/>
        </w:rPr>
        <w:t xml:space="preserve"> de la </w:t>
      </w:r>
      <w:r w:rsidR="007347F7">
        <w:rPr>
          <w:rFonts w:cs="Times New Roman"/>
          <w:kern w:val="22"/>
          <w:sz w:val="22"/>
          <w:lang w:val="fr-FR"/>
        </w:rPr>
        <w:t>Convention</w:t>
      </w:r>
      <w:r w:rsidR="004C28E5">
        <w:rPr>
          <w:rFonts w:cs="Times New Roman"/>
          <w:kern w:val="22"/>
          <w:sz w:val="22"/>
          <w:lang w:val="fr-FR"/>
        </w:rPr>
        <w:t xml:space="preserve"> ou</w:t>
      </w:r>
      <w:r>
        <w:rPr>
          <w:rFonts w:cs="Times New Roman"/>
          <w:kern w:val="22"/>
          <w:sz w:val="22"/>
          <w:lang w:val="fr-FR"/>
        </w:rPr>
        <w:t xml:space="preserve"> du Protocole. L</w:t>
      </w:r>
      <w:r w:rsidR="000B36BE" w:rsidRPr="00367430">
        <w:rPr>
          <w:rFonts w:cs="Times New Roman"/>
          <w:kern w:val="22"/>
          <w:sz w:val="22"/>
          <w:lang w:val="fr-FR"/>
        </w:rPr>
        <w:t xml:space="preserve">es Parties ne sont pas </w:t>
      </w:r>
      <w:r>
        <w:rPr>
          <w:rFonts w:cs="Times New Roman"/>
          <w:kern w:val="22"/>
          <w:sz w:val="22"/>
          <w:lang w:val="fr-FR"/>
        </w:rPr>
        <w:t xml:space="preserve">encore </w:t>
      </w:r>
      <w:r w:rsidR="000B36BE" w:rsidRPr="00367430">
        <w:rPr>
          <w:rFonts w:cs="Times New Roman"/>
          <w:kern w:val="22"/>
          <w:sz w:val="22"/>
          <w:lang w:val="fr-FR"/>
        </w:rPr>
        <w:t>parvenues à un consensus</w:t>
      </w:r>
      <w:r w:rsidR="008F7B74" w:rsidRPr="00367430">
        <w:rPr>
          <w:rFonts w:cs="Times New Roman"/>
          <w:kern w:val="22"/>
          <w:sz w:val="22"/>
          <w:lang w:val="fr-FR"/>
        </w:rPr>
        <w:t xml:space="preserve"> </w:t>
      </w:r>
      <w:r w:rsidR="006C57D5">
        <w:rPr>
          <w:rFonts w:cs="Times New Roman"/>
          <w:kern w:val="22"/>
          <w:sz w:val="22"/>
          <w:lang w:val="fr-FR"/>
        </w:rPr>
        <w:t xml:space="preserve">sur le point de savoir si des </w:t>
      </w:r>
      <w:r w:rsidR="007732EE">
        <w:rPr>
          <w:rFonts w:cs="Times New Roman"/>
          <w:kern w:val="22"/>
          <w:sz w:val="22"/>
          <w:lang w:val="fr-FR"/>
        </w:rPr>
        <w:t>obligations relatives au partage des avantages</w:t>
      </w:r>
      <w:r w:rsidR="006C57D5">
        <w:rPr>
          <w:rFonts w:cs="Times New Roman"/>
          <w:kern w:val="22"/>
          <w:sz w:val="22"/>
          <w:lang w:val="fr-FR"/>
        </w:rPr>
        <w:t xml:space="preserve"> s’appliquent dans de telles circonstances</w:t>
      </w:r>
      <w:r w:rsidR="008F7B74" w:rsidRPr="00367430">
        <w:rPr>
          <w:rFonts w:cs="Times New Roman"/>
          <w:kern w:val="22"/>
          <w:sz w:val="22"/>
          <w:lang w:val="fr-FR"/>
        </w:rPr>
        <w:t>.</w:t>
      </w:r>
    </w:p>
    <w:p w14:paraId="39D99DF3" w14:textId="1B46A456" w:rsidR="00FB4556" w:rsidRPr="00D51025" w:rsidRDefault="00354317" w:rsidP="00F64D83">
      <w:pPr>
        <w:rPr>
          <w:rFonts w:cs="Times New Roman"/>
          <w:i/>
          <w:kern w:val="22"/>
          <w:sz w:val="22"/>
          <w:lang w:val="fr-FR"/>
        </w:rPr>
      </w:pPr>
      <w:r w:rsidRPr="00D51025">
        <w:rPr>
          <w:rFonts w:cs="Times New Roman"/>
          <w:i/>
          <w:kern w:val="22"/>
          <w:sz w:val="22"/>
          <w:lang w:val="fr-FR"/>
        </w:rPr>
        <w:t xml:space="preserve">Compendiums de </w:t>
      </w:r>
      <w:r w:rsidR="003D4064">
        <w:rPr>
          <w:rFonts w:cs="Times New Roman"/>
          <w:i/>
          <w:kern w:val="22"/>
          <w:sz w:val="22"/>
          <w:lang w:val="fr-FR"/>
        </w:rPr>
        <w:t>plantes</w:t>
      </w:r>
    </w:p>
    <w:p w14:paraId="116CD28B" w14:textId="79E612DF" w:rsidR="008345C0" w:rsidRPr="00540A93" w:rsidRDefault="005B26A0" w:rsidP="00F64D83">
      <w:pPr>
        <w:rPr>
          <w:rFonts w:cs="Times New Roman"/>
          <w:kern w:val="22"/>
          <w:sz w:val="22"/>
          <w:lang w:val="fr-FR"/>
        </w:rPr>
      </w:pPr>
      <w:r w:rsidRPr="005664CF">
        <w:rPr>
          <w:rFonts w:cs="Times New Roman"/>
          <w:kern w:val="22"/>
          <w:sz w:val="22"/>
          <w:lang w:val="fr-FR"/>
        </w:rPr>
        <w:t xml:space="preserve">Il existe de nombreuses </w:t>
      </w:r>
      <w:r w:rsidR="00147105" w:rsidRPr="005664CF">
        <w:rPr>
          <w:rFonts w:cs="Times New Roman"/>
          <w:kern w:val="22"/>
          <w:sz w:val="22"/>
          <w:lang w:val="fr-FR"/>
        </w:rPr>
        <w:t>publications</w:t>
      </w:r>
      <w:r w:rsidR="00E3674F" w:rsidRPr="005664CF">
        <w:rPr>
          <w:rFonts w:cs="Times New Roman"/>
          <w:kern w:val="22"/>
          <w:sz w:val="22"/>
          <w:lang w:val="fr-FR"/>
        </w:rPr>
        <w:t xml:space="preserve"> et </w:t>
      </w:r>
      <w:r w:rsidRPr="005664CF">
        <w:rPr>
          <w:rFonts w:cs="Times New Roman"/>
          <w:kern w:val="22"/>
          <w:sz w:val="22"/>
          <w:lang w:val="fr-FR"/>
        </w:rPr>
        <w:t>revues</w:t>
      </w:r>
      <w:r w:rsidR="004C28E5">
        <w:rPr>
          <w:rFonts w:cs="Times New Roman"/>
          <w:kern w:val="22"/>
          <w:sz w:val="22"/>
          <w:lang w:val="fr-FR"/>
        </w:rPr>
        <w:t xml:space="preserve"> faisant un </w:t>
      </w:r>
      <w:r w:rsidR="00BD7BF3">
        <w:rPr>
          <w:rFonts w:cs="Times New Roman"/>
          <w:kern w:val="22"/>
          <w:sz w:val="22"/>
          <w:lang w:val="fr-FR"/>
        </w:rPr>
        <w:t>inventaire</w:t>
      </w:r>
      <w:r w:rsidR="00103AFF">
        <w:rPr>
          <w:rFonts w:cs="Times New Roman"/>
          <w:kern w:val="22"/>
          <w:sz w:val="22"/>
          <w:lang w:val="fr-FR"/>
        </w:rPr>
        <w:t xml:space="preserve"> des</w:t>
      </w:r>
      <w:r w:rsidR="004C28E5">
        <w:rPr>
          <w:rFonts w:cs="Times New Roman"/>
          <w:kern w:val="22"/>
          <w:sz w:val="22"/>
          <w:lang w:val="fr-FR"/>
        </w:rPr>
        <w:t xml:space="preserve"> usages des plantes dans différent</w:t>
      </w:r>
      <w:r w:rsidR="00103AFF">
        <w:rPr>
          <w:rFonts w:cs="Times New Roman"/>
          <w:kern w:val="22"/>
          <w:sz w:val="22"/>
          <w:lang w:val="fr-FR"/>
        </w:rPr>
        <w:t xml:space="preserve">s </w:t>
      </w:r>
      <w:r w:rsidR="00305C49">
        <w:rPr>
          <w:rFonts w:cs="Times New Roman"/>
          <w:kern w:val="22"/>
          <w:sz w:val="22"/>
          <w:lang w:val="fr-FR"/>
        </w:rPr>
        <w:t>ré</w:t>
      </w:r>
      <w:r w:rsidR="005664CF" w:rsidRPr="005664CF">
        <w:rPr>
          <w:rFonts w:cs="Times New Roman"/>
          <w:kern w:val="22"/>
          <w:sz w:val="22"/>
          <w:lang w:val="fr-FR"/>
        </w:rPr>
        <w:t>gions du monde</w:t>
      </w:r>
      <w:r w:rsidR="004C28E5">
        <w:rPr>
          <w:rFonts w:cs="Times New Roman"/>
          <w:kern w:val="22"/>
          <w:sz w:val="22"/>
          <w:lang w:val="fr-FR"/>
        </w:rPr>
        <w:t xml:space="preserve">. </w:t>
      </w:r>
      <w:r w:rsidR="00A14BDE">
        <w:rPr>
          <w:rFonts w:cs="Times New Roman"/>
          <w:kern w:val="22"/>
          <w:sz w:val="22"/>
          <w:lang w:val="fr-FR"/>
        </w:rPr>
        <w:t>Parmi</w:t>
      </w:r>
      <w:r w:rsidR="004C28E5">
        <w:rPr>
          <w:rFonts w:cs="Times New Roman"/>
          <w:kern w:val="22"/>
          <w:sz w:val="22"/>
          <w:lang w:val="fr-FR"/>
        </w:rPr>
        <w:t xml:space="preserve"> les nombreuses publications indiquant</w:t>
      </w:r>
      <w:r w:rsidR="00F64D83" w:rsidRPr="00BD7BF3">
        <w:rPr>
          <w:rFonts w:cs="Times New Roman"/>
          <w:kern w:val="22"/>
          <w:sz w:val="22"/>
          <w:lang w:val="fr-FR"/>
        </w:rPr>
        <w:t xml:space="preserve"> </w:t>
      </w:r>
      <w:r w:rsidR="00BD7BF3">
        <w:rPr>
          <w:rFonts w:cs="Times New Roman"/>
          <w:kern w:val="22"/>
          <w:sz w:val="22"/>
          <w:lang w:val="fr-FR"/>
        </w:rPr>
        <w:t>les us</w:t>
      </w:r>
      <w:r w:rsidR="004C28E5">
        <w:rPr>
          <w:rFonts w:cs="Times New Roman"/>
          <w:kern w:val="22"/>
          <w:sz w:val="22"/>
          <w:lang w:val="fr-FR"/>
        </w:rPr>
        <w:t xml:space="preserve">ages de plantes en Afrique, figure </w:t>
      </w:r>
      <w:r w:rsidR="00BD7BF3">
        <w:rPr>
          <w:rFonts w:cs="Times New Roman"/>
          <w:kern w:val="22"/>
          <w:sz w:val="22"/>
          <w:lang w:val="fr-FR"/>
        </w:rPr>
        <w:t>un compendium des</w:t>
      </w:r>
      <w:r w:rsidR="008345C0" w:rsidRPr="00BD7BF3">
        <w:rPr>
          <w:rFonts w:cs="Times New Roman"/>
          <w:kern w:val="22"/>
          <w:sz w:val="22"/>
          <w:lang w:val="fr-FR"/>
        </w:rPr>
        <w:t xml:space="preserve"> </w:t>
      </w:r>
      <w:r w:rsidR="00FF3415" w:rsidRPr="00BD7BF3">
        <w:rPr>
          <w:rFonts w:cs="Times New Roman"/>
          <w:kern w:val="22"/>
          <w:sz w:val="22"/>
          <w:lang w:val="fr-FR"/>
        </w:rPr>
        <w:t>plantes médicinales</w:t>
      </w:r>
      <w:r w:rsidR="004C28E5">
        <w:rPr>
          <w:rFonts w:cs="Times New Roman"/>
          <w:kern w:val="22"/>
          <w:sz w:val="22"/>
          <w:lang w:val="fr-FR"/>
        </w:rPr>
        <w:t xml:space="preserve"> africaines</w:t>
      </w:r>
      <w:r w:rsidR="00BD7BF3">
        <w:rPr>
          <w:rFonts w:cs="Times New Roman"/>
          <w:kern w:val="22"/>
          <w:sz w:val="22"/>
          <w:lang w:val="fr-FR"/>
        </w:rPr>
        <w:t xml:space="preserve"> publié par l’</w:t>
      </w:r>
      <w:r w:rsidR="00540A93" w:rsidRPr="00BD7BF3">
        <w:rPr>
          <w:rFonts w:cs="Times New Roman"/>
          <w:kern w:val="22"/>
          <w:sz w:val="22"/>
          <w:lang w:val="fr-FR"/>
        </w:rPr>
        <w:t>Union africaine</w:t>
      </w:r>
      <w:r w:rsidR="008345C0" w:rsidRPr="00BD7BF3">
        <w:rPr>
          <w:rFonts w:cs="Times New Roman"/>
          <w:kern w:val="22"/>
          <w:sz w:val="22"/>
          <w:lang w:val="fr-FR"/>
        </w:rPr>
        <w:t xml:space="preserve"> </w:t>
      </w:r>
      <w:r w:rsidR="00BD7BF3">
        <w:rPr>
          <w:rFonts w:cs="Times New Roman"/>
          <w:kern w:val="22"/>
          <w:sz w:val="22"/>
          <w:lang w:val="fr-FR"/>
        </w:rPr>
        <w:t>et intitulé</w:t>
      </w:r>
      <w:r w:rsidR="00BD7BF3">
        <w:rPr>
          <w:rFonts w:cs="Times New Roman"/>
          <w:i/>
          <w:iCs/>
          <w:kern w:val="22"/>
          <w:sz w:val="22"/>
          <w:lang w:val="fr-FR"/>
        </w:rPr>
        <w:t xml:space="preserve"> Pharmacopée africaine</w:t>
      </w:r>
      <w:r w:rsidR="008345C0" w:rsidRPr="00BD7BF3">
        <w:rPr>
          <w:rFonts w:cs="Times New Roman"/>
          <w:i/>
          <w:iCs/>
          <w:kern w:val="22"/>
          <w:sz w:val="22"/>
          <w:lang w:val="fr-FR"/>
        </w:rPr>
        <w:t>.</w:t>
      </w:r>
      <w:r w:rsidR="008345C0" w:rsidRPr="00BD7BF3">
        <w:rPr>
          <w:rFonts w:cs="Times New Roman"/>
          <w:kern w:val="22"/>
          <w:sz w:val="22"/>
          <w:lang w:val="fr-FR"/>
        </w:rPr>
        <w:t xml:space="preserve"> </w:t>
      </w:r>
      <w:r w:rsidR="004C28E5">
        <w:rPr>
          <w:rFonts w:cs="Times New Roman"/>
          <w:kern w:val="22"/>
          <w:sz w:val="22"/>
          <w:lang w:val="fr-FR"/>
        </w:rPr>
        <w:t>Publiée</w:t>
      </w:r>
      <w:r w:rsidR="00BD7BF3" w:rsidRPr="00BD7BF3">
        <w:rPr>
          <w:rFonts w:cs="Times New Roman"/>
          <w:kern w:val="22"/>
          <w:sz w:val="22"/>
          <w:lang w:val="fr-FR"/>
        </w:rPr>
        <w:t xml:space="preserve"> pour répondr</w:t>
      </w:r>
      <w:r w:rsidR="002518EB" w:rsidRPr="00BD7BF3">
        <w:rPr>
          <w:rFonts w:cs="Times New Roman"/>
          <w:kern w:val="22"/>
          <w:sz w:val="22"/>
          <w:lang w:val="fr-FR"/>
        </w:rPr>
        <w:t>e</w:t>
      </w:r>
      <w:r w:rsidR="00BD7BF3" w:rsidRPr="00BD7BF3">
        <w:rPr>
          <w:rFonts w:cs="Times New Roman"/>
          <w:kern w:val="22"/>
          <w:sz w:val="22"/>
          <w:lang w:val="fr-FR"/>
        </w:rPr>
        <w:t xml:space="preserve"> à</w:t>
      </w:r>
      <w:r w:rsidR="00913B71" w:rsidRPr="00BD7BF3">
        <w:rPr>
          <w:rFonts w:cs="Times New Roman"/>
          <w:kern w:val="22"/>
          <w:sz w:val="22"/>
          <w:lang w:val="fr-FR"/>
        </w:rPr>
        <w:t xml:space="preserve"> “</w:t>
      </w:r>
      <w:r w:rsidR="004C28E5">
        <w:rPr>
          <w:rFonts w:cs="Times New Roman"/>
          <w:kern w:val="22"/>
          <w:sz w:val="22"/>
          <w:lang w:val="fr-FR"/>
        </w:rPr>
        <w:t xml:space="preserve">la </w:t>
      </w:r>
      <w:r w:rsidR="00BD7BF3" w:rsidRPr="00BD7BF3">
        <w:rPr>
          <w:rFonts w:cs="Times New Roman"/>
          <w:kern w:val="22"/>
          <w:sz w:val="22"/>
          <w:lang w:val="fr-FR"/>
        </w:rPr>
        <w:t xml:space="preserve">demande mondiale </w:t>
      </w:r>
      <w:r w:rsidR="004C28E5">
        <w:rPr>
          <w:rFonts w:cs="Times New Roman"/>
          <w:kern w:val="22"/>
          <w:sz w:val="22"/>
          <w:lang w:val="fr-FR"/>
        </w:rPr>
        <w:t xml:space="preserve">croissante </w:t>
      </w:r>
      <w:r w:rsidR="00BD7BF3" w:rsidRPr="00BD7BF3">
        <w:rPr>
          <w:rFonts w:cs="Times New Roman"/>
          <w:kern w:val="22"/>
          <w:sz w:val="22"/>
          <w:lang w:val="fr-FR"/>
        </w:rPr>
        <w:t>d’</w:t>
      </w:r>
      <w:r w:rsidR="00BD7BF3">
        <w:rPr>
          <w:rFonts w:cs="Times New Roman"/>
          <w:kern w:val="22"/>
          <w:sz w:val="22"/>
          <w:lang w:val="fr-FR"/>
        </w:rPr>
        <w:t>utilisation de</w:t>
      </w:r>
      <w:r w:rsidR="00913B71" w:rsidRPr="00BD7BF3">
        <w:rPr>
          <w:rFonts w:cs="Times New Roman"/>
          <w:kern w:val="22"/>
          <w:sz w:val="22"/>
          <w:lang w:val="fr-FR"/>
        </w:rPr>
        <w:t xml:space="preserve"> </w:t>
      </w:r>
      <w:r w:rsidR="00BD7BF3">
        <w:rPr>
          <w:rFonts w:cs="Times New Roman"/>
          <w:kern w:val="22"/>
          <w:sz w:val="22"/>
          <w:lang w:val="fr-FR"/>
        </w:rPr>
        <w:t>médicaments traditionnels</w:t>
      </w:r>
      <w:r w:rsidR="00913B71" w:rsidRPr="00BD7BF3">
        <w:rPr>
          <w:rFonts w:cs="Times New Roman"/>
          <w:kern w:val="22"/>
          <w:sz w:val="22"/>
          <w:lang w:val="fr-FR"/>
        </w:rPr>
        <w:t>”</w:t>
      </w:r>
      <w:r w:rsidR="004C28E5">
        <w:rPr>
          <w:rFonts w:cs="Times New Roman"/>
          <w:kern w:val="22"/>
          <w:sz w:val="22"/>
          <w:lang w:val="fr-FR"/>
        </w:rPr>
        <w:t xml:space="preserve"> et en raison du marché lucratif que représentent ces</w:t>
      </w:r>
      <w:r w:rsidR="00BD7BF3">
        <w:rPr>
          <w:rFonts w:cs="Times New Roman"/>
          <w:kern w:val="22"/>
          <w:sz w:val="22"/>
          <w:lang w:val="fr-FR"/>
        </w:rPr>
        <w:t xml:space="preserve"> </w:t>
      </w:r>
      <w:r w:rsidR="00D9629D" w:rsidRPr="00BD7BF3">
        <w:rPr>
          <w:rFonts w:cs="Times New Roman"/>
          <w:kern w:val="22"/>
          <w:sz w:val="22"/>
          <w:lang w:val="fr-FR"/>
        </w:rPr>
        <w:t>produit</w:t>
      </w:r>
      <w:r w:rsidR="00BD7BF3">
        <w:rPr>
          <w:rFonts w:cs="Times New Roman"/>
          <w:kern w:val="22"/>
          <w:sz w:val="22"/>
          <w:lang w:val="fr-FR"/>
        </w:rPr>
        <w:t>s, la</w:t>
      </w:r>
      <w:r w:rsidR="00913B71" w:rsidRPr="00BD7BF3">
        <w:rPr>
          <w:rFonts w:cs="Times New Roman"/>
          <w:kern w:val="22"/>
          <w:sz w:val="22"/>
          <w:lang w:val="fr-FR"/>
        </w:rPr>
        <w:t xml:space="preserve"> </w:t>
      </w:r>
      <w:r w:rsidR="00BD7BF3">
        <w:rPr>
          <w:rFonts w:cs="Times New Roman"/>
          <w:i/>
          <w:iCs/>
          <w:kern w:val="22"/>
          <w:sz w:val="22"/>
          <w:lang w:val="fr-FR"/>
        </w:rPr>
        <w:t>Pharmacopée africaine</w:t>
      </w:r>
      <w:r w:rsidR="008345C0" w:rsidRPr="00BD7BF3">
        <w:rPr>
          <w:rFonts w:cs="Times New Roman"/>
          <w:kern w:val="22"/>
          <w:sz w:val="22"/>
          <w:lang w:val="fr-FR"/>
        </w:rPr>
        <w:t xml:space="preserve"> </w:t>
      </w:r>
      <w:r w:rsidR="00BD7BF3">
        <w:rPr>
          <w:rFonts w:cs="Times New Roman"/>
          <w:kern w:val="22"/>
          <w:sz w:val="22"/>
          <w:lang w:val="fr-FR"/>
        </w:rPr>
        <w:t>fournit</w:t>
      </w:r>
      <w:r w:rsidR="00913B71" w:rsidRPr="00BD7BF3">
        <w:rPr>
          <w:rFonts w:cs="Times New Roman"/>
          <w:kern w:val="22"/>
          <w:sz w:val="22"/>
          <w:lang w:val="fr-FR"/>
        </w:rPr>
        <w:t xml:space="preserve"> “</w:t>
      </w:r>
      <w:r w:rsidR="004C28E5">
        <w:rPr>
          <w:rFonts w:cs="Times New Roman"/>
          <w:kern w:val="22"/>
          <w:sz w:val="22"/>
          <w:lang w:val="fr-FR"/>
        </w:rPr>
        <w:t>des inf</w:t>
      </w:r>
      <w:r w:rsidR="00BD7BF3">
        <w:rPr>
          <w:rFonts w:cs="Times New Roman"/>
          <w:kern w:val="22"/>
          <w:sz w:val="22"/>
          <w:lang w:val="fr-FR"/>
        </w:rPr>
        <w:t>o</w:t>
      </w:r>
      <w:r w:rsidR="004C28E5">
        <w:rPr>
          <w:rFonts w:cs="Times New Roman"/>
          <w:kern w:val="22"/>
          <w:sz w:val="22"/>
          <w:lang w:val="fr-FR"/>
        </w:rPr>
        <w:t>rmations organisées de manière</w:t>
      </w:r>
      <w:r w:rsidR="00BD7BF3">
        <w:rPr>
          <w:rFonts w:cs="Times New Roman"/>
          <w:kern w:val="22"/>
          <w:sz w:val="22"/>
          <w:lang w:val="fr-FR"/>
        </w:rPr>
        <w:t xml:space="preserve"> scientifique sur les</w:t>
      </w:r>
      <w:r w:rsidR="00913B71" w:rsidRPr="00BD7BF3">
        <w:rPr>
          <w:rFonts w:cs="Times New Roman"/>
          <w:kern w:val="22"/>
          <w:sz w:val="22"/>
          <w:lang w:val="fr-FR"/>
        </w:rPr>
        <w:t xml:space="preserve"> </w:t>
      </w:r>
      <w:r w:rsidR="00FF3415" w:rsidRPr="00BD7BF3">
        <w:rPr>
          <w:rFonts w:cs="Times New Roman"/>
          <w:kern w:val="22"/>
          <w:sz w:val="22"/>
          <w:lang w:val="fr-FR"/>
        </w:rPr>
        <w:t>plantes médicinales</w:t>
      </w:r>
      <w:r w:rsidR="00BD7BF3">
        <w:rPr>
          <w:rFonts w:cs="Times New Roman"/>
          <w:kern w:val="22"/>
          <w:sz w:val="22"/>
          <w:lang w:val="fr-FR"/>
        </w:rPr>
        <w:t xml:space="preserve"> utiles qui ont démontré leur efficacité dans le traitement de certaines maladies” sur le continent a</w:t>
      </w:r>
      <w:r w:rsidR="00913B71" w:rsidRPr="00BD7BF3">
        <w:rPr>
          <w:rFonts w:cs="Times New Roman"/>
          <w:kern w:val="22"/>
          <w:sz w:val="22"/>
          <w:lang w:val="fr-FR"/>
        </w:rPr>
        <w:t>frica</w:t>
      </w:r>
      <w:r w:rsidR="00BD7BF3">
        <w:rPr>
          <w:rFonts w:cs="Times New Roman"/>
          <w:kern w:val="22"/>
          <w:sz w:val="22"/>
          <w:lang w:val="fr-FR"/>
        </w:rPr>
        <w:t>in</w:t>
      </w:r>
      <w:r w:rsidR="00913B71" w:rsidRPr="00BD7BF3">
        <w:rPr>
          <w:rFonts w:cs="Times New Roman"/>
          <w:kern w:val="22"/>
          <w:sz w:val="22"/>
          <w:lang w:val="fr-FR"/>
        </w:rPr>
        <w:t xml:space="preserve">. </w:t>
      </w:r>
      <w:r w:rsidR="00BD7BF3">
        <w:rPr>
          <w:rFonts w:cs="Times New Roman"/>
          <w:kern w:val="22"/>
          <w:sz w:val="22"/>
          <w:lang w:val="fr-FR"/>
        </w:rPr>
        <w:t>Ce faisant, le compendium dresse un inventaire de plus de 60</w:t>
      </w:r>
      <w:r w:rsidR="00540A93" w:rsidRPr="00540A93">
        <w:rPr>
          <w:rFonts w:cs="Times New Roman"/>
          <w:kern w:val="22"/>
          <w:sz w:val="22"/>
          <w:lang w:val="fr-FR"/>
        </w:rPr>
        <w:t xml:space="preserve"> </w:t>
      </w:r>
      <w:r w:rsidR="00651FB0" w:rsidRPr="00540A93">
        <w:rPr>
          <w:rFonts w:cs="Times New Roman"/>
          <w:kern w:val="22"/>
          <w:sz w:val="22"/>
          <w:lang w:val="fr-FR"/>
        </w:rPr>
        <w:t>espèces</w:t>
      </w:r>
      <w:r w:rsidR="00540A93" w:rsidRPr="00540A93">
        <w:rPr>
          <w:rFonts w:cs="Times New Roman"/>
          <w:kern w:val="22"/>
          <w:sz w:val="22"/>
          <w:lang w:val="fr-FR"/>
        </w:rPr>
        <w:t xml:space="preserve"> végétales </w:t>
      </w:r>
      <w:r w:rsidR="00BD7BF3">
        <w:rPr>
          <w:rFonts w:cs="Times New Roman"/>
          <w:kern w:val="22"/>
          <w:sz w:val="22"/>
          <w:lang w:val="fr-FR"/>
        </w:rPr>
        <w:t xml:space="preserve">différentes </w:t>
      </w:r>
      <w:r w:rsidR="00540A93" w:rsidRPr="00540A93">
        <w:rPr>
          <w:rFonts w:cs="Times New Roman"/>
          <w:kern w:val="22"/>
          <w:sz w:val="22"/>
          <w:lang w:val="fr-FR"/>
        </w:rPr>
        <w:t>qui sont</w:t>
      </w:r>
      <w:r w:rsidR="008345C0" w:rsidRPr="00540A93">
        <w:rPr>
          <w:rFonts w:cs="Times New Roman"/>
          <w:kern w:val="22"/>
          <w:sz w:val="22"/>
          <w:lang w:val="fr-FR"/>
        </w:rPr>
        <w:t xml:space="preserve"> </w:t>
      </w:r>
      <w:r w:rsidR="004C28E5">
        <w:rPr>
          <w:rFonts w:cs="Times New Roman"/>
          <w:kern w:val="22"/>
          <w:sz w:val="22"/>
          <w:lang w:val="fr-FR"/>
        </w:rPr>
        <w:t xml:space="preserve">endémiques à </w:t>
      </w:r>
      <w:r w:rsidR="004C28E5">
        <w:rPr>
          <w:rFonts w:cs="Times New Roman"/>
          <w:kern w:val="22"/>
          <w:sz w:val="22"/>
          <w:lang w:val="fr-FR"/>
        </w:rPr>
        <w:lastRenderedPageBreak/>
        <w:t>plusieurs</w:t>
      </w:r>
      <w:r w:rsidR="00BD7BF3">
        <w:rPr>
          <w:rFonts w:cs="Times New Roman"/>
          <w:kern w:val="22"/>
          <w:sz w:val="22"/>
          <w:lang w:val="fr-FR"/>
        </w:rPr>
        <w:t xml:space="preserve"> </w:t>
      </w:r>
      <w:r w:rsidR="00E40444" w:rsidRPr="00540A93">
        <w:rPr>
          <w:rFonts w:cs="Times New Roman"/>
          <w:kern w:val="22"/>
          <w:sz w:val="22"/>
          <w:lang w:val="fr-FR"/>
        </w:rPr>
        <w:t>pays</w:t>
      </w:r>
      <w:r w:rsidR="004C28E5">
        <w:rPr>
          <w:rFonts w:cs="Times New Roman"/>
          <w:kern w:val="22"/>
          <w:sz w:val="22"/>
          <w:lang w:val="fr-FR"/>
        </w:rPr>
        <w:t xml:space="preserve"> </w:t>
      </w:r>
      <w:r w:rsidR="00E3674F" w:rsidRPr="00540A93">
        <w:rPr>
          <w:rFonts w:cs="Times New Roman"/>
          <w:kern w:val="22"/>
          <w:sz w:val="22"/>
          <w:lang w:val="fr-FR"/>
        </w:rPr>
        <w:t xml:space="preserve">et </w:t>
      </w:r>
      <w:r w:rsidR="00BD7BF3">
        <w:rPr>
          <w:rFonts w:cs="Times New Roman"/>
          <w:kern w:val="22"/>
          <w:sz w:val="22"/>
          <w:lang w:val="fr-FR"/>
        </w:rPr>
        <w:t>portent</w:t>
      </w:r>
      <w:r w:rsidR="00540A93">
        <w:rPr>
          <w:rFonts w:cs="Times New Roman"/>
          <w:kern w:val="22"/>
          <w:sz w:val="22"/>
          <w:lang w:val="fr-FR"/>
        </w:rPr>
        <w:t xml:space="preserve"> </w:t>
      </w:r>
      <w:r w:rsidR="00BD7BF3">
        <w:rPr>
          <w:rFonts w:cs="Times New Roman"/>
          <w:kern w:val="22"/>
          <w:sz w:val="22"/>
          <w:lang w:val="fr-FR"/>
        </w:rPr>
        <w:t xml:space="preserve">parfois </w:t>
      </w:r>
      <w:r w:rsidR="00540A93">
        <w:rPr>
          <w:rFonts w:cs="Times New Roman"/>
          <w:kern w:val="22"/>
          <w:sz w:val="22"/>
          <w:lang w:val="fr-FR"/>
        </w:rPr>
        <w:t xml:space="preserve">différents noms dans différents </w:t>
      </w:r>
      <w:r w:rsidR="00E40444" w:rsidRPr="00540A93">
        <w:rPr>
          <w:rFonts w:cs="Times New Roman"/>
          <w:kern w:val="22"/>
          <w:sz w:val="22"/>
          <w:lang w:val="fr-FR"/>
        </w:rPr>
        <w:t>pays</w:t>
      </w:r>
      <w:r w:rsidR="008345C0" w:rsidRPr="00540A93">
        <w:rPr>
          <w:rFonts w:cs="Times New Roman"/>
          <w:kern w:val="22"/>
          <w:sz w:val="22"/>
          <w:lang w:val="fr-FR"/>
        </w:rPr>
        <w:t>.</w:t>
      </w:r>
      <w:r w:rsidR="008345C0" w:rsidRPr="002364AB">
        <w:rPr>
          <w:rFonts w:cs="Times New Roman"/>
          <w:kern w:val="22"/>
          <w:sz w:val="22"/>
          <w:vertAlign w:val="superscript"/>
          <w:lang w:val="en-GB"/>
        </w:rPr>
        <w:footnoteReference w:id="185"/>
      </w:r>
      <w:r w:rsidR="00305C49">
        <w:rPr>
          <w:rFonts w:cs="Times New Roman"/>
          <w:kern w:val="22"/>
          <w:sz w:val="22"/>
          <w:lang w:val="fr-FR"/>
        </w:rPr>
        <w:t xml:space="preserve"> Cette</w:t>
      </w:r>
      <w:r w:rsidR="00EC0138" w:rsidRPr="00540A93">
        <w:rPr>
          <w:rFonts w:cs="Times New Roman"/>
          <w:kern w:val="22"/>
          <w:sz w:val="22"/>
          <w:lang w:val="fr-FR"/>
        </w:rPr>
        <w:t xml:space="preserve"> res</w:t>
      </w:r>
      <w:r w:rsidR="00305C49">
        <w:rPr>
          <w:rFonts w:cs="Times New Roman"/>
          <w:kern w:val="22"/>
          <w:sz w:val="22"/>
          <w:lang w:val="fr-FR"/>
        </w:rPr>
        <w:t>s</w:t>
      </w:r>
      <w:r w:rsidR="004C28E5">
        <w:rPr>
          <w:rFonts w:cs="Times New Roman"/>
          <w:kern w:val="22"/>
          <w:sz w:val="22"/>
          <w:lang w:val="fr-FR"/>
        </w:rPr>
        <w:t>ource consolide</w:t>
      </w:r>
      <w:r w:rsidR="00BD7BF3">
        <w:rPr>
          <w:rFonts w:cs="Times New Roman"/>
          <w:kern w:val="22"/>
          <w:sz w:val="22"/>
          <w:lang w:val="fr-FR"/>
        </w:rPr>
        <w:t xml:space="preserve"> une foule d’</w:t>
      </w:r>
      <w:r w:rsidR="00EC0138" w:rsidRPr="00540A93">
        <w:rPr>
          <w:rFonts w:cs="Times New Roman"/>
          <w:kern w:val="22"/>
          <w:sz w:val="22"/>
          <w:lang w:val="fr-FR"/>
        </w:rPr>
        <w:t>information</w:t>
      </w:r>
      <w:r w:rsidR="00BD7BF3">
        <w:rPr>
          <w:rFonts w:cs="Times New Roman"/>
          <w:kern w:val="22"/>
          <w:sz w:val="22"/>
          <w:lang w:val="fr-FR"/>
        </w:rPr>
        <w:t xml:space="preserve">s précieuses sur différentes </w:t>
      </w:r>
      <w:r w:rsidR="00FF3415">
        <w:rPr>
          <w:rFonts w:cs="Times New Roman"/>
          <w:kern w:val="22"/>
          <w:sz w:val="22"/>
          <w:lang w:val="fr-FR"/>
        </w:rPr>
        <w:t>plantes médicinales</w:t>
      </w:r>
      <w:r w:rsidR="00E3674F" w:rsidRPr="00540A93">
        <w:rPr>
          <w:rFonts w:cs="Times New Roman"/>
          <w:kern w:val="22"/>
          <w:sz w:val="22"/>
          <w:lang w:val="fr-FR"/>
        </w:rPr>
        <w:t xml:space="preserve"> et</w:t>
      </w:r>
      <w:r w:rsidR="0050280F" w:rsidRPr="00540A93">
        <w:rPr>
          <w:rFonts w:cs="Times New Roman"/>
          <w:kern w:val="22"/>
          <w:sz w:val="22"/>
          <w:lang w:val="fr-FR"/>
        </w:rPr>
        <w:t xml:space="preserve"> leurs </w:t>
      </w:r>
      <w:r w:rsidR="00BD7BF3">
        <w:rPr>
          <w:rFonts w:cs="Times New Roman"/>
          <w:kern w:val="22"/>
          <w:sz w:val="22"/>
          <w:lang w:val="fr-FR"/>
        </w:rPr>
        <w:t>usages traditionnel</w:t>
      </w:r>
      <w:r w:rsidR="004478A5" w:rsidRPr="00540A93">
        <w:rPr>
          <w:rFonts w:cs="Times New Roman"/>
          <w:kern w:val="22"/>
          <w:sz w:val="22"/>
          <w:lang w:val="fr-FR"/>
        </w:rPr>
        <w:t>s</w:t>
      </w:r>
      <w:r w:rsidR="00BD7BF3">
        <w:rPr>
          <w:rFonts w:cs="Times New Roman"/>
          <w:kern w:val="22"/>
          <w:sz w:val="22"/>
          <w:lang w:val="fr-FR"/>
        </w:rPr>
        <w:t>, sans t</w:t>
      </w:r>
      <w:r w:rsidR="004C28E5">
        <w:rPr>
          <w:rFonts w:cs="Times New Roman"/>
          <w:kern w:val="22"/>
          <w:sz w:val="22"/>
          <w:lang w:val="fr-FR"/>
        </w:rPr>
        <w:t>outefois identifier systématiquement</w:t>
      </w:r>
      <w:r w:rsidR="00BD7BF3">
        <w:rPr>
          <w:rFonts w:cs="Times New Roman"/>
          <w:kern w:val="22"/>
          <w:sz w:val="22"/>
          <w:lang w:val="fr-FR"/>
        </w:rPr>
        <w:t xml:space="preserve"> les</w:t>
      </w:r>
      <w:r w:rsidR="00830BE4" w:rsidRPr="00540A93">
        <w:rPr>
          <w:rFonts w:cs="Times New Roman"/>
          <w:kern w:val="22"/>
          <w:sz w:val="22"/>
          <w:lang w:val="fr-FR"/>
        </w:rPr>
        <w:t xml:space="preserve"> peuples autochtones et communautés locales</w:t>
      </w:r>
      <w:r w:rsidR="00EC0138" w:rsidRPr="00540A93">
        <w:rPr>
          <w:rFonts w:cs="Times New Roman"/>
          <w:kern w:val="22"/>
          <w:sz w:val="22"/>
          <w:lang w:val="fr-FR"/>
        </w:rPr>
        <w:t xml:space="preserve"> </w:t>
      </w:r>
      <w:r w:rsidR="00BD7BF3">
        <w:rPr>
          <w:rFonts w:cs="Times New Roman"/>
          <w:kern w:val="22"/>
          <w:sz w:val="22"/>
          <w:lang w:val="fr-FR"/>
        </w:rPr>
        <w:t xml:space="preserve">qui </w:t>
      </w:r>
      <w:r w:rsidR="004C28E5">
        <w:rPr>
          <w:rFonts w:cs="Times New Roman"/>
          <w:kern w:val="22"/>
          <w:sz w:val="22"/>
          <w:lang w:val="fr-FR"/>
        </w:rPr>
        <w:t>sont à l’origine des données sur les usages</w:t>
      </w:r>
      <w:r w:rsidR="00BD7BF3">
        <w:rPr>
          <w:rFonts w:cs="Times New Roman"/>
          <w:kern w:val="22"/>
          <w:sz w:val="22"/>
          <w:lang w:val="fr-FR"/>
        </w:rPr>
        <w:t xml:space="preserve"> de ces plantes</w:t>
      </w:r>
      <w:r w:rsidR="00EC0138" w:rsidRPr="00540A93">
        <w:rPr>
          <w:rFonts w:cs="Times New Roman"/>
          <w:kern w:val="22"/>
          <w:sz w:val="22"/>
          <w:lang w:val="fr-FR"/>
        </w:rPr>
        <w:t>.</w:t>
      </w:r>
      <w:r w:rsidR="00EC0138" w:rsidRPr="002364AB">
        <w:rPr>
          <w:rFonts w:cs="Times New Roman"/>
          <w:kern w:val="22"/>
          <w:sz w:val="22"/>
          <w:vertAlign w:val="superscript"/>
          <w:lang w:val="en-GB"/>
        </w:rPr>
        <w:footnoteReference w:id="186"/>
      </w:r>
    </w:p>
    <w:p w14:paraId="6CEF68BF" w14:textId="75D85654" w:rsidR="001C0C42" w:rsidRPr="00C854B0" w:rsidRDefault="008A5BE1" w:rsidP="00F64D83">
      <w:pPr>
        <w:rPr>
          <w:rFonts w:cs="Times New Roman"/>
          <w:kern w:val="22"/>
          <w:sz w:val="22"/>
          <w:lang w:val="fr-FR"/>
        </w:rPr>
      </w:pPr>
      <w:r w:rsidRPr="008A5BE1">
        <w:rPr>
          <w:rFonts w:cs="Times New Roman"/>
          <w:kern w:val="22"/>
          <w:sz w:val="22"/>
          <w:lang w:val="fr-FR"/>
        </w:rPr>
        <w:t>Un autre</w:t>
      </w:r>
      <w:r w:rsidR="00EC0138" w:rsidRPr="008A5BE1">
        <w:rPr>
          <w:rFonts w:cs="Times New Roman"/>
          <w:kern w:val="22"/>
          <w:sz w:val="22"/>
          <w:lang w:val="fr-FR"/>
        </w:rPr>
        <w:t xml:space="preserve"> </w:t>
      </w:r>
      <w:r w:rsidR="009D43F1" w:rsidRPr="008A5BE1">
        <w:rPr>
          <w:rFonts w:cs="Times New Roman"/>
          <w:kern w:val="22"/>
          <w:sz w:val="22"/>
          <w:lang w:val="fr-FR"/>
        </w:rPr>
        <w:t>exemple</w:t>
      </w:r>
      <w:r w:rsidR="00103AFF">
        <w:rPr>
          <w:rFonts w:cs="Times New Roman"/>
          <w:kern w:val="22"/>
          <w:sz w:val="22"/>
          <w:lang w:val="fr-FR"/>
        </w:rPr>
        <w:t xml:space="preserve"> concerne</w:t>
      </w:r>
      <w:r w:rsidR="006E330F">
        <w:rPr>
          <w:rFonts w:cs="Times New Roman"/>
          <w:kern w:val="22"/>
          <w:sz w:val="22"/>
          <w:lang w:val="fr-FR"/>
        </w:rPr>
        <w:t xml:space="preserve"> l’ouvrage de Dan Moerman intitulé </w:t>
      </w:r>
      <w:r w:rsidR="00F64D83" w:rsidRPr="008A5BE1">
        <w:rPr>
          <w:rFonts w:cs="Times New Roman"/>
          <w:i/>
          <w:kern w:val="22"/>
          <w:sz w:val="22"/>
          <w:lang w:val="fr-FR"/>
        </w:rPr>
        <w:t>Native American Ethnobotany</w:t>
      </w:r>
      <w:r w:rsidR="006E330F">
        <w:rPr>
          <w:rFonts w:cs="Times New Roman"/>
          <w:kern w:val="22"/>
          <w:sz w:val="22"/>
          <w:lang w:val="fr-FR"/>
        </w:rPr>
        <w:t>, qui décrit les</w:t>
      </w:r>
      <w:r w:rsidR="00147105" w:rsidRPr="008A5BE1">
        <w:rPr>
          <w:rFonts w:cs="Times New Roman"/>
          <w:kern w:val="22"/>
          <w:sz w:val="22"/>
          <w:lang w:val="fr-FR"/>
        </w:rPr>
        <w:t xml:space="preserve"> </w:t>
      </w:r>
      <w:r w:rsidR="001B2CC8" w:rsidRPr="008A5BE1">
        <w:rPr>
          <w:rFonts w:cs="Times New Roman"/>
          <w:kern w:val="22"/>
          <w:sz w:val="22"/>
          <w:lang w:val="fr-FR"/>
        </w:rPr>
        <w:t>plantes</w:t>
      </w:r>
      <w:r w:rsidR="00E3674F" w:rsidRPr="008A5BE1">
        <w:rPr>
          <w:rFonts w:cs="Times New Roman"/>
          <w:kern w:val="22"/>
          <w:sz w:val="22"/>
          <w:lang w:val="fr-FR"/>
        </w:rPr>
        <w:t xml:space="preserve"> et </w:t>
      </w:r>
      <w:r w:rsidR="006E330F">
        <w:rPr>
          <w:rFonts w:cs="Times New Roman"/>
          <w:kern w:val="22"/>
          <w:sz w:val="22"/>
          <w:lang w:val="fr-FR"/>
        </w:rPr>
        <w:t xml:space="preserve">les </w:t>
      </w:r>
      <w:r w:rsidR="00830BE4" w:rsidRPr="008A5BE1">
        <w:rPr>
          <w:rFonts w:cs="Times New Roman"/>
          <w:kern w:val="22"/>
          <w:sz w:val="22"/>
          <w:lang w:val="fr-FR"/>
        </w:rPr>
        <w:t>connaissances traditionnell</w:t>
      </w:r>
      <w:r w:rsidR="006E330F">
        <w:rPr>
          <w:rFonts w:cs="Times New Roman"/>
          <w:kern w:val="22"/>
          <w:sz w:val="22"/>
          <w:lang w:val="fr-FR"/>
        </w:rPr>
        <w:t>es y afférent par</w:t>
      </w:r>
      <w:r w:rsidR="00147105" w:rsidRPr="008A5BE1">
        <w:rPr>
          <w:rFonts w:cs="Times New Roman"/>
          <w:kern w:val="22"/>
          <w:sz w:val="22"/>
          <w:lang w:val="fr-FR"/>
        </w:rPr>
        <w:t xml:space="preserve"> plant</w:t>
      </w:r>
      <w:r w:rsidR="006E330F">
        <w:rPr>
          <w:rFonts w:cs="Times New Roman"/>
          <w:kern w:val="22"/>
          <w:sz w:val="22"/>
          <w:lang w:val="fr-FR"/>
        </w:rPr>
        <w:t>e, usage</w:t>
      </w:r>
      <w:r w:rsidR="00E3674F" w:rsidRPr="008A5BE1">
        <w:rPr>
          <w:rFonts w:cs="Times New Roman"/>
          <w:kern w:val="22"/>
          <w:sz w:val="22"/>
          <w:lang w:val="fr-FR"/>
        </w:rPr>
        <w:t xml:space="preserve"> et </w:t>
      </w:r>
      <w:r w:rsidR="006E330F">
        <w:rPr>
          <w:rFonts w:cs="Times New Roman"/>
          <w:kern w:val="22"/>
          <w:sz w:val="22"/>
          <w:lang w:val="fr-FR"/>
        </w:rPr>
        <w:t>tribu</w:t>
      </w:r>
      <w:r w:rsidR="00147105" w:rsidRPr="008A5BE1">
        <w:rPr>
          <w:rFonts w:cs="Times New Roman"/>
          <w:kern w:val="22"/>
          <w:sz w:val="22"/>
          <w:lang w:val="fr-FR"/>
        </w:rPr>
        <w:t xml:space="preserve">. </w:t>
      </w:r>
      <w:r w:rsidR="006E330F" w:rsidRPr="00C854B0">
        <w:rPr>
          <w:rFonts w:cs="Times New Roman"/>
          <w:kern w:val="22"/>
          <w:sz w:val="22"/>
          <w:lang w:val="fr-FR"/>
        </w:rPr>
        <w:t>Cette publication est</w:t>
      </w:r>
      <w:r w:rsidR="00F64D83" w:rsidRPr="00C854B0">
        <w:rPr>
          <w:rFonts w:cs="Times New Roman"/>
          <w:kern w:val="22"/>
          <w:sz w:val="22"/>
          <w:lang w:val="fr-FR"/>
        </w:rPr>
        <w:t xml:space="preserve"> </w:t>
      </w:r>
      <w:r w:rsidR="006E330F" w:rsidRPr="00C854B0">
        <w:rPr>
          <w:rFonts w:cs="Times New Roman"/>
          <w:kern w:val="22"/>
          <w:sz w:val="22"/>
          <w:lang w:val="fr-FR"/>
        </w:rPr>
        <w:t>décrite comme étant</w:t>
      </w:r>
      <w:r w:rsidR="00147105" w:rsidRPr="00C854B0">
        <w:rPr>
          <w:rFonts w:cs="Times New Roman"/>
          <w:kern w:val="22"/>
          <w:sz w:val="22"/>
          <w:lang w:val="fr-FR"/>
        </w:rPr>
        <w:t>:</w:t>
      </w:r>
    </w:p>
    <w:p w14:paraId="37924B0B" w14:textId="38151DE6" w:rsidR="00F64D83" w:rsidRPr="00BC0012" w:rsidRDefault="00C854B0" w:rsidP="0063421F">
      <w:pPr>
        <w:spacing w:after="120"/>
        <w:ind w:left="432" w:right="432"/>
        <w:rPr>
          <w:rFonts w:cs="Times New Roman"/>
          <w:bCs/>
          <w:kern w:val="22"/>
          <w:sz w:val="22"/>
          <w:lang w:val="fr-FR"/>
        </w:rPr>
      </w:pPr>
      <w:r w:rsidRPr="00C854B0">
        <w:rPr>
          <w:rFonts w:cs="Times New Roman"/>
          <w:bCs/>
          <w:kern w:val="22"/>
          <w:sz w:val="22"/>
          <w:lang w:val="fr-FR"/>
        </w:rPr>
        <w:t>“Une compilation extraordinaire des</w:t>
      </w:r>
      <w:r w:rsidR="00F64D83" w:rsidRPr="00C854B0">
        <w:rPr>
          <w:rFonts w:cs="Times New Roman"/>
          <w:bCs/>
          <w:kern w:val="22"/>
          <w:sz w:val="22"/>
          <w:lang w:val="fr-FR"/>
        </w:rPr>
        <w:t xml:space="preserve"> </w:t>
      </w:r>
      <w:r w:rsidR="001B2CC8" w:rsidRPr="00C854B0">
        <w:rPr>
          <w:rFonts w:cs="Times New Roman"/>
          <w:bCs/>
          <w:kern w:val="22"/>
          <w:sz w:val="22"/>
          <w:lang w:val="fr-FR"/>
        </w:rPr>
        <w:t>plantes</w:t>
      </w:r>
      <w:r w:rsidRPr="00C854B0">
        <w:rPr>
          <w:rFonts w:cs="Times New Roman"/>
          <w:bCs/>
          <w:kern w:val="22"/>
          <w:sz w:val="22"/>
          <w:lang w:val="fr-FR"/>
        </w:rPr>
        <w:t xml:space="preserve"> </w:t>
      </w:r>
      <w:r w:rsidR="001F55AB" w:rsidRPr="00C854B0">
        <w:rPr>
          <w:rFonts w:cs="Times New Roman"/>
          <w:bCs/>
          <w:kern w:val="22"/>
          <w:sz w:val="22"/>
          <w:lang w:val="fr-FR"/>
        </w:rPr>
        <w:t>utilisé</w:t>
      </w:r>
      <w:r w:rsidR="00BC0012">
        <w:rPr>
          <w:rFonts w:cs="Times New Roman"/>
          <w:bCs/>
          <w:kern w:val="22"/>
          <w:sz w:val="22"/>
          <w:lang w:val="fr-FR"/>
        </w:rPr>
        <w:t>es par les peu</w:t>
      </w:r>
      <w:r w:rsidRPr="00C854B0">
        <w:rPr>
          <w:rFonts w:cs="Times New Roman"/>
          <w:bCs/>
          <w:kern w:val="22"/>
          <w:sz w:val="22"/>
          <w:lang w:val="fr-FR"/>
        </w:rPr>
        <w:t xml:space="preserve">ples </w:t>
      </w:r>
      <w:r w:rsidR="00A14BDE" w:rsidRPr="00C854B0">
        <w:rPr>
          <w:rFonts w:cs="Times New Roman"/>
          <w:bCs/>
          <w:kern w:val="22"/>
          <w:sz w:val="22"/>
          <w:lang w:val="fr-FR"/>
        </w:rPr>
        <w:t>autocht</w:t>
      </w:r>
      <w:r w:rsidR="00A14BDE">
        <w:rPr>
          <w:rFonts w:cs="Times New Roman"/>
          <w:bCs/>
          <w:kern w:val="22"/>
          <w:sz w:val="22"/>
          <w:lang w:val="fr-FR"/>
        </w:rPr>
        <w:t>ones</w:t>
      </w:r>
      <w:r w:rsidR="00BC0012">
        <w:rPr>
          <w:rFonts w:cs="Times New Roman"/>
          <w:bCs/>
          <w:kern w:val="22"/>
          <w:sz w:val="22"/>
          <w:lang w:val="fr-FR"/>
        </w:rPr>
        <w:t xml:space="preserve"> d’Amérique du Nord comme mé</w:t>
      </w:r>
      <w:r w:rsidRPr="00C854B0">
        <w:rPr>
          <w:rFonts w:cs="Times New Roman"/>
          <w:bCs/>
          <w:kern w:val="22"/>
          <w:sz w:val="22"/>
          <w:lang w:val="fr-FR"/>
        </w:rPr>
        <w:t>dicaments, aliments, fibres, teintures, et une foule d’autres choses. L’a</w:t>
      </w:r>
      <w:r w:rsidR="00F64D83" w:rsidRPr="00C854B0">
        <w:rPr>
          <w:rFonts w:cs="Times New Roman"/>
          <w:bCs/>
          <w:kern w:val="22"/>
          <w:sz w:val="22"/>
          <w:lang w:val="fr-FR"/>
        </w:rPr>
        <w:t>nthropologist</w:t>
      </w:r>
      <w:r w:rsidRPr="00C854B0">
        <w:rPr>
          <w:rFonts w:cs="Times New Roman"/>
          <w:bCs/>
          <w:kern w:val="22"/>
          <w:sz w:val="22"/>
          <w:lang w:val="fr-FR"/>
        </w:rPr>
        <w:t>e</w:t>
      </w:r>
      <w:r w:rsidR="00F64D83" w:rsidRPr="00C854B0">
        <w:rPr>
          <w:rFonts w:cs="Times New Roman"/>
          <w:bCs/>
          <w:kern w:val="22"/>
          <w:sz w:val="22"/>
          <w:lang w:val="fr-FR"/>
        </w:rPr>
        <w:t xml:space="preserve"> Daniel E. Moerman </w:t>
      </w:r>
      <w:r w:rsidRPr="00C854B0">
        <w:rPr>
          <w:rFonts w:cs="Times New Roman"/>
          <w:bCs/>
          <w:kern w:val="22"/>
          <w:sz w:val="22"/>
          <w:lang w:val="fr-FR"/>
        </w:rPr>
        <w:t>a consacré 25 an</w:t>
      </w:r>
      <w:r w:rsidR="00F64D83" w:rsidRPr="00C854B0">
        <w:rPr>
          <w:rFonts w:cs="Times New Roman"/>
          <w:bCs/>
          <w:kern w:val="22"/>
          <w:sz w:val="22"/>
          <w:lang w:val="fr-FR"/>
        </w:rPr>
        <w:t>s</w:t>
      </w:r>
      <w:r w:rsidRPr="00C854B0">
        <w:rPr>
          <w:rFonts w:cs="Times New Roman"/>
          <w:bCs/>
          <w:kern w:val="22"/>
          <w:sz w:val="22"/>
          <w:lang w:val="fr-FR"/>
        </w:rPr>
        <w:t xml:space="preserve"> à sa mission de c</w:t>
      </w:r>
      <w:r>
        <w:rPr>
          <w:rFonts w:cs="Times New Roman"/>
          <w:bCs/>
          <w:kern w:val="22"/>
          <w:sz w:val="22"/>
          <w:lang w:val="fr-FR"/>
        </w:rPr>
        <w:t>ollecte de connaissance</w:t>
      </w:r>
      <w:r w:rsidR="00BC0012">
        <w:rPr>
          <w:rFonts w:cs="Times New Roman"/>
          <w:bCs/>
          <w:kern w:val="22"/>
          <w:sz w:val="22"/>
          <w:lang w:val="fr-FR"/>
        </w:rPr>
        <w:t>s ethnobotaniques accumulées pour</w:t>
      </w:r>
      <w:r>
        <w:rPr>
          <w:rFonts w:cs="Times New Roman"/>
          <w:bCs/>
          <w:kern w:val="22"/>
          <w:sz w:val="22"/>
          <w:lang w:val="fr-FR"/>
        </w:rPr>
        <w:t xml:space="preserve"> plus de</w:t>
      </w:r>
      <w:r w:rsidR="00F64D83" w:rsidRPr="00C854B0">
        <w:rPr>
          <w:rFonts w:cs="Times New Roman"/>
          <w:bCs/>
          <w:kern w:val="22"/>
          <w:sz w:val="22"/>
          <w:lang w:val="fr-FR"/>
        </w:rPr>
        <w:t xml:space="preserve"> 4000 </w:t>
      </w:r>
      <w:r w:rsidR="001B2CC8" w:rsidRPr="00C854B0">
        <w:rPr>
          <w:rFonts w:cs="Times New Roman"/>
          <w:bCs/>
          <w:kern w:val="22"/>
          <w:sz w:val="22"/>
          <w:lang w:val="fr-FR"/>
        </w:rPr>
        <w:t>plantes</w:t>
      </w:r>
      <w:r w:rsidR="00F64D83" w:rsidRPr="00C854B0">
        <w:rPr>
          <w:rFonts w:cs="Times New Roman"/>
          <w:bCs/>
          <w:kern w:val="22"/>
          <w:sz w:val="22"/>
          <w:lang w:val="fr-FR"/>
        </w:rPr>
        <w:t xml:space="preserve">. </w:t>
      </w:r>
      <w:r w:rsidRPr="00C854B0">
        <w:rPr>
          <w:rFonts w:cs="Times New Roman"/>
          <w:bCs/>
          <w:kern w:val="22"/>
          <w:sz w:val="22"/>
          <w:lang w:val="fr-FR"/>
        </w:rPr>
        <w:t>Plus de</w:t>
      </w:r>
      <w:r w:rsidR="00F64D83" w:rsidRPr="00C854B0">
        <w:rPr>
          <w:rFonts w:cs="Times New Roman"/>
          <w:bCs/>
          <w:kern w:val="22"/>
          <w:sz w:val="22"/>
          <w:lang w:val="fr-FR"/>
        </w:rPr>
        <w:t xml:space="preserve"> </w:t>
      </w:r>
      <w:r w:rsidRPr="00C854B0">
        <w:rPr>
          <w:rFonts w:cs="Times New Roman"/>
          <w:bCs/>
          <w:kern w:val="22"/>
          <w:sz w:val="22"/>
          <w:lang w:val="fr-FR"/>
        </w:rPr>
        <w:t xml:space="preserve">44 </w:t>
      </w:r>
      <w:r w:rsidR="00F64D83" w:rsidRPr="00C854B0">
        <w:rPr>
          <w:rFonts w:cs="Times New Roman"/>
          <w:bCs/>
          <w:kern w:val="22"/>
          <w:sz w:val="22"/>
          <w:lang w:val="fr-FR"/>
        </w:rPr>
        <w:t>000</w:t>
      </w:r>
      <w:r w:rsidR="00053E0E" w:rsidRPr="00C854B0">
        <w:rPr>
          <w:rFonts w:cs="Times New Roman"/>
          <w:bCs/>
          <w:kern w:val="22"/>
          <w:sz w:val="22"/>
          <w:lang w:val="fr-FR"/>
        </w:rPr>
        <w:t xml:space="preserve"> utilisations </w:t>
      </w:r>
      <w:r w:rsidRPr="00C854B0">
        <w:rPr>
          <w:rFonts w:cs="Times New Roman"/>
          <w:bCs/>
          <w:kern w:val="22"/>
          <w:sz w:val="22"/>
          <w:lang w:val="fr-FR"/>
        </w:rPr>
        <w:t xml:space="preserve">de </w:t>
      </w:r>
      <w:r w:rsidR="00CA644E" w:rsidRPr="00C854B0">
        <w:rPr>
          <w:rFonts w:cs="Times New Roman"/>
          <w:bCs/>
          <w:kern w:val="22"/>
          <w:sz w:val="22"/>
          <w:lang w:val="fr-FR"/>
        </w:rPr>
        <w:t>ces</w:t>
      </w:r>
      <w:r w:rsidR="00F64D83" w:rsidRPr="00C854B0">
        <w:rPr>
          <w:rFonts w:cs="Times New Roman"/>
          <w:bCs/>
          <w:kern w:val="22"/>
          <w:sz w:val="22"/>
          <w:lang w:val="fr-FR"/>
        </w:rPr>
        <w:t xml:space="preserve"> </w:t>
      </w:r>
      <w:r w:rsidR="001B2CC8" w:rsidRPr="00C854B0">
        <w:rPr>
          <w:rFonts w:cs="Times New Roman"/>
          <w:bCs/>
          <w:kern w:val="22"/>
          <w:sz w:val="22"/>
          <w:lang w:val="fr-FR"/>
        </w:rPr>
        <w:t>plantes</w:t>
      </w:r>
      <w:r>
        <w:rPr>
          <w:rFonts w:cs="Times New Roman"/>
          <w:bCs/>
          <w:kern w:val="22"/>
          <w:sz w:val="22"/>
          <w:lang w:val="fr-FR"/>
        </w:rPr>
        <w:t xml:space="preserve"> par différentes tribus sont documentées ici</w:t>
      </w:r>
      <w:r w:rsidR="00F64D83" w:rsidRPr="00C854B0">
        <w:rPr>
          <w:rFonts w:cs="Times New Roman"/>
          <w:bCs/>
          <w:kern w:val="22"/>
          <w:sz w:val="22"/>
          <w:lang w:val="fr-FR"/>
        </w:rPr>
        <w:t xml:space="preserve">. </w:t>
      </w:r>
      <w:r w:rsidR="00BC0012">
        <w:rPr>
          <w:rFonts w:cs="Times New Roman"/>
          <w:bCs/>
          <w:kern w:val="22"/>
          <w:sz w:val="22"/>
          <w:lang w:val="fr-FR"/>
        </w:rPr>
        <w:t>Ce compendium</w:t>
      </w:r>
      <w:r w:rsidRPr="00C854B0">
        <w:rPr>
          <w:rFonts w:cs="Times New Roman"/>
          <w:bCs/>
          <w:kern w:val="22"/>
          <w:sz w:val="22"/>
          <w:lang w:val="fr-FR"/>
        </w:rPr>
        <w:t xml:space="preserve"> constitue sans aucun doute l’étude</w:t>
      </w:r>
      <w:r w:rsidR="00F64D83" w:rsidRPr="00C854B0">
        <w:rPr>
          <w:rFonts w:cs="Times New Roman"/>
          <w:bCs/>
          <w:kern w:val="22"/>
          <w:sz w:val="22"/>
          <w:lang w:val="fr-FR"/>
        </w:rPr>
        <w:t xml:space="preserve"> </w:t>
      </w:r>
      <w:r>
        <w:rPr>
          <w:rFonts w:cs="Times New Roman"/>
          <w:bCs/>
          <w:kern w:val="22"/>
          <w:sz w:val="22"/>
          <w:lang w:val="fr-FR"/>
        </w:rPr>
        <w:t>ethnobotanique</w:t>
      </w:r>
      <w:r w:rsidR="00BC0012">
        <w:rPr>
          <w:rFonts w:cs="Times New Roman"/>
          <w:bCs/>
          <w:kern w:val="22"/>
          <w:sz w:val="22"/>
          <w:lang w:val="fr-FR"/>
        </w:rPr>
        <w:t xml:space="preserve"> la plus étendue jamais réalisé</w:t>
      </w:r>
      <w:r w:rsidRPr="00C854B0">
        <w:rPr>
          <w:rFonts w:cs="Times New Roman"/>
          <w:bCs/>
          <w:kern w:val="22"/>
          <w:sz w:val="22"/>
          <w:lang w:val="fr-FR"/>
        </w:rPr>
        <w:t>e</w:t>
      </w:r>
      <w:r w:rsidR="00F64D83" w:rsidRPr="00C854B0">
        <w:rPr>
          <w:rFonts w:cs="Times New Roman"/>
          <w:bCs/>
          <w:kern w:val="22"/>
          <w:sz w:val="22"/>
          <w:lang w:val="fr-FR"/>
        </w:rPr>
        <w:t xml:space="preserve">, </w:t>
      </w:r>
      <w:r>
        <w:rPr>
          <w:rFonts w:cs="Times New Roman"/>
          <w:bCs/>
          <w:kern w:val="22"/>
          <w:sz w:val="22"/>
          <w:lang w:val="fr-FR"/>
        </w:rPr>
        <w:t>per</w:t>
      </w:r>
      <w:r w:rsidR="00BC0012">
        <w:rPr>
          <w:rFonts w:cs="Times New Roman"/>
          <w:bCs/>
          <w:kern w:val="22"/>
          <w:sz w:val="22"/>
          <w:lang w:val="fr-FR"/>
        </w:rPr>
        <w:t xml:space="preserve">mettant de préserver une </w:t>
      </w:r>
      <w:r>
        <w:rPr>
          <w:rFonts w:cs="Times New Roman"/>
          <w:bCs/>
          <w:kern w:val="22"/>
          <w:sz w:val="22"/>
          <w:lang w:val="fr-FR"/>
        </w:rPr>
        <w:t xml:space="preserve">quantité </w:t>
      </w:r>
      <w:r w:rsidR="00BC0012">
        <w:rPr>
          <w:rFonts w:cs="Times New Roman"/>
          <w:bCs/>
          <w:kern w:val="22"/>
          <w:sz w:val="22"/>
          <w:lang w:val="fr-FR"/>
        </w:rPr>
        <w:t xml:space="preserve">considérable </w:t>
      </w:r>
      <w:r>
        <w:rPr>
          <w:rFonts w:cs="Times New Roman"/>
          <w:bCs/>
          <w:kern w:val="22"/>
          <w:sz w:val="22"/>
          <w:lang w:val="fr-FR"/>
        </w:rPr>
        <w:t>d’informations pour l’avenir</w:t>
      </w:r>
      <w:r w:rsidR="00F64D83" w:rsidRPr="00C854B0">
        <w:rPr>
          <w:rFonts w:cs="Times New Roman"/>
          <w:bCs/>
          <w:kern w:val="22"/>
          <w:sz w:val="22"/>
          <w:lang w:val="fr-FR"/>
        </w:rPr>
        <w:t>.”</w:t>
      </w:r>
      <w:r w:rsidR="00B97F03" w:rsidRPr="002364AB">
        <w:rPr>
          <w:rStyle w:val="FootnoteReference"/>
          <w:kern w:val="22"/>
          <w:sz w:val="22"/>
          <w:lang w:val="en-GB"/>
        </w:rPr>
        <w:footnoteReference w:id="187"/>
      </w:r>
    </w:p>
    <w:p w14:paraId="61AFDD4B" w14:textId="78E98A0F" w:rsidR="00AA5927" w:rsidRPr="00C854B0" w:rsidRDefault="006E330F" w:rsidP="004D3337">
      <w:pPr>
        <w:rPr>
          <w:rFonts w:cs="Times New Roman"/>
          <w:kern w:val="22"/>
          <w:sz w:val="22"/>
          <w:lang w:val="fr-FR"/>
        </w:rPr>
      </w:pPr>
      <w:r>
        <w:rPr>
          <w:rFonts w:cs="Times New Roman"/>
          <w:kern w:val="22"/>
          <w:sz w:val="22"/>
          <w:lang w:val="fr-FR"/>
        </w:rPr>
        <w:t>Etant donné</w:t>
      </w:r>
      <w:r w:rsidR="00354317" w:rsidRPr="00354317">
        <w:rPr>
          <w:rFonts w:cs="Times New Roman"/>
          <w:kern w:val="22"/>
          <w:sz w:val="22"/>
          <w:lang w:val="fr-FR"/>
        </w:rPr>
        <w:t xml:space="preserve"> que des </w:t>
      </w:r>
      <w:r w:rsidR="00FF3415" w:rsidRPr="00FF3415">
        <w:rPr>
          <w:rFonts w:cs="Times New Roman"/>
          <w:kern w:val="22"/>
          <w:sz w:val="22"/>
          <w:lang w:val="fr-FR"/>
        </w:rPr>
        <w:t>peuples autochtones</w:t>
      </w:r>
      <w:r w:rsidR="001C3E55" w:rsidRPr="00FF3415">
        <w:rPr>
          <w:rFonts w:cs="Times New Roman"/>
          <w:kern w:val="22"/>
          <w:sz w:val="22"/>
          <w:lang w:val="fr-FR"/>
        </w:rPr>
        <w:t xml:space="preserve"> </w:t>
      </w:r>
      <w:r w:rsidR="0058080D">
        <w:rPr>
          <w:rFonts w:cs="Times New Roman"/>
          <w:kern w:val="22"/>
          <w:sz w:val="22"/>
          <w:lang w:val="fr-FR"/>
        </w:rPr>
        <w:t>vivent dans tout le</w:t>
      </w:r>
      <w:r>
        <w:rPr>
          <w:rFonts w:cs="Times New Roman"/>
          <w:kern w:val="22"/>
          <w:sz w:val="22"/>
          <w:lang w:val="fr-FR"/>
        </w:rPr>
        <w:t xml:space="preserve"> Canada, </w:t>
      </w:r>
      <w:r w:rsidR="0058080D">
        <w:rPr>
          <w:rFonts w:cs="Times New Roman"/>
          <w:kern w:val="22"/>
          <w:sz w:val="22"/>
          <w:lang w:val="fr-FR"/>
        </w:rPr>
        <w:t xml:space="preserve">les </w:t>
      </w:r>
      <w:r w:rsidR="009A6A8C" w:rsidRPr="00FF3415">
        <w:rPr>
          <w:rFonts w:cs="Times New Roman"/>
          <w:kern w:val="22"/>
          <w:sz w:val="22"/>
          <w:lang w:val="fr-FR"/>
        </w:rPr>
        <w:t>Etats-Unis</w:t>
      </w:r>
      <w:r w:rsidR="00027572" w:rsidRPr="00FF3415">
        <w:rPr>
          <w:rFonts w:cs="Times New Roman"/>
          <w:kern w:val="22"/>
          <w:sz w:val="22"/>
          <w:lang w:val="fr-FR"/>
        </w:rPr>
        <w:t>,</w:t>
      </w:r>
      <w:r w:rsidR="00E3674F" w:rsidRPr="00FF3415">
        <w:rPr>
          <w:rFonts w:cs="Times New Roman"/>
          <w:kern w:val="22"/>
          <w:sz w:val="22"/>
          <w:lang w:val="fr-FR"/>
        </w:rPr>
        <w:t xml:space="preserve"> et </w:t>
      </w:r>
      <w:r w:rsidR="0058080D">
        <w:rPr>
          <w:rFonts w:cs="Times New Roman"/>
          <w:kern w:val="22"/>
          <w:sz w:val="22"/>
          <w:lang w:val="fr-FR"/>
        </w:rPr>
        <w:t xml:space="preserve">les </w:t>
      </w:r>
      <w:r w:rsidR="00E90B84" w:rsidRPr="00FF3415">
        <w:rPr>
          <w:rFonts w:cs="Times New Roman"/>
          <w:kern w:val="22"/>
          <w:sz w:val="22"/>
          <w:lang w:val="fr-FR"/>
        </w:rPr>
        <w:t>Mexique</w:t>
      </w:r>
      <w:r w:rsidR="007612B8" w:rsidRPr="002364AB">
        <w:rPr>
          <w:rStyle w:val="FootnoteReference"/>
          <w:rFonts w:cs="Times New Roman"/>
          <w:kern w:val="22"/>
          <w:sz w:val="22"/>
          <w:lang w:val="en-GB"/>
        </w:rPr>
        <w:footnoteReference w:id="188"/>
      </w:r>
      <w:r w:rsidR="0058080D" w:rsidRPr="0058080D">
        <w:rPr>
          <w:rFonts w:cs="Times New Roman"/>
          <w:kern w:val="22"/>
          <w:sz w:val="22"/>
          <w:lang w:val="fr-FR"/>
        </w:rPr>
        <w:t>,</w:t>
      </w:r>
      <w:r w:rsidR="00354317">
        <w:rPr>
          <w:rFonts w:cs="Times New Roman"/>
          <w:kern w:val="22"/>
          <w:sz w:val="22"/>
          <w:lang w:val="fr-FR"/>
        </w:rPr>
        <w:t xml:space="preserve"> </w:t>
      </w:r>
      <w:r>
        <w:rPr>
          <w:rFonts w:cs="Times New Roman"/>
          <w:kern w:val="22"/>
          <w:sz w:val="22"/>
          <w:lang w:val="fr-FR"/>
        </w:rPr>
        <w:t xml:space="preserve">pour </w:t>
      </w:r>
      <w:r w:rsidR="00354317">
        <w:rPr>
          <w:rFonts w:cs="Times New Roman"/>
          <w:kern w:val="22"/>
          <w:sz w:val="22"/>
          <w:lang w:val="fr-FR"/>
        </w:rPr>
        <w:t>certain</w:t>
      </w:r>
      <w:r>
        <w:rPr>
          <w:rFonts w:cs="Times New Roman"/>
          <w:kern w:val="22"/>
          <w:sz w:val="22"/>
          <w:lang w:val="fr-FR"/>
        </w:rPr>
        <w:t xml:space="preserve">es Parties et certains pays non </w:t>
      </w:r>
      <w:r w:rsidR="00354317">
        <w:rPr>
          <w:rFonts w:cs="Times New Roman"/>
          <w:kern w:val="22"/>
          <w:sz w:val="22"/>
          <w:lang w:val="fr-FR"/>
        </w:rPr>
        <w:t xml:space="preserve">Parties à la </w:t>
      </w:r>
      <w:r w:rsidR="007347F7">
        <w:rPr>
          <w:rFonts w:cs="Times New Roman"/>
          <w:kern w:val="22"/>
          <w:sz w:val="22"/>
          <w:lang w:val="fr-FR"/>
        </w:rPr>
        <w:t>Convention</w:t>
      </w:r>
      <w:r w:rsidR="0058080D">
        <w:rPr>
          <w:rFonts w:cs="Times New Roman"/>
          <w:kern w:val="22"/>
          <w:sz w:val="22"/>
          <w:lang w:val="fr-FR"/>
        </w:rPr>
        <w:t xml:space="preserve"> et au Protocole de Nagoya</w:t>
      </w:r>
      <w:r w:rsidR="00027572" w:rsidRPr="00FF3415">
        <w:rPr>
          <w:rFonts w:cs="Times New Roman"/>
          <w:kern w:val="22"/>
          <w:sz w:val="22"/>
          <w:lang w:val="fr-FR"/>
        </w:rPr>
        <w:t xml:space="preserve">, </w:t>
      </w:r>
      <w:r w:rsidR="00354317">
        <w:rPr>
          <w:rFonts w:cs="Times New Roman"/>
          <w:kern w:val="22"/>
          <w:sz w:val="22"/>
          <w:lang w:val="fr-FR"/>
        </w:rPr>
        <w:t>un consentement préalable donné en</w:t>
      </w:r>
      <w:r w:rsidR="00651FB0" w:rsidRPr="00FF3415">
        <w:rPr>
          <w:rFonts w:cs="Times New Roman"/>
          <w:kern w:val="22"/>
          <w:sz w:val="22"/>
          <w:lang w:val="fr-FR"/>
        </w:rPr>
        <w:t xml:space="preserve"> connaissance de cause</w:t>
      </w:r>
      <w:r w:rsidR="00354317">
        <w:rPr>
          <w:rFonts w:cs="Times New Roman"/>
          <w:kern w:val="22"/>
          <w:sz w:val="22"/>
          <w:lang w:val="fr-FR"/>
        </w:rPr>
        <w:t xml:space="preserve"> et</w:t>
      </w:r>
      <w:r w:rsidR="00027572" w:rsidRPr="00FF3415">
        <w:rPr>
          <w:rFonts w:cs="Times New Roman"/>
          <w:kern w:val="22"/>
          <w:sz w:val="22"/>
          <w:lang w:val="fr-FR"/>
        </w:rPr>
        <w:t>/</w:t>
      </w:r>
      <w:r w:rsidR="00354317">
        <w:rPr>
          <w:rFonts w:cs="Times New Roman"/>
          <w:kern w:val="22"/>
          <w:sz w:val="22"/>
          <w:lang w:val="fr-FR"/>
        </w:rPr>
        <w:t xml:space="preserve">ou des </w:t>
      </w:r>
      <w:r w:rsidR="000B36D3" w:rsidRPr="00FF3415">
        <w:rPr>
          <w:rFonts w:cs="Times New Roman"/>
          <w:kern w:val="22"/>
          <w:sz w:val="22"/>
          <w:lang w:val="fr-FR"/>
        </w:rPr>
        <w:t>conditions convenues d’un commun accord</w:t>
      </w:r>
      <w:r w:rsidR="00027572" w:rsidRPr="00FF3415">
        <w:rPr>
          <w:rFonts w:cs="Times New Roman"/>
          <w:kern w:val="22"/>
          <w:sz w:val="22"/>
          <w:lang w:val="fr-FR"/>
        </w:rPr>
        <w:t xml:space="preserve"> </w:t>
      </w:r>
      <w:r w:rsidR="0058080D">
        <w:rPr>
          <w:rFonts w:cs="Times New Roman"/>
          <w:kern w:val="22"/>
          <w:sz w:val="22"/>
          <w:lang w:val="fr-FR"/>
        </w:rPr>
        <w:t xml:space="preserve">ne seront pas exigés </w:t>
      </w:r>
      <w:r w:rsidR="00354317">
        <w:rPr>
          <w:rFonts w:cs="Times New Roman"/>
          <w:kern w:val="22"/>
          <w:sz w:val="22"/>
          <w:lang w:val="fr-FR"/>
        </w:rPr>
        <w:t xml:space="preserve">dans tous les </w:t>
      </w:r>
      <w:r w:rsidR="00D04EC6" w:rsidRPr="00FF3415">
        <w:rPr>
          <w:rFonts w:cs="Times New Roman"/>
          <w:kern w:val="22"/>
          <w:sz w:val="22"/>
          <w:lang w:val="fr-FR"/>
        </w:rPr>
        <w:t>cas</w:t>
      </w:r>
      <w:r w:rsidR="00354317">
        <w:rPr>
          <w:rFonts w:cs="Times New Roman"/>
          <w:kern w:val="22"/>
          <w:sz w:val="22"/>
          <w:lang w:val="fr-FR"/>
        </w:rPr>
        <w:t xml:space="preserve"> d</w:t>
      </w:r>
      <w:r w:rsidR="00424B6E">
        <w:rPr>
          <w:rFonts w:cs="Times New Roman"/>
          <w:kern w:val="22"/>
          <w:sz w:val="22"/>
          <w:lang w:val="fr-FR"/>
        </w:rPr>
        <w:t xml:space="preserve">’utilisation </w:t>
      </w:r>
      <w:r w:rsidR="00354317">
        <w:rPr>
          <w:rFonts w:cs="Times New Roman"/>
          <w:kern w:val="22"/>
          <w:sz w:val="22"/>
          <w:lang w:val="fr-FR"/>
        </w:rPr>
        <w:t>de</w:t>
      </w:r>
      <w:r w:rsidR="00E227DC" w:rsidRPr="00FF3415">
        <w:rPr>
          <w:rFonts w:cs="Times New Roman"/>
          <w:kern w:val="22"/>
          <w:sz w:val="22"/>
          <w:lang w:val="fr-FR"/>
        </w:rPr>
        <w:t xml:space="preserve"> </w:t>
      </w:r>
      <w:r w:rsidR="00830BE4" w:rsidRPr="00FF3415">
        <w:rPr>
          <w:rFonts w:cs="Times New Roman"/>
          <w:kern w:val="22"/>
          <w:sz w:val="22"/>
          <w:lang w:val="fr-FR"/>
        </w:rPr>
        <w:t>connaissances traditionnelles connexes</w:t>
      </w:r>
      <w:r w:rsidR="0058080D">
        <w:rPr>
          <w:rFonts w:cs="Times New Roman"/>
          <w:kern w:val="22"/>
          <w:sz w:val="22"/>
          <w:lang w:val="fr-FR"/>
        </w:rPr>
        <w:t xml:space="preserve"> décrit</w:t>
      </w:r>
      <w:r w:rsidR="009D4AFE">
        <w:rPr>
          <w:rFonts w:cs="Times New Roman"/>
          <w:kern w:val="22"/>
          <w:sz w:val="22"/>
          <w:lang w:val="fr-FR"/>
        </w:rPr>
        <w:t>e</w:t>
      </w:r>
      <w:r w:rsidR="003E3BF5">
        <w:rPr>
          <w:rFonts w:cs="Times New Roman"/>
          <w:kern w:val="22"/>
          <w:sz w:val="22"/>
          <w:lang w:val="fr-FR"/>
        </w:rPr>
        <w:t xml:space="preserve"> dans cette publication</w:t>
      </w:r>
      <w:r w:rsidR="007612B8" w:rsidRPr="00FF3415">
        <w:rPr>
          <w:rFonts w:cs="Times New Roman"/>
          <w:kern w:val="22"/>
          <w:sz w:val="22"/>
          <w:lang w:val="fr-FR"/>
        </w:rPr>
        <w:t xml:space="preserve">. </w:t>
      </w:r>
      <w:r w:rsidR="009620A7" w:rsidRPr="00C854B0">
        <w:rPr>
          <w:rFonts w:cs="Times New Roman"/>
          <w:kern w:val="22"/>
          <w:sz w:val="22"/>
          <w:lang w:val="fr-FR"/>
        </w:rPr>
        <w:t>Néanmoins</w:t>
      </w:r>
      <w:r w:rsidR="003E3BF5" w:rsidRPr="00C854B0">
        <w:rPr>
          <w:rFonts w:cs="Times New Roman"/>
          <w:kern w:val="22"/>
          <w:sz w:val="22"/>
          <w:lang w:val="fr-FR"/>
        </w:rPr>
        <w:t>, ce</w:t>
      </w:r>
      <w:r w:rsidR="007612B8" w:rsidRPr="00C854B0">
        <w:rPr>
          <w:rFonts w:cs="Times New Roman"/>
          <w:kern w:val="22"/>
          <w:sz w:val="22"/>
          <w:lang w:val="fr-FR"/>
        </w:rPr>
        <w:t xml:space="preserve"> compendium </w:t>
      </w:r>
      <w:r w:rsidR="003E3BF5" w:rsidRPr="00C854B0">
        <w:rPr>
          <w:rFonts w:cs="Times New Roman"/>
          <w:kern w:val="22"/>
          <w:sz w:val="22"/>
          <w:lang w:val="fr-FR"/>
        </w:rPr>
        <w:t xml:space="preserve">est un </w:t>
      </w:r>
      <w:r w:rsidR="009D43F1" w:rsidRPr="00C854B0">
        <w:rPr>
          <w:rFonts w:cs="Times New Roman"/>
          <w:kern w:val="22"/>
          <w:sz w:val="22"/>
          <w:lang w:val="fr-FR"/>
        </w:rPr>
        <w:t>exemple</w:t>
      </w:r>
      <w:r w:rsidR="003E3BF5" w:rsidRPr="00C854B0">
        <w:rPr>
          <w:rFonts w:cs="Times New Roman"/>
          <w:kern w:val="22"/>
          <w:sz w:val="22"/>
          <w:lang w:val="fr-FR"/>
        </w:rPr>
        <w:t xml:space="preserve"> du type de </w:t>
      </w:r>
      <w:r w:rsidR="00EC0138" w:rsidRPr="00C854B0">
        <w:rPr>
          <w:rFonts w:cs="Times New Roman"/>
          <w:kern w:val="22"/>
          <w:sz w:val="22"/>
          <w:lang w:val="fr-FR"/>
        </w:rPr>
        <w:t>publication</w:t>
      </w:r>
      <w:r w:rsidR="00F64D83" w:rsidRPr="00C854B0">
        <w:rPr>
          <w:rFonts w:cs="Times New Roman"/>
          <w:kern w:val="22"/>
          <w:sz w:val="22"/>
          <w:lang w:val="fr-FR"/>
        </w:rPr>
        <w:t xml:space="preserve"> </w:t>
      </w:r>
      <w:r w:rsidR="003E3BF5" w:rsidRPr="00C854B0">
        <w:rPr>
          <w:rFonts w:cs="Times New Roman"/>
          <w:kern w:val="22"/>
          <w:sz w:val="22"/>
          <w:lang w:val="fr-FR"/>
        </w:rPr>
        <w:t>qui</w:t>
      </w:r>
      <w:r w:rsidR="007612B8" w:rsidRPr="00C854B0">
        <w:rPr>
          <w:rFonts w:cs="Times New Roman"/>
          <w:kern w:val="22"/>
          <w:sz w:val="22"/>
          <w:lang w:val="fr-FR"/>
        </w:rPr>
        <w:t xml:space="preserve"> </w:t>
      </w:r>
      <w:r w:rsidR="00707D5F" w:rsidRPr="00C854B0">
        <w:rPr>
          <w:rFonts w:cs="Times New Roman"/>
          <w:kern w:val="22"/>
          <w:sz w:val="22"/>
          <w:lang w:val="fr-FR"/>
        </w:rPr>
        <w:t>faciliter</w:t>
      </w:r>
      <w:r w:rsidR="00BC0012">
        <w:rPr>
          <w:rFonts w:cs="Times New Roman"/>
          <w:kern w:val="22"/>
          <w:sz w:val="22"/>
          <w:lang w:val="fr-FR"/>
        </w:rPr>
        <w:t>a une</w:t>
      </w:r>
      <w:r w:rsidR="003E3BF5" w:rsidRPr="00C854B0">
        <w:rPr>
          <w:rFonts w:cs="Times New Roman"/>
          <w:kern w:val="22"/>
          <w:sz w:val="22"/>
          <w:lang w:val="fr-FR"/>
        </w:rPr>
        <w:t xml:space="preserve"> bioprospection axée sur de</w:t>
      </w:r>
      <w:r w:rsidR="00BC0012">
        <w:rPr>
          <w:rFonts w:cs="Times New Roman"/>
          <w:kern w:val="22"/>
          <w:sz w:val="22"/>
          <w:lang w:val="fr-FR"/>
        </w:rPr>
        <w:t xml:space="preserve">s publications, sans nécessiter </w:t>
      </w:r>
      <w:r w:rsidR="003E3BF5" w:rsidRPr="00C854B0">
        <w:rPr>
          <w:rFonts w:cs="Times New Roman"/>
          <w:kern w:val="22"/>
          <w:sz w:val="22"/>
          <w:lang w:val="fr-FR"/>
        </w:rPr>
        <w:t xml:space="preserve">l’obtention d’un </w:t>
      </w:r>
      <w:r w:rsidR="007D7761">
        <w:rPr>
          <w:rFonts w:cs="Times New Roman"/>
          <w:kern w:val="22"/>
          <w:sz w:val="22"/>
          <w:lang w:val="fr-FR"/>
        </w:rPr>
        <w:t>consentement préalable donné en connaissance de cause</w:t>
      </w:r>
      <w:r w:rsidR="003E3BF5" w:rsidRPr="00C854B0">
        <w:rPr>
          <w:rFonts w:cs="Times New Roman"/>
          <w:kern w:val="22"/>
          <w:sz w:val="22"/>
          <w:lang w:val="fr-FR"/>
        </w:rPr>
        <w:t xml:space="preserve"> </w:t>
      </w:r>
      <w:r w:rsidR="00830BE4" w:rsidRPr="00C854B0">
        <w:rPr>
          <w:rFonts w:cs="Times New Roman"/>
          <w:kern w:val="22"/>
          <w:sz w:val="22"/>
          <w:lang w:val="fr-FR"/>
        </w:rPr>
        <w:t>des peuples autochtones et communautés locales</w:t>
      </w:r>
      <w:r w:rsidR="003E3BF5" w:rsidRPr="00C854B0">
        <w:rPr>
          <w:rFonts w:cs="Times New Roman"/>
          <w:kern w:val="22"/>
          <w:sz w:val="22"/>
          <w:lang w:val="fr-FR"/>
        </w:rPr>
        <w:t xml:space="preserve">, </w:t>
      </w:r>
      <w:r w:rsidR="00BC0012">
        <w:rPr>
          <w:rFonts w:cs="Times New Roman"/>
          <w:kern w:val="22"/>
          <w:sz w:val="22"/>
          <w:lang w:val="fr-FR"/>
        </w:rPr>
        <w:t xml:space="preserve">bien que celui-ci puisse être exigé autrement </w:t>
      </w:r>
      <w:r w:rsidR="003E3BF5" w:rsidRPr="00C854B0">
        <w:rPr>
          <w:rFonts w:cs="Times New Roman"/>
          <w:kern w:val="22"/>
          <w:sz w:val="22"/>
          <w:lang w:val="fr-FR"/>
        </w:rPr>
        <w:t>en droit interne</w:t>
      </w:r>
      <w:r w:rsidR="00F64D83" w:rsidRPr="00C854B0">
        <w:rPr>
          <w:rFonts w:cs="Times New Roman"/>
          <w:kern w:val="22"/>
          <w:sz w:val="22"/>
          <w:lang w:val="fr-FR"/>
        </w:rPr>
        <w:t>.</w:t>
      </w:r>
      <w:r w:rsidR="00B97F03" w:rsidRPr="002364AB">
        <w:rPr>
          <w:rStyle w:val="FootnoteReference"/>
          <w:kern w:val="22"/>
          <w:sz w:val="22"/>
          <w:lang w:val="en-GB"/>
        </w:rPr>
        <w:footnoteReference w:id="189"/>
      </w:r>
      <w:r w:rsidR="00F64D83" w:rsidRPr="00C854B0">
        <w:rPr>
          <w:rFonts w:cs="Times New Roman"/>
          <w:kern w:val="22"/>
          <w:sz w:val="22"/>
          <w:lang w:val="fr-FR"/>
        </w:rPr>
        <w:t xml:space="preserve"> </w:t>
      </w:r>
    </w:p>
    <w:p w14:paraId="3F038F54" w14:textId="093E1021" w:rsidR="00FB4556" w:rsidRPr="00C33E5E" w:rsidRDefault="00C33E5E" w:rsidP="00703D1B">
      <w:pPr>
        <w:rPr>
          <w:rFonts w:cs="Times New Roman"/>
          <w:i/>
          <w:kern w:val="22"/>
          <w:sz w:val="22"/>
          <w:lang w:val="fr-FR"/>
        </w:rPr>
      </w:pPr>
      <w:r w:rsidRPr="00C33E5E">
        <w:rPr>
          <w:rFonts w:cs="Times New Roman"/>
          <w:i/>
          <w:kern w:val="22"/>
          <w:sz w:val="22"/>
          <w:lang w:val="fr-FR"/>
        </w:rPr>
        <w:t>La Pervenche rose</w:t>
      </w:r>
    </w:p>
    <w:p w14:paraId="016794B7" w14:textId="1130DB76" w:rsidR="00547305" w:rsidRPr="007F135E" w:rsidRDefault="00FF3415" w:rsidP="00703D1B">
      <w:pPr>
        <w:rPr>
          <w:rFonts w:cs="Times New Roman"/>
          <w:kern w:val="22"/>
          <w:sz w:val="22"/>
          <w:lang w:val="fr-FR"/>
        </w:rPr>
      </w:pPr>
      <w:r>
        <w:rPr>
          <w:rFonts w:cs="Times New Roman"/>
          <w:kern w:val="22"/>
          <w:sz w:val="22"/>
          <w:lang w:val="fr-FR"/>
        </w:rPr>
        <w:t>L’exemple de l</w:t>
      </w:r>
      <w:r w:rsidR="00C33E5E">
        <w:rPr>
          <w:rFonts w:cs="Times New Roman"/>
          <w:kern w:val="22"/>
          <w:sz w:val="22"/>
          <w:lang w:val="fr-FR"/>
        </w:rPr>
        <w:t>a Pervenche rose</w:t>
      </w:r>
      <w:r w:rsidR="00703D1B" w:rsidRPr="00367430">
        <w:rPr>
          <w:rFonts w:cs="Times New Roman"/>
          <w:kern w:val="22"/>
          <w:sz w:val="22"/>
          <w:lang w:val="fr-FR"/>
        </w:rPr>
        <w:t xml:space="preserve"> </w:t>
      </w:r>
      <w:r w:rsidR="0058080D">
        <w:rPr>
          <w:rFonts w:cs="Times New Roman"/>
          <w:kern w:val="22"/>
          <w:sz w:val="22"/>
          <w:lang w:val="fr-FR"/>
        </w:rPr>
        <w:t xml:space="preserve">décrit </w:t>
      </w:r>
      <w:r>
        <w:rPr>
          <w:rFonts w:cs="Times New Roman"/>
          <w:kern w:val="22"/>
          <w:sz w:val="22"/>
          <w:lang w:val="fr-FR"/>
        </w:rPr>
        <w:t>dans la p</w:t>
      </w:r>
      <w:r w:rsidR="00F27467" w:rsidRPr="00367430">
        <w:rPr>
          <w:rFonts w:cs="Times New Roman"/>
          <w:kern w:val="22"/>
          <w:sz w:val="22"/>
          <w:lang w:val="fr-FR"/>
        </w:rPr>
        <w:t>artie</w:t>
      </w:r>
      <w:r w:rsidR="00703D1B" w:rsidRPr="00367430">
        <w:rPr>
          <w:rFonts w:cs="Times New Roman"/>
          <w:kern w:val="22"/>
          <w:sz w:val="22"/>
          <w:lang w:val="fr-FR"/>
        </w:rPr>
        <w:t xml:space="preserve"> </w:t>
      </w:r>
      <w:r w:rsidR="00900FD9" w:rsidRPr="00367430">
        <w:rPr>
          <w:rFonts w:cs="Times New Roman"/>
          <w:kern w:val="22"/>
          <w:sz w:val="22"/>
          <w:lang w:val="fr-FR"/>
        </w:rPr>
        <w:t>4.1</w:t>
      </w:r>
      <w:r w:rsidR="00CC51E7">
        <w:rPr>
          <w:rFonts w:cs="Times New Roman"/>
          <w:kern w:val="22"/>
          <w:sz w:val="22"/>
          <w:lang w:val="fr-FR"/>
        </w:rPr>
        <w:t xml:space="preserve"> ci-dess</w:t>
      </w:r>
      <w:r>
        <w:rPr>
          <w:rFonts w:cs="Times New Roman"/>
          <w:kern w:val="22"/>
          <w:sz w:val="22"/>
          <w:lang w:val="fr-FR"/>
        </w:rPr>
        <w:t xml:space="preserve">us fournit une </w:t>
      </w:r>
      <w:r w:rsidR="00703D1B" w:rsidRPr="00367430">
        <w:rPr>
          <w:rFonts w:cs="Times New Roman"/>
          <w:kern w:val="22"/>
          <w:sz w:val="22"/>
          <w:lang w:val="fr-FR"/>
        </w:rPr>
        <w:t xml:space="preserve">illustration </w:t>
      </w:r>
      <w:r>
        <w:rPr>
          <w:rFonts w:cs="Times New Roman"/>
          <w:kern w:val="22"/>
          <w:sz w:val="22"/>
          <w:lang w:val="fr-FR"/>
        </w:rPr>
        <w:t>supplémentaire de l’utilisation commerciale d</w:t>
      </w:r>
      <w:r w:rsidR="00367430" w:rsidRPr="00367430">
        <w:rPr>
          <w:rFonts w:cs="Times New Roman"/>
          <w:kern w:val="22"/>
          <w:sz w:val="22"/>
          <w:lang w:val="fr-FR"/>
        </w:rPr>
        <w:t>es connaissances traditionnelles</w:t>
      </w:r>
      <w:r w:rsidR="0058080D">
        <w:rPr>
          <w:rFonts w:cs="Times New Roman"/>
          <w:kern w:val="22"/>
          <w:sz w:val="22"/>
          <w:lang w:val="fr-FR"/>
        </w:rPr>
        <w:t xml:space="preserve"> </w:t>
      </w:r>
      <w:r w:rsidR="00BD0571">
        <w:rPr>
          <w:rFonts w:cs="Times New Roman"/>
          <w:kern w:val="22"/>
          <w:sz w:val="22"/>
          <w:lang w:val="fr-FR"/>
        </w:rPr>
        <w:t>associées aux</w:t>
      </w:r>
      <w:r w:rsidR="0058080D">
        <w:rPr>
          <w:rFonts w:cs="Times New Roman"/>
          <w:kern w:val="22"/>
          <w:sz w:val="22"/>
          <w:lang w:val="fr-FR"/>
        </w:rPr>
        <w:t xml:space="preserve"> </w:t>
      </w:r>
      <w:r w:rsidR="00E3674F" w:rsidRPr="00367430">
        <w:rPr>
          <w:rFonts w:cs="Times New Roman"/>
          <w:kern w:val="22"/>
          <w:sz w:val="22"/>
          <w:lang w:val="fr-FR"/>
        </w:rPr>
        <w:t>ressources génétiques</w:t>
      </w:r>
      <w:r w:rsidR="007F135E">
        <w:rPr>
          <w:rFonts w:cs="Times New Roman"/>
          <w:kern w:val="22"/>
          <w:sz w:val="22"/>
          <w:lang w:val="fr-FR"/>
        </w:rPr>
        <w:t xml:space="preserve"> et</w:t>
      </w:r>
      <w:r w:rsidR="007F135E" w:rsidRPr="007F135E">
        <w:rPr>
          <w:rFonts w:cs="Times New Roman"/>
          <w:kern w:val="22"/>
          <w:sz w:val="22"/>
          <w:lang w:val="fr-FR"/>
        </w:rPr>
        <w:t xml:space="preserve"> </w:t>
      </w:r>
      <w:r w:rsidR="007F135E" w:rsidRPr="00367430">
        <w:rPr>
          <w:rFonts w:cs="Times New Roman"/>
          <w:kern w:val="22"/>
          <w:sz w:val="22"/>
          <w:lang w:val="fr-FR"/>
        </w:rPr>
        <w:t>accessibles au public</w:t>
      </w:r>
      <w:r w:rsidR="00703D1B" w:rsidRPr="00367430">
        <w:rPr>
          <w:rFonts w:cs="Times New Roman"/>
          <w:kern w:val="22"/>
          <w:sz w:val="22"/>
          <w:lang w:val="fr-FR"/>
        </w:rPr>
        <w:t xml:space="preserve">. </w:t>
      </w:r>
      <w:r w:rsidR="007F135E" w:rsidRPr="007F135E">
        <w:rPr>
          <w:rFonts w:cs="Times New Roman"/>
          <w:kern w:val="22"/>
          <w:sz w:val="22"/>
          <w:lang w:val="fr-FR"/>
        </w:rPr>
        <w:t xml:space="preserve">Deux </w:t>
      </w:r>
      <w:r w:rsidR="0058080D">
        <w:rPr>
          <w:rFonts w:cs="Times New Roman"/>
          <w:kern w:val="22"/>
          <w:sz w:val="22"/>
          <w:lang w:val="fr-FR"/>
        </w:rPr>
        <w:t xml:space="preserve">traitements </w:t>
      </w:r>
      <w:r w:rsidR="007F135E" w:rsidRPr="007F135E">
        <w:rPr>
          <w:rFonts w:cs="Times New Roman"/>
          <w:kern w:val="22"/>
          <w:sz w:val="22"/>
          <w:lang w:val="fr-FR"/>
        </w:rPr>
        <w:t xml:space="preserve">contre le cancer ont été développés </w:t>
      </w:r>
      <w:r w:rsidR="0058080D">
        <w:rPr>
          <w:rFonts w:cs="Times New Roman"/>
          <w:kern w:val="22"/>
          <w:sz w:val="22"/>
          <w:lang w:val="fr-FR"/>
        </w:rPr>
        <w:t>à partir d’indications initiales provenant</w:t>
      </w:r>
      <w:r w:rsidR="007F135E">
        <w:rPr>
          <w:rFonts w:cs="Times New Roman"/>
          <w:kern w:val="22"/>
          <w:sz w:val="22"/>
          <w:lang w:val="fr-FR"/>
        </w:rPr>
        <w:t xml:space="preserve"> de</w:t>
      </w:r>
      <w:r w:rsidR="00703D1B" w:rsidRPr="007F135E">
        <w:rPr>
          <w:rFonts w:cs="Times New Roman"/>
          <w:kern w:val="22"/>
          <w:sz w:val="22"/>
          <w:lang w:val="fr-FR"/>
        </w:rPr>
        <w:t xml:space="preserve"> </w:t>
      </w:r>
      <w:r w:rsidR="00E3674F" w:rsidRPr="007F135E">
        <w:rPr>
          <w:rFonts w:cs="Times New Roman"/>
          <w:kern w:val="22"/>
          <w:sz w:val="22"/>
          <w:lang w:val="fr-FR"/>
        </w:rPr>
        <w:t>connaissances traditionnelles</w:t>
      </w:r>
      <w:r w:rsidR="00703D1B" w:rsidRPr="007F135E">
        <w:rPr>
          <w:rFonts w:cs="Times New Roman"/>
          <w:kern w:val="22"/>
          <w:sz w:val="22"/>
          <w:lang w:val="fr-FR"/>
        </w:rPr>
        <w:t xml:space="preserve"> </w:t>
      </w:r>
      <w:r w:rsidR="0058080D">
        <w:rPr>
          <w:rFonts w:cs="Times New Roman"/>
          <w:kern w:val="22"/>
          <w:sz w:val="22"/>
          <w:lang w:val="fr-FR"/>
        </w:rPr>
        <w:t>sur</w:t>
      </w:r>
      <w:r w:rsidR="007F135E">
        <w:rPr>
          <w:rFonts w:cs="Times New Roman"/>
          <w:kern w:val="22"/>
          <w:sz w:val="22"/>
          <w:lang w:val="fr-FR"/>
        </w:rPr>
        <w:t xml:space="preserve"> cette</w:t>
      </w:r>
      <w:r w:rsidR="00703D1B" w:rsidRPr="007F135E">
        <w:rPr>
          <w:rFonts w:cs="Times New Roman"/>
          <w:kern w:val="22"/>
          <w:sz w:val="22"/>
          <w:lang w:val="fr-FR"/>
        </w:rPr>
        <w:t xml:space="preserve"> plant</w:t>
      </w:r>
      <w:r w:rsidR="0058080D">
        <w:rPr>
          <w:rFonts w:cs="Times New Roman"/>
          <w:kern w:val="22"/>
          <w:sz w:val="22"/>
          <w:lang w:val="fr-FR"/>
        </w:rPr>
        <w:t xml:space="preserve">e, </w:t>
      </w:r>
      <w:r w:rsidR="007F135E">
        <w:rPr>
          <w:rFonts w:cs="Times New Roman"/>
          <w:kern w:val="22"/>
          <w:sz w:val="22"/>
          <w:lang w:val="fr-FR"/>
        </w:rPr>
        <w:t>venant de</w:t>
      </w:r>
      <w:r w:rsidR="0058080D">
        <w:rPr>
          <w:rFonts w:cs="Times New Roman"/>
          <w:kern w:val="22"/>
          <w:sz w:val="22"/>
          <w:lang w:val="fr-FR"/>
        </w:rPr>
        <w:t>s</w:t>
      </w:r>
      <w:r w:rsidR="00703D1B" w:rsidRPr="007F135E">
        <w:rPr>
          <w:rFonts w:cs="Times New Roman"/>
          <w:kern w:val="22"/>
          <w:sz w:val="22"/>
          <w:lang w:val="fr-FR"/>
        </w:rPr>
        <w:t xml:space="preserve"> Philippines </w:t>
      </w:r>
      <w:r w:rsidR="0058080D">
        <w:rPr>
          <w:rFonts w:cs="Times New Roman"/>
          <w:kern w:val="22"/>
          <w:sz w:val="22"/>
          <w:lang w:val="fr-FR"/>
        </w:rPr>
        <w:t xml:space="preserve">pour le premier traitement </w:t>
      </w:r>
      <w:r w:rsidR="00703D1B" w:rsidRPr="007F135E">
        <w:rPr>
          <w:rFonts w:cs="Times New Roman"/>
          <w:kern w:val="22"/>
          <w:sz w:val="22"/>
          <w:lang w:val="fr-FR"/>
        </w:rPr>
        <w:t>(Vincristine)</w:t>
      </w:r>
      <w:r w:rsidR="00E3674F" w:rsidRPr="007F135E">
        <w:rPr>
          <w:rFonts w:cs="Times New Roman"/>
          <w:kern w:val="22"/>
          <w:sz w:val="22"/>
          <w:lang w:val="fr-FR"/>
        </w:rPr>
        <w:t xml:space="preserve"> et </w:t>
      </w:r>
      <w:r w:rsidR="0058080D">
        <w:rPr>
          <w:rFonts w:cs="Times New Roman"/>
          <w:kern w:val="22"/>
          <w:sz w:val="22"/>
          <w:lang w:val="fr-FR"/>
        </w:rPr>
        <w:t xml:space="preserve">de la </w:t>
      </w:r>
      <w:r w:rsidR="00A14BDE">
        <w:rPr>
          <w:rFonts w:cs="Times New Roman"/>
          <w:kern w:val="22"/>
          <w:sz w:val="22"/>
          <w:lang w:val="fr-FR"/>
        </w:rPr>
        <w:t>Jamaïque</w:t>
      </w:r>
      <w:r w:rsidR="0058080D">
        <w:rPr>
          <w:rFonts w:cs="Times New Roman"/>
          <w:kern w:val="22"/>
          <w:sz w:val="22"/>
          <w:lang w:val="fr-FR"/>
        </w:rPr>
        <w:t xml:space="preserve"> pour le deuxième traitement</w:t>
      </w:r>
      <w:r w:rsidR="007F135E">
        <w:rPr>
          <w:rFonts w:cs="Times New Roman"/>
          <w:kern w:val="22"/>
          <w:sz w:val="22"/>
          <w:lang w:val="fr-FR"/>
        </w:rPr>
        <w:t xml:space="preserve"> </w:t>
      </w:r>
      <w:r w:rsidR="00703D1B" w:rsidRPr="007F135E">
        <w:rPr>
          <w:rFonts w:cs="Times New Roman"/>
          <w:kern w:val="22"/>
          <w:sz w:val="22"/>
          <w:lang w:val="fr-FR"/>
        </w:rPr>
        <w:t>(Vinblastine).</w:t>
      </w:r>
      <w:r w:rsidR="00703D1B" w:rsidRPr="007F135E">
        <w:rPr>
          <w:rStyle w:val="FootnoteReference"/>
          <w:rFonts w:cs="Times New Roman"/>
          <w:kern w:val="22"/>
          <w:sz w:val="22"/>
          <w:lang w:val="fr-FR"/>
        </w:rPr>
        <w:t xml:space="preserve"> </w:t>
      </w:r>
      <w:r w:rsidR="00703D1B" w:rsidRPr="002364AB">
        <w:rPr>
          <w:rStyle w:val="FootnoteReference"/>
          <w:rFonts w:cs="Times New Roman"/>
          <w:kern w:val="22"/>
          <w:sz w:val="22"/>
          <w:lang w:val="en-GB"/>
        </w:rPr>
        <w:footnoteReference w:id="190"/>
      </w:r>
      <w:r w:rsidR="00703D1B" w:rsidRPr="007F135E">
        <w:rPr>
          <w:rFonts w:cs="Times New Roman"/>
          <w:kern w:val="22"/>
          <w:sz w:val="22"/>
          <w:lang w:val="fr-FR"/>
        </w:rPr>
        <w:t xml:space="preserve"> </w:t>
      </w:r>
      <w:r w:rsidR="0058080D">
        <w:rPr>
          <w:rFonts w:cs="Times New Roman"/>
          <w:kern w:val="22"/>
          <w:sz w:val="22"/>
          <w:lang w:val="fr-FR"/>
        </w:rPr>
        <w:t>Ces</w:t>
      </w:r>
      <w:r w:rsidR="007F135E" w:rsidRPr="007F135E">
        <w:rPr>
          <w:rFonts w:cs="Times New Roman"/>
          <w:kern w:val="22"/>
          <w:sz w:val="22"/>
          <w:lang w:val="fr-FR"/>
        </w:rPr>
        <w:t xml:space="preserve"> indication</w:t>
      </w:r>
      <w:r w:rsidR="007F135E">
        <w:rPr>
          <w:rFonts w:cs="Times New Roman"/>
          <w:kern w:val="22"/>
          <w:sz w:val="22"/>
          <w:lang w:val="fr-FR"/>
        </w:rPr>
        <w:t xml:space="preserve">s </w:t>
      </w:r>
      <w:r w:rsidR="0058080D">
        <w:rPr>
          <w:rFonts w:cs="Times New Roman"/>
          <w:kern w:val="22"/>
          <w:sz w:val="22"/>
          <w:lang w:val="fr-FR"/>
        </w:rPr>
        <w:t>initiales provenant de</w:t>
      </w:r>
      <w:r w:rsidR="007F135E">
        <w:rPr>
          <w:rFonts w:cs="Times New Roman"/>
          <w:kern w:val="22"/>
          <w:sz w:val="22"/>
          <w:lang w:val="fr-FR"/>
        </w:rPr>
        <w:t xml:space="preserve"> </w:t>
      </w:r>
      <w:r w:rsidR="00E3674F" w:rsidRPr="007F135E">
        <w:rPr>
          <w:rFonts w:cs="Times New Roman"/>
          <w:kern w:val="22"/>
          <w:sz w:val="22"/>
          <w:lang w:val="fr-FR"/>
        </w:rPr>
        <w:t>connaissances traditionnelles</w:t>
      </w:r>
      <w:r w:rsidR="00703D1B" w:rsidRPr="007F135E">
        <w:rPr>
          <w:rFonts w:cs="Times New Roman"/>
          <w:kern w:val="22"/>
          <w:sz w:val="22"/>
          <w:lang w:val="fr-FR"/>
        </w:rPr>
        <w:t xml:space="preserve"> </w:t>
      </w:r>
      <w:r w:rsidR="0058080D">
        <w:rPr>
          <w:rFonts w:cs="Times New Roman"/>
          <w:kern w:val="22"/>
          <w:sz w:val="22"/>
          <w:lang w:val="fr-FR"/>
        </w:rPr>
        <w:t>concernaie</w:t>
      </w:r>
      <w:r w:rsidR="007F135E">
        <w:rPr>
          <w:rFonts w:cs="Times New Roman"/>
          <w:kern w:val="22"/>
          <w:sz w:val="22"/>
          <w:lang w:val="fr-FR"/>
        </w:rPr>
        <w:t>nt le diabète, mais dans les</w:t>
      </w:r>
      <w:r w:rsidR="00703D1B" w:rsidRPr="007F135E">
        <w:rPr>
          <w:rFonts w:cs="Times New Roman"/>
          <w:kern w:val="22"/>
          <w:sz w:val="22"/>
          <w:lang w:val="fr-FR"/>
        </w:rPr>
        <w:t xml:space="preserve"> Philippines</w:t>
      </w:r>
      <w:r w:rsidR="007F135E">
        <w:rPr>
          <w:rFonts w:cs="Times New Roman"/>
          <w:kern w:val="22"/>
          <w:sz w:val="22"/>
          <w:lang w:val="fr-FR"/>
        </w:rPr>
        <w:t xml:space="preserve">, les connaissances étaient </w:t>
      </w:r>
      <w:r w:rsidR="005B26A0" w:rsidRPr="007F135E">
        <w:rPr>
          <w:rFonts w:cs="Times New Roman"/>
          <w:kern w:val="22"/>
          <w:sz w:val="22"/>
          <w:lang w:val="fr-FR"/>
        </w:rPr>
        <w:t>accessible</w:t>
      </w:r>
      <w:r w:rsidR="007F135E">
        <w:rPr>
          <w:rFonts w:cs="Times New Roman"/>
          <w:kern w:val="22"/>
          <w:sz w:val="22"/>
          <w:lang w:val="fr-FR"/>
        </w:rPr>
        <w:t>s</w:t>
      </w:r>
      <w:r w:rsidR="005B26A0" w:rsidRPr="007F135E">
        <w:rPr>
          <w:rFonts w:cs="Times New Roman"/>
          <w:kern w:val="22"/>
          <w:sz w:val="22"/>
          <w:lang w:val="fr-FR"/>
        </w:rPr>
        <w:t xml:space="preserve"> au public</w:t>
      </w:r>
      <w:r w:rsidR="007F135E">
        <w:rPr>
          <w:rFonts w:cs="Times New Roman"/>
          <w:kern w:val="22"/>
          <w:sz w:val="22"/>
          <w:lang w:val="fr-FR"/>
        </w:rPr>
        <w:t>,</w:t>
      </w:r>
      <w:r w:rsidR="0058080D">
        <w:rPr>
          <w:rFonts w:cs="Times New Roman"/>
          <w:kern w:val="22"/>
          <w:sz w:val="22"/>
          <w:lang w:val="fr-FR"/>
        </w:rPr>
        <w:t xml:space="preserve"> alors qu’elles ne l’étaient pas en</w:t>
      </w:r>
      <w:r w:rsidR="007F135E">
        <w:rPr>
          <w:rFonts w:cs="Times New Roman"/>
          <w:kern w:val="22"/>
          <w:sz w:val="22"/>
          <w:lang w:val="fr-FR"/>
        </w:rPr>
        <w:t xml:space="preserve"> </w:t>
      </w:r>
      <w:r w:rsidR="00A14BDE">
        <w:rPr>
          <w:rFonts w:cs="Times New Roman"/>
          <w:kern w:val="22"/>
          <w:sz w:val="22"/>
          <w:lang w:val="fr-FR"/>
        </w:rPr>
        <w:t>Jamaïque</w:t>
      </w:r>
      <w:r w:rsidR="00703D1B" w:rsidRPr="007F135E">
        <w:rPr>
          <w:rFonts w:cs="Times New Roman"/>
          <w:kern w:val="22"/>
          <w:sz w:val="22"/>
          <w:lang w:val="fr-FR"/>
        </w:rPr>
        <w:t>.</w:t>
      </w:r>
      <w:r w:rsidR="00703D1B" w:rsidRPr="002364AB">
        <w:rPr>
          <w:rStyle w:val="FootnoteReference"/>
          <w:rFonts w:cs="Times New Roman"/>
          <w:kern w:val="22"/>
          <w:sz w:val="22"/>
          <w:lang w:val="en-GB"/>
        </w:rPr>
        <w:footnoteReference w:id="191"/>
      </w:r>
      <w:r w:rsidR="00703D1B" w:rsidRPr="007F135E">
        <w:rPr>
          <w:rFonts w:cs="Times New Roman"/>
          <w:kern w:val="22"/>
          <w:sz w:val="22"/>
          <w:lang w:val="fr-FR"/>
        </w:rPr>
        <w:t xml:space="preserve">  </w:t>
      </w:r>
    </w:p>
    <w:p w14:paraId="60639929" w14:textId="197D1132" w:rsidR="00FC5588" w:rsidRPr="00E3674F" w:rsidRDefault="00E3674F" w:rsidP="003D4064">
      <w:pPr>
        <w:pStyle w:val="Heading2"/>
        <w:jc w:val="left"/>
        <w:rPr>
          <w:kern w:val="22"/>
          <w:sz w:val="22"/>
          <w:szCs w:val="22"/>
          <w:lang w:val="fr-FR"/>
        </w:rPr>
      </w:pPr>
      <w:bookmarkStart w:id="165" w:name="_Toc31040300"/>
      <w:bookmarkStart w:id="166" w:name="_Toc31056868"/>
      <w:bookmarkStart w:id="167" w:name="_Toc32490884"/>
      <w:bookmarkStart w:id="168" w:name="_Toc34249595"/>
      <w:bookmarkStart w:id="169" w:name="_Toc39580437"/>
      <w:bookmarkStart w:id="170" w:name="_Toc48914806"/>
      <w:r w:rsidRPr="00E3674F">
        <w:rPr>
          <w:kern w:val="22"/>
          <w:sz w:val="22"/>
          <w:szCs w:val="22"/>
          <w:lang w:val="fr-FR"/>
        </w:rPr>
        <w:t>Connaissances traditionnelles</w:t>
      </w:r>
      <w:r w:rsidR="00721699" w:rsidRPr="00E3674F">
        <w:rPr>
          <w:kern w:val="22"/>
          <w:sz w:val="22"/>
          <w:szCs w:val="22"/>
          <w:lang w:val="fr-FR"/>
        </w:rPr>
        <w:t xml:space="preserve"> </w:t>
      </w:r>
      <w:r w:rsidR="00BD0571">
        <w:rPr>
          <w:kern w:val="22"/>
          <w:sz w:val="22"/>
          <w:szCs w:val="22"/>
          <w:lang w:val="fr-FR"/>
        </w:rPr>
        <w:t>associées aux</w:t>
      </w:r>
      <w:r w:rsidR="00721699" w:rsidRPr="00E3674F">
        <w:rPr>
          <w:kern w:val="22"/>
          <w:sz w:val="22"/>
          <w:szCs w:val="22"/>
          <w:lang w:val="fr-FR"/>
        </w:rPr>
        <w:t xml:space="preserve"> </w:t>
      </w:r>
      <w:r w:rsidR="00FB0054">
        <w:rPr>
          <w:kern w:val="22"/>
          <w:sz w:val="22"/>
          <w:szCs w:val="22"/>
          <w:lang w:val="fr-FR"/>
        </w:rPr>
        <w:t>r</w:t>
      </w:r>
      <w:r w:rsidRPr="00E3674F">
        <w:rPr>
          <w:kern w:val="22"/>
          <w:sz w:val="22"/>
          <w:szCs w:val="22"/>
          <w:lang w:val="fr-FR"/>
        </w:rPr>
        <w:t>essources génétiques</w:t>
      </w:r>
      <w:r w:rsidR="004A2BDC">
        <w:rPr>
          <w:kern w:val="22"/>
          <w:sz w:val="22"/>
          <w:szCs w:val="22"/>
          <w:lang w:val="fr-FR"/>
        </w:rPr>
        <w:t xml:space="preserve"> </w:t>
      </w:r>
      <w:r w:rsidR="00E411BF">
        <w:rPr>
          <w:kern w:val="22"/>
          <w:sz w:val="22"/>
          <w:szCs w:val="22"/>
          <w:lang w:val="fr-FR"/>
        </w:rPr>
        <w:t>dont on ne peut déterminer l’origine</w:t>
      </w:r>
      <w:r w:rsidR="00FC5588" w:rsidRPr="00E3674F">
        <w:rPr>
          <w:kern w:val="22"/>
          <w:sz w:val="22"/>
          <w:szCs w:val="22"/>
          <w:lang w:val="fr-FR"/>
        </w:rPr>
        <w:t xml:space="preserve"> </w:t>
      </w:r>
      <w:r w:rsidR="007A438A">
        <w:rPr>
          <w:kern w:val="22"/>
          <w:sz w:val="22"/>
          <w:szCs w:val="22"/>
          <w:lang w:val="fr-FR"/>
        </w:rPr>
        <w:t>dans des collections</w:t>
      </w:r>
      <w:r w:rsidR="00FC7EA5">
        <w:rPr>
          <w:i/>
          <w:kern w:val="22"/>
          <w:sz w:val="22"/>
          <w:szCs w:val="22"/>
          <w:lang w:val="fr-FR"/>
        </w:rPr>
        <w:t xml:space="preserve"> ex situ</w:t>
      </w:r>
      <w:bookmarkEnd w:id="165"/>
      <w:bookmarkEnd w:id="166"/>
      <w:bookmarkEnd w:id="167"/>
      <w:bookmarkEnd w:id="168"/>
      <w:bookmarkEnd w:id="169"/>
      <w:bookmarkEnd w:id="170"/>
    </w:p>
    <w:p w14:paraId="7B80BEE9" w14:textId="6C6A3DC5" w:rsidR="00046603" w:rsidRPr="00424B6E" w:rsidRDefault="001E6A2B" w:rsidP="00CE54FF">
      <w:pPr>
        <w:rPr>
          <w:rFonts w:cs="Times New Roman"/>
          <w:kern w:val="22"/>
          <w:sz w:val="22"/>
          <w:lang w:val="fr-FR"/>
        </w:rPr>
      </w:pPr>
      <w:r>
        <w:rPr>
          <w:rFonts w:cs="Times New Roman"/>
          <w:kern w:val="22"/>
          <w:sz w:val="22"/>
          <w:lang w:val="fr-FR"/>
        </w:rPr>
        <w:t xml:space="preserve">De nombreux </w:t>
      </w:r>
      <w:r w:rsidR="00E40444" w:rsidRPr="00830BE4">
        <w:rPr>
          <w:rFonts w:cs="Times New Roman"/>
          <w:kern w:val="22"/>
          <w:sz w:val="22"/>
          <w:lang w:val="fr-FR"/>
        </w:rPr>
        <w:t>échantillons</w:t>
      </w:r>
      <w:r>
        <w:rPr>
          <w:rFonts w:cs="Times New Roman"/>
          <w:kern w:val="22"/>
          <w:sz w:val="22"/>
          <w:lang w:val="fr-FR"/>
        </w:rPr>
        <w:t xml:space="preserve"> de</w:t>
      </w:r>
      <w:r w:rsidR="009F7B75" w:rsidRPr="00830BE4">
        <w:rPr>
          <w:rFonts w:cs="Times New Roman"/>
          <w:kern w:val="22"/>
          <w:sz w:val="22"/>
          <w:lang w:val="fr-FR"/>
        </w:rPr>
        <w:t xml:space="preserve"> </w:t>
      </w:r>
      <w:r w:rsidR="004478A5">
        <w:rPr>
          <w:rFonts w:cs="Times New Roman"/>
          <w:kern w:val="22"/>
          <w:sz w:val="22"/>
          <w:lang w:val="fr-FR"/>
        </w:rPr>
        <w:t>matériel génétique</w:t>
      </w:r>
      <w:r w:rsidR="004F7230">
        <w:rPr>
          <w:rFonts w:cs="Times New Roman"/>
          <w:kern w:val="22"/>
          <w:sz w:val="22"/>
          <w:lang w:val="fr-FR"/>
        </w:rPr>
        <w:t xml:space="preserve"> collectés par de</w:t>
      </w:r>
      <w:r>
        <w:rPr>
          <w:rFonts w:cs="Times New Roman"/>
          <w:kern w:val="22"/>
          <w:sz w:val="22"/>
          <w:lang w:val="fr-FR"/>
        </w:rPr>
        <w:t xml:space="preserve">s </w:t>
      </w:r>
      <w:r w:rsidR="009F7B75" w:rsidRPr="00830BE4">
        <w:rPr>
          <w:rFonts w:cs="Times New Roman"/>
          <w:kern w:val="22"/>
          <w:sz w:val="22"/>
          <w:lang w:val="fr-FR"/>
        </w:rPr>
        <w:t>ethnobotanist</w:t>
      </w:r>
      <w:r>
        <w:rPr>
          <w:rFonts w:cs="Times New Roman"/>
          <w:kern w:val="22"/>
          <w:sz w:val="22"/>
          <w:lang w:val="fr-FR"/>
        </w:rPr>
        <w:t>e</w:t>
      </w:r>
      <w:r w:rsidR="009F7B75" w:rsidRPr="00830BE4">
        <w:rPr>
          <w:rFonts w:cs="Times New Roman"/>
          <w:kern w:val="22"/>
          <w:sz w:val="22"/>
          <w:lang w:val="fr-FR"/>
        </w:rPr>
        <w:t>s</w:t>
      </w:r>
      <w:r w:rsidR="004F7230">
        <w:rPr>
          <w:rFonts w:cs="Times New Roman"/>
          <w:kern w:val="22"/>
          <w:sz w:val="22"/>
          <w:lang w:val="fr-FR"/>
        </w:rPr>
        <w:t>, puis</w:t>
      </w:r>
      <w:r w:rsidR="00E3674F" w:rsidRPr="00830BE4">
        <w:rPr>
          <w:rFonts w:cs="Times New Roman"/>
          <w:kern w:val="22"/>
          <w:sz w:val="22"/>
          <w:lang w:val="fr-FR"/>
        </w:rPr>
        <w:t xml:space="preserve"> </w:t>
      </w:r>
      <w:r w:rsidR="00053E0E">
        <w:rPr>
          <w:rFonts w:cs="Times New Roman"/>
          <w:kern w:val="22"/>
          <w:sz w:val="22"/>
          <w:lang w:val="fr-FR"/>
        </w:rPr>
        <w:t>déposés</w:t>
      </w:r>
      <w:r>
        <w:rPr>
          <w:rFonts w:cs="Times New Roman"/>
          <w:kern w:val="22"/>
          <w:sz w:val="22"/>
          <w:lang w:val="fr-FR"/>
        </w:rPr>
        <w:t xml:space="preserve"> dans des</w:t>
      </w:r>
      <w:r w:rsidR="009F7B75" w:rsidRPr="00830BE4">
        <w:rPr>
          <w:rFonts w:cs="Times New Roman"/>
          <w:kern w:val="22"/>
          <w:sz w:val="22"/>
          <w:lang w:val="fr-FR"/>
        </w:rPr>
        <w:t xml:space="preserve"> </w:t>
      </w:r>
      <w:r w:rsidR="00D6232E" w:rsidRPr="00830BE4">
        <w:rPr>
          <w:rFonts w:cs="Times New Roman"/>
          <w:kern w:val="22"/>
          <w:sz w:val="22"/>
          <w:lang w:val="fr-FR"/>
        </w:rPr>
        <w:t>jardins botaniques</w:t>
      </w:r>
      <w:r w:rsidR="009F7B75" w:rsidRPr="00830BE4">
        <w:rPr>
          <w:rFonts w:cs="Times New Roman"/>
          <w:kern w:val="22"/>
          <w:sz w:val="22"/>
          <w:lang w:val="fr-FR"/>
        </w:rPr>
        <w:t xml:space="preserve">, </w:t>
      </w:r>
      <w:r w:rsidR="00BE6788">
        <w:rPr>
          <w:rFonts w:cs="Times New Roman"/>
          <w:kern w:val="22"/>
          <w:sz w:val="22"/>
          <w:lang w:val="fr-FR"/>
        </w:rPr>
        <w:t>herbiers</w:t>
      </w:r>
      <w:r w:rsidR="004F7230">
        <w:rPr>
          <w:rFonts w:cs="Times New Roman"/>
          <w:kern w:val="22"/>
          <w:sz w:val="22"/>
          <w:lang w:val="fr-FR"/>
        </w:rPr>
        <w:t xml:space="preserve"> ou</w:t>
      </w:r>
      <w:r>
        <w:rPr>
          <w:rFonts w:cs="Times New Roman"/>
          <w:kern w:val="22"/>
          <w:sz w:val="22"/>
          <w:lang w:val="fr-FR"/>
        </w:rPr>
        <w:t xml:space="preserve"> d’</w:t>
      </w:r>
      <w:r w:rsidR="007267BB">
        <w:rPr>
          <w:rFonts w:cs="Times New Roman"/>
          <w:kern w:val="22"/>
          <w:sz w:val="22"/>
          <w:lang w:val="fr-FR"/>
        </w:rPr>
        <w:t xml:space="preserve">autres collections </w:t>
      </w:r>
      <w:r w:rsidR="007267BB" w:rsidRPr="007267BB">
        <w:rPr>
          <w:rFonts w:cs="Times New Roman"/>
          <w:i/>
          <w:kern w:val="22"/>
          <w:sz w:val="22"/>
          <w:lang w:val="fr-FR"/>
        </w:rPr>
        <w:t>ex situ</w:t>
      </w:r>
      <w:r w:rsidR="004F7230">
        <w:rPr>
          <w:rFonts w:cs="Times New Roman"/>
          <w:i/>
          <w:kern w:val="22"/>
          <w:sz w:val="22"/>
          <w:lang w:val="fr-FR"/>
        </w:rPr>
        <w:t>,</w:t>
      </w:r>
      <w:r w:rsidR="009F7B75" w:rsidRPr="00830BE4">
        <w:rPr>
          <w:rFonts w:cs="Times New Roman"/>
          <w:kern w:val="22"/>
          <w:sz w:val="22"/>
          <w:lang w:val="fr-FR"/>
        </w:rPr>
        <w:t xml:space="preserve"> </w:t>
      </w:r>
      <w:r w:rsidR="007267BB">
        <w:rPr>
          <w:rFonts w:cs="Times New Roman"/>
          <w:kern w:val="22"/>
          <w:sz w:val="22"/>
          <w:lang w:val="fr-FR"/>
        </w:rPr>
        <w:t>ont été acquis</w:t>
      </w:r>
      <w:r w:rsidR="00D6232E" w:rsidRPr="00830BE4">
        <w:rPr>
          <w:rFonts w:cs="Times New Roman"/>
          <w:kern w:val="22"/>
          <w:sz w:val="22"/>
          <w:lang w:val="fr-FR"/>
        </w:rPr>
        <w:t xml:space="preserve"> avec </w:t>
      </w:r>
      <w:r w:rsidR="00CE0D38">
        <w:rPr>
          <w:rFonts w:cs="Times New Roman"/>
          <w:kern w:val="22"/>
          <w:sz w:val="22"/>
          <w:lang w:val="fr-FR"/>
        </w:rPr>
        <w:t>l’aide et sous la</w:t>
      </w:r>
      <w:r w:rsidR="00E3674F" w:rsidRPr="00830BE4">
        <w:rPr>
          <w:rFonts w:cs="Times New Roman"/>
          <w:kern w:val="22"/>
          <w:sz w:val="22"/>
          <w:lang w:val="fr-FR"/>
        </w:rPr>
        <w:t xml:space="preserve"> </w:t>
      </w:r>
      <w:r w:rsidR="00CE0D38">
        <w:rPr>
          <w:rFonts w:cs="Times New Roman"/>
          <w:kern w:val="22"/>
          <w:sz w:val="22"/>
          <w:lang w:val="fr-FR"/>
        </w:rPr>
        <w:t>direction de</w:t>
      </w:r>
      <w:r w:rsidR="00830BE4" w:rsidRPr="00830BE4">
        <w:rPr>
          <w:rFonts w:cs="Times New Roman"/>
          <w:kern w:val="22"/>
          <w:sz w:val="22"/>
          <w:lang w:val="fr-FR"/>
        </w:rPr>
        <w:t xml:space="preserve"> </w:t>
      </w:r>
      <w:r w:rsidR="00830BE4" w:rsidRPr="00830BE4">
        <w:rPr>
          <w:rFonts w:cs="Times New Roman"/>
          <w:kern w:val="22"/>
          <w:sz w:val="22"/>
          <w:lang w:val="fr-FR"/>
        </w:rPr>
        <w:lastRenderedPageBreak/>
        <w:t>peuples autochtones et communautés locales</w:t>
      </w:r>
      <w:r w:rsidR="00CE0D38">
        <w:rPr>
          <w:rFonts w:cs="Times New Roman"/>
          <w:kern w:val="22"/>
          <w:sz w:val="22"/>
          <w:lang w:val="fr-FR"/>
        </w:rPr>
        <w:t xml:space="preserve"> qui</w:t>
      </w:r>
      <w:r w:rsidR="004F7230">
        <w:rPr>
          <w:rFonts w:cs="Times New Roman"/>
          <w:kern w:val="22"/>
          <w:sz w:val="22"/>
          <w:lang w:val="fr-FR"/>
        </w:rPr>
        <w:t xml:space="preserve"> </w:t>
      </w:r>
      <w:r w:rsidR="001F55AB">
        <w:rPr>
          <w:rFonts w:cs="Times New Roman"/>
          <w:kern w:val="22"/>
          <w:sz w:val="22"/>
          <w:lang w:val="fr-FR"/>
        </w:rPr>
        <w:t>u</w:t>
      </w:r>
      <w:r w:rsidR="004F7230">
        <w:rPr>
          <w:rFonts w:cs="Times New Roman"/>
          <w:kern w:val="22"/>
          <w:sz w:val="22"/>
          <w:lang w:val="fr-FR"/>
        </w:rPr>
        <w:t>tilisent</w:t>
      </w:r>
      <w:r w:rsidR="001F55AB">
        <w:rPr>
          <w:rFonts w:cs="Times New Roman"/>
          <w:kern w:val="22"/>
          <w:sz w:val="22"/>
          <w:lang w:val="fr-FR"/>
        </w:rPr>
        <w:t xml:space="preserve"> </w:t>
      </w:r>
      <w:r w:rsidR="00CE0D38">
        <w:rPr>
          <w:rFonts w:cs="Times New Roman"/>
          <w:kern w:val="22"/>
          <w:sz w:val="22"/>
          <w:lang w:val="fr-FR"/>
        </w:rPr>
        <w:t>c</w:t>
      </w:r>
      <w:r w:rsidR="009F7B75" w:rsidRPr="00830BE4">
        <w:rPr>
          <w:rFonts w:cs="Times New Roman"/>
          <w:kern w:val="22"/>
          <w:sz w:val="22"/>
          <w:lang w:val="fr-FR"/>
        </w:rPr>
        <w:t xml:space="preserve">e </w:t>
      </w:r>
      <w:r w:rsidR="003474B6">
        <w:rPr>
          <w:rFonts w:cs="Times New Roman"/>
          <w:kern w:val="22"/>
          <w:sz w:val="22"/>
          <w:lang w:val="fr-FR"/>
        </w:rPr>
        <w:t>matériel</w:t>
      </w:r>
      <w:r w:rsidR="00CE0D38">
        <w:rPr>
          <w:rFonts w:cs="Times New Roman"/>
          <w:kern w:val="22"/>
          <w:sz w:val="22"/>
          <w:lang w:val="fr-FR"/>
        </w:rPr>
        <w:t xml:space="preserve"> à des fins mé</w:t>
      </w:r>
      <w:r w:rsidR="009F7B75" w:rsidRPr="00830BE4">
        <w:rPr>
          <w:rFonts w:cs="Times New Roman"/>
          <w:kern w:val="22"/>
          <w:sz w:val="22"/>
          <w:lang w:val="fr-FR"/>
        </w:rPr>
        <w:t>dicinal</w:t>
      </w:r>
      <w:r w:rsidR="00CE0D38">
        <w:rPr>
          <w:rFonts w:cs="Times New Roman"/>
          <w:kern w:val="22"/>
          <w:sz w:val="22"/>
          <w:lang w:val="fr-FR"/>
        </w:rPr>
        <w:t xml:space="preserve">es ou à d’autres fins. Il en résulte que </w:t>
      </w:r>
      <w:r w:rsidR="004F7230">
        <w:rPr>
          <w:rFonts w:cs="Times New Roman"/>
          <w:kern w:val="22"/>
          <w:sz w:val="22"/>
          <w:lang w:val="fr-FR"/>
        </w:rPr>
        <w:t>les usages traditionnel</w:t>
      </w:r>
      <w:r w:rsidR="004478A5" w:rsidRPr="003474B6">
        <w:rPr>
          <w:rFonts w:cs="Times New Roman"/>
          <w:kern w:val="22"/>
          <w:sz w:val="22"/>
          <w:lang w:val="fr-FR"/>
        </w:rPr>
        <w:t>s</w:t>
      </w:r>
      <w:r w:rsidR="00CE0D38">
        <w:rPr>
          <w:rFonts w:cs="Times New Roman"/>
          <w:kern w:val="22"/>
          <w:sz w:val="22"/>
          <w:lang w:val="fr-FR"/>
        </w:rPr>
        <w:t xml:space="preserve"> </w:t>
      </w:r>
      <w:r w:rsidR="004F7230">
        <w:rPr>
          <w:rFonts w:cs="Times New Roman"/>
          <w:kern w:val="22"/>
          <w:sz w:val="22"/>
          <w:lang w:val="fr-FR"/>
        </w:rPr>
        <w:t>d</w:t>
      </w:r>
      <w:r w:rsidR="00CE0D38">
        <w:rPr>
          <w:rFonts w:cs="Times New Roman"/>
          <w:kern w:val="22"/>
          <w:sz w:val="22"/>
          <w:lang w:val="fr-FR"/>
        </w:rPr>
        <w:t>e</w:t>
      </w:r>
      <w:r w:rsidR="009F7B75" w:rsidRPr="003474B6">
        <w:rPr>
          <w:rFonts w:cs="Times New Roman"/>
          <w:kern w:val="22"/>
          <w:sz w:val="22"/>
          <w:lang w:val="fr-FR"/>
        </w:rPr>
        <w:t xml:space="preserve"> </w:t>
      </w:r>
      <w:r w:rsidR="001B2CC8" w:rsidRPr="003474B6">
        <w:rPr>
          <w:rFonts w:cs="Times New Roman"/>
          <w:kern w:val="22"/>
          <w:sz w:val="22"/>
          <w:lang w:val="fr-FR"/>
        </w:rPr>
        <w:t>plantes</w:t>
      </w:r>
      <w:r w:rsidR="004F7230">
        <w:rPr>
          <w:rFonts w:cs="Times New Roman"/>
          <w:kern w:val="22"/>
          <w:sz w:val="22"/>
          <w:lang w:val="fr-FR"/>
        </w:rPr>
        <w:t xml:space="preserve"> ou autre</w:t>
      </w:r>
      <w:r w:rsidR="002518EB" w:rsidRPr="003474B6">
        <w:rPr>
          <w:rFonts w:cs="Times New Roman"/>
          <w:kern w:val="22"/>
          <w:sz w:val="22"/>
          <w:lang w:val="fr-FR"/>
        </w:rPr>
        <w:t xml:space="preserve"> </w:t>
      </w:r>
      <w:r w:rsidR="003474B6" w:rsidRPr="003474B6">
        <w:rPr>
          <w:rFonts w:cs="Times New Roman"/>
          <w:kern w:val="22"/>
          <w:sz w:val="22"/>
          <w:lang w:val="fr-FR"/>
        </w:rPr>
        <w:t>matériel</w:t>
      </w:r>
      <w:r w:rsidR="004F7230">
        <w:rPr>
          <w:rFonts w:cs="Times New Roman"/>
          <w:kern w:val="22"/>
          <w:sz w:val="22"/>
          <w:lang w:val="fr-FR"/>
        </w:rPr>
        <w:t xml:space="preserve"> biologique sont parfois indiqués dans les informations fournies</w:t>
      </w:r>
      <w:r w:rsidR="00CE0D38">
        <w:rPr>
          <w:rFonts w:cs="Times New Roman"/>
          <w:kern w:val="22"/>
          <w:sz w:val="22"/>
          <w:lang w:val="fr-FR"/>
        </w:rPr>
        <w:t xml:space="preserve"> </w:t>
      </w:r>
      <w:r w:rsidR="004F7230">
        <w:rPr>
          <w:rFonts w:cs="Times New Roman"/>
          <w:kern w:val="22"/>
          <w:sz w:val="22"/>
          <w:lang w:val="fr-FR"/>
        </w:rPr>
        <w:t xml:space="preserve">sur </w:t>
      </w:r>
      <w:r w:rsidR="00CE0D38">
        <w:rPr>
          <w:rFonts w:cs="Times New Roman"/>
          <w:kern w:val="22"/>
          <w:sz w:val="22"/>
          <w:lang w:val="fr-FR"/>
        </w:rPr>
        <w:t>un</w:t>
      </w:r>
      <w:r w:rsidR="009F7B75" w:rsidRPr="003474B6">
        <w:rPr>
          <w:rFonts w:cs="Times New Roman"/>
          <w:kern w:val="22"/>
          <w:sz w:val="22"/>
          <w:lang w:val="fr-FR"/>
        </w:rPr>
        <w:t xml:space="preserve"> </w:t>
      </w:r>
      <w:r w:rsidR="00C94EE5">
        <w:rPr>
          <w:rFonts w:cs="Times New Roman"/>
          <w:kern w:val="22"/>
          <w:sz w:val="22"/>
          <w:lang w:val="fr-FR"/>
        </w:rPr>
        <w:t>échantillon</w:t>
      </w:r>
      <w:r w:rsidR="009F7B75" w:rsidRPr="003474B6">
        <w:rPr>
          <w:rFonts w:cs="Times New Roman"/>
          <w:kern w:val="22"/>
          <w:sz w:val="22"/>
          <w:lang w:val="fr-FR"/>
        </w:rPr>
        <w:t xml:space="preserve">, </w:t>
      </w:r>
      <w:r w:rsidR="00424B6E">
        <w:rPr>
          <w:rFonts w:cs="Times New Roman"/>
          <w:kern w:val="22"/>
          <w:sz w:val="22"/>
          <w:lang w:val="fr-FR"/>
        </w:rPr>
        <w:t>en particulier</w:t>
      </w:r>
      <w:r w:rsidR="00CE0D38">
        <w:rPr>
          <w:rFonts w:cs="Times New Roman"/>
          <w:kern w:val="22"/>
          <w:sz w:val="22"/>
          <w:lang w:val="fr-FR"/>
        </w:rPr>
        <w:t xml:space="preserve"> dans les</w:t>
      </w:r>
      <w:r w:rsidR="009F7B75" w:rsidRPr="003474B6">
        <w:rPr>
          <w:rFonts w:cs="Times New Roman"/>
          <w:kern w:val="22"/>
          <w:sz w:val="22"/>
          <w:lang w:val="fr-FR"/>
        </w:rPr>
        <w:t xml:space="preserve"> </w:t>
      </w:r>
      <w:r w:rsidR="00BE6788" w:rsidRPr="003474B6">
        <w:rPr>
          <w:rFonts w:cs="Times New Roman"/>
          <w:kern w:val="22"/>
          <w:sz w:val="22"/>
          <w:lang w:val="fr-FR"/>
        </w:rPr>
        <w:t>herbiers</w:t>
      </w:r>
      <w:r w:rsidR="009F7B75" w:rsidRPr="003474B6">
        <w:rPr>
          <w:rFonts w:cs="Times New Roman"/>
          <w:kern w:val="22"/>
          <w:sz w:val="22"/>
          <w:lang w:val="fr-FR"/>
        </w:rPr>
        <w:t xml:space="preserve">. </w:t>
      </w:r>
      <w:r w:rsidR="00D6232E" w:rsidRPr="00FA4E1F">
        <w:rPr>
          <w:rFonts w:cs="Times New Roman"/>
          <w:kern w:val="22"/>
          <w:sz w:val="22"/>
          <w:lang w:val="fr-FR"/>
        </w:rPr>
        <w:t>Cependant</w:t>
      </w:r>
      <w:r w:rsidR="009F7B75" w:rsidRPr="00FA4E1F">
        <w:rPr>
          <w:rFonts w:cs="Times New Roman"/>
          <w:kern w:val="22"/>
          <w:sz w:val="22"/>
          <w:lang w:val="fr-FR"/>
        </w:rPr>
        <w:t xml:space="preserve">, </w:t>
      </w:r>
      <w:r w:rsidR="0058080D">
        <w:rPr>
          <w:rFonts w:cs="Times New Roman"/>
          <w:kern w:val="22"/>
          <w:sz w:val="22"/>
          <w:lang w:val="fr-FR"/>
        </w:rPr>
        <w:t xml:space="preserve">bien que </w:t>
      </w:r>
      <w:r w:rsidR="00CE0D38">
        <w:rPr>
          <w:rFonts w:cs="Times New Roman"/>
          <w:kern w:val="22"/>
          <w:sz w:val="22"/>
          <w:lang w:val="fr-FR"/>
        </w:rPr>
        <w:t xml:space="preserve">des informations </w:t>
      </w:r>
      <w:r w:rsidR="00A14BDE">
        <w:rPr>
          <w:rFonts w:cs="Times New Roman"/>
          <w:kern w:val="22"/>
          <w:sz w:val="22"/>
          <w:lang w:val="fr-FR"/>
        </w:rPr>
        <w:t>soient</w:t>
      </w:r>
      <w:r w:rsidR="0058080D">
        <w:rPr>
          <w:rFonts w:cs="Times New Roman"/>
          <w:kern w:val="22"/>
          <w:sz w:val="22"/>
          <w:lang w:val="fr-FR"/>
        </w:rPr>
        <w:t xml:space="preserve"> souvent fournies </w:t>
      </w:r>
      <w:r w:rsidR="00CE0D38">
        <w:rPr>
          <w:rFonts w:cs="Times New Roman"/>
          <w:kern w:val="22"/>
          <w:sz w:val="22"/>
          <w:lang w:val="fr-FR"/>
        </w:rPr>
        <w:t xml:space="preserve">sur le </w:t>
      </w:r>
      <w:r w:rsidR="00D70471" w:rsidRPr="00FA4E1F">
        <w:rPr>
          <w:rFonts w:cs="Times New Roman"/>
          <w:kern w:val="22"/>
          <w:sz w:val="22"/>
          <w:lang w:val="fr-FR"/>
        </w:rPr>
        <w:t>pays fournisseur</w:t>
      </w:r>
      <w:r w:rsidR="009F7B75" w:rsidRPr="00FA4E1F">
        <w:rPr>
          <w:rFonts w:cs="Times New Roman"/>
          <w:kern w:val="22"/>
          <w:sz w:val="22"/>
          <w:lang w:val="fr-FR"/>
        </w:rPr>
        <w:t>,</w:t>
      </w:r>
      <w:r w:rsidR="0058080D">
        <w:rPr>
          <w:rFonts w:cs="Times New Roman"/>
          <w:kern w:val="22"/>
          <w:sz w:val="22"/>
          <w:lang w:val="fr-FR"/>
        </w:rPr>
        <w:t xml:space="preserve"> ce n’est pas toujours le cas d</w:t>
      </w:r>
      <w:r w:rsidR="00830BE4" w:rsidRPr="00FA4E1F">
        <w:rPr>
          <w:rFonts w:cs="Times New Roman"/>
          <w:kern w:val="22"/>
          <w:sz w:val="22"/>
          <w:lang w:val="fr-FR"/>
        </w:rPr>
        <w:t>es peuples autochtones et communautés locales</w:t>
      </w:r>
      <w:r w:rsidR="009F7B75" w:rsidRPr="00FA4E1F">
        <w:rPr>
          <w:rFonts w:cs="Times New Roman"/>
          <w:kern w:val="22"/>
          <w:sz w:val="22"/>
          <w:lang w:val="fr-FR"/>
        </w:rPr>
        <w:t xml:space="preserve"> </w:t>
      </w:r>
      <w:r w:rsidR="0058080D">
        <w:rPr>
          <w:rFonts w:cs="Times New Roman"/>
          <w:kern w:val="22"/>
          <w:sz w:val="22"/>
          <w:lang w:val="fr-FR"/>
        </w:rPr>
        <w:t xml:space="preserve">qui sont à l’origine des </w:t>
      </w:r>
      <w:r w:rsidR="00CE0D38">
        <w:rPr>
          <w:rFonts w:cs="Times New Roman"/>
          <w:kern w:val="22"/>
          <w:sz w:val="22"/>
          <w:lang w:val="fr-FR"/>
        </w:rPr>
        <w:t>information</w:t>
      </w:r>
      <w:r w:rsidR="0058080D">
        <w:rPr>
          <w:rFonts w:cs="Times New Roman"/>
          <w:kern w:val="22"/>
          <w:sz w:val="22"/>
          <w:lang w:val="fr-FR"/>
        </w:rPr>
        <w:t>s concernant</w:t>
      </w:r>
      <w:r w:rsidR="00CE0D38">
        <w:rPr>
          <w:rFonts w:cs="Times New Roman"/>
          <w:kern w:val="22"/>
          <w:sz w:val="22"/>
          <w:lang w:val="fr-FR"/>
        </w:rPr>
        <w:t xml:space="preserve"> la </w:t>
      </w:r>
      <w:r w:rsidR="00BE4772" w:rsidRPr="00FA4E1F">
        <w:rPr>
          <w:rFonts w:cs="Times New Roman"/>
          <w:kern w:val="22"/>
          <w:sz w:val="22"/>
          <w:lang w:val="fr-FR"/>
        </w:rPr>
        <w:t>ressource génétique</w:t>
      </w:r>
      <w:r w:rsidR="00CE0D38">
        <w:rPr>
          <w:rFonts w:cs="Times New Roman"/>
          <w:kern w:val="22"/>
          <w:sz w:val="22"/>
          <w:lang w:val="fr-FR"/>
        </w:rPr>
        <w:t xml:space="preserve"> </w:t>
      </w:r>
      <w:r w:rsidR="00424B6E">
        <w:rPr>
          <w:rFonts w:cs="Times New Roman"/>
          <w:kern w:val="22"/>
          <w:sz w:val="22"/>
          <w:lang w:val="fr-FR"/>
        </w:rPr>
        <w:t>utilis</w:t>
      </w:r>
      <w:r w:rsidR="00CE0D38">
        <w:rPr>
          <w:rFonts w:cs="Times New Roman"/>
          <w:kern w:val="22"/>
          <w:sz w:val="22"/>
          <w:lang w:val="fr-FR"/>
        </w:rPr>
        <w:t>ée</w:t>
      </w:r>
      <w:r w:rsidR="00046603" w:rsidRPr="00FA4E1F">
        <w:rPr>
          <w:rFonts w:cs="Times New Roman"/>
          <w:kern w:val="22"/>
          <w:sz w:val="22"/>
          <w:lang w:val="fr-FR"/>
        </w:rPr>
        <w:t>.</w:t>
      </w:r>
      <w:r w:rsidR="00C7198A" w:rsidRPr="002364AB">
        <w:rPr>
          <w:rStyle w:val="FootnoteReference"/>
          <w:rFonts w:cs="Times New Roman"/>
          <w:kern w:val="22"/>
          <w:sz w:val="22"/>
          <w:lang w:val="en-GB"/>
        </w:rPr>
        <w:footnoteReference w:id="192"/>
      </w:r>
      <w:r w:rsidR="007F3A2C" w:rsidRPr="00FA4E1F">
        <w:rPr>
          <w:rFonts w:cs="Times New Roman"/>
          <w:kern w:val="22"/>
          <w:sz w:val="22"/>
          <w:lang w:val="fr-FR"/>
        </w:rPr>
        <w:t xml:space="preserve"> </w:t>
      </w:r>
      <w:r w:rsidR="00CE0D38">
        <w:rPr>
          <w:rFonts w:cs="Times New Roman"/>
          <w:kern w:val="22"/>
          <w:sz w:val="22"/>
          <w:lang w:val="fr-FR"/>
        </w:rPr>
        <w:t>Dans</w:t>
      </w:r>
      <w:r w:rsidR="00AA5919" w:rsidRPr="00424B6E">
        <w:rPr>
          <w:rFonts w:cs="Times New Roman"/>
          <w:kern w:val="22"/>
          <w:sz w:val="22"/>
          <w:lang w:val="fr-FR"/>
        </w:rPr>
        <w:t xml:space="preserve"> certains </w:t>
      </w:r>
      <w:r w:rsidR="00D04EC6" w:rsidRPr="00424B6E">
        <w:rPr>
          <w:rFonts w:cs="Times New Roman"/>
          <w:kern w:val="22"/>
          <w:sz w:val="22"/>
          <w:lang w:val="fr-FR"/>
        </w:rPr>
        <w:t>cas</w:t>
      </w:r>
      <w:r w:rsidR="009F7B75" w:rsidRPr="00424B6E">
        <w:rPr>
          <w:rFonts w:cs="Times New Roman"/>
          <w:kern w:val="22"/>
          <w:sz w:val="22"/>
          <w:lang w:val="fr-FR"/>
        </w:rPr>
        <w:t xml:space="preserve">, </w:t>
      </w:r>
      <w:r w:rsidR="00862A73">
        <w:rPr>
          <w:rFonts w:cs="Times New Roman"/>
          <w:kern w:val="22"/>
          <w:sz w:val="22"/>
          <w:lang w:val="fr-FR"/>
        </w:rPr>
        <w:t>ceci est dû au fait que diffé</w:t>
      </w:r>
      <w:r w:rsidR="009F7B75" w:rsidRPr="00424B6E">
        <w:rPr>
          <w:rFonts w:cs="Times New Roman"/>
          <w:kern w:val="22"/>
          <w:sz w:val="22"/>
          <w:lang w:val="fr-FR"/>
        </w:rPr>
        <w:t>rent</w:t>
      </w:r>
      <w:r w:rsidR="00862A73">
        <w:rPr>
          <w:rFonts w:cs="Times New Roman"/>
          <w:kern w:val="22"/>
          <w:sz w:val="22"/>
          <w:lang w:val="fr-FR"/>
        </w:rPr>
        <w:t>s</w:t>
      </w:r>
      <w:r w:rsidR="009F7B75" w:rsidRPr="00424B6E">
        <w:rPr>
          <w:rFonts w:cs="Times New Roman"/>
          <w:kern w:val="22"/>
          <w:sz w:val="22"/>
          <w:lang w:val="fr-FR"/>
        </w:rPr>
        <w:t xml:space="preserve"> </w:t>
      </w:r>
      <w:r w:rsidR="0058080D">
        <w:rPr>
          <w:rFonts w:cs="Times New Roman"/>
          <w:kern w:val="22"/>
          <w:sz w:val="22"/>
          <w:lang w:val="fr-FR"/>
        </w:rPr>
        <w:t>individus à l’intérieur ou</w:t>
      </w:r>
      <w:r w:rsidR="00E3674F" w:rsidRPr="00424B6E">
        <w:rPr>
          <w:rFonts w:cs="Times New Roman"/>
          <w:kern w:val="22"/>
          <w:sz w:val="22"/>
          <w:lang w:val="fr-FR"/>
        </w:rPr>
        <w:t xml:space="preserve"> </w:t>
      </w:r>
      <w:r w:rsidR="009B2B98" w:rsidRPr="00424B6E">
        <w:rPr>
          <w:rFonts w:cs="Times New Roman"/>
          <w:kern w:val="22"/>
          <w:sz w:val="22"/>
          <w:lang w:val="fr-FR"/>
        </w:rPr>
        <w:t>à l’extérieur</w:t>
      </w:r>
      <w:r w:rsidR="00862A73">
        <w:rPr>
          <w:rFonts w:cs="Times New Roman"/>
          <w:kern w:val="22"/>
          <w:sz w:val="22"/>
          <w:lang w:val="fr-FR"/>
        </w:rPr>
        <w:t xml:space="preserve"> d’</w:t>
      </w:r>
      <w:r w:rsidR="008A5BE1" w:rsidRPr="00424B6E">
        <w:rPr>
          <w:rFonts w:cs="Times New Roman"/>
          <w:kern w:val="22"/>
          <w:sz w:val="22"/>
          <w:lang w:val="fr-FR"/>
        </w:rPr>
        <w:t>une communauté</w:t>
      </w:r>
      <w:r w:rsidR="0058080D">
        <w:rPr>
          <w:rFonts w:cs="Times New Roman"/>
          <w:kern w:val="22"/>
          <w:sz w:val="22"/>
          <w:lang w:val="fr-FR"/>
        </w:rPr>
        <w:t xml:space="preserve"> </w:t>
      </w:r>
      <w:r w:rsidR="00862A73">
        <w:rPr>
          <w:rFonts w:cs="Times New Roman"/>
          <w:kern w:val="22"/>
          <w:sz w:val="22"/>
          <w:lang w:val="fr-FR"/>
        </w:rPr>
        <w:t>ont fou</w:t>
      </w:r>
      <w:r w:rsidR="0058080D">
        <w:rPr>
          <w:rFonts w:cs="Times New Roman"/>
          <w:kern w:val="22"/>
          <w:sz w:val="22"/>
          <w:lang w:val="fr-FR"/>
        </w:rPr>
        <w:t>rni des indications sur d</w:t>
      </w:r>
      <w:r w:rsidR="00862A73">
        <w:rPr>
          <w:rFonts w:cs="Times New Roman"/>
          <w:kern w:val="22"/>
          <w:sz w:val="22"/>
          <w:lang w:val="fr-FR"/>
        </w:rPr>
        <w:t>es usages m</w:t>
      </w:r>
      <w:r w:rsidR="0058080D">
        <w:rPr>
          <w:rFonts w:cs="Times New Roman"/>
          <w:kern w:val="22"/>
          <w:sz w:val="22"/>
          <w:lang w:val="fr-FR"/>
        </w:rPr>
        <w:t xml:space="preserve">édicinaux, ou </w:t>
      </w:r>
      <w:r w:rsidR="00862A73">
        <w:rPr>
          <w:rFonts w:cs="Times New Roman"/>
          <w:kern w:val="22"/>
          <w:sz w:val="22"/>
          <w:lang w:val="fr-FR"/>
        </w:rPr>
        <w:t>que l’</w:t>
      </w:r>
      <w:r w:rsidR="009F7B75" w:rsidRPr="00424B6E">
        <w:rPr>
          <w:rFonts w:cs="Times New Roman"/>
          <w:kern w:val="22"/>
          <w:sz w:val="22"/>
          <w:lang w:val="fr-FR"/>
        </w:rPr>
        <w:t>information</w:t>
      </w:r>
      <w:r w:rsidR="00862A73">
        <w:rPr>
          <w:rFonts w:cs="Times New Roman"/>
          <w:kern w:val="22"/>
          <w:sz w:val="22"/>
          <w:lang w:val="fr-FR"/>
        </w:rPr>
        <w:t xml:space="preserve"> utilisée a été obtenue auprès </w:t>
      </w:r>
      <w:r w:rsidR="0058080D">
        <w:rPr>
          <w:rFonts w:cs="Times New Roman"/>
          <w:kern w:val="22"/>
          <w:sz w:val="22"/>
          <w:lang w:val="fr-FR"/>
        </w:rPr>
        <w:t xml:space="preserve">d’une source secondaire, telle </w:t>
      </w:r>
      <w:r w:rsidR="00862A73">
        <w:rPr>
          <w:rFonts w:cs="Times New Roman"/>
          <w:kern w:val="22"/>
          <w:sz w:val="22"/>
          <w:lang w:val="fr-FR"/>
        </w:rPr>
        <w:t>qu’un</w:t>
      </w:r>
      <w:r w:rsidR="00055B5A">
        <w:rPr>
          <w:rFonts w:cs="Times New Roman"/>
          <w:kern w:val="22"/>
          <w:sz w:val="22"/>
          <w:lang w:val="fr-FR"/>
        </w:rPr>
        <w:t>e</w:t>
      </w:r>
      <w:r w:rsidR="00CE54FF" w:rsidRPr="00424B6E">
        <w:rPr>
          <w:rFonts w:cs="Times New Roman"/>
          <w:kern w:val="22"/>
          <w:sz w:val="22"/>
          <w:lang w:val="fr-FR"/>
        </w:rPr>
        <w:t xml:space="preserve"> pharmacop</w:t>
      </w:r>
      <w:r w:rsidR="00055B5A">
        <w:rPr>
          <w:rFonts w:cs="Times New Roman"/>
          <w:kern w:val="22"/>
          <w:sz w:val="22"/>
          <w:lang w:val="fr-FR"/>
        </w:rPr>
        <w:t>é</w:t>
      </w:r>
      <w:r w:rsidR="009F7B75" w:rsidRPr="00424B6E">
        <w:rPr>
          <w:rFonts w:cs="Times New Roman"/>
          <w:kern w:val="22"/>
          <w:sz w:val="22"/>
          <w:lang w:val="fr-FR"/>
        </w:rPr>
        <w:t>e</w:t>
      </w:r>
      <w:r w:rsidR="0028742E" w:rsidRPr="00424B6E">
        <w:rPr>
          <w:rFonts w:cs="Times New Roman"/>
          <w:kern w:val="22"/>
          <w:sz w:val="22"/>
          <w:lang w:val="fr-FR"/>
        </w:rPr>
        <w:t xml:space="preserve"> ou</w:t>
      </w:r>
      <w:r w:rsidR="00055B5A">
        <w:rPr>
          <w:rFonts w:cs="Times New Roman"/>
          <w:kern w:val="22"/>
          <w:sz w:val="22"/>
          <w:lang w:val="fr-FR"/>
        </w:rPr>
        <w:t xml:space="preserve"> d’autres</w:t>
      </w:r>
      <w:r w:rsidR="0058080D">
        <w:rPr>
          <w:rFonts w:cs="Times New Roman"/>
          <w:kern w:val="22"/>
          <w:sz w:val="22"/>
          <w:lang w:val="fr-FR"/>
        </w:rPr>
        <w:t xml:space="preserve"> travaux externes, qui ne donnent pas une</w:t>
      </w:r>
      <w:r w:rsidR="00055B5A">
        <w:rPr>
          <w:rFonts w:cs="Times New Roman"/>
          <w:kern w:val="22"/>
          <w:sz w:val="22"/>
          <w:lang w:val="fr-FR"/>
        </w:rPr>
        <w:t xml:space="preserve"> liste des </w:t>
      </w:r>
      <w:r w:rsidR="00FA4E1F" w:rsidRPr="00424B6E">
        <w:rPr>
          <w:rFonts w:cs="Times New Roman"/>
          <w:kern w:val="22"/>
          <w:sz w:val="22"/>
          <w:lang w:val="fr-FR"/>
        </w:rPr>
        <w:t>fournisseurs</w:t>
      </w:r>
      <w:r w:rsidR="0058080D">
        <w:rPr>
          <w:rFonts w:cs="Times New Roman"/>
          <w:kern w:val="22"/>
          <w:sz w:val="22"/>
          <w:lang w:val="fr-FR"/>
        </w:rPr>
        <w:t xml:space="preserve"> à l’</w:t>
      </w:r>
      <w:r w:rsidR="00055B5A">
        <w:rPr>
          <w:rFonts w:cs="Times New Roman"/>
          <w:kern w:val="22"/>
          <w:sz w:val="22"/>
          <w:lang w:val="fr-FR"/>
        </w:rPr>
        <w:t>origine des</w:t>
      </w:r>
      <w:r w:rsidR="009F7B75" w:rsidRPr="00424B6E">
        <w:rPr>
          <w:rFonts w:cs="Times New Roman"/>
          <w:kern w:val="22"/>
          <w:sz w:val="22"/>
          <w:lang w:val="fr-FR"/>
        </w:rPr>
        <w:t xml:space="preserve"> </w:t>
      </w:r>
      <w:r w:rsidR="00830BE4" w:rsidRPr="00424B6E">
        <w:rPr>
          <w:rFonts w:cs="Times New Roman"/>
          <w:kern w:val="22"/>
          <w:sz w:val="22"/>
          <w:lang w:val="fr-FR"/>
        </w:rPr>
        <w:t>connaissances traditionnelles connexes</w:t>
      </w:r>
      <w:r w:rsidR="009F7B75" w:rsidRPr="00424B6E">
        <w:rPr>
          <w:rFonts w:cs="Times New Roman"/>
          <w:kern w:val="22"/>
          <w:sz w:val="22"/>
          <w:lang w:val="fr-FR"/>
        </w:rPr>
        <w:t>.</w:t>
      </w:r>
      <w:r w:rsidR="009F7B75" w:rsidRPr="002364AB">
        <w:rPr>
          <w:rStyle w:val="FootnoteReference"/>
          <w:kern w:val="22"/>
          <w:sz w:val="22"/>
          <w:lang w:val="en-GB"/>
        </w:rPr>
        <w:footnoteReference w:id="193"/>
      </w:r>
      <w:r w:rsidR="009F7B75" w:rsidRPr="00424B6E">
        <w:rPr>
          <w:rFonts w:cs="Times New Roman"/>
          <w:kern w:val="22"/>
          <w:sz w:val="22"/>
          <w:lang w:val="fr-FR"/>
        </w:rPr>
        <w:t xml:space="preserve"> </w:t>
      </w:r>
    </w:p>
    <w:p w14:paraId="4CCFF515" w14:textId="31EA81BF" w:rsidR="00D749C6" w:rsidRPr="000B36D3" w:rsidRDefault="001E6A2B" w:rsidP="00CE54FF">
      <w:pPr>
        <w:rPr>
          <w:rFonts w:cs="Times New Roman"/>
          <w:kern w:val="22"/>
          <w:sz w:val="22"/>
          <w:lang w:val="fr-FR"/>
        </w:rPr>
      </w:pPr>
      <w:r>
        <w:rPr>
          <w:rFonts w:cs="Times New Roman"/>
          <w:kern w:val="22"/>
          <w:sz w:val="22"/>
          <w:lang w:val="fr-FR"/>
        </w:rPr>
        <w:t>Ici encore</w:t>
      </w:r>
      <w:r w:rsidR="003A5B05" w:rsidRPr="000B36BE">
        <w:rPr>
          <w:rFonts w:cs="Times New Roman"/>
          <w:kern w:val="22"/>
          <w:sz w:val="22"/>
          <w:lang w:val="fr-FR"/>
        </w:rPr>
        <w:t xml:space="preserve">, </w:t>
      </w:r>
      <w:r>
        <w:rPr>
          <w:rFonts w:cs="Times New Roman"/>
          <w:kern w:val="22"/>
          <w:sz w:val="22"/>
          <w:lang w:val="fr-FR"/>
        </w:rPr>
        <w:t>l</w:t>
      </w:r>
      <w:r w:rsidR="000B36BE" w:rsidRPr="000B36BE">
        <w:rPr>
          <w:rFonts w:cs="Times New Roman"/>
          <w:kern w:val="22"/>
          <w:sz w:val="22"/>
          <w:lang w:val="fr-FR"/>
        </w:rPr>
        <w:t>es Parties ne sont pas parvenues à un consensus</w:t>
      </w:r>
      <w:r>
        <w:rPr>
          <w:rFonts w:cs="Times New Roman"/>
          <w:kern w:val="22"/>
          <w:sz w:val="22"/>
          <w:lang w:val="fr-FR"/>
        </w:rPr>
        <w:t xml:space="preserve"> sur le point de savoir </w:t>
      </w:r>
      <w:r w:rsidR="0058080D">
        <w:rPr>
          <w:rFonts w:cs="Times New Roman"/>
          <w:kern w:val="22"/>
          <w:sz w:val="22"/>
          <w:lang w:val="fr-FR"/>
        </w:rPr>
        <w:t xml:space="preserve">si </w:t>
      </w:r>
      <w:r>
        <w:rPr>
          <w:rFonts w:cs="Times New Roman"/>
          <w:kern w:val="22"/>
          <w:sz w:val="22"/>
          <w:lang w:val="fr-FR"/>
        </w:rPr>
        <w:t>les obligations relatives au</w:t>
      </w:r>
      <w:r w:rsidR="003A5B05" w:rsidRPr="000B36BE">
        <w:rPr>
          <w:rFonts w:cs="Times New Roman"/>
          <w:kern w:val="22"/>
          <w:sz w:val="22"/>
          <w:lang w:val="fr-FR"/>
        </w:rPr>
        <w:t xml:space="preserve"> </w:t>
      </w:r>
      <w:r w:rsidR="007D7761">
        <w:rPr>
          <w:rFonts w:cs="Times New Roman"/>
          <w:kern w:val="22"/>
          <w:sz w:val="22"/>
          <w:lang w:val="fr-FR"/>
        </w:rPr>
        <w:t>consentement préalable donné en connaissance de cause</w:t>
      </w:r>
      <w:r>
        <w:rPr>
          <w:rFonts w:cs="Times New Roman"/>
          <w:kern w:val="22"/>
          <w:sz w:val="22"/>
          <w:lang w:val="fr-FR"/>
        </w:rPr>
        <w:t xml:space="preserve"> et</w:t>
      </w:r>
      <w:r w:rsidR="003A5B05" w:rsidRPr="000B36BE">
        <w:rPr>
          <w:rFonts w:cs="Times New Roman"/>
          <w:kern w:val="22"/>
          <w:sz w:val="22"/>
          <w:lang w:val="fr-FR"/>
        </w:rPr>
        <w:t>/</w:t>
      </w:r>
      <w:r>
        <w:rPr>
          <w:rFonts w:cs="Times New Roman"/>
          <w:kern w:val="22"/>
          <w:sz w:val="22"/>
          <w:lang w:val="fr-FR"/>
        </w:rPr>
        <w:t xml:space="preserve">ou </w:t>
      </w:r>
      <w:r w:rsidR="0058080D">
        <w:rPr>
          <w:rFonts w:cs="Times New Roman"/>
          <w:kern w:val="22"/>
          <w:sz w:val="22"/>
          <w:lang w:val="fr-FR"/>
        </w:rPr>
        <w:t xml:space="preserve">aux </w:t>
      </w:r>
      <w:r w:rsidR="000B36D3">
        <w:rPr>
          <w:rFonts w:cs="Times New Roman"/>
          <w:kern w:val="22"/>
          <w:sz w:val="22"/>
          <w:lang w:val="fr-FR"/>
        </w:rPr>
        <w:t>conditions convenues d’un commun accord</w:t>
      </w:r>
      <w:r w:rsidR="003A5B05" w:rsidRPr="000B36BE">
        <w:rPr>
          <w:rFonts w:cs="Times New Roman"/>
          <w:kern w:val="22"/>
          <w:sz w:val="22"/>
          <w:lang w:val="fr-FR"/>
        </w:rPr>
        <w:t xml:space="preserve"> </w:t>
      </w:r>
      <w:r>
        <w:rPr>
          <w:rFonts w:cs="Times New Roman"/>
          <w:kern w:val="22"/>
          <w:sz w:val="22"/>
          <w:lang w:val="fr-FR"/>
        </w:rPr>
        <w:t xml:space="preserve">s’appliquent aux différents </w:t>
      </w:r>
      <w:r w:rsidR="00D04EC6" w:rsidRPr="000B36BE">
        <w:rPr>
          <w:rFonts w:cs="Times New Roman"/>
          <w:kern w:val="22"/>
          <w:sz w:val="22"/>
          <w:lang w:val="fr-FR"/>
        </w:rPr>
        <w:t>cas</w:t>
      </w:r>
      <w:r w:rsidR="003A5B05" w:rsidRPr="000B36BE">
        <w:rPr>
          <w:rFonts w:cs="Times New Roman"/>
          <w:kern w:val="22"/>
          <w:sz w:val="22"/>
          <w:lang w:val="fr-FR"/>
        </w:rPr>
        <w:t xml:space="preserve"> </w:t>
      </w:r>
      <w:r>
        <w:rPr>
          <w:rFonts w:cs="Times New Roman"/>
          <w:kern w:val="22"/>
          <w:sz w:val="22"/>
          <w:lang w:val="fr-FR"/>
        </w:rPr>
        <w:t xml:space="preserve">décrits dans cette </w:t>
      </w:r>
      <w:r w:rsidR="00F27467">
        <w:rPr>
          <w:rFonts w:cs="Times New Roman"/>
          <w:kern w:val="22"/>
          <w:sz w:val="22"/>
          <w:lang w:val="fr-FR"/>
        </w:rPr>
        <w:t>partie</w:t>
      </w:r>
      <w:r w:rsidR="002C02F8" w:rsidRPr="000B36BE">
        <w:rPr>
          <w:rFonts w:cs="Times New Roman"/>
          <w:kern w:val="22"/>
          <w:sz w:val="22"/>
          <w:lang w:val="fr-FR"/>
        </w:rPr>
        <w:t xml:space="preserve">. </w:t>
      </w:r>
      <w:r w:rsidR="00202126" w:rsidRPr="000B36D3">
        <w:rPr>
          <w:rFonts w:cs="Times New Roman"/>
          <w:kern w:val="22"/>
          <w:sz w:val="22"/>
          <w:lang w:val="fr-FR"/>
        </w:rPr>
        <w:t>De plus</w:t>
      </w:r>
      <w:r w:rsidR="002C02F8" w:rsidRPr="000B36D3">
        <w:rPr>
          <w:rFonts w:cs="Times New Roman"/>
          <w:kern w:val="22"/>
          <w:sz w:val="22"/>
          <w:lang w:val="fr-FR"/>
        </w:rPr>
        <w:t xml:space="preserve">, </w:t>
      </w:r>
      <w:r>
        <w:rPr>
          <w:rFonts w:cs="Times New Roman"/>
          <w:kern w:val="22"/>
          <w:sz w:val="22"/>
          <w:lang w:val="fr-FR"/>
        </w:rPr>
        <w:t>des informations sur l’</w:t>
      </w:r>
      <w:r w:rsidR="00E23482">
        <w:rPr>
          <w:rFonts w:cs="Times New Roman"/>
          <w:kern w:val="22"/>
          <w:sz w:val="22"/>
          <w:lang w:val="fr-FR"/>
        </w:rPr>
        <w:t>identification</w:t>
      </w:r>
      <w:r w:rsidR="002C02F8" w:rsidRPr="000B36D3">
        <w:rPr>
          <w:rFonts w:cs="Times New Roman"/>
          <w:kern w:val="22"/>
          <w:sz w:val="22"/>
          <w:lang w:val="fr-FR"/>
        </w:rPr>
        <w:t xml:space="preserve"> </w:t>
      </w:r>
      <w:r w:rsidR="00830BE4" w:rsidRPr="000B36D3">
        <w:rPr>
          <w:rFonts w:cs="Times New Roman"/>
          <w:kern w:val="22"/>
          <w:sz w:val="22"/>
          <w:lang w:val="fr-FR"/>
        </w:rPr>
        <w:t>des peuples autochtones et communautés locales</w:t>
      </w:r>
      <w:r w:rsidR="002C02F8" w:rsidRPr="000B36D3">
        <w:rPr>
          <w:rFonts w:cs="Times New Roman"/>
          <w:kern w:val="22"/>
          <w:sz w:val="22"/>
          <w:lang w:val="fr-FR"/>
        </w:rPr>
        <w:t xml:space="preserve"> </w:t>
      </w:r>
      <w:r w:rsidR="00DC050F">
        <w:rPr>
          <w:rFonts w:cs="Times New Roman"/>
          <w:kern w:val="22"/>
          <w:sz w:val="22"/>
          <w:lang w:val="fr-FR"/>
        </w:rPr>
        <w:t xml:space="preserve">qui sont à l’origine de ces </w:t>
      </w:r>
      <w:r w:rsidR="00E3674F" w:rsidRPr="000B36D3">
        <w:rPr>
          <w:rFonts w:cs="Times New Roman"/>
          <w:kern w:val="22"/>
          <w:sz w:val="22"/>
          <w:lang w:val="fr-FR"/>
        </w:rPr>
        <w:t>connaissances traditionnelles</w:t>
      </w:r>
      <w:r w:rsidR="00DC050F">
        <w:rPr>
          <w:rFonts w:cs="Times New Roman"/>
          <w:kern w:val="22"/>
          <w:sz w:val="22"/>
          <w:lang w:val="fr-FR"/>
        </w:rPr>
        <w:t xml:space="preserve"> ne sont pas toujours </w:t>
      </w:r>
      <w:r w:rsidR="004A33E2">
        <w:rPr>
          <w:rFonts w:cs="Times New Roman"/>
          <w:kern w:val="22"/>
          <w:sz w:val="22"/>
          <w:lang w:val="fr-FR"/>
        </w:rPr>
        <w:t>disponibles</w:t>
      </w:r>
      <w:r w:rsidR="002C02F8" w:rsidRPr="000B36D3">
        <w:rPr>
          <w:rFonts w:cs="Times New Roman"/>
          <w:kern w:val="22"/>
          <w:sz w:val="22"/>
          <w:lang w:val="fr-FR"/>
        </w:rPr>
        <w:t xml:space="preserve">, </w:t>
      </w:r>
      <w:r w:rsidR="00DC050F">
        <w:rPr>
          <w:rFonts w:cs="Times New Roman"/>
          <w:kern w:val="22"/>
          <w:sz w:val="22"/>
          <w:lang w:val="fr-FR"/>
        </w:rPr>
        <w:t xml:space="preserve">ce qui rend impossible dans certains cas la </w:t>
      </w:r>
      <w:r w:rsidR="00F4156B">
        <w:rPr>
          <w:rFonts w:cs="Times New Roman"/>
          <w:kern w:val="22"/>
          <w:sz w:val="22"/>
          <w:lang w:val="fr-FR"/>
        </w:rPr>
        <w:t>négociation</w:t>
      </w:r>
      <w:r w:rsidR="00DC050F">
        <w:rPr>
          <w:rFonts w:cs="Times New Roman"/>
          <w:kern w:val="22"/>
          <w:sz w:val="22"/>
          <w:lang w:val="fr-FR"/>
        </w:rPr>
        <w:t xml:space="preserve"> d’un </w:t>
      </w:r>
      <w:r w:rsidR="007D7761">
        <w:rPr>
          <w:rFonts w:cs="Times New Roman"/>
          <w:kern w:val="22"/>
          <w:sz w:val="22"/>
          <w:lang w:val="fr-FR"/>
        </w:rPr>
        <w:t>consentement préalable donné en connaissance de cause</w:t>
      </w:r>
      <w:r w:rsidR="00DC050F">
        <w:rPr>
          <w:rFonts w:cs="Times New Roman"/>
          <w:kern w:val="22"/>
          <w:sz w:val="22"/>
          <w:lang w:val="fr-FR"/>
        </w:rPr>
        <w:t xml:space="preserve"> et</w:t>
      </w:r>
      <w:r w:rsidR="002C02F8" w:rsidRPr="000B36D3">
        <w:rPr>
          <w:rFonts w:cs="Times New Roman"/>
          <w:kern w:val="22"/>
          <w:sz w:val="22"/>
          <w:lang w:val="fr-FR"/>
        </w:rPr>
        <w:t>/</w:t>
      </w:r>
      <w:r w:rsidR="00DC050F">
        <w:rPr>
          <w:rFonts w:cs="Times New Roman"/>
          <w:kern w:val="22"/>
          <w:sz w:val="22"/>
          <w:lang w:val="fr-FR"/>
        </w:rPr>
        <w:t xml:space="preserve">ou de </w:t>
      </w:r>
      <w:r w:rsidR="000B36D3" w:rsidRPr="000B36D3">
        <w:rPr>
          <w:rFonts w:cs="Times New Roman"/>
          <w:kern w:val="22"/>
          <w:sz w:val="22"/>
          <w:lang w:val="fr-FR"/>
        </w:rPr>
        <w:t>conditions convenues d’un commun accord</w:t>
      </w:r>
      <w:r w:rsidR="00E62F2C" w:rsidRPr="000B36D3">
        <w:rPr>
          <w:rFonts w:cs="Times New Roman"/>
          <w:kern w:val="22"/>
          <w:sz w:val="22"/>
          <w:lang w:val="fr-FR"/>
        </w:rPr>
        <w:t>.</w:t>
      </w:r>
    </w:p>
    <w:p w14:paraId="17246472" w14:textId="3161E143" w:rsidR="00B00CC2" w:rsidRPr="002364AB" w:rsidRDefault="00B00CC2" w:rsidP="001437F2">
      <w:pPr>
        <w:pStyle w:val="Heading1"/>
        <w:numPr>
          <w:ilvl w:val="0"/>
          <w:numId w:val="4"/>
        </w:numPr>
        <w:rPr>
          <w:kern w:val="22"/>
          <w:sz w:val="22"/>
          <w:szCs w:val="22"/>
          <w:lang w:val="en-GB"/>
        </w:rPr>
      </w:pPr>
      <w:bookmarkStart w:id="171" w:name="_Toc34249596"/>
      <w:bookmarkStart w:id="172" w:name="_Toc39580438"/>
      <w:bookmarkStart w:id="173" w:name="_Toc48914807"/>
      <w:bookmarkStart w:id="174" w:name="_Hlk41570775"/>
      <w:r w:rsidRPr="002364AB">
        <w:rPr>
          <w:kern w:val="22"/>
          <w:sz w:val="22"/>
          <w:szCs w:val="22"/>
          <w:lang w:val="en-GB"/>
        </w:rPr>
        <w:t>Conclusions</w:t>
      </w:r>
      <w:bookmarkEnd w:id="171"/>
      <w:bookmarkEnd w:id="172"/>
      <w:bookmarkEnd w:id="173"/>
    </w:p>
    <w:bookmarkEnd w:id="174"/>
    <w:p w14:paraId="5B955859" w14:textId="28CB4770" w:rsidR="0068240C" w:rsidRPr="00CC51E7" w:rsidRDefault="004A2BDC" w:rsidP="14AC87FF">
      <w:pPr>
        <w:rPr>
          <w:rFonts w:eastAsia="Times New Roman" w:cs="Times New Roman"/>
          <w:color w:val="000000"/>
          <w:kern w:val="22"/>
          <w:sz w:val="22"/>
          <w:lang w:val="fr-FR" w:eastAsia="en-CA"/>
        </w:rPr>
      </w:pPr>
      <w:r w:rsidRPr="00DC050F">
        <w:rPr>
          <w:kern w:val="22"/>
          <w:sz w:val="22"/>
          <w:lang w:val="fr-FR"/>
        </w:rPr>
        <w:t xml:space="preserve">La présente </w:t>
      </w:r>
      <w:r w:rsidR="00E3674F" w:rsidRPr="00DC050F">
        <w:rPr>
          <w:kern w:val="22"/>
          <w:sz w:val="22"/>
          <w:lang w:val="fr-FR"/>
        </w:rPr>
        <w:t>étude</w:t>
      </w:r>
      <w:r w:rsidR="00DC050F" w:rsidRPr="00DC050F">
        <w:rPr>
          <w:kern w:val="22"/>
          <w:sz w:val="22"/>
          <w:lang w:val="fr-FR"/>
        </w:rPr>
        <w:t xml:space="preserve"> identifie plusieurs </w:t>
      </w:r>
      <w:r w:rsidR="00D8317B" w:rsidRPr="00DC050F">
        <w:rPr>
          <w:rFonts w:eastAsia="Times New Roman" w:cs="Times New Roman"/>
          <w:color w:val="000000"/>
          <w:kern w:val="22"/>
          <w:sz w:val="22"/>
          <w:lang w:val="fr-FR" w:eastAsia="en-CA"/>
        </w:rPr>
        <w:t>catégorie</w:t>
      </w:r>
      <w:r w:rsidR="00DC050F" w:rsidRPr="00DC050F">
        <w:rPr>
          <w:rFonts w:eastAsia="Times New Roman" w:cs="Times New Roman"/>
          <w:color w:val="000000"/>
          <w:kern w:val="22"/>
          <w:sz w:val="22"/>
          <w:lang w:val="fr-FR" w:eastAsia="en-CA"/>
        </w:rPr>
        <w:t>s distinctes de</w:t>
      </w:r>
      <w:r w:rsidR="00DF2052" w:rsidRPr="00DC050F">
        <w:rPr>
          <w:rFonts w:eastAsia="Times New Roman" w:cs="Times New Roman"/>
          <w:i/>
          <w:iCs/>
          <w:color w:val="000000"/>
          <w:kern w:val="22"/>
          <w:sz w:val="22"/>
          <w:lang w:val="fr-FR" w:eastAsia="en-CA"/>
        </w:rPr>
        <w:t xml:space="preserve"> </w:t>
      </w:r>
      <w:r w:rsidR="00D04EC6" w:rsidRPr="00DC050F">
        <w:rPr>
          <w:kern w:val="22"/>
          <w:sz w:val="22"/>
          <w:lang w:val="fr-FR"/>
        </w:rPr>
        <w:t>cas</w:t>
      </w:r>
      <w:r w:rsidR="00DC050F" w:rsidRPr="00DC050F">
        <w:rPr>
          <w:kern w:val="22"/>
          <w:sz w:val="22"/>
          <w:lang w:val="fr-FR"/>
        </w:rPr>
        <w:t xml:space="preserve"> qui, en fonction de la</w:t>
      </w:r>
      <w:r w:rsidR="14AC87FF" w:rsidRPr="00DC050F">
        <w:rPr>
          <w:kern w:val="22"/>
          <w:sz w:val="22"/>
          <w:lang w:val="fr-FR"/>
        </w:rPr>
        <w:t xml:space="preserve"> </w:t>
      </w:r>
      <w:r w:rsidR="00E3674F" w:rsidRPr="00DC050F">
        <w:rPr>
          <w:kern w:val="22"/>
          <w:sz w:val="22"/>
          <w:lang w:val="fr-FR"/>
        </w:rPr>
        <w:t>décision</w:t>
      </w:r>
      <w:r w:rsidR="00DC050F" w:rsidRPr="00DC050F">
        <w:rPr>
          <w:kern w:val="22"/>
          <w:sz w:val="22"/>
          <w:lang w:val="fr-FR"/>
        </w:rPr>
        <w:t xml:space="preserve"> </w:t>
      </w:r>
      <w:r w:rsidR="009D4AFE">
        <w:rPr>
          <w:kern w:val="22"/>
          <w:sz w:val="22"/>
          <w:lang w:val="fr-FR"/>
        </w:rPr>
        <w:t>d</w:t>
      </w:r>
      <w:r w:rsidR="00DC050F" w:rsidRPr="00DC050F">
        <w:rPr>
          <w:kern w:val="22"/>
          <w:sz w:val="22"/>
          <w:lang w:val="fr-FR"/>
        </w:rPr>
        <w:t>es</w:t>
      </w:r>
      <w:r w:rsidR="00742037" w:rsidRPr="00DC050F">
        <w:rPr>
          <w:kern w:val="22"/>
          <w:sz w:val="22"/>
          <w:lang w:val="fr-FR"/>
        </w:rPr>
        <w:t xml:space="preserve"> </w:t>
      </w:r>
      <w:r w:rsidR="00CE5D3E" w:rsidRPr="00DC050F">
        <w:rPr>
          <w:kern w:val="22"/>
          <w:sz w:val="22"/>
          <w:lang w:val="fr-FR"/>
        </w:rPr>
        <w:t>Parties,</w:t>
      </w:r>
      <w:r w:rsidR="00742037" w:rsidRPr="00DC050F">
        <w:rPr>
          <w:kern w:val="22"/>
          <w:sz w:val="22"/>
          <w:lang w:val="fr-FR"/>
        </w:rPr>
        <w:t xml:space="preserve"> </w:t>
      </w:r>
      <w:r w:rsidR="00DC050F" w:rsidRPr="00DC050F">
        <w:rPr>
          <w:kern w:val="22"/>
          <w:sz w:val="22"/>
          <w:lang w:val="fr-FR"/>
        </w:rPr>
        <w:t>entreron</w:t>
      </w:r>
      <w:r w:rsidR="00934A20" w:rsidRPr="00DC050F">
        <w:rPr>
          <w:kern w:val="22"/>
          <w:sz w:val="22"/>
          <w:lang w:val="fr-FR"/>
        </w:rPr>
        <w:t xml:space="preserve">t </w:t>
      </w:r>
      <w:r w:rsidR="00012185">
        <w:rPr>
          <w:kern w:val="22"/>
          <w:sz w:val="22"/>
          <w:lang w:val="fr-FR"/>
        </w:rPr>
        <w:t xml:space="preserve">ou non </w:t>
      </w:r>
      <w:r w:rsidR="00934A20" w:rsidRPr="00DC050F">
        <w:rPr>
          <w:kern w:val="22"/>
          <w:sz w:val="22"/>
          <w:lang w:val="fr-FR"/>
        </w:rPr>
        <w:t>dans le champ d’application</w:t>
      </w:r>
      <w:r w:rsidR="00742037" w:rsidRPr="00DC050F">
        <w:rPr>
          <w:kern w:val="22"/>
          <w:sz w:val="22"/>
          <w:lang w:val="fr-FR"/>
        </w:rPr>
        <w:t xml:space="preserve"> </w:t>
      </w:r>
      <w:r w:rsidR="0028742E" w:rsidRPr="00DC050F">
        <w:rPr>
          <w:kern w:val="22"/>
          <w:sz w:val="22"/>
          <w:lang w:val="fr-FR"/>
        </w:rPr>
        <w:t>de l’article</w:t>
      </w:r>
      <w:r w:rsidR="00742037" w:rsidRPr="00DC050F">
        <w:rPr>
          <w:kern w:val="22"/>
          <w:sz w:val="22"/>
          <w:lang w:val="fr-FR"/>
        </w:rPr>
        <w:t xml:space="preserve"> 10</w:t>
      </w:r>
      <w:r w:rsidR="00012185">
        <w:rPr>
          <w:kern w:val="22"/>
          <w:sz w:val="22"/>
          <w:lang w:val="fr-FR"/>
        </w:rPr>
        <w:t xml:space="preserve"> du Protocole de Nagoya</w:t>
      </w:r>
      <w:r w:rsidR="00742037" w:rsidRPr="00DC050F">
        <w:rPr>
          <w:kern w:val="22"/>
          <w:sz w:val="22"/>
          <w:lang w:val="fr-FR"/>
        </w:rPr>
        <w:t xml:space="preserve">. </w:t>
      </w:r>
      <w:r w:rsidR="00DC050F">
        <w:rPr>
          <w:kern w:val="22"/>
          <w:sz w:val="22"/>
          <w:lang w:val="fr-FR"/>
        </w:rPr>
        <w:t>Ceci</w:t>
      </w:r>
      <w:r w:rsidR="14AC87FF" w:rsidRPr="00FB033A">
        <w:rPr>
          <w:kern w:val="22"/>
          <w:sz w:val="22"/>
          <w:lang w:val="fr-FR"/>
        </w:rPr>
        <w:t xml:space="preserve"> incl</w:t>
      </w:r>
      <w:r w:rsidR="00DC050F">
        <w:rPr>
          <w:kern w:val="22"/>
          <w:sz w:val="22"/>
          <w:lang w:val="fr-FR"/>
        </w:rPr>
        <w:t>ut</w:t>
      </w:r>
      <w:r w:rsidR="14AC87FF" w:rsidRPr="00FB033A">
        <w:rPr>
          <w:kern w:val="22"/>
          <w:sz w:val="22"/>
          <w:lang w:val="fr-FR"/>
        </w:rPr>
        <w:t xml:space="preserve"> </w:t>
      </w:r>
      <w:r w:rsidR="00E3674F" w:rsidRPr="00FB033A">
        <w:rPr>
          <w:rFonts w:eastAsia="Times New Roman" w:cs="Times New Roman"/>
          <w:color w:val="000000" w:themeColor="text1"/>
          <w:kern w:val="22"/>
          <w:sz w:val="22"/>
          <w:lang w:val="fr-FR" w:eastAsia="en-CA"/>
        </w:rPr>
        <w:t>des cas spécifiques</w:t>
      </w:r>
      <w:r w:rsidR="14AC87FF" w:rsidRPr="00FB033A">
        <w:rPr>
          <w:rFonts w:eastAsia="Times New Roman" w:cs="Times New Roman"/>
          <w:color w:val="000000" w:themeColor="text1"/>
          <w:kern w:val="22"/>
          <w:sz w:val="22"/>
          <w:lang w:val="fr-FR" w:eastAsia="en-CA"/>
        </w:rPr>
        <w:t xml:space="preserve"> </w:t>
      </w:r>
      <w:r w:rsidR="00D6232E">
        <w:rPr>
          <w:rFonts w:eastAsia="Times New Roman" w:cs="Times New Roman"/>
          <w:color w:val="000000" w:themeColor="text1"/>
          <w:kern w:val="22"/>
          <w:sz w:val="22"/>
          <w:lang w:val="fr-FR" w:eastAsia="en-CA"/>
        </w:rPr>
        <w:t>de ressources</w:t>
      </w:r>
      <w:r w:rsidR="00E3674F" w:rsidRPr="00FB033A">
        <w:rPr>
          <w:rFonts w:eastAsia="Times New Roman" w:cs="Times New Roman"/>
          <w:color w:val="000000" w:themeColor="text1"/>
          <w:kern w:val="22"/>
          <w:sz w:val="22"/>
          <w:lang w:val="fr-FR" w:eastAsia="en-CA"/>
        </w:rPr>
        <w:t xml:space="preserve"> génétiques et </w:t>
      </w:r>
      <w:r w:rsidR="00012185">
        <w:rPr>
          <w:rFonts w:eastAsia="Times New Roman" w:cs="Times New Roman"/>
          <w:color w:val="000000" w:themeColor="text1"/>
          <w:kern w:val="22"/>
          <w:sz w:val="22"/>
          <w:lang w:val="fr-FR" w:eastAsia="en-CA"/>
        </w:rPr>
        <w:t xml:space="preserve">de </w:t>
      </w:r>
      <w:r w:rsidR="00830BE4">
        <w:rPr>
          <w:rFonts w:eastAsia="Times New Roman" w:cs="Times New Roman"/>
          <w:color w:val="000000" w:themeColor="text1"/>
          <w:kern w:val="22"/>
          <w:sz w:val="22"/>
          <w:lang w:val="fr-FR" w:eastAsia="en-CA"/>
        </w:rPr>
        <w:t>connaissances traditionnelles connexes</w:t>
      </w:r>
      <w:r w:rsidR="14AC87FF" w:rsidRPr="00FB033A">
        <w:rPr>
          <w:rFonts w:eastAsia="Times New Roman" w:cs="Times New Roman"/>
          <w:color w:val="000000" w:themeColor="text1"/>
          <w:kern w:val="22"/>
          <w:sz w:val="22"/>
          <w:lang w:val="fr-FR" w:eastAsia="en-CA"/>
        </w:rPr>
        <w:t xml:space="preserve"> </w:t>
      </w:r>
      <w:r w:rsidR="00651FB0">
        <w:rPr>
          <w:rFonts w:eastAsia="Times New Roman" w:cs="Times New Roman"/>
          <w:color w:val="000000" w:themeColor="text1"/>
          <w:kern w:val="22"/>
          <w:sz w:val="22"/>
          <w:lang w:val="fr-FR" w:eastAsia="en-CA"/>
        </w:rPr>
        <w:t>qui se trouvent</w:t>
      </w:r>
      <w:r w:rsidR="00FB033A" w:rsidRPr="00FB033A">
        <w:rPr>
          <w:rFonts w:eastAsia="Times New Roman" w:cs="Times New Roman"/>
          <w:color w:val="000000" w:themeColor="text1"/>
          <w:kern w:val="22"/>
          <w:sz w:val="22"/>
          <w:lang w:val="fr-FR" w:eastAsia="en-CA"/>
        </w:rPr>
        <w:t xml:space="preserve"> </w:t>
      </w:r>
      <w:r w:rsidR="002A127F">
        <w:rPr>
          <w:rFonts w:eastAsia="Times New Roman" w:cs="Times New Roman"/>
          <w:color w:val="000000" w:themeColor="text1"/>
          <w:kern w:val="22"/>
          <w:sz w:val="22"/>
          <w:lang w:val="fr-FR" w:eastAsia="en-CA"/>
        </w:rPr>
        <w:t>dans des situations</w:t>
      </w:r>
      <w:r w:rsidR="00E3674F" w:rsidRPr="00FB033A">
        <w:rPr>
          <w:rFonts w:eastAsia="Times New Roman" w:cs="Times New Roman"/>
          <w:color w:val="000000" w:themeColor="text1"/>
          <w:kern w:val="22"/>
          <w:sz w:val="22"/>
          <w:lang w:val="fr-FR" w:eastAsia="en-CA"/>
        </w:rPr>
        <w:t xml:space="preserve"> transfrontières</w:t>
      </w:r>
      <w:r w:rsidR="14AC87FF" w:rsidRPr="00FB033A">
        <w:rPr>
          <w:rFonts w:eastAsia="Times New Roman" w:cs="Times New Roman"/>
          <w:color w:val="000000" w:themeColor="text1"/>
          <w:kern w:val="22"/>
          <w:sz w:val="22"/>
          <w:lang w:val="fr-FR" w:eastAsia="en-CA"/>
        </w:rPr>
        <w:t xml:space="preserve">, </w:t>
      </w:r>
      <w:r w:rsidR="00012185">
        <w:rPr>
          <w:rFonts w:eastAsia="Times New Roman" w:cs="Times New Roman"/>
          <w:color w:val="000000" w:themeColor="text1"/>
          <w:kern w:val="22"/>
          <w:sz w:val="22"/>
          <w:lang w:val="fr-FR" w:eastAsia="en-CA"/>
        </w:rPr>
        <w:t>mettant en avant des</w:t>
      </w:r>
      <w:r w:rsidR="14AC87FF" w:rsidRPr="00FB033A">
        <w:rPr>
          <w:rFonts w:eastAsia="Times New Roman" w:cs="Times New Roman"/>
          <w:color w:val="000000" w:themeColor="text1"/>
          <w:kern w:val="22"/>
          <w:sz w:val="22"/>
          <w:lang w:val="fr-FR" w:eastAsia="en-CA"/>
        </w:rPr>
        <w:t xml:space="preserve"> </w:t>
      </w:r>
      <w:r w:rsidR="009D43F1">
        <w:rPr>
          <w:rFonts w:eastAsia="Times New Roman" w:cs="Times New Roman"/>
          <w:color w:val="000000" w:themeColor="text1"/>
          <w:kern w:val="22"/>
          <w:sz w:val="22"/>
          <w:lang w:val="fr-FR" w:eastAsia="en-CA"/>
        </w:rPr>
        <w:t>exemple</w:t>
      </w:r>
      <w:r w:rsidR="00012185">
        <w:rPr>
          <w:rFonts w:eastAsia="Times New Roman" w:cs="Times New Roman"/>
          <w:color w:val="000000" w:themeColor="text1"/>
          <w:kern w:val="22"/>
          <w:sz w:val="22"/>
          <w:lang w:val="fr-FR" w:eastAsia="en-CA"/>
        </w:rPr>
        <w:t>s d’</w:t>
      </w:r>
      <w:r w:rsidR="00651FB0">
        <w:rPr>
          <w:rFonts w:eastAsia="Times New Roman" w:cs="Times New Roman"/>
          <w:color w:val="000000" w:themeColor="text1"/>
          <w:kern w:val="22"/>
          <w:sz w:val="22"/>
          <w:lang w:val="fr-FR" w:eastAsia="en-CA"/>
        </w:rPr>
        <w:t>écosystèmes</w:t>
      </w:r>
      <w:r w:rsidR="00E3674F" w:rsidRPr="00FB033A">
        <w:rPr>
          <w:rFonts w:eastAsia="Times New Roman" w:cs="Times New Roman"/>
          <w:color w:val="000000" w:themeColor="text1"/>
          <w:kern w:val="22"/>
          <w:sz w:val="22"/>
          <w:lang w:val="fr-FR" w:eastAsia="en-CA"/>
        </w:rPr>
        <w:t xml:space="preserve"> et </w:t>
      </w:r>
      <w:r w:rsidR="00012185">
        <w:rPr>
          <w:rFonts w:eastAsia="Times New Roman" w:cs="Times New Roman"/>
          <w:color w:val="000000" w:themeColor="text1"/>
          <w:kern w:val="22"/>
          <w:sz w:val="22"/>
          <w:lang w:val="fr-FR" w:eastAsia="en-CA"/>
        </w:rPr>
        <w:t>d’</w:t>
      </w:r>
      <w:r w:rsidR="003069A8" w:rsidRPr="00FB033A">
        <w:rPr>
          <w:rFonts w:eastAsia="Times New Roman" w:cs="Times New Roman"/>
          <w:color w:val="000000" w:themeColor="text1"/>
          <w:kern w:val="22"/>
          <w:sz w:val="22"/>
          <w:lang w:val="fr-FR" w:eastAsia="en-CA"/>
        </w:rPr>
        <w:t>habitats</w:t>
      </w:r>
      <w:r w:rsidR="00012185">
        <w:rPr>
          <w:rFonts w:eastAsia="Times New Roman" w:cs="Times New Roman"/>
          <w:color w:val="000000" w:themeColor="text1"/>
          <w:kern w:val="22"/>
          <w:sz w:val="22"/>
          <w:lang w:val="fr-FR" w:eastAsia="en-CA"/>
        </w:rPr>
        <w:t xml:space="preserve"> partagés</w:t>
      </w:r>
      <w:r w:rsidR="14AC87FF" w:rsidRPr="00FB033A">
        <w:rPr>
          <w:rFonts w:eastAsia="Times New Roman" w:cs="Times New Roman"/>
          <w:color w:val="000000" w:themeColor="text1"/>
          <w:kern w:val="22"/>
          <w:sz w:val="22"/>
          <w:lang w:val="fr-FR" w:eastAsia="en-CA"/>
        </w:rPr>
        <w:t xml:space="preserve">, </w:t>
      </w:r>
      <w:r w:rsidR="00012185">
        <w:rPr>
          <w:rFonts w:eastAsia="Times New Roman" w:cs="Times New Roman"/>
          <w:color w:val="000000" w:themeColor="text1"/>
          <w:kern w:val="22"/>
          <w:sz w:val="22"/>
          <w:lang w:val="fr-FR" w:eastAsia="en-CA"/>
        </w:rPr>
        <w:t xml:space="preserve">des </w:t>
      </w:r>
      <w:r w:rsidR="00651FB0">
        <w:rPr>
          <w:rFonts w:eastAsia="Times New Roman" w:cs="Times New Roman"/>
          <w:color w:val="000000" w:themeColor="text1"/>
          <w:kern w:val="22"/>
          <w:sz w:val="22"/>
          <w:lang w:val="fr-FR" w:eastAsia="en-CA"/>
        </w:rPr>
        <w:t>espèces migratrices</w:t>
      </w:r>
      <w:r w:rsidR="00EA7C48" w:rsidRPr="00FB033A">
        <w:rPr>
          <w:rFonts w:eastAsia="Times New Roman" w:cs="Times New Roman"/>
          <w:color w:val="000000" w:themeColor="text1"/>
          <w:kern w:val="22"/>
          <w:sz w:val="22"/>
          <w:lang w:val="fr-FR" w:eastAsia="en-CA"/>
        </w:rPr>
        <w:t>,</w:t>
      </w:r>
      <w:r w:rsidR="00E3674F" w:rsidRPr="00FB033A">
        <w:rPr>
          <w:rFonts w:eastAsia="Times New Roman" w:cs="Times New Roman"/>
          <w:color w:val="000000" w:themeColor="text1"/>
          <w:kern w:val="22"/>
          <w:sz w:val="22"/>
          <w:lang w:val="fr-FR" w:eastAsia="en-CA"/>
        </w:rPr>
        <w:t xml:space="preserve"> et </w:t>
      </w:r>
      <w:r w:rsidR="00012185">
        <w:rPr>
          <w:rFonts w:eastAsia="Times New Roman" w:cs="Times New Roman"/>
          <w:color w:val="000000" w:themeColor="text1"/>
          <w:kern w:val="22"/>
          <w:sz w:val="22"/>
          <w:lang w:val="fr-FR" w:eastAsia="en-CA"/>
        </w:rPr>
        <w:t xml:space="preserve">des </w:t>
      </w:r>
      <w:r w:rsidR="00651FB0">
        <w:rPr>
          <w:rFonts w:eastAsia="Times New Roman" w:cs="Times New Roman"/>
          <w:color w:val="000000" w:themeColor="text1"/>
          <w:kern w:val="22"/>
          <w:sz w:val="22"/>
          <w:lang w:val="fr-FR" w:eastAsia="en-CA"/>
        </w:rPr>
        <w:t>zones situées au-delà des limites de la juridiction nationale</w:t>
      </w:r>
      <w:r w:rsidR="00CC51E7">
        <w:rPr>
          <w:rFonts w:eastAsia="Times New Roman" w:cs="Times New Roman"/>
          <w:color w:val="000000" w:themeColor="text1"/>
          <w:kern w:val="22"/>
          <w:sz w:val="22"/>
          <w:lang w:val="fr-FR" w:eastAsia="en-CA"/>
        </w:rPr>
        <w:t>.</w:t>
      </w:r>
      <w:r w:rsidR="0011503B" w:rsidRPr="00FB033A">
        <w:rPr>
          <w:rFonts w:eastAsia="Times New Roman" w:cs="Times New Roman"/>
          <w:color w:val="000000" w:themeColor="text1"/>
          <w:kern w:val="22"/>
          <w:sz w:val="22"/>
          <w:lang w:val="fr-FR" w:eastAsia="en-CA"/>
        </w:rPr>
        <w:t xml:space="preserve"> </w:t>
      </w:r>
      <w:r w:rsidR="00AB6A02" w:rsidRPr="00CA644E">
        <w:rPr>
          <w:rFonts w:eastAsia="Times New Roman" w:cs="Times New Roman"/>
          <w:color w:val="000000" w:themeColor="text1"/>
          <w:kern w:val="22"/>
          <w:sz w:val="22"/>
          <w:lang w:val="fr-FR" w:eastAsia="en-CA"/>
        </w:rPr>
        <w:t>Plusieurs</w:t>
      </w:r>
      <w:r w:rsidR="00866610">
        <w:rPr>
          <w:rFonts w:eastAsia="Times New Roman" w:cs="Times New Roman"/>
          <w:color w:val="000000" w:themeColor="text1"/>
          <w:kern w:val="22"/>
          <w:sz w:val="22"/>
          <w:lang w:val="fr-FR" w:eastAsia="en-CA"/>
        </w:rPr>
        <w:t xml:space="preserve"> types de situations</w:t>
      </w:r>
      <w:r w:rsidR="0011503B" w:rsidRPr="00CA644E">
        <w:rPr>
          <w:rFonts w:eastAsia="Times New Roman" w:cs="Times New Roman"/>
          <w:color w:val="000000" w:themeColor="text1"/>
          <w:kern w:val="22"/>
          <w:sz w:val="22"/>
          <w:lang w:val="fr-FR" w:eastAsia="en-CA"/>
        </w:rPr>
        <w:t xml:space="preserve"> </w:t>
      </w:r>
      <w:r w:rsidR="0047349C">
        <w:rPr>
          <w:rFonts w:eastAsia="Times New Roman" w:cs="Times New Roman"/>
          <w:color w:val="000000" w:themeColor="text1"/>
          <w:kern w:val="22"/>
          <w:sz w:val="22"/>
          <w:lang w:val="fr-FR" w:eastAsia="en-CA"/>
        </w:rPr>
        <w:t>transfrontière</w:t>
      </w:r>
      <w:r w:rsidR="00012185">
        <w:rPr>
          <w:rFonts w:eastAsia="Times New Roman" w:cs="Times New Roman"/>
          <w:color w:val="000000" w:themeColor="text1"/>
          <w:kern w:val="22"/>
          <w:sz w:val="22"/>
          <w:lang w:val="fr-FR" w:eastAsia="en-CA"/>
        </w:rPr>
        <w:t>s concernant</w:t>
      </w:r>
      <w:r w:rsidR="00866610">
        <w:rPr>
          <w:rFonts w:eastAsia="Times New Roman" w:cs="Times New Roman"/>
          <w:color w:val="000000" w:themeColor="text1"/>
          <w:kern w:val="22"/>
          <w:sz w:val="22"/>
          <w:lang w:val="fr-FR" w:eastAsia="en-CA"/>
        </w:rPr>
        <w:t xml:space="preserve"> les</w:t>
      </w:r>
      <w:r w:rsidR="0011503B" w:rsidRPr="00CA644E">
        <w:rPr>
          <w:rFonts w:eastAsia="Times New Roman" w:cs="Times New Roman"/>
          <w:color w:val="000000" w:themeColor="text1"/>
          <w:kern w:val="22"/>
          <w:sz w:val="22"/>
          <w:lang w:val="fr-FR" w:eastAsia="en-CA"/>
        </w:rPr>
        <w:t xml:space="preserve"> </w:t>
      </w:r>
      <w:r w:rsidR="00BE4772" w:rsidRPr="00CA644E">
        <w:rPr>
          <w:rFonts w:eastAsia="Times New Roman" w:cs="Times New Roman"/>
          <w:color w:val="000000" w:themeColor="text1"/>
          <w:kern w:val="22"/>
          <w:sz w:val="22"/>
          <w:lang w:val="fr-FR" w:eastAsia="en-CA"/>
        </w:rPr>
        <w:t>ressource</w:t>
      </w:r>
      <w:r w:rsidR="00866610">
        <w:rPr>
          <w:rFonts w:eastAsia="Times New Roman" w:cs="Times New Roman"/>
          <w:color w:val="000000" w:themeColor="text1"/>
          <w:kern w:val="22"/>
          <w:sz w:val="22"/>
          <w:lang w:val="fr-FR" w:eastAsia="en-CA"/>
        </w:rPr>
        <w:t>s</w:t>
      </w:r>
      <w:r w:rsidR="00BE4772" w:rsidRPr="00CA644E">
        <w:rPr>
          <w:rFonts w:eastAsia="Times New Roman" w:cs="Times New Roman"/>
          <w:color w:val="000000" w:themeColor="text1"/>
          <w:kern w:val="22"/>
          <w:sz w:val="22"/>
          <w:lang w:val="fr-FR" w:eastAsia="en-CA"/>
        </w:rPr>
        <w:t xml:space="preserve"> génétique</w:t>
      </w:r>
      <w:r w:rsidR="00866610">
        <w:rPr>
          <w:rFonts w:eastAsia="Times New Roman" w:cs="Times New Roman"/>
          <w:color w:val="000000" w:themeColor="text1"/>
          <w:kern w:val="22"/>
          <w:sz w:val="22"/>
          <w:lang w:val="fr-FR" w:eastAsia="en-CA"/>
        </w:rPr>
        <w:t>s ont été</w:t>
      </w:r>
      <w:r w:rsidR="00BE4772" w:rsidRPr="00CA644E">
        <w:rPr>
          <w:rFonts w:eastAsia="Times New Roman" w:cs="Times New Roman"/>
          <w:color w:val="000000" w:themeColor="text1"/>
          <w:kern w:val="22"/>
          <w:sz w:val="22"/>
          <w:lang w:val="fr-FR" w:eastAsia="en-CA"/>
        </w:rPr>
        <w:t xml:space="preserve"> </w:t>
      </w:r>
      <w:r w:rsidR="00866610">
        <w:rPr>
          <w:rFonts w:eastAsia="Times New Roman" w:cs="Times New Roman"/>
          <w:color w:val="000000" w:themeColor="text1"/>
          <w:kern w:val="22"/>
          <w:sz w:val="22"/>
          <w:lang w:val="fr-FR" w:eastAsia="en-CA"/>
        </w:rPr>
        <w:t>ident</w:t>
      </w:r>
      <w:r w:rsidR="009D4AFE">
        <w:rPr>
          <w:rFonts w:eastAsia="Times New Roman" w:cs="Times New Roman"/>
          <w:color w:val="000000" w:themeColor="text1"/>
          <w:kern w:val="22"/>
          <w:sz w:val="22"/>
          <w:lang w:val="fr-FR" w:eastAsia="en-CA"/>
        </w:rPr>
        <w:t>ifiées, qui soulèvent</w:t>
      </w:r>
      <w:r w:rsidR="00012185">
        <w:rPr>
          <w:rFonts w:eastAsia="Times New Roman" w:cs="Times New Roman"/>
          <w:color w:val="000000" w:themeColor="text1"/>
          <w:kern w:val="22"/>
          <w:sz w:val="22"/>
          <w:lang w:val="fr-FR" w:eastAsia="en-CA"/>
        </w:rPr>
        <w:t xml:space="preserve"> des difficultés pour</w:t>
      </w:r>
      <w:r w:rsidR="00CC51E7">
        <w:rPr>
          <w:rFonts w:eastAsia="Times New Roman" w:cs="Times New Roman"/>
          <w:color w:val="000000" w:themeColor="text1"/>
          <w:kern w:val="22"/>
          <w:sz w:val="22"/>
          <w:lang w:val="fr-FR" w:eastAsia="en-CA"/>
        </w:rPr>
        <w:t xml:space="preserve"> une </w:t>
      </w:r>
      <w:r w:rsidR="001A200E" w:rsidRPr="00CA644E">
        <w:rPr>
          <w:rFonts w:eastAsia="Times New Roman" w:cs="Times New Roman"/>
          <w:color w:val="000000" w:themeColor="text1"/>
          <w:kern w:val="22"/>
          <w:sz w:val="22"/>
          <w:lang w:val="fr-FR" w:eastAsia="en-CA"/>
        </w:rPr>
        <w:t>approche bilatérale</w:t>
      </w:r>
      <w:r w:rsidR="00866610">
        <w:rPr>
          <w:rFonts w:eastAsia="Times New Roman" w:cs="Times New Roman"/>
          <w:color w:val="000000" w:themeColor="text1"/>
          <w:kern w:val="22"/>
          <w:sz w:val="22"/>
          <w:lang w:val="fr-FR" w:eastAsia="en-CA"/>
        </w:rPr>
        <w:t xml:space="preserve"> en matière de</w:t>
      </w:r>
      <w:r w:rsidR="0011503B" w:rsidRPr="00CA644E">
        <w:rPr>
          <w:rFonts w:eastAsia="Times New Roman" w:cs="Times New Roman"/>
          <w:color w:val="000000" w:themeColor="text1"/>
          <w:kern w:val="22"/>
          <w:sz w:val="22"/>
          <w:lang w:val="fr-FR" w:eastAsia="en-CA"/>
        </w:rPr>
        <w:t xml:space="preserve"> </w:t>
      </w:r>
      <w:r w:rsidR="00E3674F" w:rsidRPr="00CA644E">
        <w:rPr>
          <w:rFonts w:eastAsia="Times New Roman" w:cs="Times New Roman"/>
          <w:color w:val="000000" w:themeColor="text1"/>
          <w:kern w:val="22"/>
          <w:sz w:val="22"/>
          <w:lang w:val="fr-FR" w:eastAsia="en-CA"/>
        </w:rPr>
        <w:t>partage des avantages</w:t>
      </w:r>
      <w:r w:rsidR="00CC51E7">
        <w:rPr>
          <w:rFonts w:eastAsia="Times New Roman" w:cs="Times New Roman"/>
          <w:color w:val="000000" w:themeColor="text1"/>
          <w:kern w:val="22"/>
          <w:sz w:val="22"/>
          <w:lang w:val="fr-FR" w:eastAsia="en-CA"/>
        </w:rPr>
        <w:t> ;</w:t>
      </w:r>
      <w:r w:rsidR="0011503B" w:rsidRPr="00CA644E">
        <w:rPr>
          <w:rFonts w:eastAsia="Times New Roman" w:cs="Times New Roman"/>
          <w:color w:val="000000" w:themeColor="text1"/>
          <w:kern w:val="22"/>
          <w:sz w:val="22"/>
          <w:lang w:val="fr-FR" w:eastAsia="en-CA"/>
        </w:rPr>
        <w:t xml:space="preserve"> </w:t>
      </w:r>
      <w:r w:rsidR="00367430" w:rsidRPr="00CA644E">
        <w:rPr>
          <w:rFonts w:eastAsia="Times New Roman" w:cs="Times New Roman"/>
          <w:color w:val="000000" w:themeColor="text1"/>
          <w:kern w:val="22"/>
          <w:sz w:val="22"/>
          <w:lang w:val="fr-FR" w:eastAsia="en-CA"/>
        </w:rPr>
        <w:t>les auteurs</w:t>
      </w:r>
      <w:r w:rsidR="0011503B" w:rsidRPr="00CA644E">
        <w:rPr>
          <w:rFonts w:eastAsia="Times New Roman" w:cs="Times New Roman"/>
          <w:color w:val="000000" w:themeColor="text1"/>
          <w:kern w:val="22"/>
          <w:sz w:val="22"/>
          <w:lang w:val="fr-FR" w:eastAsia="en-CA"/>
        </w:rPr>
        <w:t xml:space="preserve"> </w:t>
      </w:r>
      <w:r w:rsidR="009D4AFE">
        <w:rPr>
          <w:rFonts w:eastAsia="Times New Roman" w:cs="Times New Roman"/>
          <w:color w:val="000000" w:themeColor="text1"/>
          <w:kern w:val="22"/>
          <w:sz w:val="22"/>
          <w:lang w:val="fr-FR" w:eastAsia="en-CA"/>
        </w:rPr>
        <w:t>ont bien noté que les Parties ne sont pas parvenues à un</w:t>
      </w:r>
      <w:r w:rsidR="00CC51E7">
        <w:rPr>
          <w:rFonts w:eastAsia="Times New Roman" w:cs="Times New Roman"/>
          <w:color w:val="000000" w:themeColor="text1"/>
          <w:kern w:val="22"/>
          <w:sz w:val="22"/>
          <w:lang w:val="fr-FR" w:eastAsia="en-CA"/>
        </w:rPr>
        <w:t xml:space="preserve"> consensus sur le point de savoir si chacu</w:t>
      </w:r>
      <w:r w:rsidR="009D4AFE">
        <w:rPr>
          <w:rFonts w:eastAsia="Times New Roman" w:cs="Times New Roman"/>
          <w:color w:val="000000" w:themeColor="text1"/>
          <w:kern w:val="22"/>
          <w:sz w:val="22"/>
          <w:lang w:val="fr-FR" w:eastAsia="en-CA"/>
        </w:rPr>
        <w:t>ne de ces situations est subordonnée</w:t>
      </w:r>
      <w:r w:rsidR="00CC51E7">
        <w:rPr>
          <w:rFonts w:eastAsia="Times New Roman" w:cs="Times New Roman"/>
          <w:color w:val="000000" w:themeColor="text1"/>
          <w:kern w:val="22"/>
          <w:sz w:val="22"/>
          <w:lang w:val="fr-FR" w:eastAsia="en-CA"/>
        </w:rPr>
        <w:t xml:space="preserve"> ou non aux obligations relatives au </w:t>
      </w:r>
      <w:r w:rsidR="00E3674F" w:rsidRPr="00CA644E">
        <w:rPr>
          <w:rFonts w:eastAsia="Times New Roman" w:cs="Times New Roman"/>
          <w:color w:val="000000" w:themeColor="text1"/>
          <w:kern w:val="22"/>
          <w:sz w:val="22"/>
          <w:lang w:val="fr-FR" w:eastAsia="en-CA"/>
        </w:rPr>
        <w:t>partage des avantages</w:t>
      </w:r>
      <w:r w:rsidR="0011503B" w:rsidRPr="00CA644E">
        <w:rPr>
          <w:rFonts w:eastAsia="Times New Roman" w:cs="Times New Roman"/>
          <w:color w:val="000000" w:themeColor="text1"/>
          <w:kern w:val="22"/>
          <w:sz w:val="22"/>
          <w:lang w:val="fr-FR" w:eastAsia="en-CA"/>
        </w:rPr>
        <w:t xml:space="preserve">. </w:t>
      </w:r>
      <w:r w:rsidR="00CC51E7">
        <w:rPr>
          <w:rFonts w:eastAsia="Times New Roman" w:cs="Times New Roman"/>
          <w:color w:val="000000" w:themeColor="text1"/>
          <w:kern w:val="22"/>
          <w:sz w:val="22"/>
          <w:lang w:val="fr-FR" w:eastAsia="en-CA"/>
        </w:rPr>
        <w:t>Ainsi</w:t>
      </w:r>
      <w:r w:rsidR="0011503B" w:rsidRPr="00CC51E7">
        <w:rPr>
          <w:rFonts w:eastAsia="Times New Roman" w:cs="Times New Roman"/>
          <w:color w:val="000000" w:themeColor="text1"/>
          <w:kern w:val="22"/>
          <w:sz w:val="22"/>
          <w:lang w:val="fr-FR" w:eastAsia="en-CA"/>
        </w:rPr>
        <w:t>,</w:t>
      </w:r>
      <w:r w:rsidR="00AA5919" w:rsidRPr="00CC51E7">
        <w:rPr>
          <w:rFonts w:eastAsia="Times New Roman" w:cs="Times New Roman"/>
          <w:color w:val="000000" w:themeColor="text1"/>
          <w:kern w:val="22"/>
          <w:sz w:val="22"/>
          <w:lang w:val="fr-FR" w:eastAsia="en-CA"/>
        </w:rPr>
        <w:t xml:space="preserve"> certains </w:t>
      </w:r>
      <w:r w:rsidR="00012185">
        <w:rPr>
          <w:rFonts w:eastAsia="Times New Roman" w:cs="Times New Roman"/>
          <w:color w:val="000000" w:themeColor="text1"/>
          <w:kern w:val="22"/>
          <w:sz w:val="22"/>
          <w:lang w:val="fr-FR" w:eastAsia="en-CA"/>
        </w:rPr>
        <w:t xml:space="preserve">types de situations </w:t>
      </w:r>
      <w:r w:rsidR="0047349C" w:rsidRPr="00CC51E7">
        <w:rPr>
          <w:rFonts w:eastAsia="Times New Roman" w:cs="Times New Roman"/>
          <w:color w:val="000000" w:themeColor="text1"/>
          <w:kern w:val="22"/>
          <w:sz w:val="22"/>
          <w:lang w:val="fr-FR" w:eastAsia="en-CA"/>
        </w:rPr>
        <w:t>transfrontière</w:t>
      </w:r>
      <w:r w:rsidR="00CC51E7">
        <w:rPr>
          <w:rFonts w:eastAsia="Times New Roman" w:cs="Times New Roman"/>
          <w:color w:val="000000" w:themeColor="text1"/>
          <w:kern w:val="22"/>
          <w:sz w:val="22"/>
          <w:lang w:val="fr-FR" w:eastAsia="en-CA"/>
        </w:rPr>
        <w:t>s pourraient être traités dans le</w:t>
      </w:r>
      <w:r w:rsidR="009D4AFE">
        <w:rPr>
          <w:rFonts w:eastAsia="Times New Roman" w:cs="Times New Roman"/>
          <w:color w:val="000000" w:themeColor="text1"/>
          <w:kern w:val="22"/>
          <w:sz w:val="22"/>
          <w:lang w:val="fr-FR" w:eastAsia="en-CA"/>
        </w:rPr>
        <w:t xml:space="preserve"> cadre</w:t>
      </w:r>
      <w:r w:rsidR="0011503B" w:rsidRPr="00CC51E7">
        <w:rPr>
          <w:rFonts w:eastAsia="Times New Roman" w:cs="Times New Roman"/>
          <w:color w:val="000000" w:themeColor="text1"/>
          <w:kern w:val="22"/>
          <w:sz w:val="22"/>
          <w:lang w:val="fr-FR" w:eastAsia="en-CA"/>
        </w:rPr>
        <w:t xml:space="preserve"> </w:t>
      </w:r>
      <w:r w:rsidR="0028742E" w:rsidRPr="00CC51E7">
        <w:rPr>
          <w:rFonts w:eastAsia="Times New Roman" w:cs="Times New Roman"/>
          <w:color w:val="000000" w:themeColor="text1"/>
          <w:kern w:val="22"/>
          <w:sz w:val="22"/>
          <w:lang w:val="fr-FR" w:eastAsia="en-CA"/>
        </w:rPr>
        <w:t>de l’article</w:t>
      </w:r>
      <w:r w:rsidR="0011503B" w:rsidRPr="00CC51E7">
        <w:rPr>
          <w:rFonts w:eastAsia="Times New Roman" w:cs="Times New Roman"/>
          <w:color w:val="000000" w:themeColor="text1"/>
          <w:kern w:val="22"/>
          <w:sz w:val="22"/>
          <w:lang w:val="fr-FR" w:eastAsia="en-CA"/>
        </w:rPr>
        <w:t xml:space="preserve"> 10</w:t>
      </w:r>
      <w:r w:rsidR="009D4AFE">
        <w:rPr>
          <w:rFonts w:eastAsia="Times New Roman" w:cs="Times New Roman"/>
          <w:color w:val="000000" w:themeColor="text1"/>
          <w:kern w:val="22"/>
          <w:sz w:val="22"/>
          <w:lang w:val="fr-FR" w:eastAsia="en-CA"/>
        </w:rPr>
        <w:t xml:space="preserve"> du Protocole de Nagoya</w:t>
      </w:r>
      <w:r w:rsidR="0011503B" w:rsidRPr="00CC51E7">
        <w:rPr>
          <w:rFonts w:eastAsia="Times New Roman" w:cs="Times New Roman"/>
          <w:color w:val="000000" w:themeColor="text1"/>
          <w:kern w:val="22"/>
          <w:sz w:val="22"/>
          <w:lang w:val="fr-FR" w:eastAsia="en-CA"/>
        </w:rPr>
        <w:t>,</w:t>
      </w:r>
      <w:r w:rsidR="00CC51E7">
        <w:rPr>
          <w:rFonts w:eastAsia="Times New Roman" w:cs="Times New Roman"/>
          <w:color w:val="000000" w:themeColor="text1"/>
          <w:kern w:val="22"/>
          <w:sz w:val="22"/>
          <w:lang w:val="fr-FR" w:eastAsia="en-CA"/>
        </w:rPr>
        <w:t xml:space="preserve"> tandis</w:t>
      </w:r>
      <w:r w:rsidR="00012185">
        <w:rPr>
          <w:rFonts w:eastAsia="Times New Roman" w:cs="Times New Roman"/>
          <w:color w:val="000000" w:themeColor="text1"/>
          <w:kern w:val="22"/>
          <w:sz w:val="22"/>
          <w:lang w:val="fr-FR" w:eastAsia="en-CA"/>
        </w:rPr>
        <w:t xml:space="preserve"> que d’autres situations </w:t>
      </w:r>
      <w:r w:rsidR="00CC51E7">
        <w:rPr>
          <w:rFonts w:eastAsia="Times New Roman" w:cs="Times New Roman"/>
          <w:color w:val="000000" w:themeColor="text1"/>
          <w:kern w:val="22"/>
          <w:sz w:val="22"/>
          <w:lang w:val="fr-FR" w:eastAsia="en-CA"/>
        </w:rPr>
        <w:t>pourraient être abordé</w:t>
      </w:r>
      <w:r w:rsidR="00012185">
        <w:rPr>
          <w:rFonts w:eastAsia="Times New Roman" w:cs="Times New Roman"/>
          <w:color w:val="000000" w:themeColor="text1"/>
          <w:kern w:val="22"/>
          <w:sz w:val="22"/>
          <w:lang w:val="fr-FR" w:eastAsia="en-CA"/>
        </w:rPr>
        <w:t>e</w:t>
      </w:r>
      <w:r w:rsidR="00CC51E7">
        <w:rPr>
          <w:rFonts w:eastAsia="Times New Roman" w:cs="Times New Roman"/>
          <w:color w:val="000000" w:themeColor="text1"/>
          <w:kern w:val="22"/>
          <w:sz w:val="22"/>
          <w:lang w:val="fr-FR" w:eastAsia="en-CA"/>
        </w:rPr>
        <w:t>s</w:t>
      </w:r>
      <w:r w:rsidR="00AA5919" w:rsidRPr="00CC51E7">
        <w:rPr>
          <w:rFonts w:eastAsia="Times New Roman" w:cs="Times New Roman"/>
          <w:color w:val="000000" w:themeColor="text1"/>
          <w:kern w:val="22"/>
          <w:sz w:val="22"/>
          <w:lang w:val="fr-FR" w:eastAsia="en-CA"/>
        </w:rPr>
        <w:t xml:space="preserve"> </w:t>
      </w:r>
      <w:r w:rsidR="00012185">
        <w:rPr>
          <w:rFonts w:eastAsia="Times New Roman" w:cs="Times New Roman"/>
          <w:color w:val="000000" w:themeColor="text1"/>
          <w:kern w:val="22"/>
          <w:sz w:val="22"/>
          <w:lang w:val="fr-FR" w:eastAsia="en-CA"/>
        </w:rPr>
        <w:t>dans le cadre</w:t>
      </w:r>
      <w:r w:rsidR="00B90EF3" w:rsidRPr="00CC51E7">
        <w:rPr>
          <w:rFonts w:eastAsia="Times New Roman" w:cs="Times New Roman"/>
          <w:color w:val="000000" w:themeColor="text1"/>
          <w:kern w:val="22"/>
          <w:sz w:val="22"/>
          <w:lang w:val="fr-FR" w:eastAsia="en-CA"/>
        </w:rPr>
        <w:t xml:space="preserve"> de l’article</w:t>
      </w:r>
      <w:r w:rsidR="0011503B" w:rsidRPr="00CC51E7">
        <w:rPr>
          <w:rFonts w:eastAsia="Times New Roman" w:cs="Times New Roman"/>
          <w:color w:val="000000" w:themeColor="text1"/>
          <w:kern w:val="22"/>
          <w:sz w:val="22"/>
          <w:lang w:val="fr-FR" w:eastAsia="en-CA"/>
        </w:rPr>
        <w:t xml:space="preserve"> 11,</w:t>
      </w:r>
      <w:r w:rsidR="00012185">
        <w:rPr>
          <w:rFonts w:eastAsia="Times New Roman" w:cs="Times New Roman"/>
          <w:color w:val="000000" w:themeColor="text1"/>
          <w:kern w:val="22"/>
          <w:sz w:val="22"/>
          <w:lang w:val="fr-FR" w:eastAsia="en-CA"/>
        </w:rPr>
        <w:t xml:space="preserve"> et d’autres situations </w:t>
      </w:r>
      <w:r w:rsidR="00CC51E7">
        <w:rPr>
          <w:rFonts w:eastAsia="Times New Roman" w:cs="Times New Roman"/>
          <w:color w:val="000000" w:themeColor="text1"/>
          <w:kern w:val="22"/>
          <w:sz w:val="22"/>
          <w:lang w:val="fr-FR" w:eastAsia="en-CA"/>
        </w:rPr>
        <w:t>en</w:t>
      </w:r>
      <w:r w:rsidR="00012185">
        <w:rPr>
          <w:rFonts w:eastAsia="Times New Roman" w:cs="Times New Roman"/>
          <w:color w:val="000000" w:themeColor="text1"/>
          <w:kern w:val="22"/>
          <w:sz w:val="22"/>
          <w:lang w:val="fr-FR" w:eastAsia="en-CA"/>
        </w:rPr>
        <w:t xml:space="preserve">core pourraient être </w:t>
      </w:r>
      <w:r w:rsidR="00CC51E7">
        <w:rPr>
          <w:rFonts w:eastAsia="Times New Roman" w:cs="Times New Roman"/>
          <w:color w:val="000000" w:themeColor="text1"/>
          <w:kern w:val="22"/>
          <w:sz w:val="22"/>
          <w:lang w:val="fr-FR" w:eastAsia="en-CA"/>
        </w:rPr>
        <w:t>e</w:t>
      </w:r>
      <w:r w:rsidR="00012185">
        <w:rPr>
          <w:rFonts w:eastAsia="Times New Roman" w:cs="Times New Roman"/>
          <w:color w:val="000000" w:themeColor="text1"/>
          <w:kern w:val="22"/>
          <w:sz w:val="22"/>
          <w:lang w:val="fr-FR" w:eastAsia="en-CA"/>
        </w:rPr>
        <w:t>xclues du</w:t>
      </w:r>
      <w:r w:rsidR="00CC51E7">
        <w:rPr>
          <w:rFonts w:eastAsia="Times New Roman" w:cs="Times New Roman"/>
          <w:color w:val="000000" w:themeColor="text1"/>
          <w:kern w:val="22"/>
          <w:sz w:val="22"/>
          <w:lang w:val="fr-FR" w:eastAsia="en-CA"/>
        </w:rPr>
        <w:t xml:space="preserve"> champ d’application du </w:t>
      </w:r>
      <w:r w:rsidR="00F27467" w:rsidRPr="00CC51E7">
        <w:rPr>
          <w:rFonts w:eastAsia="Times New Roman" w:cs="Times New Roman"/>
          <w:color w:val="000000" w:themeColor="text1"/>
          <w:kern w:val="22"/>
          <w:sz w:val="22"/>
          <w:lang w:val="fr-FR" w:eastAsia="en-CA"/>
        </w:rPr>
        <w:t>Protocole</w:t>
      </w:r>
      <w:r w:rsidR="0011503B" w:rsidRPr="00CC51E7">
        <w:rPr>
          <w:rFonts w:eastAsia="Times New Roman" w:cs="Times New Roman"/>
          <w:color w:val="000000" w:themeColor="text1"/>
          <w:kern w:val="22"/>
          <w:sz w:val="22"/>
          <w:lang w:val="fr-FR" w:eastAsia="en-CA"/>
        </w:rPr>
        <w:t xml:space="preserve">. </w:t>
      </w:r>
    </w:p>
    <w:p w14:paraId="7A0576F7" w14:textId="30499855" w:rsidR="000A4BBF" w:rsidRPr="00AA5919" w:rsidRDefault="00FF3415" w:rsidP="005A7D0C">
      <w:pPr>
        <w:rPr>
          <w:rFonts w:eastAsia="Times New Roman" w:cs="Times New Roman"/>
          <w:iCs/>
          <w:color w:val="000000"/>
          <w:kern w:val="22"/>
          <w:sz w:val="22"/>
          <w:lang w:val="fr-FR" w:eastAsia="en-CA"/>
        </w:rPr>
      </w:pPr>
      <w:r w:rsidRPr="00FF3415">
        <w:rPr>
          <w:rFonts w:eastAsia="Times New Roman" w:cs="Times New Roman"/>
          <w:iCs/>
          <w:color w:val="000000"/>
          <w:kern w:val="22"/>
          <w:sz w:val="22"/>
          <w:lang w:val="fr-FR" w:eastAsia="en-CA"/>
        </w:rPr>
        <w:t>D’autres</w:t>
      </w:r>
      <w:r w:rsidR="0068240C" w:rsidRPr="003F6B4A">
        <w:rPr>
          <w:rFonts w:eastAsia="Times New Roman" w:cs="Times New Roman"/>
          <w:iCs/>
          <w:color w:val="000000"/>
          <w:kern w:val="22"/>
          <w:sz w:val="22"/>
          <w:lang w:val="fr-FR" w:eastAsia="en-CA"/>
        </w:rPr>
        <w:t xml:space="preserve"> </w:t>
      </w:r>
      <w:r w:rsidR="00D8317B">
        <w:rPr>
          <w:rFonts w:eastAsia="Times New Roman" w:cs="Times New Roman"/>
          <w:iCs/>
          <w:color w:val="000000"/>
          <w:kern w:val="22"/>
          <w:sz w:val="22"/>
          <w:lang w:val="fr-FR" w:eastAsia="en-CA"/>
        </w:rPr>
        <w:t>catégorie</w:t>
      </w:r>
      <w:r>
        <w:rPr>
          <w:rFonts w:eastAsia="Times New Roman" w:cs="Times New Roman"/>
          <w:iCs/>
          <w:color w:val="000000"/>
          <w:kern w:val="22"/>
          <w:sz w:val="22"/>
          <w:lang w:val="fr-FR" w:eastAsia="en-CA"/>
        </w:rPr>
        <w:t>s de</w:t>
      </w:r>
      <w:r w:rsidR="00DF2052" w:rsidRPr="003F6B4A">
        <w:rPr>
          <w:rFonts w:eastAsia="Times New Roman" w:cs="Times New Roman"/>
          <w:iCs/>
          <w:color w:val="000000"/>
          <w:kern w:val="22"/>
          <w:sz w:val="22"/>
          <w:lang w:val="fr-FR" w:eastAsia="en-CA"/>
        </w:rPr>
        <w:t xml:space="preserve"> </w:t>
      </w:r>
      <w:r w:rsidR="00D04EC6">
        <w:rPr>
          <w:rFonts w:eastAsia="Times New Roman" w:cs="Times New Roman"/>
          <w:iCs/>
          <w:color w:val="000000"/>
          <w:kern w:val="22"/>
          <w:sz w:val="22"/>
          <w:lang w:val="fr-FR" w:eastAsia="en-CA"/>
        </w:rPr>
        <w:t>cas</w:t>
      </w:r>
      <w:r>
        <w:rPr>
          <w:rFonts w:eastAsia="Times New Roman" w:cs="Times New Roman"/>
          <w:iCs/>
          <w:color w:val="000000"/>
          <w:kern w:val="22"/>
          <w:sz w:val="22"/>
          <w:lang w:val="fr-FR" w:eastAsia="en-CA"/>
        </w:rPr>
        <w:t xml:space="preserve"> incluent les</w:t>
      </w:r>
      <w:r w:rsidR="0068240C" w:rsidRPr="003F6B4A">
        <w:rPr>
          <w:rFonts w:eastAsia="Times New Roman" w:cs="Times New Roman"/>
          <w:iCs/>
          <w:color w:val="000000"/>
          <w:kern w:val="22"/>
          <w:sz w:val="22"/>
          <w:lang w:val="fr-FR" w:eastAsia="en-CA"/>
        </w:rPr>
        <w:t xml:space="preserve"> </w:t>
      </w:r>
      <w:r w:rsidR="00E3674F" w:rsidRPr="003F6B4A">
        <w:rPr>
          <w:rFonts w:eastAsia="Times New Roman" w:cs="Times New Roman"/>
          <w:iCs/>
          <w:color w:val="000000"/>
          <w:kern w:val="22"/>
          <w:sz w:val="22"/>
          <w:lang w:val="fr-FR" w:eastAsia="en-CA"/>
        </w:rPr>
        <w:t>ressources génétiques</w:t>
      </w:r>
      <w:r w:rsidR="000B0175" w:rsidRPr="003F6B4A">
        <w:rPr>
          <w:rFonts w:eastAsia="Times New Roman" w:cs="Times New Roman"/>
          <w:iCs/>
          <w:color w:val="000000"/>
          <w:kern w:val="22"/>
          <w:sz w:val="22"/>
          <w:lang w:val="fr-FR" w:eastAsia="en-CA"/>
        </w:rPr>
        <w:t xml:space="preserve"> </w:t>
      </w:r>
      <w:r w:rsidR="0020703A" w:rsidRPr="003F6B4A">
        <w:rPr>
          <w:rFonts w:eastAsia="Times New Roman" w:cs="Times New Roman"/>
          <w:iCs/>
          <w:color w:val="000000"/>
          <w:kern w:val="22"/>
          <w:sz w:val="22"/>
          <w:lang w:val="fr-FR" w:eastAsia="en-CA"/>
        </w:rPr>
        <w:t>pour lesquel</w:t>
      </w:r>
      <w:r>
        <w:rPr>
          <w:rFonts w:eastAsia="Times New Roman" w:cs="Times New Roman"/>
          <w:iCs/>
          <w:color w:val="000000"/>
          <w:kern w:val="22"/>
          <w:sz w:val="22"/>
          <w:lang w:val="fr-FR" w:eastAsia="en-CA"/>
        </w:rPr>
        <w:t xml:space="preserve">les </w:t>
      </w:r>
      <w:r w:rsidR="007D7761">
        <w:rPr>
          <w:rFonts w:eastAsia="Times New Roman" w:cs="Times New Roman"/>
          <w:iCs/>
          <w:color w:val="000000"/>
          <w:kern w:val="22"/>
          <w:sz w:val="22"/>
          <w:lang w:val="fr-FR" w:eastAsia="en-CA"/>
        </w:rPr>
        <w:t>il n’est pas possible</w:t>
      </w:r>
      <w:r w:rsidR="000B0175" w:rsidRPr="003F6B4A">
        <w:rPr>
          <w:rFonts w:eastAsia="Times New Roman" w:cs="Times New Roman"/>
          <w:iCs/>
          <w:color w:val="000000"/>
          <w:kern w:val="22"/>
          <w:sz w:val="22"/>
          <w:lang w:val="fr-FR" w:eastAsia="en-CA"/>
        </w:rPr>
        <w:t xml:space="preserve"> </w:t>
      </w:r>
      <w:r w:rsidR="00FB033A" w:rsidRPr="003F6B4A">
        <w:rPr>
          <w:rFonts w:eastAsia="Times New Roman" w:cs="Times New Roman"/>
          <w:iCs/>
          <w:color w:val="000000"/>
          <w:kern w:val="22"/>
          <w:sz w:val="22"/>
          <w:lang w:val="fr-FR" w:eastAsia="en-CA"/>
        </w:rPr>
        <w:t>d’accorder ou d’obtenir un</w:t>
      </w:r>
      <w:r w:rsidR="000B0175" w:rsidRPr="003F6B4A">
        <w:rPr>
          <w:rFonts w:eastAsia="Times New Roman" w:cs="Times New Roman"/>
          <w:iCs/>
          <w:color w:val="000000"/>
          <w:kern w:val="22"/>
          <w:sz w:val="22"/>
          <w:lang w:val="fr-FR" w:eastAsia="en-CA"/>
        </w:rPr>
        <w:t xml:space="preserve"> </w:t>
      </w:r>
      <w:r w:rsidR="007D7761">
        <w:rPr>
          <w:rFonts w:eastAsia="Times New Roman" w:cs="Times New Roman"/>
          <w:iCs/>
          <w:color w:val="000000"/>
          <w:kern w:val="22"/>
          <w:sz w:val="22"/>
          <w:lang w:val="fr-FR" w:eastAsia="en-CA"/>
        </w:rPr>
        <w:t>consentement préalable donné en connaissance de cause</w:t>
      </w:r>
      <w:r w:rsidR="000B0175" w:rsidRPr="003F6B4A">
        <w:rPr>
          <w:rFonts w:eastAsia="Times New Roman" w:cs="Times New Roman"/>
          <w:iCs/>
          <w:color w:val="000000"/>
          <w:kern w:val="22"/>
          <w:sz w:val="22"/>
          <w:lang w:val="fr-FR" w:eastAsia="en-CA"/>
        </w:rPr>
        <w:t xml:space="preserve">, </w:t>
      </w:r>
      <w:r w:rsidR="00B43E38">
        <w:rPr>
          <w:rFonts w:eastAsia="Times New Roman" w:cs="Times New Roman"/>
          <w:iCs/>
          <w:color w:val="000000"/>
          <w:kern w:val="22"/>
          <w:sz w:val="22"/>
          <w:lang w:val="fr-FR" w:eastAsia="en-CA"/>
        </w:rPr>
        <w:t>y compris</w:t>
      </w:r>
      <w:r w:rsidR="000B0175" w:rsidRPr="003F6B4A">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 xml:space="preserve">les </w:t>
      </w:r>
      <w:r w:rsidR="00E3674F" w:rsidRPr="003F6B4A">
        <w:rPr>
          <w:rFonts w:eastAsia="Times New Roman" w:cs="Times New Roman"/>
          <w:iCs/>
          <w:color w:val="000000"/>
          <w:kern w:val="22"/>
          <w:sz w:val="22"/>
          <w:lang w:val="fr-FR" w:eastAsia="en-CA"/>
        </w:rPr>
        <w:t>ressources génétiques</w:t>
      </w:r>
      <w:r w:rsidR="000B0175" w:rsidRPr="003F6B4A">
        <w:rPr>
          <w:rFonts w:eastAsia="Times New Roman" w:cs="Times New Roman"/>
          <w:iCs/>
          <w:color w:val="000000"/>
          <w:kern w:val="22"/>
          <w:sz w:val="22"/>
          <w:lang w:val="fr-FR" w:eastAsia="en-CA"/>
        </w:rPr>
        <w:t xml:space="preserve"> </w:t>
      </w:r>
      <w:r w:rsidR="008D43E2">
        <w:rPr>
          <w:rFonts w:eastAsia="Times New Roman" w:cs="Times New Roman"/>
          <w:iCs/>
          <w:color w:val="000000"/>
          <w:kern w:val="22"/>
          <w:sz w:val="22"/>
          <w:lang w:val="fr-FR" w:eastAsia="en-CA"/>
        </w:rPr>
        <w:t xml:space="preserve">dont on ne peut </w:t>
      </w:r>
      <w:r w:rsidR="00DB08F9">
        <w:rPr>
          <w:rFonts w:eastAsia="Times New Roman" w:cs="Times New Roman"/>
          <w:iCs/>
          <w:color w:val="000000"/>
          <w:kern w:val="22"/>
          <w:sz w:val="22"/>
          <w:lang w:val="fr-FR" w:eastAsia="en-CA"/>
        </w:rPr>
        <w:t>déterminer la provenance</w:t>
      </w:r>
      <w:r w:rsidR="000B0175" w:rsidRPr="003F6B4A">
        <w:rPr>
          <w:rFonts w:eastAsia="Times New Roman" w:cs="Times New Roman"/>
          <w:iCs/>
          <w:color w:val="000000"/>
          <w:kern w:val="22"/>
          <w:sz w:val="22"/>
          <w:lang w:val="fr-FR" w:eastAsia="en-CA"/>
        </w:rPr>
        <w:t xml:space="preserve"> </w:t>
      </w:r>
      <w:r w:rsidR="007A438A">
        <w:rPr>
          <w:rFonts w:eastAsia="Times New Roman" w:cs="Times New Roman"/>
          <w:iCs/>
          <w:color w:val="000000"/>
          <w:kern w:val="22"/>
          <w:sz w:val="22"/>
          <w:lang w:val="fr-FR" w:eastAsia="en-CA"/>
        </w:rPr>
        <w:t>dans des collections</w:t>
      </w:r>
      <w:r w:rsidR="00FC7EA5" w:rsidRPr="003F6B4A">
        <w:rPr>
          <w:rFonts w:eastAsia="Times New Roman" w:cs="Times New Roman"/>
          <w:i/>
          <w:color w:val="000000"/>
          <w:kern w:val="22"/>
          <w:sz w:val="22"/>
          <w:lang w:val="fr-FR" w:eastAsia="en-CA"/>
        </w:rPr>
        <w:t xml:space="preserve"> ex situ</w:t>
      </w:r>
      <w:r w:rsidR="000B0175" w:rsidRPr="003F6B4A">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l’</w:t>
      </w:r>
      <w:r w:rsidR="008627A9" w:rsidRPr="003F6B4A">
        <w:rPr>
          <w:rFonts w:eastAsia="Times New Roman" w:cs="Times New Roman"/>
          <w:iCs/>
          <w:color w:val="000000"/>
          <w:kern w:val="22"/>
          <w:sz w:val="22"/>
          <w:lang w:val="fr-FR" w:eastAsia="en-CA"/>
        </w:rPr>
        <w:t>utilisation</w:t>
      </w:r>
      <w:r>
        <w:rPr>
          <w:rFonts w:eastAsia="Times New Roman" w:cs="Times New Roman"/>
          <w:iCs/>
          <w:color w:val="000000"/>
          <w:kern w:val="22"/>
          <w:sz w:val="22"/>
          <w:lang w:val="fr-FR" w:eastAsia="en-CA"/>
        </w:rPr>
        <w:t xml:space="preserve"> d’</w:t>
      </w:r>
      <w:r w:rsidR="00E40444" w:rsidRPr="003F6B4A">
        <w:rPr>
          <w:rFonts w:eastAsia="Times New Roman" w:cs="Times New Roman"/>
          <w:iCs/>
          <w:color w:val="000000"/>
          <w:kern w:val="22"/>
          <w:sz w:val="22"/>
          <w:lang w:val="fr-FR" w:eastAsia="en-CA"/>
        </w:rPr>
        <w:t>échantillons</w:t>
      </w:r>
      <w:r w:rsidR="000B0175" w:rsidRPr="003F6B4A">
        <w:rPr>
          <w:rFonts w:eastAsia="Times New Roman" w:cs="Times New Roman"/>
          <w:iCs/>
          <w:color w:val="000000"/>
          <w:kern w:val="22"/>
          <w:sz w:val="22"/>
          <w:lang w:val="fr-FR" w:eastAsia="en-CA"/>
        </w:rPr>
        <w:t xml:space="preserve"> </w:t>
      </w:r>
      <w:r w:rsidR="008D43E2">
        <w:rPr>
          <w:rFonts w:eastAsia="Times New Roman" w:cs="Times New Roman"/>
          <w:iCs/>
          <w:color w:val="000000"/>
          <w:kern w:val="22"/>
          <w:sz w:val="22"/>
          <w:lang w:val="fr-FR" w:eastAsia="en-CA"/>
        </w:rPr>
        <w:t>de multiples organismes</w:t>
      </w:r>
      <w:r w:rsidR="00D04EC6">
        <w:rPr>
          <w:rFonts w:eastAsia="Times New Roman" w:cs="Times New Roman"/>
          <w:iCs/>
          <w:color w:val="000000"/>
          <w:kern w:val="22"/>
          <w:sz w:val="22"/>
          <w:lang w:val="fr-FR" w:eastAsia="en-CA"/>
        </w:rPr>
        <w:t xml:space="preserve"> provenant de différentes zones géographiques</w:t>
      </w:r>
      <w:r w:rsidR="000B0175" w:rsidRPr="003F6B4A">
        <w:rPr>
          <w:rFonts w:eastAsia="Times New Roman" w:cs="Times New Roman"/>
          <w:iCs/>
          <w:color w:val="000000"/>
          <w:kern w:val="22"/>
          <w:sz w:val="22"/>
          <w:lang w:val="fr-FR" w:eastAsia="en-CA"/>
        </w:rPr>
        <w:t xml:space="preserve">, </w:t>
      </w:r>
      <w:r w:rsidR="00012185">
        <w:rPr>
          <w:rFonts w:eastAsia="Times New Roman" w:cs="Times New Roman"/>
          <w:iCs/>
          <w:color w:val="000000"/>
          <w:kern w:val="22"/>
          <w:sz w:val="22"/>
          <w:lang w:val="fr-FR" w:eastAsia="en-CA"/>
        </w:rPr>
        <w:t>les cas d’information</w:t>
      </w:r>
      <w:r w:rsidR="00516613">
        <w:rPr>
          <w:rFonts w:eastAsia="Times New Roman" w:cs="Times New Roman"/>
          <w:iCs/>
          <w:color w:val="000000"/>
          <w:kern w:val="22"/>
          <w:sz w:val="22"/>
          <w:lang w:val="fr-FR" w:eastAsia="en-CA"/>
        </w:rPr>
        <w:t xml:space="preserve"> de séquençage</w:t>
      </w:r>
      <w:r w:rsidR="00142D5A">
        <w:rPr>
          <w:rFonts w:eastAsia="Times New Roman" w:cs="Times New Roman"/>
          <w:iCs/>
          <w:color w:val="000000"/>
          <w:kern w:val="22"/>
          <w:sz w:val="22"/>
          <w:lang w:val="fr-FR" w:eastAsia="en-CA"/>
        </w:rPr>
        <w:t xml:space="preserve"> numérique</w:t>
      </w:r>
      <w:r w:rsidR="000B0175" w:rsidRPr="003F6B4A">
        <w:rPr>
          <w:rFonts w:eastAsia="Times New Roman" w:cs="Times New Roman"/>
          <w:iCs/>
          <w:color w:val="000000"/>
          <w:kern w:val="22"/>
          <w:sz w:val="22"/>
          <w:lang w:val="fr-FR" w:eastAsia="en-CA"/>
        </w:rPr>
        <w:t xml:space="preserve"> </w:t>
      </w:r>
      <w:r w:rsidR="009D4AFE">
        <w:rPr>
          <w:rFonts w:eastAsia="Times New Roman" w:cs="Times New Roman"/>
          <w:iCs/>
          <w:color w:val="000000"/>
          <w:kern w:val="22"/>
          <w:sz w:val="22"/>
          <w:lang w:val="fr-FR" w:eastAsia="en-CA"/>
        </w:rPr>
        <w:t>pour lesquels</w:t>
      </w:r>
      <w:r w:rsidR="003F6B4A" w:rsidRPr="003F6B4A">
        <w:rPr>
          <w:rFonts w:eastAsia="Times New Roman" w:cs="Times New Roman"/>
          <w:iCs/>
          <w:color w:val="000000"/>
          <w:kern w:val="22"/>
          <w:sz w:val="22"/>
          <w:lang w:val="fr-FR" w:eastAsia="en-CA"/>
        </w:rPr>
        <w:t xml:space="preserve"> aucun accès physique n’est nécessaire</w:t>
      </w:r>
      <w:r w:rsidR="000B0175" w:rsidRPr="003F6B4A">
        <w:rPr>
          <w:rFonts w:eastAsia="Times New Roman" w:cs="Times New Roman"/>
          <w:iCs/>
          <w:color w:val="000000"/>
          <w:kern w:val="22"/>
          <w:sz w:val="22"/>
          <w:lang w:val="fr-FR" w:eastAsia="en-CA"/>
        </w:rPr>
        <w:t xml:space="preserve"> </w:t>
      </w:r>
      <w:r w:rsidR="00012185">
        <w:rPr>
          <w:rFonts w:eastAsia="Times New Roman" w:cs="Times New Roman"/>
          <w:iCs/>
          <w:color w:val="000000"/>
          <w:kern w:val="22"/>
          <w:sz w:val="22"/>
          <w:lang w:val="fr-FR" w:eastAsia="en-CA"/>
        </w:rPr>
        <w:t>afin d’</w:t>
      </w:r>
      <w:r w:rsidR="00AA5919">
        <w:rPr>
          <w:rFonts w:eastAsia="Times New Roman" w:cs="Times New Roman"/>
          <w:iCs/>
          <w:color w:val="000000"/>
          <w:kern w:val="22"/>
          <w:sz w:val="22"/>
          <w:lang w:val="fr-FR" w:eastAsia="en-CA"/>
        </w:rPr>
        <w:t xml:space="preserve">utiliser </w:t>
      </w:r>
      <w:r w:rsidR="00A73B5B" w:rsidRPr="003F6B4A">
        <w:rPr>
          <w:rFonts w:eastAsia="Times New Roman" w:cs="Times New Roman"/>
          <w:iCs/>
          <w:color w:val="000000"/>
          <w:kern w:val="22"/>
          <w:sz w:val="22"/>
          <w:lang w:val="fr-FR" w:eastAsia="en-CA"/>
        </w:rPr>
        <w:t>l’information génétique</w:t>
      </w:r>
      <w:r w:rsidR="000B0175" w:rsidRPr="003F6B4A">
        <w:rPr>
          <w:rFonts w:eastAsia="Times New Roman" w:cs="Times New Roman"/>
          <w:iCs/>
          <w:color w:val="000000"/>
          <w:kern w:val="22"/>
          <w:sz w:val="22"/>
          <w:lang w:val="fr-FR" w:eastAsia="en-CA"/>
        </w:rPr>
        <w:t>,</w:t>
      </w:r>
      <w:r w:rsidR="00E3674F" w:rsidRPr="003F6B4A">
        <w:rPr>
          <w:rFonts w:eastAsia="Times New Roman" w:cs="Times New Roman"/>
          <w:iCs/>
          <w:color w:val="000000"/>
          <w:kern w:val="22"/>
          <w:sz w:val="22"/>
          <w:lang w:val="fr-FR" w:eastAsia="en-CA"/>
        </w:rPr>
        <w:t xml:space="preserve"> et </w:t>
      </w:r>
      <w:r>
        <w:rPr>
          <w:rFonts w:eastAsia="Times New Roman" w:cs="Times New Roman"/>
          <w:iCs/>
          <w:color w:val="000000"/>
          <w:kern w:val="22"/>
          <w:sz w:val="22"/>
          <w:lang w:val="fr-FR" w:eastAsia="en-CA"/>
        </w:rPr>
        <w:t>l’</w:t>
      </w:r>
      <w:r w:rsidR="008627A9" w:rsidRPr="003F6B4A">
        <w:rPr>
          <w:rFonts w:eastAsia="Times New Roman" w:cs="Times New Roman"/>
          <w:iCs/>
          <w:color w:val="000000"/>
          <w:kern w:val="22"/>
          <w:sz w:val="22"/>
          <w:lang w:val="fr-FR" w:eastAsia="en-CA"/>
        </w:rPr>
        <w:t>utilisation</w:t>
      </w:r>
      <w:r>
        <w:rPr>
          <w:rFonts w:eastAsia="Times New Roman" w:cs="Times New Roman"/>
          <w:iCs/>
          <w:color w:val="000000"/>
          <w:kern w:val="22"/>
          <w:sz w:val="22"/>
          <w:lang w:val="fr-FR" w:eastAsia="en-CA"/>
        </w:rPr>
        <w:t xml:space="preserve"> de</w:t>
      </w:r>
      <w:r w:rsidR="000B0175" w:rsidRPr="003F6B4A">
        <w:rPr>
          <w:rFonts w:eastAsia="Times New Roman" w:cs="Times New Roman"/>
          <w:iCs/>
          <w:color w:val="000000"/>
          <w:kern w:val="22"/>
          <w:sz w:val="22"/>
          <w:lang w:val="fr-FR" w:eastAsia="en-CA"/>
        </w:rPr>
        <w:t xml:space="preserve"> </w:t>
      </w:r>
      <w:r w:rsidR="00012185">
        <w:rPr>
          <w:rFonts w:eastAsia="Times New Roman" w:cs="Times New Roman"/>
          <w:iCs/>
          <w:color w:val="000000"/>
          <w:kern w:val="22"/>
          <w:sz w:val="22"/>
          <w:lang w:val="fr-FR" w:eastAsia="en-CA"/>
        </w:rPr>
        <w:t>composé</w:t>
      </w:r>
      <w:r w:rsidR="0072393B">
        <w:rPr>
          <w:rFonts w:eastAsia="Times New Roman" w:cs="Times New Roman"/>
          <w:iCs/>
          <w:color w:val="000000"/>
          <w:kern w:val="22"/>
          <w:sz w:val="22"/>
          <w:lang w:val="fr-FR" w:eastAsia="en-CA"/>
        </w:rPr>
        <w:t>s génétiques</w:t>
      </w:r>
      <w:r w:rsidR="000B0175" w:rsidRPr="003F6B4A">
        <w:rPr>
          <w:rFonts w:eastAsia="Times New Roman" w:cs="Times New Roman"/>
          <w:iCs/>
          <w:color w:val="000000"/>
          <w:kern w:val="22"/>
          <w:sz w:val="22"/>
          <w:lang w:val="fr-FR" w:eastAsia="en-CA"/>
        </w:rPr>
        <w:t xml:space="preserve"> </w:t>
      </w:r>
      <w:r w:rsidR="00012185">
        <w:rPr>
          <w:rFonts w:eastAsia="Times New Roman" w:cs="Times New Roman"/>
          <w:iCs/>
          <w:color w:val="000000"/>
          <w:kern w:val="22"/>
          <w:sz w:val="22"/>
          <w:lang w:val="fr-FR" w:eastAsia="en-CA"/>
        </w:rPr>
        <w:t>provenant de</w:t>
      </w:r>
      <w:r w:rsidR="000B0175" w:rsidRPr="003F6B4A">
        <w:rPr>
          <w:rFonts w:eastAsia="Times New Roman" w:cs="Times New Roman"/>
          <w:iCs/>
          <w:color w:val="000000"/>
          <w:kern w:val="22"/>
          <w:sz w:val="22"/>
          <w:lang w:val="fr-FR" w:eastAsia="en-CA"/>
        </w:rPr>
        <w:t xml:space="preserve"> </w:t>
      </w:r>
      <w:r w:rsidR="009D4AFE">
        <w:rPr>
          <w:rFonts w:eastAsia="Times New Roman" w:cs="Times New Roman"/>
          <w:iCs/>
          <w:color w:val="000000"/>
          <w:kern w:val="22"/>
          <w:sz w:val="22"/>
          <w:lang w:val="fr-FR" w:eastAsia="en-CA"/>
        </w:rPr>
        <w:t>multiple</w:t>
      </w:r>
      <w:r w:rsidR="0072393B">
        <w:rPr>
          <w:rFonts w:eastAsia="Times New Roman" w:cs="Times New Roman"/>
          <w:iCs/>
          <w:color w:val="000000"/>
          <w:kern w:val="22"/>
          <w:sz w:val="22"/>
          <w:lang w:val="fr-FR" w:eastAsia="en-CA"/>
        </w:rPr>
        <w:t>s organismes</w:t>
      </w:r>
      <w:r w:rsidR="000B0175" w:rsidRPr="003F6B4A">
        <w:rPr>
          <w:rFonts w:eastAsia="Times New Roman" w:cs="Times New Roman"/>
          <w:iCs/>
          <w:color w:val="000000"/>
          <w:kern w:val="22"/>
          <w:sz w:val="22"/>
          <w:lang w:val="fr-FR" w:eastAsia="en-CA"/>
        </w:rPr>
        <w:t xml:space="preserve">. </w:t>
      </w:r>
      <w:r w:rsidR="000B36BE" w:rsidRPr="000B36BE">
        <w:rPr>
          <w:rFonts w:eastAsia="Times New Roman" w:cs="Times New Roman"/>
          <w:iCs/>
          <w:color w:val="000000"/>
          <w:kern w:val="22"/>
          <w:sz w:val="22"/>
          <w:lang w:val="fr-FR" w:eastAsia="en-CA"/>
        </w:rPr>
        <w:t>Les Parties ne sont pas parvenues à un consensus</w:t>
      </w:r>
      <w:r w:rsidR="000A4BBF" w:rsidRPr="000B36BE">
        <w:rPr>
          <w:rFonts w:eastAsia="Times New Roman" w:cs="Times New Roman"/>
          <w:iCs/>
          <w:color w:val="000000"/>
          <w:kern w:val="22"/>
          <w:sz w:val="22"/>
          <w:lang w:val="fr-FR" w:eastAsia="en-CA"/>
        </w:rPr>
        <w:t xml:space="preserve"> </w:t>
      </w:r>
      <w:r w:rsidR="00866610">
        <w:rPr>
          <w:rFonts w:eastAsia="Times New Roman" w:cs="Times New Roman"/>
          <w:iCs/>
          <w:color w:val="000000"/>
          <w:kern w:val="22"/>
          <w:sz w:val="22"/>
          <w:lang w:val="fr-FR" w:eastAsia="en-CA"/>
        </w:rPr>
        <w:t xml:space="preserve">sur le point de savoir si, ou dans quelle mesure, les </w:t>
      </w:r>
      <w:r w:rsidR="00FC7EA5" w:rsidRPr="00866610">
        <w:rPr>
          <w:rFonts w:eastAsia="Times New Roman" w:cs="Times New Roman"/>
          <w:iCs/>
          <w:color w:val="000000"/>
          <w:kern w:val="22"/>
          <w:sz w:val="22"/>
          <w:lang w:val="fr-FR" w:eastAsia="en-CA"/>
        </w:rPr>
        <w:t>collections</w:t>
      </w:r>
      <w:r w:rsidR="00FC7EA5" w:rsidRPr="000B36BE">
        <w:rPr>
          <w:rFonts w:eastAsia="Times New Roman" w:cs="Times New Roman"/>
          <w:i/>
          <w:iCs/>
          <w:color w:val="000000"/>
          <w:kern w:val="22"/>
          <w:sz w:val="22"/>
          <w:lang w:val="fr-FR" w:eastAsia="en-CA"/>
        </w:rPr>
        <w:t xml:space="preserve"> ex situ</w:t>
      </w:r>
      <w:r w:rsidR="0028742E">
        <w:rPr>
          <w:rFonts w:eastAsia="Times New Roman" w:cs="Times New Roman"/>
          <w:iCs/>
          <w:color w:val="000000"/>
          <w:kern w:val="22"/>
          <w:sz w:val="22"/>
          <w:lang w:val="fr-FR" w:eastAsia="en-CA"/>
        </w:rPr>
        <w:t xml:space="preserve"> ou </w:t>
      </w:r>
      <w:r w:rsidR="00BC5F0A">
        <w:rPr>
          <w:rFonts w:eastAsia="Times New Roman" w:cs="Times New Roman"/>
          <w:iCs/>
          <w:color w:val="000000"/>
          <w:kern w:val="22"/>
          <w:sz w:val="22"/>
          <w:lang w:val="fr-FR" w:eastAsia="en-CA"/>
        </w:rPr>
        <w:t>l’information de séquençage</w:t>
      </w:r>
      <w:r w:rsidR="00142D5A">
        <w:rPr>
          <w:rFonts w:eastAsia="Times New Roman" w:cs="Times New Roman"/>
          <w:iCs/>
          <w:color w:val="000000"/>
          <w:kern w:val="22"/>
          <w:sz w:val="22"/>
          <w:lang w:val="fr-FR" w:eastAsia="en-CA"/>
        </w:rPr>
        <w:t xml:space="preserve"> numérique</w:t>
      </w:r>
      <w:r w:rsidR="000A4BBF" w:rsidRPr="000B36BE">
        <w:rPr>
          <w:rFonts w:eastAsia="Times New Roman" w:cs="Times New Roman"/>
          <w:iCs/>
          <w:color w:val="000000"/>
          <w:kern w:val="22"/>
          <w:sz w:val="22"/>
          <w:lang w:val="fr-FR" w:eastAsia="en-CA"/>
        </w:rPr>
        <w:t xml:space="preserve"> </w:t>
      </w:r>
      <w:r w:rsidR="00866610">
        <w:rPr>
          <w:rFonts w:eastAsia="Times New Roman" w:cs="Times New Roman"/>
          <w:iCs/>
          <w:color w:val="000000"/>
          <w:kern w:val="22"/>
          <w:sz w:val="22"/>
          <w:lang w:val="fr-FR" w:eastAsia="en-CA"/>
        </w:rPr>
        <w:t>entrent</w:t>
      </w:r>
      <w:r w:rsidR="000A4BBF" w:rsidRPr="000B36BE">
        <w:rPr>
          <w:rFonts w:eastAsia="Times New Roman" w:cs="Times New Roman"/>
          <w:iCs/>
          <w:color w:val="000000"/>
          <w:kern w:val="22"/>
          <w:sz w:val="22"/>
          <w:lang w:val="fr-FR" w:eastAsia="en-CA"/>
        </w:rPr>
        <w:t xml:space="preserve"> </w:t>
      </w:r>
      <w:r w:rsidR="00934A20" w:rsidRPr="000B36BE">
        <w:rPr>
          <w:rFonts w:eastAsia="Times New Roman" w:cs="Times New Roman"/>
          <w:iCs/>
          <w:color w:val="000000"/>
          <w:kern w:val="22"/>
          <w:sz w:val="22"/>
          <w:lang w:val="fr-FR" w:eastAsia="en-CA"/>
        </w:rPr>
        <w:t>dans le champ d’application</w:t>
      </w:r>
      <w:r w:rsidR="000A4BBF" w:rsidRPr="000B36BE">
        <w:rPr>
          <w:rFonts w:eastAsia="Times New Roman" w:cs="Times New Roman"/>
          <w:iCs/>
          <w:color w:val="000000"/>
          <w:kern w:val="22"/>
          <w:sz w:val="22"/>
          <w:lang w:val="fr-FR" w:eastAsia="en-CA"/>
        </w:rPr>
        <w:t xml:space="preserve"> </w:t>
      </w:r>
      <w:r w:rsidR="00F27467">
        <w:rPr>
          <w:rFonts w:eastAsia="Times New Roman" w:cs="Times New Roman"/>
          <w:iCs/>
          <w:color w:val="000000"/>
          <w:kern w:val="22"/>
          <w:sz w:val="22"/>
          <w:lang w:val="fr-FR" w:eastAsia="en-CA"/>
        </w:rPr>
        <w:t>du Protocole</w:t>
      </w:r>
      <w:r w:rsidR="009D4AFE">
        <w:rPr>
          <w:rFonts w:eastAsia="Times New Roman" w:cs="Times New Roman"/>
          <w:iCs/>
          <w:color w:val="000000"/>
          <w:kern w:val="22"/>
          <w:sz w:val="22"/>
          <w:lang w:val="fr-FR" w:eastAsia="en-CA"/>
        </w:rPr>
        <w:t xml:space="preserve"> de Nagoya</w:t>
      </w:r>
      <w:r w:rsidR="00866610">
        <w:rPr>
          <w:rFonts w:eastAsia="Times New Roman" w:cs="Times New Roman"/>
          <w:iCs/>
          <w:color w:val="000000"/>
          <w:kern w:val="22"/>
          <w:sz w:val="22"/>
          <w:lang w:val="fr-FR" w:eastAsia="en-CA"/>
        </w:rPr>
        <w:t>.</w:t>
      </w:r>
      <w:r w:rsidR="000A4BBF" w:rsidRPr="000B36BE">
        <w:rPr>
          <w:rFonts w:eastAsia="Times New Roman" w:cs="Times New Roman"/>
          <w:iCs/>
          <w:color w:val="000000"/>
          <w:kern w:val="22"/>
          <w:sz w:val="22"/>
          <w:lang w:val="fr-FR" w:eastAsia="en-CA"/>
        </w:rPr>
        <w:t xml:space="preserve"> </w:t>
      </w:r>
      <w:r w:rsidR="00866610">
        <w:rPr>
          <w:rFonts w:eastAsia="Times New Roman" w:cs="Times New Roman"/>
          <w:iCs/>
          <w:color w:val="000000"/>
          <w:kern w:val="22"/>
          <w:sz w:val="22"/>
          <w:lang w:val="fr-FR" w:eastAsia="en-CA"/>
        </w:rPr>
        <w:t>Dans</w:t>
      </w:r>
      <w:r w:rsidR="000A4BBF" w:rsidRPr="00AA5919">
        <w:rPr>
          <w:rFonts w:eastAsia="Times New Roman" w:cs="Times New Roman"/>
          <w:iCs/>
          <w:color w:val="000000"/>
          <w:kern w:val="22"/>
          <w:sz w:val="22"/>
          <w:lang w:val="fr-FR" w:eastAsia="en-CA"/>
        </w:rPr>
        <w:t xml:space="preserve"> </w:t>
      </w:r>
      <w:r w:rsidR="00AB6A02" w:rsidRPr="00AA5919">
        <w:rPr>
          <w:rFonts w:eastAsia="Times New Roman" w:cs="Times New Roman"/>
          <w:iCs/>
          <w:color w:val="000000"/>
          <w:kern w:val="22"/>
          <w:sz w:val="22"/>
          <w:lang w:val="fr-FR" w:eastAsia="en-CA"/>
        </w:rPr>
        <w:t>plusieurs</w:t>
      </w:r>
      <w:r w:rsidR="00866610">
        <w:rPr>
          <w:rFonts w:eastAsia="Times New Roman" w:cs="Times New Roman"/>
          <w:iCs/>
          <w:color w:val="000000"/>
          <w:kern w:val="22"/>
          <w:sz w:val="22"/>
          <w:lang w:val="fr-FR" w:eastAsia="en-CA"/>
        </w:rPr>
        <w:t xml:space="preserve"> </w:t>
      </w:r>
      <w:r w:rsidR="009D43F1" w:rsidRPr="00AA5919">
        <w:rPr>
          <w:rFonts w:eastAsia="Times New Roman" w:cs="Times New Roman"/>
          <w:iCs/>
          <w:color w:val="000000"/>
          <w:kern w:val="22"/>
          <w:sz w:val="22"/>
          <w:lang w:val="fr-FR" w:eastAsia="en-CA"/>
        </w:rPr>
        <w:t>exemple</w:t>
      </w:r>
      <w:r w:rsidR="000A4BBF" w:rsidRPr="00AA5919">
        <w:rPr>
          <w:rFonts w:eastAsia="Times New Roman" w:cs="Times New Roman"/>
          <w:iCs/>
          <w:color w:val="000000"/>
          <w:kern w:val="22"/>
          <w:sz w:val="22"/>
          <w:lang w:val="fr-FR" w:eastAsia="en-CA"/>
        </w:rPr>
        <w:t>s</w:t>
      </w:r>
      <w:r w:rsidR="009D4AFE">
        <w:rPr>
          <w:rFonts w:eastAsia="Times New Roman" w:cs="Times New Roman"/>
          <w:iCs/>
          <w:color w:val="000000"/>
          <w:kern w:val="22"/>
          <w:sz w:val="22"/>
          <w:lang w:val="fr-FR" w:eastAsia="en-CA"/>
        </w:rPr>
        <w:t xml:space="preserve"> décrits dans cette </w:t>
      </w:r>
      <w:r w:rsidR="00012185">
        <w:rPr>
          <w:rFonts w:eastAsia="Times New Roman" w:cs="Times New Roman"/>
          <w:iCs/>
          <w:color w:val="000000"/>
          <w:kern w:val="22"/>
          <w:sz w:val="22"/>
          <w:lang w:val="fr-FR" w:eastAsia="en-CA"/>
        </w:rPr>
        <w:t>étude</w:t>
      </w:r>
      <w:r w:rsidR="000334B0" w:rsidRPr="00AA5919">
        <w:rPr>
          <w:rFonts w:eastAsia="Times New Roman" w:cs="Times New Roman"/>
          <w:iCs/>
          <w:color w:val="000000"/>
          <w:kern w:val="22"/>
          <w:sz w:val="22"/>
          <w:lang w:val="fr-FR" w:eastAsia="en-CA"/>
        </w:rPr>
        <w:t>,</w:t>
      </w:r>
      <w:r w:rsidR="000A4BBF" w:rsidRPr="00AA5919">
        <w:rPr>
          <w:rFonts w:eastAsia="Times New Roman" w:cs="Times New Roman"/>
          <w:iCs/>
          <w:color w:val="000000"/>
          <w:kern w:val="22"/>
          <w:sz w:val="22"/>
          <w:lang w:val="fr-FR" w:eastAsia="en-CA"/>
        </w:rPr>
        <w:t xml:space="preserve"> </w:t>
      </w:r>
      <w:r w:rsidR="009D4AFE">
        <w:rPr>
          <w:rFonts w:eastAsia="Times New Roman" w:cs="Times New Roman"/>
          <w:iCs/>
          <w:color w:val="000000"/>
          <w:kern w:val="22"/>
          <w:sz w:val="22"/>
          <w:lang w:val="fr-FR" w:eastAsia="en-CA"/>
        </w:rPr>
        <w:t xml:space="preserve">des </w:t>
      </w:r>
      <w:r w:rsidR="00BC5F0A">
        <w:rPr>
          <w:rFonts w:eastAsia="Times New Roman" w:cs="Times New Roman"/>
          <w:iCs/>
          <w:color w:val="000000"/>
          <w:kern w:val="22"/>
          <w:sz w:val="22"/>
          <w:lang w:val="fr-FR" w:eastAsia="en-CA"/>
        </w:rPr>
        <w:t>information</w:t>
      </w:r>
      <w:r w:rsidR="009D4AFE">
        <w:rPr>
          <w:rFonts w:eastAsia="Times New Roman" w:cs="Times New Roman"/>
          <w:iCs/>
          <w:color w:val="000000"/>
          <w:kern w:val="22"/>
          <w:sz w:val="22"/>
          <w:lang w:val="fr-FR" w:eastAsia="en-CA"/>
        </w:rPr>
        <w:t>s</w:t>
      </w:r>
      <w:r w:rsidR="00BC5F0A">
        <w:rPr>
          <w:rFonts w:eastAsia="Times New Roman" w:cs="Times New Roman"/>
          <w:iCs/>
          <w:color w:val="000000"/>
          <w:kern w:val="22"/>
          <w:sz w:val="22"/>
          <w:lang w:val="fr-FR" w:eastAsia="en-CA"/>
        </w:rPr>
        <w:t xml:space="preserve"> de séquençage</w:t>
      </w:r>
      <w:r w:rsidR="00142D5A">
        <w:rPr>
          <w:rFonts w:eastAsia="Times New Roman" w:cs="Times New Roman"/>
          <w:iCs/>
          <w:color w:val="000000"/>
          <w:kern w:val="22"/>
          <w:sz w:val="22"/>
          <w:lang w:val="fr-FR" w:eastAsia="en-CA"/>
        </w:rPr>
        <w:t xml:space="preserve"> numérique</w:t>
      </w:r>
      <w:r w:rsidR="000A4BBF" w:rsidRPr="00AA5919">
        <w:rPr>
          <w:rFonts w:eastAsia="Times New Roman" w:cs="Times New Roman"/>
          <w:iCs/>
          <w:color w:val="000000"/>
          <w:kern w:val="22"/>
          <w:sz w:val="22"/>
          <w:lang w:val="fr-FR" w:eastAsia="en-CA"/>
        </w:rPr>
        <w:t xml:space="preserve"> </w:t>
      </w:r>
      <w:r w:rsidR="00012185">
        <w:rPr>
          <w:rFonts w:eastAsia="Times New Roman" w:cs="Times New Roman"/>
          <w:iCs/>
          <w:color w:val="000000"/>
          <w:kern w:val="22"/>
          <w:sz w:val="22"/>
          <w:lang w:val="fr-FR" w:eastAsia="en-CA"/>
        </w:rPr>
        <w:t xml:space="preserve">provenant de multiples </w:t>
      </w:r>
      <w:r w:rsidR="00866610">
        <w:rPr>
          <w:rFonts w:eastAsia="Times New Roman" w:cs="Times New Roman"/>
          <w:iCs/>
          <w:color w:val="000000"/>
          <w:kern w:val="22"/>
          <w:sz w:val="22"/>
          <w:lang w:val="fr-FR" w:eastAsia="en-CA"/>
        </w:rPr>
        <w:t>org</w:t>
      </w:r>
      <w:r w:rsidR="009D4AFE">
        <w:rPr>
          <w:rFonts w:eastAsia="Times New Roman" w:cs="Times New Roman"/>
          <w:iCs/>
          <w:color w:val="000000"/>
          <w:kern w:val="22"/>
          <w:sz w:val="22"/>
          <w:lang w:val="fr-FR" w:eastAsia="en-CA"/>
        </w:rPr>
        <w:t>anismes différents ont</w:t>
      </w:r>
      <w:r w:rsidR="00012185">
        <w:rPr>
          <w:rFonts w:eastAsia="Times New Roman" w:cs="Times New Roman"/>
          <w:iCs/>
          <w:color w:val="000000"/>
          <w:kern w:val="22"/>
          <w:sz w:val="22"/>
          <w:lang w:val="fr-FR" w:eastAsia="en-CA"/>
        </w:rPr>
        <w:t xml:space="preserve"> été utilisée</w:t>
      </w:r>
      <w:r w:rsidR="009D4AFE">
        <w:rPr>
          <w:rFonts w:eastAsia="Times New Roman" w:cs="Times New Roman"/>
          <w:iCs/>
          <w:color w:val="000000"/>
          <w:kern w:val="22"/>
          <w:sz w:val="22"/>
          <w:lang w:val="fr-FR" w:eastAsia="en-CA"/>
        </w:rPr>
        <w:t>s</w:t>
      </w:r>
      <w:r w:rsidR="00012185">
        <w:rPr>
          <w:rFonts w:eastAsia="Times New Roman" w:cs="Times New Roman"/>
          <w:iCs/>
          <w:color w:val="000000"/>
          <w:kern w:val="22"/>
          <w:sz w:val="22"/>
          <w:lang w:val="fr-FR" w:eastAsia="en-CA"/>
        </w:rPr>
        <w:t> ; si les Parties décident</w:t>
      </w:r>
      <w:r w:rsidR="00866610">
        <w:rPr>
          <w:rFonts w:eastAsia="Times New Roman" w:cs="Times New Roman"/>
          <w:iCs/>
          <w:color w:val="000000"/>
          <w:kern w:val="22"/>
          <w:sz w:val="22"/>
          <w:lang w:val="fr-FR" w:eastAsia="en-CA"/>
        </w:rPr>
        <w:t xml:space="preserve"> que ces cas entrent dans le </w:t>
      </w:r>
      <w:r w:rsidR="008F38B0" w:rsidRPr="00AA5919">
        <w:rPr>
          <w:rFonts w:eastAsia="Times New Roman" w:cs="Times New Roman"/>
          <w:iCs/>
          <w:color w:val="000000"/>
          <w:kern w:val="22"/>
          <w:sz w:val="22"/>
          <w:lang w:val="fr-FR" w:eastAsia="en-CA"/>
        </w:rPr>
        <w:t>champ d’application</w:t>
      </w:r>
      <w:r w:rsidR="00012185">
        <w:rPr>
          <w:rFonts w:eastAsia="Times New Roman" w:cs="Times New Roman"/>
          <w:iCs/>
          <w:color w:val="000000"/>
          <w:kern w:val="22"/>
          <w:sz w:val="22"/>
          <w:lang w:val="fr-FR" w:eastAsia="en-CA"/>
        </w:rPr>
        <w:t xml:space="preserve"> de la Convention ou du Protocole de Nagoya</w:t>
      </w:r>
      <w:r w:rsidR="000A4BBF" w:rsidRPr="00AA5919">
        <w:rPr>
          <w:rFonts w:eastAsia="Times New Roman" w:cs="Times New Roman"/>
          <w:iCs/>
          <w:color w:val="000000"/>
          <w:kern w:val="22"/>
          <w:sz w:val="22"/>
          <w:lang w:val="fr-FR" w:eastAsia="en-CA"/>
        </w:rPr>
        <w:t>,</w:t>
      </w:r>
      <w:r w:rsidR="00AA5919">
        <w:rPr>
          <w:rFonts w:eastAsia="Times New Roman" w:cs="Times New Roman"/>
          <w:iCs/>
          <w:color w:val="000000"/>
          <w:kern w:val="22"/>
          <w:sz w:val="22"/>
          <w:lang w:val="fr-FR" w:eastAsia="en-CA"/>
        </w:rPr>
        <w:t xml:space="preserve"> certains </w:t>
      </w:r>
      <w:r w:rsidR="00AA5919" w:rsidRPr="00AA5919">
        <w:rPr>
          <w:rFonts w:eastAsia="Times New Roman" w:cs="Times New Roman"/>
          <w:iCs/>
          <w:color w:val="000000"/>
          <w:kern w:val="22"/>
          <w:sz w:val="22"/>
          <w:lang w:val="fr-FR" w:eastAsia="en-CA"/>
        </w:rPr>
        <w:t xml:space="preserve">utilisateurs </w:t>
      </w:r>
      <w:r w:rsidR="00012185">
        <w:rPr>
          <w:rFonts w:eastAsia="Times New Roman" w:cs="Times New Roman"/>
          <w:iCs/>
          <w:color w:val="000000"/>
          <w:kern w:val="22"/>
          <w:sz w:val="22"/>
          <w:lang w:val="fr-FR" w:eastAsia="en-CA"/>
        </w:rPr>
        <w:t>seront</w:t>
      </w:r>
      <w:r w:rsidR="00866610">
        <w:rPr>
          <w:rFonts w:eastAsia="Times New Roman" w:cs="Times New Roman"/>
          <w:iCs/>
          <w:color w:val="000000"/>
          <w:kern w:val="22"/>
          <w:sz w:val="22"/>
          <w:lang w:val="fr-FR" w:eastAsia="en-CA"/>
        </w:rPr>
        <w:t xml:space="preserve"> peut-être </w:t>
      </w:r>
      <w:r w:rsidR="009D4AFE">
        <w:rPr>
          <w:rFonts w:eastAsia="Times New Roman" w:cs="Times New Roman"/>
          <w:iCs/>
          <w:color w:val="000000"/>
          <w:kern w:val="22"/>
          <w:sz w:val="22"/>
          <w:lang w:val="fr-FR" w:eastAsia="en-CA"/>
        </w:rPr>
        <w:t>tenus</w:t>
      </w:r>
      <w:r w:rsidR="00012185">
        <w:rPr>
          <w:rFonts w:eastAsia="Times New Roman" w:cs="Times New Roman"/>
          <w:iCs/>
          <w:color w:val="000000"/>
          <w:kern w:val="22"/>
          <w:sz w:val="22"/>
          <w:lang w:val="fr-FR" w:eastAsia="en-CA"/>
        </w:rPr>
        <w:t xml:space="preserve"> de </w:t>
      </w:r>
      <w:r w:rsidR="00AA5919">
        <w:rPr>
          <w:rFonts w:eastAsia="Times New Roman" w:cs="Times New Roman"/>
          <w:iCs/>
          <w:color w:val="000000"/>
          <w:kern w:val="22"/>
          <w:sz w:val="22"/>
          <w:lang w:val="fr-FR" w:eastAsia="en-CA"/>
        </w:rPr>
        <w:t xml:space="preserve">négocier </w:t>
      </w:r>
      <w:r w:rsidR="00866610">
        <w:rPr>
          <w:rFonts w:eastAsia="Times New Roman" w:cs="Times New Roman"/>
          <w:iCs/>
          <w:color w:val="000000"/>
          <w:kern w:val="22"/>
          <w:sz w:val="22"/>
          <w:lang w:val="fr-FR" w:eastAsia="en-CA"/>
        </w:rPr>
        <w:t>des</w:t>
      </w:r>
      <w:r w:rsidR="00AA5919">
        <w:rPr>
          <w:rFonts w:eastAsia="Times New Roman" w:cs="Times New Roman"/>
          <w:iCs/>
          <w:color w:val="000000"/>
          <w:kern w:val="22"/>
          <w:sz w:val="22"/>
          <w:lang w:val="fr-FR" w:eastAsia="en-CA"/>
        </w:rPr>
        <w:t xml:space="preserve"> </w:t>
      </w:r>
      <w:r w:rsidR="000B36D3" w:rsidRPr="00AA5919">
        <w:rPr>
          <w:rFonts w:eastAsia="Times New Roman" w:cs="Times New Roman"/>
          <w:iCs/>
          <w:color w:val="000000"/>
          <w:kern w:val="22"/>
          <w:sz w:val="22"/>
          <w:lang w:val="fr-FR" w:eastAsia="en-CA"/>
        </w:rPr>
        <w:t>conditions convenues d’un commun accord</w:t>
      </w:r>
      <w:r w:rsidR="00D6232E" w:rsidRPr="00AA5919">
        <w:rPr>
          <w:rFonts w:eastAsia="Times New Roman" w:cs="Times New Roman"/>
          <w:iCs/>
          <w:color w:val="000000"/>
          <w:kern w:val="22"/>
          <w:sz w:val="22"/>
          <w:lang w:val="fr-FR" w:eastAsia="en-CA"/>
        </w:rPr>
        <w:t xml:space="preserve"> avec </w:t>
      </w:r>
      <w:r w:rsidR="00866610">
        <w:rPr>
          <w:rFonts w:eastAsia="Times New Roman" w:cs="Times New Roman"/>
          <w:iCs/>
          <w:color w:val="000000"/>
          <w:kern w:val="22"/>
          <w:sz w:val="22"/>
          <w:lang w:val="fr-FR" w:eastAsia="en-CA"/>
        </w:rPr>
        <w:t xml:space="preserve">plusieurs </w:t>
      </w:r>
      <w:r w:rsidR="00FB0054" w:rsidRPr="00AA5919">
        <w:rPr>
          <w:rFonts w:eastAsia="Times New Roman" w:cs="Times New Roman"/>
          <w:iCs/>
          <w:color w:val="000000"/>
          <w:kern w:val="22"/>
          <w:sz w:val="22"/>
          <w:lang w:val="fr-FR" w:eastAsia="en-CA"/>
        </w:rPr>
        <w:t>gouvernement</w:t>
      </w:r>
      <w:r w:rsidR="00012185">
        <w:rPr>
          <w:rFonts w:eastAsia="Times New Roman" w:cs="Times New Roman"/>
          <w:iCs/>
          <w:color w:val="000000"/>
          <w:kern w:val="22"/>
          <w:sz w:val="22"/>
          <w:lang w:val="fr-FR" w:eastAsia="en-CA"/>
        </w:rPr>
        <w:t>s</w:t>
      </w:r>
      <w:r w:rsidR="00866610">
        <w:rPr>
          <w:rFonts w:eastAsia="Times New Roman" w:cs="Times New Roman"/>
          <w:iCs/>
          <w:color w:val="000000"/>
          <w:kern w:val="22"/>
          <w:sz w:val="22"/>
          <w:lang w:val="fr-FR" w:eastAsia="en-CA"/>
        </w:rPr>
        <w:t>,</w:t>
      </w:r>
      <w:r w:rsidR="00012185">
        <w:rPr>
          <w:rFonts w:eastAsia="Times New Roman" w:cs="Times New Roman"/>
          <w:iCs/>
          <w:color w:val="000000"/>
          <w:kern w:val="22"/>
          <w:sz w:val="22"/>
          <w:lang w:val="fr-FR" w:eastAsia="en-CA"/>
        </w:rPr>
        <w:t xml:space="preserve"> tandis que</w:t>
      </w:r>
      <w:r w:rsidR="00E3674F" w:rsidRPr="00AA5919">
        <w:rPr>
          <w:rFonts w:eastAsia="Times New Roman" w:cs="Times New Roman"/>
          <w:iCs/>
          <w:color w:val="000000"/>
          <w:kern w:val="22"/>
          <w:sz w:val="22"/>
          <w:lang w:val="fr-FR" w:eastAsia="en-CA"/>
        </w:rPr>
        <w:t xml:space="preserve"> </w:t>
      </w:r>
      <w:r w:rsidR="00866610">
        <w:rPr>
          <w:rFonts w:eastAsia="Times New Roman" w:cs="Times New Roman"/>
          <w:iCs/>
          <w:color w:val="000000"/>
          <w:kern w:val="22"/>
          <w:sz w:val="22"/>
          <w:lang w:val="fr-FR" w:eastAsia="en-CA"/>
        </w:rPr>
        <w:t xml:space="preserve">de nombreux </w:t>
      </w:r>
      <w:r w:rsidR="00AA5919" w:rsidRPr="00AA5919">
        <w:rPr>
          <w:rFonts w:eastAsia="Times New Roman" w:cs="Times New Roman"/>
          <w:iCs/>
          <w:color w:val="000000"/>
          <w:kern w:val="22"/>
          <w:sz w:val="22"/>
          <w:lang w:val="fr-FR" w:eastAsia="en-CA"/>
        </w:rPr>
        <w:t xml:space="preserve">utilisateurs </w:t>
      </w:r>
      <w:r w:rsidR="00866610">
        <w:rPr>
          <w:rFonts w:eastAsia="Times New Roman" w:cs="Times New Roman"/>
          <w:iCs/>
          <w:color w:val="000000"/>
          <w:kern w:val="22"/>
          <w:sz w:val="22"/>
          <w:lang w:val="fr-FR" w:eastAsia="en-CA"/>
        </w:rPr>
        <w:t>ne pourront pas être identifiés ou suivis de façon individuelle</w:t>
      </w:r>
      <w:r w:rsidR="000A4BBF" w:rsidRPr="00AA5919">
        <w:rPr>
          <w:rFonts w:eastAsia="Times New Roman" w:cs="Times New Roman"/>
          <w:iCs/>
          <w:color w:val="000000"/>
          <w:kern w:val="22"/>
          <w:sz w:val="22"/>
          <w:lang w:val="fr-FR" w:eastAsia="en-CA"/>
        </w:rPr>
        <w:t>.</w:t>
      </w:r>
    </w:p>
    <w:p w14:paraId="1BD1B385" w14:textId="300224C8" w:rsidR="006F3EA4" w:rsidRPr="00FB033A" w:rsidRDefault="00FF3415" w:rsidP="005A7D0C">
      <w:pPr>
        <w:rPr>
          <w:kern w:val="22"/>
          <w:sz w:val="22"/>
          <w:lang w:val="fr-FR"/>
        </w:rPr>
      </w:pPr>
      <w:r>
        <w:rPr>
          <w:rFonts w:eastAsia="Times New Roman" w:cs="Times New Roman"/>
          <w:iCs/>
          <w:color w:val="000000"/>
          <w:kern w:val="22"/>
          <w:sz w:val="22"/>
          <w:lang w:val="fr-FR" w:eastAsia="en-CA"/>
        </w:rPr>
        <w:t>Enfin</w:t>
      </w:r>
      <w:r w:rsidR="000B0175" w:rsidRPr="00FB033A">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l’</w:t>
      </w:r>
      <w:r w:rsidR="00E3674F" w:rsidRPr="00FB033A">
        <w:rPr>
          <w:rFonts w:eastAsia="Times New Roman" w:cs="Times New Roman"/>
          <w:iCs/>
          <w:color w:val="000000"/>
          <w:kern w:val="22"/>
          <w:sz w:val="22"/>
          <w:lang w:val="fr-FR" w:eastAsia="en-CA"/>
        </w:rPr>
        <w:t>étude</w:t>
      </w:r>
      <w:r>
        <w:rPr>
          <w:rFonts w:eastAsia="Times New Roman" w:cs="Times New Roman"/>
          <w:iCs/>
          <w:color w:val="000000"/>
          <w:kern w:val="22"/>
          <w:sz w:val="22"/>
          <w:lang w:val="fr-FR" w:eastAsia="en-CA"/>
        </w:rPr>
        <w:t xml:space="preserve"> identifie</w:t>
      </w:r>
      <w:r w:rsidR="000B0175" w:rsidRPr="00FB033A">
        <w:rPr>
          <w:rFonts w:eastAsia="Times New Roman" w:cs="Times New Roman"/>
          <w:iCs/>
          <w:color w:val="000000"/>
          <w:kern w:val="22"/>
          <w:sz w:val="22"/>
          <w:lang w:val="fr-FR" w:eastAsia="en-CA"/>
        </w:rPr>
        <w:t xml:space="preserve"> </w:t>
      </w:r>
      <w:r w:rsidR="00E3674F" w:rsidRPr="00FB033A">
        <w:rPr>
          <w:rFonts w:eastAsia="Times New Roman" w:cs="Times New Roman"/>
          <w:iCs/>
          <w:color w:val="000000"/>
          <w:kern w:val="22"/>
          <w:sz w:val="22"/>
          <w:lang w:val="fr-FR" w:eastAsia="en-CA"/>
        </w:rPr>
        <w:t>des cas spécifiques</w:t>
      </w:r>
      <w:r w:rsidR="000B0175" w:rsidRPr="00FB033A">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de</w:t>
      </w:r>
      <w:r w:rsidR="000A4BBF" w:rsidRPr="00FB033A">
        <w:rPr>
          <w:rFonts w:eastAsia="Times New Roman" w:cs="Times New Roman"/>
          <w:iCs/>
          <w:color w:val="000000"/>
          <w:kern w:val="22"/>
          <w:sz w:val="22"/>
          <w:lang w:val="fr-FR" w:eastAsia="en-CA"/>
        </w:rPr>
        <w:t xml:space="preserve"> </w:t>
      </w:r>
      <w:r w:rsidR="00E3674F" w:rsidRPr="00FB033A">
        <w:rPr>
          <w:rFonts w:eastAsia="Times New Roman" w:cs="Times New Roman"/>
          <w:iCs/>
          <w:color w:val="000000"/>
          <w:kern w:val="22"/>
          <w:sz w:val="22"/>
          <w:lang w:val="fr-FR" w:eastAsia="en-CA"/>
        </w:rPr>
        <w:t>connaissances traditionnelles</w:t>
      </w:r>
      <w:r w:rsidR="00C8141F" w:rsidRPr="00FB033A">
        <w:rPr>
          <w:rFonts w:eastAsia="Times New Roman" w:cs="Times New Roman"/>
          <w:iCs/>
          <w:color w:val="000000"/>
          <w:kern w:val="22"/>
          <w:sz w:val="22"/>
          <w:lang w:val="fr-FR" w:eastAsia="en-CA"/>
        </w:rPr>
        <w:t xml:space="preserve"> </w:t>
      </w:r>
      <w:r w:rsidR="00E3674F" w:rsidRPr="00FB033A">
        <w:rPr>
          <w:rFonts w:eastAsia="Times New Roman" w:cs="Times New Roman"/>
          <w:iCs/>
          <w:color w:val="000000"/>
          <w:kern w:val="22"/>
          <w:sz w:val="22"/>
          <w:lang w:val="fr-FR" w:eastAsia="en-CA"/>
        </w:rPr>
        <w:t>associées aux</w:t>
      </w:r>
      <w:r w:rsidR="00362A84" w:rsidRPr="00FB033A">
        <w:rPr>
          <w:rFonts w:eastAsia="Times New Roman" w:cs="Times New Roman"/>
          <w:iCs/>
          <w:color w:val="000000"/>
          <w:kern w:val="22"/>
          <w:sz w:val="22"/>
          <w:lang w:val="fr-FR" w:eastAsia="en-CA"/>
        </w:rPr>
        <w:t xml:space="preserve"> </w:t>
      </w:r>
      <w:r w:rsidR="00E3674F" w:rsidRPr="00FB033A">
        <w:rPr>
          <w:rFonts w:eastAsia="Times New Roman" w:cs="Times New Roman"/>
          <w:iCs/>
          <w:color w:val="000000"/>
          <w:kern w:val="22"/>
          <w:sz w:val="22"/>
          <w:lang w:val="fr-FR" w:eastAsia="en-CA"/>
        </w:rPr>
        <w:t>ressources génétiques</w:t>
      </w:r>
      <w:r w:rsidR="00362A84" w:rsidRPr="00FB033A">
        <w:rPr>
          <w:rFonts w:eastAsia="Times New Roman" w:cs="Times New Roman"/>
          <w:iCs/>
          <w:color w:val="000000"/>
          <w:kern w:val="22"/>
          <w:sz w:val="22"/>
          <w:lang w:val="fr-FR" w:eastAsia="en-CA"/>
        </w:rPr>
        <w:t xml:space="preserve"> </w:t>
      </w:r>
      <w:r w:rsidR="003F6B4A">
        <w:rPr>
          <w:rFonts w:eastAsia="Times New Roman" w:cs="Times New Roman"/>
          <w:iCs/>
          <w:color w:val="000000"/>
          <w:kern w:val="22"/>
          <w:sz w:val="22"/>
          <w:lang w:val="fr-FR" w:eastAsia="en-CA"/>
        </w:rPr>
        <w:t>détenues par</w:t>
      </w:r>
      <w:r w:rsidR="00C8141F" w:rsidRPr="00FB033A">
        <w:rPr>
          <w:rFonts w:eastAsia="Times New Roman" w:cs="Times New Roman"/>
          <w:iCs/>
          <w:color w:val="000000"/>
          <w:kern w:val="22"/>
          <w:sz w:val="22"/>
          <w:lang w:val="fr-FR" w:eastAsia="en-CA"/>
        </w:rPr>
        <w:t xml:space="preserve"> </w:t>
      </w:r>
      <w:r>
        <w:rPr>
          <w:rFonts w:eastAsia="Times New Roman" w:cs="Times New Roman"/>
          <w:iCs/>
          <w:color w:val="000000"/>
          <w:kern w:val="22"/>
          <w:sz w:val="22"/>
          <w:lang w:val="fr-FR" w:eastAsia="en-CA"/>
        </w:rPr>
        <w:t xml:space="preserve">des </w:t>
      </w:r>
      <w:r w:rsidR="001714C2">
        <w:rPr>
          <w:rFonts w:eastAsia="Times New Roman" w:cs="Times New Roman"/>
          <w:iCs/>
          <w:color w:val="000000"/>
          <w:kern w:val="22"/>
          <w:sz w:val="22"/>
          <w:lang w:val="fr-FR" w:eastAsia="en-CA"/>
        </w:rPr>
        <w:t>peuples autochtones et communautés locales</w:t>
      </w:r>
      <w:r>
        <w:rPr>
          <w:rFonts w:eastAsia="Times New Roman" w:cs="Times New Roman"/>
          <w:iCs/>
          <w:color w:val="000000"/>
          <w:kern w:val="22"/>
          <w:sz w:val="22"/>
          <w:lang w:val="fr-FR" w:eastAsia="en-CA"/>
        </w:rPr>
        <w:t xml:space="preserve"> </w:t>
      </w:r>
      <w:r w:rsidR="00012185">
        <w:rPr>
          <w:rFonts w:eastAsia="Times New Roman" w:cs="Times New Roman"/>
          <w:iCs/>
          <w:color w:val="000000"/>
          <w:kern w:val="22"/>
          <w:sz w:val="22"/>
          <w:lang w:val="fr-FR" w:eastAsia="en-CA"/>
        </w:rPr>
        <w:t>situés dans plusieurs juridiction</w:t>
      </w:r>
      <w:r w:rsidR="00AA5919">
        <w:rPr>
          <w:rFonts w:eastAsia="Times New Roman" w:cs="Times New Roman"/>
          <w:iCs/>
          <w:color w:val="000000"/>
          <w:kern w:val="22"/>
          <w:sz w:val="22"/>
          <w:lang w:val="fr-FR" w:eastAsia="en-CA"/>
        </w:rPr>
        <w:t>s</w:t>
      </w:r>
      <w:r w:rsidR="00012185">
        <w:rPr>
          <w:rFonts w:eastAsia="Times New Roman" w:cs="Times New Roman"/>
          <w:iCs/>
          <w:color w:val="000000"/>
          <w:kern w:val="22"/>
          <w:sz w:val="22"/>
          <w:lang w:val="fr-FR" w:eastAsia="en-CA"/>
        </w:rPr>
        <w:t xml:space="preserve"> </w:t>
      </w:r>
      <w:r w:rsidR="00012185">
        <w:rPr>
          <w:rFonts w:eastAsia="Times New Roman" w:cs="Times New Roman"/>
          <w:iCs/>
          <w:color w:val="000000"/>
          <w:kern w:val="22"/>
          <w:sz w:val="22"/>
          <w:lang w:val="fr-FR" w:eastAsia="en-CA"/>
        </w:rPr>
        <w:lastRenderedPageBreak/>
        <w:t>nationales</w:t>
      </w:r>
      <w:r w:rsidR="00C8141F" w:rsidRPr="00FB033A">
        <w:rPr>
          <w:rFonts w:eastAsia="Times New Roman" w:cs="Times New Roman"/>
          <w:iCs/>
          <w:color w:val="000000"/>
          <w:kern w:val="22"/>
          <w:sz w:val="22"/>
          <w:lang w:val="fr-FR" w:eastAsia="en-CA"/>
        </w:rPr>
        <w:t>,</w:t>
      </w:r>
      <w:r w:rsidR="00E3674F" w:rsidRPr="00FB033A">
        <w:rPr>
          <w:rFonts w:eastAsia="Times New Roman" w:cs="Times New Roman"/>
          <w:iCs/>
          <w:color w:val="000000"/>
          <w:kern w:val="22"/>
          <w:sz w:val="22"/>
          <w:lang w:val="fr-FR" w:eastAsia="en-CA"/>
        </w:rPr>
        <w:t xml:space="preserve"> et </w:t>
      </w:r>
      <w:r>
        <w:rPr>
          <w:rFonts w:eastAsia="Times New Roman" w:cs="Times New Roman"/>
          <w:iCs/>
          <w:color w:val="000000"/>
          <w:kern w:val="22"/>
          <w:sz w:val="22"/>
          <w:lang w:val="fr-FR" w:eastAsia="en-CA"/>
        </w:rPr>
        <w:t>de</w:t>
      </w:r>
      <w:r w:rsidR="00C8141F" w:rsidRPr="00FB033A">
        <w:rPr>
          <w:rFonts w:eastAsia="Times New Roman" w:cs="Times New Roman"/>
          <w:iCs/>
          <w:color w:val="000000"/>
          <w:kern w:val="22"/>
          <w:sz w:val="22"/>
          <w:lang w:val="fr-FR" w:eastAsia="en-CA"/>
        </w:rPr>
        <w:t xml:space="preserve"> </w:t>
      </w:r>
      <w:r w:rsidR="00830BE4">
        <w:rPr>
          <w:rFonts w:eastAsia="Times New Roman" w:cs="Times New Roman"/>
          <w:iCs/>
          <w:color w:val="000000"/>
          <w:kern w:val="22"/>
          <w:sz w:val="22"/>
          <w:lang w:val="fr-FR" w:eastAsia="en-CA"/>
        </w:rPr>
        <w:t>connaissances traditionnelles connexes</w:t>
      </w:r>
      <w:r w:rsidR="00C8141F" w:rsidRPr="00FB033A">
        <w:rPr>
          <w:rFonts w:eastAsia="Times New Roman" w:cs="Times New Roman"/>
          <w:iCs/>
          <w:color w:val="000000"/>
          <w:kern w:val="22"/>
          <w:sz w:val="22"/>
          <w:lang w:val="fr-FR" w:eastAsia="en-CA"/>
        </w:rPr>
        <w:t xml:space="preserve"> </w:t>
      </w:r>
      <w:r w:rsidR="0020703A">
        <w:rPr>
          <w:rFonts w:eastAsia="Times New Roman" w:cs="Times New Roman"/>
          <w:iCs/>
          <w:color w:val="000000"/>
          <w:kern w:val="22"/>
          <w:sz w:val="22"/>
          <w:lang w:val="fr-FR" w:eastAsia="en-CA"/>
        </w:rPr>
        <w:t>pour lesquel</w:t>
      </w:r>
      <w:r>
        <w:rPr>
          <w:rFonts w:eastAsia="Times New Roman" w:cs="Times New Roman"/>
          <w:iCs/>
          <w:color w:val="000000"/>
          <w:kern w:val="22"/>
          <w:sz w:val="22"/>
          <w:lang w:val="fr-FR" w:eastAsia="en-CA"/>
        </w:rPr>
        <w:t>le</w:t>
      </w:r>
      <w:r w:rsidR="0020703A">
        <w:rPr>
          <w:rFonts w:eastAsia="Times New Roman" w:cs="Times New Roman"/>
          <w:iCs/>
          <w:color w:val="000000"/>
          <w:kern w:val="22"/>
          <w:sz w:val="22"/>
          <w:lang w:val="fr-FR" w:eastAsia="en-CA"/>
        </w:rPr>
        <w:t xml:space="preserve">s </w:t>
      </w:r>
      <w:r w:rsidR="007D7761">
        <w:rPr>
          <w:rFonts w:eastAsia="Times New Roman" w:cs="Times New Roman"/>
          <w:iCs/>
          <w:color w:val="000000"/>
          <w:kern w:val="22"/>
          <w:sz w:val="22"/>
          <w:lang w:val="fr-FR" w:eastAsia="en-CA"/>
        </w:rPr>
        <w:t>il n’est pas possible</w:t>
      </w:r>
      <w:r w:rsidR="000B0175" w:rsidRPr="00FB033A">
        <w:rPr>
          <w:rFonts w:eastAsia="Times New Roman" w:cs="Times New Roman"/>
          <w:iCs/>
          <w:color w:val="000000"/>
          <w:kern w:val="22"/>
          <w:sz w:val="22"/>
          <w:lang w:val="fr-FR" w:eastAsia="en-CA"/>
        </w:rPr>
        <w:t xml:space="preserve"> </w:t>
      </w:r>
      <w:r w:rsidR="00FB033A" w:rsidRPr="00FB033A">
        <w:rPr>
          <w:rFonts w:eastAsia="Times New Roman" w:cs="Times New Roman"/>
          <w:iCs/>
          <w:color w:val="000000"/>
          <w:kern w:val="22"/>
          <w:sz w:val="22"/>
          <w:lang w:val="fr-FR" w:eastAsia="en-CA"/>
        </w:rPr>
        <w:t>d’accorder ou d’obtenir un</w:t>
      </w:r>
      <w:r w:rsidR="000B0175" w:rsidRPr="00FB033A">
        <w:rPr>
          <w:rFonts w:eastAsia="Times New Roman" w:cs="Times New Roman"/>
          <w:iCs/>
          <w:color w:val="000000"/>
          <w:kern w:val="22"/>
          <w:sz w:val="22"/>
          <w:lang w:val="fr-FR" w:eastAsia="en-CA"/>
        </w:rPr>
        <w:t xml:space="preserve"> </w:t>
      </w:r>
      <w:r w:rsidR="007D7761">
        <w:rPr>
          <w:rFonts w:eastAsia="Times New Roman" w:cs="Times New Roman"/>
          <w:iCs/>
          <w:color w:val="000000"/>
          <w:kern w:val="22"/>
          <w:sz w:val="22"/>
          <w:lang w:val="fr-FR" w:eastAsia="en-CA"/>
        </w:rPr>
        <w:t>consentement préalable donné en connaissance de cause</w:t>
      </w:r>
      <w:r w:rsidR="000B0175" w:rsidRPr="00FB033A">
        <w:rPr>
          <w:rFonts w:eastAsia="Times New Roman" w:cs="Times New Roman"/>
          <w:iCs/>
          <w:color w:val="000000"/>
          <w:kern w:val="22"/>
          <w:sz w:val="22"/>
          <w:lang w:val="fr-FR" w:eastAsia="en-CA"/>
        </w:rPr>
        <w:t xml:space="preserve">, </w:t>
      </w:r>
      <w:r w:rsidR="00B43E38">
        <w:rPr>
          <w:rFonts w:eastAsia="Times New Roman" w:cs="Times New Roman"/>
          <w:iCs/>
          <w:color w:val="000000"/>
          <w:kern w:val="22"/>
          <w:sz w:val="22"/>
          <w:lang w:val="fr-FR" w:eastAsia="en-CA"/>
        </w:rPr>
        <w:t>y compris</w:t>
      </w:r>
      <w:r w:rsidR="000B0175" w:rsidRPr="00FB033A">
        <w:rPr>
          <w:rFonts w:eastAsia="Times New Roman" w:cs="Times New Roman"/>
          <w:iCs/>
          <w:color w:val="000000"/>
          <w:kern w:val="22"/>
          <w:sz w:val="22"/>
          <w:lang w:val="fr-FR" w:eastAsia="en-CA"/>
        </w:rPr>
        <w:t xml:space="preserve"> </w:t>
      </w:r>
      <w:r w:rsidR="00367430">
        <w:rPr>
          <w:rFonts w:eastAsia="Times New Roman" w:cs="Times New Roman"/>
          <w:iCs/>
          <w:color w:val="000000"/>
          <w:kern w:val="22"/>
          <w:sz w:val="22"/>
          <w:lang w:val="fr-FR" w:eastAsia="en-CA"/>
        </w:rPr>
        <w:t xml:space="preserve">les connaissances traditionnelles </w:t>
      </w:r>
      <w:r w:rsidR="00012185">
        <w:rPr>
          <w:rFonts w:eastAsia="Times New Roman" w:cs="Times New Roman"/>
          <w:iCs/>
          <w:color w:val="000000"/>
          <w:kern w:val="22"/>
          <w:sz w:val="22"/>
          <w:lang w:val="fr-FR" w:eastAsia="en-CA"/>
        </w:rPr>
        <w:t xml:space="preserve">connexes </w:t>
      </w:r>
      <w:r w:rsidR="00367430">
        <w:rPr>
          <w:rFonts w:eastAsia="Times New Roman" w:cs="Times New Roman"/>
          <w:iCs/>
          <w:color w:val="000000"/>
          <w:kern w:val="22"/>
          <w:sz w:val="22"/>
          <w:lang w:val="fr-FR" w:eastAsia="en-CA"/>
        </w:rPr>
        <w:t>accessibles au public</w:t>
      </w:r>
      <w:r w:rsidR="00012185">
        <w:rPr>
          <w:rFonts w:eastAsia="Times New Roman" w:cs="Times New Roman"/>
          <w:iCs/>
          <w:color w:val="000000"/>
          <w:kern w:val="22"/>
          <w:sz w:val="22"/>
          <w:lang w:val="fr-FR" w:eastAsia="en-CA"/>
        </w:rPr>
        <w:t>,</w:t>
      </w:r>
      <w:r w:rsidR="00E3674F" w:rsidRPr="00FB033A">
        <w:rPr>
          <w:rFonts w:eastAsia="Times New Roman" w:cs="Times New Roman"/>
          <w:iCs/>
          <w:color w:val="000000"/>
          <w:kern w:val="22"/>
          <w:sz w:val="22"/>
          <w:lang w:val="fr-FR" w:eastAsia="en-CA"/>
        </w:rPr>
        <w:t xml:space="preserve"> et </w:t>
      </w:r>
      <w:r w:rsidR="00012185">
        <w:rPr>
          <w:rFonts w:eastAsia="Times New Roman" w:cs="Times New Roman"/>
          <w:iCs/>
          <w:color w:val="000000"/>
          <w:kern w:val="22"/>
          <w:sz w:val="22"/>
          <w:lang w:val="fr-FR" w:eastAsia="en-CA"/>
        </w:rPr>
        <w:t>l</w:t>
      </w:r>
      <w:r>
        <w:rPr>
          <w:rFonts w:eastAsia="Times New Roman" w:cs="Times New Roman"/>
          <w:iCs/>
          <w:color w:val="000000"/>
          <w:kern w:val="22"/>
          <w:sz w:val="22"/>
          <w:lang w:val="fr-FR" w:eastAsia="en-CA"/>
        </w:rPr>
        <w:t xml:space="preserve">es </w:t>
      </w:r>
      <w:r w:rsidR="00830BE4">
        <w:rPr>
          <w:rFonts w:eastAsia="Times New Roman" w:cs="Times New Roman"/>
          <w:iCs/>
          <w:color w:val="000000"/>
          <w:kern w:val="22"/>
          <w:sz w:val="22"/>
          <w:lang w:val="fr-FR" w:eastAsia="en-CA"/>
        </w:rPr>
        <w:t>connaissances traditionnelles connexes</w:t>
      </w:r>
      <w:r w:rsidR="0068240C" w:rsidRPr="00FB033A">
        <w:rPr>
          <w:rFonts w:eastAsia="Times New Roman" w:cs="Times New Roman"/>
          <w:iCs/>
          <w:color w:val="000000"/>
          <w:kern w:val="22"/>
          <w:sz w:val="22"/>
          <w:lang w:val="fr-FR" w:eastAsia="en-CA"/>
        </w:rPr>
        <w:t xml:space="preserve"> </w:t>
      </w:r>
      <w:r w:rsidR="00E411BF">
        <w:rPr>
          <w:rFonts w:eastAsia="Times New Roman" w:cs="Times New Roman"/>
          <w:iCs/>
          <w:color w:val="000000"/>
          <w:kern w:val="22"/>
          <w:sz w:val="22"/>
          <w:lang w:val="fr-FR" w:eastAsia="en-CA"/>
        </w:rPr>
        <w:t>dont on ne peut déterminer l’origine</w:t>
      </w:r>
      <w:r w:rsidR="000B0175" w:rsidRPr="00FB033A">
        <w:rPr>
          <w:rFonts w:eastAsia="Times New Roman" w:cs="Times New Roman"/>
          <w:iCs/>
          <w:color w:val="000000"/>
          <w:kern w:val="22"/>
          <w:sz w:val="22"/>
          <w:lang w:val="fr-FR" w:eastAsia="en-CA"/>
        </w:rPr>
        <w:t xml:space="preserve"> </w:t>
      </w:r>
      <w:r w:rsidR="007A438A">
        <w:rPr>
          <w:rFonts w:eastAsia="Times New Roman" w:cs="Times New Roman"/>
          <w:iCs/>
          <w:color w:val="000000"/>
          <w:kern w:val="22"/>
          <w:sz w:val="22"/>
          <w:lang w:val="fr-FR" w:eastAsia="en-CA"/>
        </w:rPr>
        <w:t>dans des collections</w:t>
      </w:r>
      <w:r w:rsidR="00FC7EA5">
        <w:rPr>
          <w:rFonts w:eastAsia="Times New Roman" w:cs="Times New Roman"/>
          <w:i/>
          <w:color w:val="000000"/>
          <w:kern w:val="22"/>
          <w:sz w:val="22"/>
          <w:lang w:val="fr-FR" w:eastAsia="en-CA"/>
        </w:rPr>
        <w:t xml:space="preserve"> ex situ</w:t>
      </w:r>
      <w:r w:rsidR="000B0175" w:rsidRPr="00FB033A">
        <w:rPr>
          <w:rFonts w:eastAsia="Times New Roman" w:cs="Times New Roman"/>
          <w:iCs/>
          <w:color w:val="000000"/>
          <w:kern w:val="22"/>
          <w:sz w:val="22"/>
          <w:lang w:val="fr-FR" w:eastAsia="en-CA"/>
        </w:rPr>
        <w:t>.</w:t>
      </w:r>
      <w:r w:rsidR="006D06F5" w:rsidRPr="00FB033A">
        <w:rPr>
          <w:rFonts w:cs="Times New Roman"/>
          <w:kern w:val="22"/>
          <w:sz w:val="22"/>
          <w:lang w:val="fr-FR"/>
        </w:rPr>
        <w:t xml:space="preserve"> </w:t>
      </w:r>
      <w:r w:rsidR="006D06F5" w:rsidRPr="00FB033A">
        <w:rPr>
          <w:rFonts w:eastAsia="Times New Roman" w:cs="Times New Roman"/>
          <w:iCs/>
          <w:color w:val="000000"/>
          <w:kern w:val="22"/>
          <w:sz w:val="22"/>
          <w:lang w:val="fr-FR" w:eastAsia="en-CA"/>
        </w:rPr>
        <w:t xml:space="preserve">   </w:t>
      </w:r>
    </w:p>
    <w:p w14:paraId="30E52D16" w14:textId="3ED0A2B7" w:rsidR="002E59C2" w:rsidRPr="00DC050F" w:rsidRDefault="00DC050F" w:rsidP="00F43F79">
      <w:pPr>
        <w:rPr>
          <w:kern w:val="22"/>
          <w:sz w:val="22"/>
          <w:lang w:val="fr-FR"/>
        </w:rPr>
      </w:pPr>
      <w:r>
        <w:rPr>
          <w:kern w:val="22"/>
          <w:sz w:val="22"/>
          <w:lang w:val="fr-FR"/>
        </w:rPr>
        <w:t>Sur la base des</w:t>
      </w:r>
      <w:r w:rsidR="00972D65" w:rsidRPr="0028742E">
        <w:rPr>
          <w:kern w:val="22"/>
          <w:sz w:val="22"/>
          <w:lang w:val="fr-FR"/>
        </w:rPr>
        <w:t xml:space="preserve"> </w:t>
      </w:r>
      <w:r w:rsidR="00121FCD">
        <w:rPr>
          <w:kern w:val="22"/>
          <w:sz w:val="22"/>
          <w:lang w:val="fr-FR"/>
        </w:rPr>
        <w:t>recherche</w:t>
      </w:r>
      <w:r>
        <w:rPr>
          <w:kern w:val="22"/>
          <w:sz w:val="22"/>
          <w:lang w:val="fr-FR"/>
        </w:rPr>
        <w:t>s effectuées, la présente</w:t>
      </w:r>
      <w:r w:rsidR="00972D65" w:rsidRPr="0028742E">
        <w:rPr>
          <w:kern w:val="22"/>
          <w:sz w:val="22"/>
          <w:lang w:val="fr-FR"/>
        </w:rPr>
        <w:t xml:space="preserve"> </w:t>
      </w:r>
      <w:r w:rsidR="00E3674F" w:rsidRPr="0028742E">
        <w:rPr>
          <w:kern w:val="22"/>
          <w:sz w:val="22"/>
          <w:lang w:val="fr-FR"/>
        </w:rPr>
        <w:t>étude</w:t>
      </w:r>
      <w:r w:rsidR="00972D65" w:rsidRPr="0028742E">
        <w:rPr>
          <w:kern w:val="22"/>
          <w:sz w:val="22"/>
          <w:lang w:val="fr-FR"/>
        </w:rPr>
        <w:t xml:space="preserve"> c</w:t>
      </w:r>
      <w:r w:rsidR="009D4AFE">
        <w:rPr>
          <w:kern w:val="22"/>
          <w:sz w:val="22"/>
          <w:lang w:val="fr-FR"/>
        </w:rPr>
        <w:t>onclut que certains</w:t>
      </w:r>
      <w:r w:rsidR="00E3674F" w:rsidRPr="0028742E">
        <w:rPr>
          <w:kern w:val="22"/>
          <w:sz w:val="22"/>
          <w:lang w:val="fr-FR"/>
        </w:rPr>
        <w:t xml:space="preserve"> cas spécifiques</w:t>
      </w:r>
      <w:r w:rsidR="009D4AFE">
        <w:rPr>
          <w:kern w:val="22"/>
          <w:sz w:val="22"/>
          <w:lang w:val="fr-FR"/>
        </w:rPr>
        <w:t xml:space="preserve"> peuvent entrer</w:t>
      </w:r>
      <w:r w:rsidR="00934A20" w:rsidRPr="0028742E">
        <w:rPr>
          <w:kern w:val="22"/>
          <w:sz w:val="22"/>
          <w:lang w:val="fr-FR"/>
        </w:rPr>
        <w:t xml:space="preserve"> dans le champ d’application</w:t>
      </w:r>
      <w:r w:rsidR="00972D65" w:rsidRPr="0028742E">
        <w:rPr>
          <w:kern w:val="22"/>
          <w:sz w:val="22"/>
          <w:lang w:val="fr-FR"/>
        </w:rPr>
        <w:t xml:space="preserve"> </w:t>
      </w:r>
      <w:r w:rsidR="0028742E" w:rsidRPr="0028742E">
        <w:rPr>
          <w:kern w:val="22"/>
          <w:sz w:val="22"/>
          <w:lang w:val="fr-FR"/>
        </w:rPr>
        <w:t>de l’article</w:t>
      </w:r>
      <w:r w:rsidR="00972D65" w:rsidRPr="0028742E">
        <w:rPr>
          <w:kern w:val="22"/>
          <w:sz w:val="22"/>
          <w:lang w:val="fr-FR"/>
        </w:rPr>
        <w:t xml:space="preserve"> 10</w:t>
      </w:r>
      <w:r w:rsidR="00012185">
        <w:rPr>
          <w:kern w:val="22"/>
          <w:sz w:val="22"/>
          <w:lang w:val="fr-FR"/>
        </w:rPr>
        <w:t xml:space="preserve"> du Protocole</w:t>
      </w:r>
      <w:r w:rsidR="009D4AFE">
        <w:rPr>
          <w:kern w:val="22"/>
          <w:sz w:val="22"/>
          <w:lang w:val="fr-FR"/>
        </w:rPr>
        <w:t xml:space="preserve"> de Nagoya</w:t>
      </w:r>
      <w:r w:rsidR="00375A71" w:rsidRPr="0028742E">
        <w:rPr>
          <w:kern w:val="22"/>
          <w:sz w:val="22"/>
          <w:lang w:val="fr-FR"/>
        </w:rPr>
        <w:t>.</w:t>
      </w:r>
      <w:r w:rsidR="00972D65" w:rsidRPr="0028742E">
        <w:rPr>
          <w:kern w:val="22"/>
          <w:sz w:val="22"/>
          <w:lang w:val="fr-FR"/>
        </w:rPr>
        <w:t xml:space="preserve"> </w:t>
      </w:r>
      <w:r>
        <w:rPr>
          <w:kern w:val="22"/>
          <w:sz w:val="22"/>
          <w:lang w:val="fr-FR"/>
        </w:rPr>
        <w:t xml:space="preserve">Cependant, la question de savoir si l’un ou l’autre de ces cas nécessite un </w:t>
      </w:r>
      <w:r w:rsidR="001A200E" w:rsidRPr="00DC050F">
        <w:rPr>
          <w:kern w:val="22"/>
          <w:sz w:val="22"/>
          <w:lang w:val="fr-FR"/>
        </w:rPr>
        <w:t>mécanisme multilatéral mondial</w:t>
      </w:r>
      <w:r w:rsidR="00E3674F" w:rsidRPr="00DC050F">
        <w:rPr>
          <w:kern w:val="22"/>
          <w:sz w:val="22"/>
          <w:lang w:val="fr-FR"/>
        </w:rPr>
        <w:t xml:space="preserve"> de partage des avantages</w:t>
      </w:r>
      <w:r w:rsidR="00214AF0" w:rsidRPr="00DC050F">
        <w:rPr>
          <w:kern w:val="22"/>
          <w:sz w:val="22"/>
          <w:lang w:val="fr-FR"/>
        </w:rPr>
        <w:t>,</w:t>
      </w:r>
      <w:r w:rsidR="00E3674F" w:rsidRPr="00DC050F">
        <w:rPr>
          <w:kern w:val="22"/>
          <w:sz w:val="22"/>
          <w:lang w:val="fr-FR"/>
        </w:rPr>
        <w:t xml:space="preserve"> et </w:t>
      </w:r>
      <w:r>
        <w:rPr>
          <w:kern w:val="22"/>
          <w:sz w:val="22"/>
          <w:lang w:val="fr-FR"/>
        </w:rPr>
        <w:t xml:space="preserve">quelles </w:t>
      </w:r>
      <w:r w:rsidR="00E3674F" w:rsidRPr="00DC050F">
        <w:rPr>
          <w:kern w:val="22"/>
          <w:sz w:val="22"/>
          <w:lang w:val="fr-FR"/>
        </w:rPr>
        <w:t>modalités</w:t>
      </w:r>
      <w:r w:rsidR="009D4AFE">
        <w:rPr>
          <w:kern w:val="22"/>
          <w:sz w:val="22"/>
          <w:lang w:val="fr-FR"/>
        </w:rPr>
        <w:t xml:space="preserve"> s’appliquent à</w:t>
      </w:r>
      <w:r w:rsidR="00012185">
        <w:rPr>
          <w:kern w:val="22"/>
          <w:sz w:val="22"/>
          <w:lang w:val="fr-FR"/>
        </w:rPr>
        <w:t xml:space="preserve"> </w:t>
      </w:r>
      <w:r>
        <w:rPr>
          <w:kern w:val="22"/>
          <w:sz w:val="22"/>
          <w:lang w:val="fr-FR"/>
        </w:rPr>
        <w:t>un tel m</w:t>
      </w:r>
      <w:r w:rsidR="00E3674F" w:rsidRPr="00DC050F">
        <w:rPr>
          <w:kern w:val="22"/>
          <w:sz w:val="22"/>
          <w:lang w:val="fr-FR"/>
        </w:rPr>
        <w:t>écanisme</w:t>
      </w:r>
      <w:r w:rsidR="00012185">
        <w:rPr>
          <w:kern w:val="22"/>
          <w:sz w:val="22"/>
          <w:lang w:val="fr-FR"/>
        </w:rPr>
        <w:t>, si celui-ci</w:t>
      </w:r>
      <w:r>
        <w:rPr>
          <w:kern w:val="22"/>
          <w:sz w:val="22"/>
          <w:lang w:val="fr-FR"/>
        </w:rPr>
        <w:t xml:space="preserve"> était jugé nécessaire, doivent être décidées par les </w:t>
      </w:r>
      <w:r w:rsidR="00100D16" w:rsidRPr="00DC050F">
        <w:rPr>
          <w:kern w:val="22"/>
          <w:sz w:val="22"/>
          <w:lang w:val="fr-FR"/>
        </w:rPr>
        <w:t xml:space="preserve">Parties </w:t>
      </w:r>
      <w:r w:rsidR="00E3674F" w:rsidRPr="00DC050F">
        <w:rPr>
          <w:kern w:val="22"/>
          <w:sz w:val="22"/>
          <w:lang w:val="fr-FR"/>
        </w:rPr>
        <w:t>au Protocole de Nagoya</w:t>
      </w:r>
      <w:r>
        <w:rPr>
          <w:kern w:val="22"/>
          <w:sz w:val="22"/>
          <w:lang w:val="fr-FR"/>
        </w:rPr>
        <w:t>.</w:t>
      </w:r>
    </w:p>
    <w:p w14:paraId="6FBE27D4" w14:textId="70010C3F" w:rsidR="00B14375" w:rsidRPr="00480821" w:rsidRDefault="00FB0054" w:rsidP="00B14375">
      <w:pPr>
        <w:pStyle w:val="Heading1"/>
        <w:rPr>
          <w:kern w:val="22"/>
          <w:sz w:val="22"/>
          <w:szCs w:val="22"/>
          <w:lang w:val="fr-FR"/>
        </w:rPr>
      </w:pPr>
      <w:bookmarkStart w:id="175" w:name="_Toc48914808"/>
      <w:r w:rsidRPr="00480821">
        <w:rPr>
          <w:kern w:val="22"/>
          <w:sz w:val="22"/>
          <w:szCs w:val="22"/>
          <w:lang w:val="fr-FR"/>
        </w:rPr>
        <w:t>remerci</w:t>
      </w:r>
      <w:r w:rsidR="00B14375" w:rsidRPr="00480821">
        <w:rPr>
          <w:kern w:val="22"/>
          <w:sz w:val="22"/>
          <w:szCs w:val="22"/>
          <w:lang w:val="fr-FR"/>
        </w:rPr>
        <w:t>ements</w:t>
      </w:r>
      <w:bookmarkEnd w:id="175"/>
    </w:p>
    <w:p w14:paraId="7B366B23" w14:textId="7271EB85" w:rsidR="007D320F" w:rsidRPr="00FB0054" w:rsidRDefault="00FB0054" w:rsidP="00112AD2">
      <w:pPr>
        <w:spacing w:line="259" w:lineRule="auto"/>
        <w:rPr>
          <w:rFonts w:cs="Times New Roman"/>
          <w:kern w:val="22"/>
          <w:sz w:val="22"/>
          <w:lang w:val="fr-FR"/>
        </w:rPr>
      </w:pPr>
      <w:r w:rsidRPr="00FB0054">
        <w:rPr>
          <w:rFonts w:cs="Times New Roman"/>
          <w:kern w:val="22"/>
          <w:sz w:val="22"/>
          <w:lang w:val="fr-FR"/>
        </w:rPr>
        <w:t xml:space="preserve">Les </w:t>
      </w:r>
      <w:r w:rsidR="00934A20" w:rsidRPr="00FB0054">
        <w:rPr>
          <w:rFonts w:cs="Times New Roman"/>
          <w:kern w:val="22"/>
          <w:sz w:val="22"/>
          <w:lang w:val="fr-FR"/>
        </w:rPr>
        <w:t>auteurs</w:t>
      </w:r>
      <w:r w:rsidR="00243399" w:rsidRPr="00FB0054">
        <w:rPr>
          <w:rFonts w:cs="Times New Roman"/>
          <w:kern w:val="22"/>
          <w:sz w:val="22"/>
          <w:lang w:val="fr-FR"/>
        </w:rPr>
        <w:t xml:space="preserve"> </w:t>
      </w:r>
      <w:r w:rsidRPr="00FB0054">
        <w:rPr>
          <w:rFonts w:cs="Times New Roman"/>
          <w:kern w:val="22"/>
          <w:sz w:val="22"/>
          <w:lang w:val="fr-FR"/>
        </w:rPr>
        <w:t>souhai</w:t>
      </w:r>
      <w:r w:rsidR="00474129">
        <w:rPr>
          <w:rFonts w:cs="Times New Roman"/>
          <w:kern w:val="22"/>
          <w:sz w:val="22"/>
          <w:lang w:val="fr-FR"/>
        </w:rPr>
        <w:t>t</w:t>
      </w:r>
      <w:r w:rsidRPr="00FB0054">
        <w:rPr>
          <w:rFonts w:cs="Times New Roman"/>
          <w:kern w:val="22"/>
          <w:sz w:val="22"/>
          <w:lang w:val="fr-FR"/>
        </w:rPr>
        <w:t xml:space="preserve">ent remercier </w:t>
      </w:r>
      <w:r w:rsidR="00243399" w:rsidRPr="00FB0054">
        <w:rPr>
          <w:rFonts w:cs="Times New Roman"/>
          <w:kern w:val="22"/>
          <w:sz w:val="22"/>
          <w:lang w:val="fr-FR"/>
        </w:rPr>
        <w:t>Eric Boyer</w:t>
      </w:r>
      <w:r w:rsidR="00E3674F" w:rsidRPr="00FB0054">
        <w:rPr>
          <w:rFonts w:cs="Times New Roman"/>
          <w:kern w:val="22"/>
          <w:sz w:val="22"/>
          <w:lang w:val="fr-FR"/>
        </w:rPr>
        <w:t xml:space="preserve"> et </w:t>
      </w:r>
      <w:r w:rsidR="00243399" w:rsidRPr="00FB0054">
        <w:rPr>
          <w:rFonts w:cs="Times New Roman"/>
          <w:kern w:val="22"/>
          <w:sz w:val="22"/>
          <w:lang w:val="fr-FR"/>
        </w:rPr>
        <w:t>Candace Walther</w:t>
      </w:r>
      <w:r w:rsidRPr="00FB0054">
        <w:rPr>
          <w:rFonts w:cs="Times New Roman"/>
          <w:kern w:val="22"/>
          <w:sz w:val="22"/>
          <w:lang w:val="fr-FR"/>
        </w:rPr>
        <w:t xml:space="preserve"> p</w:t>
      </w:r>
      <w:r w:rsidR="00012185">
        <w:rPr>
          <w:rFonts w:cs="Times New Roman"/>
          <w:kern w:val="22"/>
          <w:sz w:val="22"/>
          <w:lang w:val="fr-FR"/>
        </w:rPr>
        <w:t xml:space="preserve">our leur </w:t>
      </w:r>
      <w:r w:rsidR="00145CA6">
        <w:rPr>
          <w:rFonts w:cs="Times New Roman"/>
          <w:kern w:val="22"/>
          <w:sz w:val="22"/>
          <w:lang w:val="fr-FR"/>
        </w:rPr>
        <w:t>excellente assistance en matière de</w:t>
      </w:r>
      <w:r w:rsidR="00012185">
        <w:rPr>
          <w:rFonts w:cs="Times New Roman"/>
          <w:kern w:val="22"/>
          <w:sz w:val="22"/>
          <w:lang w:val="fr-FR"/>
        </w:rPr>
        <w:t xml:space="preserve"> recherche</w:t>
      </w:r>
      <w:r w:rsidRPr="00FB0054">
        <w:rPr>
          <w:rFonts w:cs="Times New Roman"/>
          <w:kern w:val="22"/>
          <w:sz w:val="22"/>
          <w:lang w:val="fr-FR"/>
        </w:rPr>
        <w:t>, ainsi que les membres du</w:t>
      </w:r>
      <w:r w:rsidR="00243399" w:rsidRPr="00FB0054">
        <w:rPr>
          <w:rFonts w:cs="Times New Roman"/>
          <w:kern w:val="22"/>
          <w:sz w:val="22"/>
          <w:lang w:val="fr-FR"/>
        </w:rPr>
        <w:t xml:space="preserve"> </w:t>
      </w:r>
      <w:r w:rsidR="00FB033A" w:rsidRPr="00FB0054">
        <w:rPr>
          <w:rFonts w:cs="Times New Roman"/>
          <w:kern w:val="22"/>
          <w:sz w:val="22"/>
          <w:lang w:val="fr-FR"/>
        </w:rPr>
        <w:t>Secrétariat</w:t>
      </w:r>
      <w:r>
        <w:rPr>
          <w:rFonts w:cs="Times New Roman"/>
          <w:kern w:val="22"/>
          <w:sz w:val="22"/>
          <w:lang w:val="fr-FR"/>
        </w:rPr>
        <w:t xml:space="preserve"> de la </w:t>
      </w:r>
      <w:r w:rsidR="007347F7">
        <w:rPr>
          <w:rFonts w:cs="Times New Roman"/>
          <w:kern w:val="22"/>
          <w:sz w:val="22"/>
          <w:lang w:val="fr-FR"/>
        </w:rPr>
        <w:t>Convention</w:t>
      </w:r>
      <w:r w:rsidR="00012185">
        <w:rPr>
          <w:rFonts w:cs="Times New Roman"/>
          <w:kern w:val="22"/>
          <w:sz w:val="22"/>
          <w:lang w:val="fr-FR"/>
        </w:rPr>
        <w:t xml:space="preserve"> sur la diversité biologique</w:t>
      </w:r>
      <w:r w:rsidR="00243399" w:rsidRPr="00FB0054">
        <w:rPr>
          <w:rFonts w:cs="Times New Roman"/>
          <w:kern w:val="22"/>
          <w:sz w:val="22"/>
          <w:lang w:val="fr-FR"/>
        </w:rPr>
        <w:t xml:space="preserve"> (Worku </w:t>
      </w:r>
      <w:r w:rsidR="008F62DF" w:rsidRPr="00FB0054">
        <w:rPr>
          <w:rFonts w:cs="Times New Roman"/>
          <w:kern w:val="22"/>
          <w:sz w:val="22"/>
          <w:lang w:val="fr-FR"/>
        </w:rPr>
        <w:t xml:space="preserve">Yifru, </w:t>
      </w:r>
      <w:r w:rsidR="00243399" w:rsidRPr="00FB0054">
        <w:rPr>
          <w:rFonts w:cs="Times New Roman"/>
          <w:kern w:val="22"/>
          <w:sz w:val="22"/>
          <w:lang w:val="fr-FR"/>
        </w:rPr>
        <w:t xml:space="preserve">Beatriz Gomez, </w:t>
      </w:r>
      <w:r w:rsidR="00856A7C" w:rsidRPr="00FB0054">
        <w:rPr>
          <w:rFonts w:cs="Times New Roman"/>
          <w:kern w:val="22"/>
          <w:sz w:val="22"/>
          <w:lang w:val="fr-FR"/>
        </w:rPr>
        <w:t>Austein McLoughlin</w:t>
      </w:r>
      <w:r w:rsidR="00E3674F" w:rsidRPr="00FB0054">
        <w:rPr>
          <w:rFonts w:cs="Times New Roman"/>
          <w:kern w:val="22"/>
          <w:sz w:val="22"/>
          <w:lang w:val="fr-FR"/>
        </w:rPr>
        <w:t xml:space="preserve"> et </w:t>
      </w:r>
      <w:r w:rsidR="00243399" w:rsidRPr="00FB0054">
        <w:rPr>
          <w:rFonts w:cs="Times New Roman"/>
          <w:kern w:val="22"/>
          <w:sz w:val="22"/>
          <w:lang w:val="fr-FR"/>
        </w:rPr>
        <w:t xml:space="preserve">Rodrigo Sara) </w:t>
      </w:r>
      <w:r w:rsidR="00012185">
        <w:rPr>
          <w:rFonts w:cs="Times New Roman"/>
          <w:kern w:val="22"/>
          <w:sz w:val="22"/>
          <w:lang w:val="fr-FR"/>
        </w:rPr>
        <w:t xml:space="preserve">pour leur précieuse contribution </w:t>
      </w:r>
      <w:r w:rsidR="00145CA6">
        <w:rPr>
          <w:rFonts w:cs="Times New Roman"/>
          <w:kern w:val="22"/>
          <w:sz w:val="22"/>
          <w:lang w:val="fr-FR"/>
        </w:rPr>
        <w:t>pendant</w:t>
      </w:r>
      <w:r>
        <w:rPr>
          <w:rFonts w:cs="Times New Roman"/>
          <w:kern w:val="22"/>
          <w:sz w:val="22"/>
          <w:lang w:val="fr-FR"/>
        </w:rPr>
        <w:t xml:space="preserve"> toute la durée de l’étude</w:t>
      </w:r>
      <w:r w:rsidR="00243399" w:rsidRPr="00FB0054">
        <w:rPr>
          <w:rFonts w:cs="Times New Roman"/>
          <w:kern w:val="22"/>
          <w:sz w:val="22"/>
          <w:lang w:val="fr-FR"/>
        </w:rPr>
        <w:t>.</w:t>
      </w:r>
      <w:r w:rsidR="007D320F" w:rsidRPr="00FB0054">
        <w:rPr>
          <w:rFonts w:cs="Times New Roman"/>
          <w:kern w:val="22"/>
          <w:sz w:val="22"/>
          <w:lang w:val="fr-FR"/>
        </w:rPr>
        <w:br w:type="page"/>
      </w:r>
    </w:p>
    <w:p w14:paraId="76F61AF8" w14:textId="7053A1A3" w:rsidR="009C24C9" w:rsidRPr="00FB0054" w:rsidRDefault="009C24C9" w:rsidP="00B53EA6">
      <w:pPr>
        <w:pStyle w:val="Heading1"/>
        <w:rPr>
          <w:kern w:val="22"/>
          <w:sz w:val="22"/>
          <w:szCs w:val="22"/>
          <w:lang w:val="fr-FR"/>
        </w:rPr>
      </w:pPr>
      <w:bookmarkStart w:id="176" w:name="_Toc34249597"/>
      <w:bookmarkStart w:id="177" w:name="_Toc39580439"/>
      <w:bookmarkStart w:id="178" w:name="_Toc48914809"/>
      <w:bookmarkStart w:id="179" w:name="_Toc32490886"/>
      <w:r w:rsidRPr="00FB0054">
        <w:rPr>
          <w:kern w:val="22"/>
          <w:sz w:val="22"/>
          <w:szCs w:val="22"/>
          <w:lang w:val="fr-FR"/>
        </w:rPr>
        <w:lastRenderedPageBreak/>
        <w:t>Anne</w:t>
      </w:r>
      <w:r w:rsidR="00FB0054" w:rsidRPr="00FB0054">
        <w:rPr>
          <w:kern w:val="22"/>
          <w:sz w:val="22"/>
          <w:szCs w:val="22"/>
          <w:lang w:val="fr-FR"/>
        </w:rPr>
        <w:t>xe</w:t>
      </w:r>
      <w:r w:rsidRPr="00FB0054">
        <w:rPr>
          <w:kern w:val="22"/>
          <w:sz w:val="22"/>
          <w:szCs w:val="22"/>
          <w:lang w:val="fr-FR"/>
        </w:rPr>
        <w:t xml:space="preserve"> A: </w:t>
      </w:r>
      <w:bookmarkEnd w:id="176"/>
      <w:bookmarkEnd w:id="177"/>
      <w:r w:rsidR="00FB0054" w:rsidRPr="00FB0054">
        <w:rPr>
          <w:kern w:val="22"/>
          <w:sz w:val="22"/>
          <w:szCs w:val="22"/>
          <w:lang w:val="fr-FR"/>
        </w:rPr>
        <w:t>Liste des personnes interviewee</w:t>
      </w:r>
      <w:r w:rsidR="00B53EA6" w:rsidRPr="00FB0054">
        <w:rPr>
          <w:kern w:val="22"/>
          <w:sz w:val="22"/>
          <w:szCs w:val="22"/>
          <w:lang w:val="fr-FR"/>
        </w:rPr>
        <w:t>s</w:t>
      </w:r>
      <w:bookmarkEnd w:id="178"/>
    </w:p>
    <w:bookmarkEnd w:id="179"/>
    <w:tbl>
      <w:tblPr>
        <w:tblStyle w:val="TableGrid1"/>
        <w:tblW w:w="9208" w:type="dxa"/>
        <w:tblLook w:val="04A0" w:firstRow="1" w:lastRow="0" w:firstColumn="1" w:lastColumn="0" w:noHBand="0" w:noVBand="1"/>
      </w:tblPr>
      <w:tblGrid>
        <w:gridCol w:w="1304"/>
        <w:gridCol w:w="3219"/>
        <w:gridCol w:w="1461"/>
        <w:gridCol w:w="1979"/>
        <w:gridCol w:w="1245"/>
      </w:tblGrid>
      <w:tr w:rsidR="008D7FDA" w:rsidRPr="00A2063C" w14:paraId="10417264" w14:textId="77777777" w:rsidTr="00A2063C">
        <w:tc>
          <w:tcPr>
            <w:tcW w:w="1304" w:type="dxa"/>
            <w:shd w:val="clear" w:color="auto" w:fill="BFBFBF" w:themeFill="background1" w:themeFillShade="BF"/>
          </w:tcPr>
          <w:p w14:paraId="017AE62E" w14:textId="77777777" w:rsidR="00CF3362" w:rsidRPr="00FB0054" w:rsidRDefault="00CF3362" w:rsidP="004C2C06">
            <w:pPr>
              <w:spacing w:line="252" w:lineRule="auto"/>
              <w:rPr>
                <w:rFonts w:cs="Times New Roman"/>
                <w:b/>
                <w:bCs/>
                <w:kern w:val="22"/>
                <w:sz w:val="20"/>
                <w:szCs w:val="20"/>
                <w:lang w:val="fr-FR"/>
              </w:rPr>
            </w:pPr>
          </w:p>
        </w:tc>
        <w:tc>
          <w:tcPr>
            <w:tcW w:w="3219" w:type="dxa"/>
            <w:shd w:val="clear" w:color="auto" w:fill="BFBFBF" w:themeFill="background1" w:themeFillShade="BF"/>
          </w:tcPr>
          <w:p w14:paraId="62DD21C4" w14:textId="4831D32A" w:rsidR="00CF3362" w:rsidRPr="00A2063C" w:rsidRDefault="00FB0054" w:rsidP="004C2C06">
            <w:pPr>
              <w:spacing w:line="252" w:lineRule="auto"/>
              <w:rPr>
                <w:rFonts w:cs="Times New Roman"/>
                <w:b/>
                <w:bCs/>
                <w:kern w:val="22"/>
                <w:sz w:val="20"/>
                <w:szCs w:val="20"/>
                <w:lang w:val="en-GB"/>
              </w:rPr>
            </w:pPr>
            <w:r>
              <w:rPr>
                <w:rFonts w:cs="Times New Roman"/>
                <w:b/>
                <w:bCs/>
                <w:kern w:val="22"/>
                <w:sz w:val="20"/>
                <w:szCs w:val="20"/>
                <w:lang w:val="en-GB"/>
              </w:rPr>
              <w:t>Type de personne interviewée</w:t>
            </w:r>
          </w:p>
        </w:tc>
        <w:tc>
          <w:tcPr>
            <w:tcW w:w="1461" w:type="dxa"/>
            <w:shd w:val="clear" w:color="auto" w:fill="BFBFBF" w:themeFill="background1" w:themeFillShade="BF"/>
          </w:tcPr>
          <w:p w14:paraId="586538BD" w14:textId="530B6D41" w:rsidR="00CF3362" w:rsidRPr="00A2063C" w:rsidRDefault="008D7FDA" w:rsidP="008D7FDA">
            <w:pPr>
              <w:spacing w:line="252" w:lineRule="auto"/>
              <w:jc w:val="left"/>
              <w:rPr>
                <w:rFonts w:cs="Times New Roman"/>
                <w:b/>
                <w:bCs/>
                <w:kern w:val="22"/>
                <w:sz w:val="20"/>
                <w:szCs w:val="20"/>
                <w:lang w:val="en-GB"/>
              </w:rPr>
            </w:pPr>
            <w:r>
              <w:rPr>
                <w:rFonts w:cs="Times New Roman"/>
                <w:b/>
                <w:bCs/>
                <w:kern w:val="22"/>
                <w:sz w:val="20"/>
                <w:szCs w:val="20"/>
                <w:lang w:val="en-GB"/>
              </w:rPr>
              <w:t>Ré</w:t>
            </w:r>
            <w:r w:rsidR="00CF3362" w:rsidRPr="00A2063C">
              <w:rPr>
                <w:rFonts w:cs="Times New Roman"/>
                <w:b/>
                <w:bCs/>
                <w:kern w:val="22"/>
                <w:sz w:val="20"/>
                <w:szCs w:val="20"/>
                <w:lang w:val="en-GB"/>
              </w:rPr>
              <w:t>gion</w:t>
            </w:r>
            <w:r>
              <w:rPr>
                <w:rFonts w:cs="Times New Roman"/>
                <w:b/>
                <w:bCs/>
                <w:kern w:val="22"/>
                <w:sz w:val="20"/>
                <w:szCs w:val="20"/>
                <w:lang w:val="en-GB"/>
              </w:rPr>
              <w:t xml:space="preserve"> de l’ONU</w:t>
            </w:r>
          </w:p>
        </w:tc>
        <w:tc>
          <w:tcPr>
            <w:tcW w:w="1979" w:type="dxa"/>
            <w:shd w:val="clear" w:color="auto" w:fill="BFBFBF" w:themeFill="background1" w:themeFillShade="BF"/>
          </w:tcPr>
          <w:p w14:paraId="3E3E9C7A" w14:textId="50CBB8A7" w:rsidR="00CF3362" w:rsidRPr="00A2063C" w:rsidRDefault="00B63460" w:rsidP="00A2063C">
            <w:pPr>
              <w:spacing w:line="252" w:lineRule="auto"/>
              <w:jc w:val="left"/>
              <w:rPr>
                <w:rFonts w:cs="Times New Roman"/>
                <w:b/>
                <w:bCs/>
                <w:kern w:val="22"/>
                <w:sz w:val="20"/>
                <w:szCs w:val="20"/>
                <w:lang w:val="en-GB"/>
              </w:rPr>
            </w:pPr>
            <w:r>
              <w:rPr>
                <w:rFonts w:cs="Times New Roman"/>
                <w:b/>
                <w:bCs/>
                <w:kern w:val="22"/>
                <w:sz w:val="20"/>
                <w:szCs w:val="20"/>
                <w:lang w:val="en-GB"/>
              </w:rPr>
              <w:t xml:space="preserve">Type </w:t>
            </w:r>
            <w:r w:rsidR="008D7FDA">
              <w:rPr>
                <w:rFonts w:cs="Times New Roman"/>
                <w:b/>
                <w:bCs/>
                <w:kern w:val="22"/>
                <w:sz w:val="20"/>
                <w:szCs w:val="20"/>
                <w:lang w:val="en-GB"/>
              </w:rPr>
              <w:t>de</w:t>
            </w:r>
            <w:r w:rsidR="00CF3362" w:rsidRPr="00A2063C">
              <w:rPr>
                <w:rFonts w:cs="Times New Roman"/>
                <w:b/>
                <w:bCs/>
                <w:kern w:val="22"/>
                <w:sz w:val="20"/>
                <w:szCs w:val="20"/>
                <w:lang w:val="en-GB"/>
              </w:rPr>
              <w:t xml:space="preserve"> communication </w:t>
            </w:r>
          </w:p>
        </w:tc>
        <w:tc>
          <w:tcPr>
            <w:tcW w:w="1245" w:type="dxa"/>
            <w:shd w:val="clear" w:color="auto" w:fill="BFBFBF" w:themeFill="background1" w:themeFillShade="BF"/>
          </w:tcPr>
          <w:p w14:paraId="0305CACB" w14:textId="77777777" w:rsidR="00CF3362" w:rsidRPr="00A2063C" w:rsidRDefault="00CF3362" w:rsidP="004C2C06">
            <w:pPr>
              <w:spacing w:line="252" w:lineRule="auto"/>
              <w:rPr>
                <w:rFonts w:cs="Times New Roman"/>
                <w:b/>
                <w:bCs/>
                <w:kern w:val="22"/>
                <w:sz w:val="20"/>
                <w:szCs w:val="20"/>
                <w:lang w:val="en-GB"/>
              </w:rPr>
            </w:pPr>
            <w:r w:rsidRPr="00A2063C">
              <w:rPr>
                <w:rFonts w:cs="Times New Roman"/>
                <w:b/>
                <w:bCs/>
                <w:kern w:val="22"/>
                <w:sz w:val="20"/>
                <w:szCs w:val="20"/>
                <w:lang w:val="en-GB"/>
              </w:rPr>
              <w:t>Date</w:t>
            </w:r>
          </w:p>
        </w:tc>
      </w:tr>
      <w:tr w:rsidR="008D7FDA" w:rsidRPr="00A2063C" w14:paraId="4AA99E96" w14:textId="77777777" w:rsidTr="00A2063C">
        <w:trPr>
          <w:trHeight w:val="335"/>
        </w:trPr>
        <w:tc>
          <w:tcPr>
            <w:tcW w:w="1304" w:type="dxa"/>
          </w:tcPr>
          <w:p w14:paraId="39CE12FD" w14:textId="0FE0EAB4"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1</w:t>
            </w:r>
          </w:p>
        </w:tc>
        <w:tc>
          <w:tcPr>
            <w:tcW w:w="3219" w:type="dxa"/>
          </w:tcPr>
          <w:p w14:paraId="31BB4848" w14:textId="62C863B9" w:rsidR="00CF3362" w:rsidRPr="00FB0054" w:rsidRDefault="00B63460" w:rsidP="008D7FDA">
            <w:pPr>
              <w:spacing w:line="252" w:lineRule="auto"/>
              <w:jc w:val="left"/>
              <w:rPr>
                <w:rFonts w:cs="Times New Roman"/>
                <w:kern w:val="22"/>
                <w:sz w:val="20"/>
                <w:szCs w:val="20"/>
                <w:lang w:val="fr-FR"/>
              </w:rPr>
            </w:pPr>
            <w:r>
              <w:rPr>
                <w:rFonts w:cs="Times New Roman"/>
                <w:kern w:val="22"/>
                <w:sz w:val="20"/>
                <w:szCs w:val="20"/>
                <w:lang w:val="fr-FR"/>
              </w:rPr>
              <w:t>Universitaire, e</w:t>
            </w:r>
            <w:r w:rsidR="00CF3362" w:rsidRPr="00FB0054">
              <w:rPr>
                <w:rFonts w:cs="Times New Roman"/>
                <w:kern w:val="22"/>
                <w:sz w:val="20"/>
                <w:szCs w:val="20"/>
                <w:lang w:val="fr-FR"/>
              </w:rPr>
              <w:t>xpert</w:t>
            </w:r>
            <w:r>
              <w:rPr>
                <w:rFonts w:cs="Times New Roman"/>
                <w:kern w:val="22"/>
                <w:sz w:val="20"/>
                <w:szCs w:val="20"/>
                <w:lang w:val="fr-FR"/>
              </w:rPr>
              <w:t xml:space="preserve"> en matière de </w:t>
            </w:r>
            <w:r w:rsidR="00FB0054" w:rsidRPr="00FB0054">
              <w:rPr>
                <w:rFonts w:cs="Times New Roman"/>
                <w:kern w:val="22"/>
                <w:sz w:val="20"/>
                <w:szCs w:val="20"/>
                <w:lang w:val="fr-FR"/>
              </w:rPr>
              <w:t>savoirs traditionnels</w:t>
            </w:r>
          </w:p>
        </w:tc>
        <w:tc>
          <w:tcPr>
            <w:tcW w:w="1461" w:type="dxa"/>
          </w:tcPr>
          <w:p w14:paraId="78D0B9DC" w14:textId="787FA531" w:rsidR="00CF3362" w:rsidRPr="008D7FDA" w:rsidRDefault="00563605" w:rsidP="008D7FDA">
            <w:pPr>
              <w:spacing w:line="252" w:lineRule="auto"/>
              <w:jc w:val="left"/>
              <w:rPr>
                <w:rFonts w:cs="Times New Roman"/>
                <w:kern w:val="22"/>
                <w:sz w:val="20"/>
                <w:szCs w:val="20"/>
                <w:lang w:val="fr-FR"/>
              </w:rPr>
            </w:pPr>
            <w:r w:rsidRPr="008D7FDA">
              <w:rPr>
                <w:rFonts w:cs="Times New Roman"/>
                <w:kern w:val="22"/>
                <w:sz w:val="20"/>
                <w:szCs w:val="20"/>
                <w:lang w:val="fr-FR"/>
              </w:rPr>
              <w:t>Group</w:t>
            </w:r>
            <w:r w:rsidR="008D7FDA" w:rsidRPr="008D7FDA">
              <w:rPr>
                <w:rFonts w:cs="Times New Roman"/>
                <w:kern w:val="22"/>
                <w:sz w:val="20"/>
                <w:szCs w:val="20"/>
                <w:lang w:val="fr-FR"/>
              </w:rPr>
              <w:t>e des pays d’Europe occidentale et autres Etats</w:t>
            </w:r>
            <w:r w:rsidRPr="008D7FDA">
              <w:rPr>
                <w:rFonts w:cs="Times New Roman"/>
                <w:kern w:val="22"/>
                <w:sz w:val="20"/>
                <w:szCs w:val="20"/>
                <w:lang w:val="fr-FR"/>
              </w:rPr>
              <w:t xml:space="preserve"> (</w:t>
            </w:r>
            <w:r w:rsidR="00CF3362" w:rsidRPr="008D7FDA">
              <w:rPr>
                <w:rFonts w:cs="Times New Roman"/>
                <w:kern w:val="22"/>
                <w:sz w:val="20"/>
                <w:szCs w:val="20"/>
                <w:lang w:val="fr-FR"/>
              </w:rPr>
              <w:t>WEOG</w:t>
            </w:r>
            <w:r w:rsidRPr="008D7FDA">
              <w:rPr>
                <w:rFonts w:cs="Times New Roman"/>
                <w:kern w:val="22"/>
                <w:sz w:val="20"/>
                <w:szCs w:val="20"/>
                <w:lang w:val="fr-FR"/>
              </w:rPr>
              <w:t>)</w:t>
            </w:r>
          </w:p>
        </w:tc>
        <w:tc>
          <w:tcPr>
            <w:tcW w:w="1979" w:type="dxa"/>
          </w:tcPr>
          <w:p w14:paraId="7A77269A" w14:textId="3CA3C4B0" w:rsidR="00CF3362" w:rsidRPr="00A2063C" w:rsidRDefault="008D7FDA" w:rsidP="008D7FDA">
            <w:pPr>
              <w:spacing w:line="252" w:lineRule="auto"/>
              <w:jc w:val="left"/>
              <w:rPr>
                <w:rFonts w:cs="Times New Roman"/>
                <w:kern w:val="22"/>
                <w:sz w:val="20"/>
                <w:szCs w:val="20"/>
                <w:lang w:val="en-GB"/>
              </w:rPr>
            </w:pPr>
            <w:r>
              <w:rPr>
                <w:rFonts w:cs="Times New Roman"/>
                <w:kern w:val="22"/>
                <w:sz w:val="20"/>
                <w:szCs w:val="20"/>
                <w:lang w:val="en-GB"/>
              </w:rPr>
              <w:t>Vidéoconférence</w:t>
            </w:r>
            <w:r w:rsidR="00CF3362" w:rsidRPr="00A2063C">
              <w:rPr>
                <w:rFonts w:cs="Times New Roman"/>
                <w:kern w:val="22"/>
                <w:sz w:val="20"/>
                <w:szCs w:val="20"/>
                <w:lang w:val="en-GB"/>
              </w:rPr>
              <w:t xml:space="preserve"> </w:t>
            </w:r>
          </w:p>
        </w:tc>
        <w:tc>
          <w:tcPr>
            <w:tcW w:w="1245" w:type="dxa"/>
          </w:tcPr>
          <w:p w14:paraId="4810E18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19.01.2020</w:t>
            </w:r>
          </w:p>
        </w:tc>
      </w:tr>
      <w:tr w:rsidR="008D7FDA" w:rsidRPr="00A2063C" w14:paraId="44B6AD2A" w14:textId="77777777" w:rsidTr="00A2063C">
        <w:trPr>
          <w:trHeight w:val="335"/>
        </w:trPr>
        <w:tc>
          <w:tcPr>
            <w:tcW w:w="1304" w:type="dxa"/>
          </w:tcPr>
          <w:p w14:paraId="6835BB74" w14:textId="4298A5BA" w:rsidR="00CF3362" w:rsidRPr="00A2063C" w:rsidRDefault="00381D7E" w:rsidP="004C2C06">
            <w:pPr>
              <w:rPr>
                <w:rFonts w:cs="Times New Roman"/>
                <w:kern w:val="22"/>
                <w:sz w:val="20"/>
                <w:szCs w:val="20"/>
                <w:lang w:val="en-GB" w:eastAsia="es-PE"/>
              </w:rPr>
            </w:pPr>
            <w:r w:rsidRPr="00A2063C">
              <w:rPr>
                <w:rFonts w:cs="Times New Roman"/>
                <w:kern w:val="22"/>
                <w:sz w:val="20"/>
                <w:szCs w:val="20"/>
                <w:lang w:val="en-GB" w:eastAsia="es-PE"/>
              </w:rPr>
              <w:t>2</w:t>
            </w:r>
          </w:p>
        </w:tc>
        <w:tc>
          <w:tcPr>
            <w:tcW w:w="3219" w:type="dxa"/>
          </w:tcPr>
          <w:p w14:paraId="70653E9C" w14:textId="5ED0C016" w:rsidR="00CF3362" w:rsidRPr="00A2063C" w:rsidRDefault="00FB0054" w:rsidP="008D7FDA">
            <w:pPr>
              <w:spacing w:line="252" w:lineRule="auto"/>
              <w:jc w:val="left"/>
              <w:rPr>
                <w:rFonts w:cs="Times New Roman"/>
                <w:kern w:val="22"/>
                <w:sz w:val="20"/>
                <w:szCs w:val="20"/>
                <w:lang w:val="en-GB"/>
              </w:rPr>
            </w:pPr>
            <w:r>
              <w:rPr>
                <w:rFonts w:cs="Times New Roman"/>
                <w:color w:val="000000"/>
                <w:kern w:val="22"/>
                <w:sz w:val="20"/>
                <w:szCs w:val="20"/>
                <w:lang w:val="en-GB"/>
              </w:rPr>
              <w:t>Universitaire</w:t>
            </w:r>
            <w:r w:rsidR="00CF3362" w:rsidRPr="00A2063C">
              <w:rPr>
                <w:rFonts w:cs="Times New Roman"/>
                <w:color w:val="000000"/>
                <w:kern w:val="22"/>
                <w:sz w:val="20"/>
                <w:szCs w:val="20"/>
                <w:lang w:val="en-GB"/>
              </w:rPr>
              <w:t>,</w:t>
            </w:r>
            <w:r w:rsidR="00B63460">
              <w:rPr>
                <w:rFonts w:cs="Times New Roman"/>
                <w:color w:val="000000"/>
                <w:kern w:val="22"/>
                <w:sz w:val="20"/>
                <w:szCs w:val="20"/>
                <w:lang w:val="en-GB"/>
              </w:rPr>
              <w:t xml:space="preserve"> e</w:t>
            </w:r>
            <w:r w:rsidR="00CF3362" w:rsidRPr="00A2063C">
              <w:rPr>
                <w:rFonts w:cs="Times New Roman"/>
                <w:color w:val="000000"/>
                <w:kern w:val="22"/>
                <w:sz w:val="20"/>
                <w:szCs w:val="20"/>
                <w:lang w:val="en-GB"/>
              </w:rPr>
              <w:t>thnobotanist</w:t>
            </w:r>
            <w:r>
              <w:rPr>
                <w:rFonts w:cs="Times New Roman"/>
                <w:color w:val="000000"/>
                <w:kern w:val="22"/>
                <w:sz w:val="20"/>
                <w:szCs w:val="20"/>
                <w:lang w:val="en-GB"/>
              </w:rPr>
              <w:t>e</w:t>
            </w:r>
          </w:p>
        </w:tc>
        <w:tc>
          <w:tcPr>
            <w:tcW w:w="1461" w:type="dxa"/>
          </w:tcPr>
          <w:p w14:paraId="771FCEF8" w14:textId="77777777"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WEOG</w:t>
            </w:r>
          </w:p>
        </w:tc>
        <w:tc>
          <w:tcPr>
            <w:tcW w:w="1979" w:type="dxa"/>
          </w:tcPr>
          <w:p w14:paraId="1A53FA4E" w14:textId="1614B1BF"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22B63FB4"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14.01.2020</w:t>
            </w:r>
          </w:p>
        </w:tc>
      </w:tr>
      <w:tr w:rsidR="008D7FDA" w:rsidRPr="00A2063C" w14:paraId="7540998C" w14:textId="77777777" w:rsidTr="00A2063C">
        <w:trPr>
          <w:trHeight w:val="335"/>
        </w:trPr>
        <w:tc>
          <w:tcPr>
            <w:tcW w:w="1304" w:type="dxa"/>
          </w:tcPr>
          <w:p w14:paraId="2B90236E" w14:textId="5F72A0CB"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3</w:t>
            </w:r>
          </w:p>
        </w:tc>
        <w:tc>
          <w:tcPr>
            <w:tcW w:w="3219" w:type="dxa"/>
          </w:tcPr>
          <w:p w14:paraId="53ABFA38" w14:textId="2E90FFFB"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07AB0639" w14:textId="34BCC090" w:rsidR="00CF3362" w:rsidRPr="008D7FDA" w:rsidRDefault="008D7FDA" w:rsidP="008D7FDA">
            <w:pPr>
              <w:spacing w:line="252" w:lineRule="auto"/>
              <w:jc w:val="left"/>
              <w:rPr>
                <w:rFonts w:cs="Times New Roman"/>
                <w:kern w:val="22"/>
                <w:sz w:val="20"/>
                <w:szCs w:val="20"/>
                <w:lang w:val="fr-FR"/>
              </w:rPr>
            </w:pPr>
            <w:r w:rsidRPr="008D7FDA">
              <w:rPr>
                <w:rFonts w:cs="Times New Roman"/>
                <w:kern w:val="22"/>
                <w:sz w:val="20"/>
                <w:szCs w:val="20"/>
                <w:lang w:val="fr-FR"/>
              </w:rPr>
              <w:t>Groupe des pays d’Amérique latine et des Car</w:t>
            </w:r>
            <w:r>
              <w:rPr>
                <w:rFonts w:cs="Times New Roman"/>
                <w:kern w:val="22"/>
                <w:sz w:val="20"/>
                <w:szCs w:val="20"/>
                <w:lang w:val="fr-FR"/>
              </w:rPr>
              <w:t xml:space="preserve">aïbes </w:t>
            </w:r>
            <w:r w:rsidR="002F016B" w:rsidRPr="008D7FDA">
              <w:rPr>
                <w:rFonts w:cs="Times New Roman"/>
                <w:kern w:val="22"/>
                <w:sz w:val="20"/>
                <w:szCs w:val="20"/>
                <w:lang w:val="fr-FR"/>
              </w:rPr>
              <w:t>(</w:t>
            </w:r>
            <w:r w:rsidR="00CF3362" w:rsidRPr="008D7FDA">
              <w:rPr>
                <w:rFonts w:cs="Times New Roman"/>
                <w:kern w:val="22"/>
                <w:sz w:val="20"/>
                <w:szCs w:val="20"/>
                <w:lang w:val="fr-FR"/>
              </w:rPr>
              <w:t>GRULAC</w:t>
            </w:r>
            <w:r w:rsidR="002F016B" w:rsidRPr="008D7FDA">
              <w:rPr>
                <w:rFonts w:cs="Times New Roman"/>
                <w:kern w:val="22"/>
                <w:sz w:val="20"/>
                <w:szCs w:val="20"/>
                <w:lang w:val="fr-FR"/>
              </w:rPr>
              <w:t>)</w:t>
            </w:r>
          </w:p>
        </w:tc>
        <w:tc>
          <w:tcPr>
            <w:tcW w:w="1979" w:type="dxa"/>
          </w:tcPr>
          <w:p w14:paraId="471A5DF2" w14:textId="48E3C077"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5992F15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10.01.2020</w:t>
            </w:r>
          </w:p>
        </w:tc>
      </w:tr>
      <w:tr w:rsidR="008D7FDA" w:rsidRPr="00A2063C" w14:paraId="36969722" w14:textId="77777777" w:rsidTr="00A2063C">
        <w:trPr>
          <w:trHeight w:val="335"/>
        </w:trPr>
        <w:tc>
          <w:tcPr>
            <w:tcW w:w="1304" w:type="dxa"/>
          </w:tcPr>
          <w:p w14:paraId="4A4F89FE" w14:textId="4B8F67D5"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4</w:t>
            </w:r>
          </w:p>
        </w:tc>
        <w:tc>
          <w:tcPr>
            <w:tcW w:w="3219" w:type="dxa"/>
          </w:tcPr>
          <w:p w14:paraId="686DB21C" w14:textId="53C13109"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5356B808" w14:textId="77777777"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GRULAC</w:t>
            </w:r>
          </w:p>
        </w:tc>
        <w:tc>
          <w:tcPr>
            <w:tcW w:w="1979" w:type="dxa"/>
          </w:tcPr>
          <w:p w14:paraId="40DEFF45" w14:textId="209BCFEA"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r w:rsidR="00CF3362" w:rsidRPr="00FB0054" w:rsidDel="00D202E4">
              <w:rPr>
                <w:rFonts w:cs="Times New Roman"/>
                <w:kern w:val="22"/>
                <w:sz w:val="20"/>
                <w:szCs w:val="20"/>
                <w:lang w:val="fr-FR"/>
              </w:rPr>
              <w:t xml:space="preserve"> </w:t>
            </w:r>
          </w:p>
        </w:tc>
        <w:tc>
          <w:tcPr>
            <w:tcW w:w="1245" w:type="dxa"/>
          </w:tcPr>
          <w:p w14:paraId="45F3D747"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10.01.2020</w:t>
            </w:r>
          </w:p>
        </w:tc>
      </w:tr>
      <w:tr w:rsidR="008D7FDA" w:rsidRPr="00A2063C" w14:paraId="23168CFB" w14:textId="77777777" w:rsidTr="00A2063C">
        <w:trPr>
          <w:trHeight w:val="335"/>
        </w:trPr>
        <w:tc>
          <w:tcPr>
            <w:tcW w:w="1304" w:type="dxa"/>
          </w:tcPr>
          <w:p w14:paraId="4A30D31C" w14:textId="578F3948"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5</w:t>
            </w:r>
          </w:p>
        </w:tc>
        <w:tc>
          <w:tcPr>
            <w:tcW w:w="3219" w:type="dxa"/>
          </w:tcPr>
          <w:p w14:paraId="4E1FB841" w14:textId="0D31A3B3"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Industrie</w:t>
            </w:r>
            <w:r w:rsidR="00CF3362" w:rsidRPr="00FB0054">
              <w:rPr>
                <w:rFonts w:cs="Times New Roman"/>
                <w:kern w:val="22"/>
                <w:sz w:val="20"/>
                <w:szCs w:val="20"/>
                <w:lang w:val="fr-FR"/>
              </w:rPr>
              <w:t xml:space="preserve">, </w:t>
            </w:r>
            <w:r w:rsidRPr="00FB0054">
              <w:rPr>
                <w:rFonts w:cs="Times New Roman"/>
                <w:kern w:val="22"/>
                <w:sz w:val="20"/>
                <w:szCs w:val="20"/>
                <w:lang w:val="fr-FR"/>
              </w:rPr>
              <w:t>chercheur en biologie de synthèse</w:t>
            </w:r>
          </w:p>
        </w:tc>
        <w:tc>
          <w:tcPr>
            <w:tcW w:w="1461" w:type="dxa"/>
          </w:tcPr>
          <w:p w14:paraId="31EC82B6" w14:textId="77777777"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WEOG</w:t>
            </w:r>
          </w:p>
        </w:tc>
        <w:tc>
          <w:tcPr>
            <w:tcW w:w="1979" w:type="dxa"/>
          </w:tcPr>
          <w:p w14:paraId="595F4593" w14:textId="4B45AC5D" w:rsidR="00CF3362" w:rsidRPr="00A2063C" w:rsidRDefault="00B63460" w:rsidP="008D7FDA">
            <w:pPr>
              <w:spacing w:line="252" w:lineRule="auto"/>
              <w:jc w:val="left"/>
              <w:rPr>
                <w:rFonts w:cs="Times New Roman"/>
                <w:kern w:val="22"/>
                <w:sz w:val="20"/>
                <w:szCs w:val="20"/>
                <w:lang w:val="en-GB"/>
              </w:rPr>
            </w:pPr>
            <w:r>
              <w:rPr>
                <w:rFonts w:cs="Times New Roman"/>
                <w:kern w:val="22"/>
                <w:sz w:val="20"/>
                <w:szCs w:val="20"/>
                <w:lang w:val="en-GB"/>
              </w:rPr>
              <w:t xml:space="preserve">Entretien au </w:t>
            </w:r>
            <w:r w:rsidR="003D4064">
              <w:rPr>
                <w:rFonts w:cs="Times New Roman"/>
                <w:kern w:val="22"/>
                <w:sz w:val="20"/>
                <w:szCs w:val="20"/>
                <w:lang w:val="en-GB"/>
              </w:rPr>
              <w:t>téléphone</w:t>
            </w:r>
          </w:p>
        </w:tc>
        <w:tc>
          <w:tcPr>
            <w:tcW w:w="1245" w:type="dxa"/>
          </w:tcPr>
          <w:p w14:paraId="36FD00DA"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06.01.2020</w:t>
            </w:r>
          </w:p>
        </w:tc>
      </w:tr>
      <w:tr w:rsidR="008D7FDA" w:rsidRPr="00A2063C" w14:paraId="2561E680" w14:textId="77777777" w:rsidTr="00A2063C">
        <w:trPr>
          <w:trHeight w:val="335"/>
        </w:trPr>
        <w:tc>
          <w:tcPr>
            <w:tcW w:w="1304" w:type="dxa"/>
          </w:tcPr>
          <w:p w14:paraId="332B2E3C" w14:textId="2C95765E"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6</w:t>
            </w:r>
          </w:p>
        </w:tc>
        <w:tc>
          <w:tcPr>
            <w:tcW w:w="3219" w:type="dxa"/>
          </w:tcPr>
          <w:p w14:paraId="1A997E5A" w14:textId="45E72E30" w:rsidR="00CF3362" w:rsidRPr="00FB0054" w:rsidRDefault="00612C0B" w:rsidP="008D7FDA">
            <w:pPr>
              <w:spacing w:line="252" w:lineRule="auto"/>
              <w:jc w:val="left"/>
              <w:rPr>
                <w:rFonts w:cs="Times New Roman"/>
                <w:kern w:val="22"/>
                <w:sz w:val="20"/>
                <w:szCs w:val="20"/>
                <w:lang w:val="fr-FR"/>
              </w:rPr>
            </w:pPr>
            <w:r>
              <w:rPr>
                <w:rFonts w:cs="Times New Roman"/>
                <w:kern w:val="22"/>
                <w:sz w:val="20"/>
                <w:szCs w:val="20"/>
                <w:lang w:val="fr-FR"/>
              </w:rPr>
              <w:t>Industrie</w:t>
            </w:r>
            <w:r w:rsidR="00CF3362" w:rsidRPr="00FB0054">
              <w:rPr>
                <w:rFonts w:cs="Times New Roman"/>
                <w:kern w:val="22"/>
                <w:sz w:val="20"/>
                <w:szCs w:val="20"/>
                <w:lang w:val="fr-FR"/>
              </w:rPr>
              <w:t xml:space="preserve">, </w:t>
            </w:r>
            <w:r>
              <w:rPr>
                <w:rFonts w:cs="Times New Roman"/>
                <w:kern w:val="22"/>
                <w:sz w:val="20"/>
                <w:szCs w:val="20"/>
                <w:lang w:val="fr-FR"/>
              </w:rPr>
              <w:t>conseiller en d</w:t>
            </w:r>
            <w:r w:rsidR="00FB0054" w:rsidRPr="00FB0054">
              <w:rPr>
                <w:rFonts w:cs="Times New Roman"/>
                <w:kern w:val="22"/>
                <w:sz w:val="20"/>
                <w:szCs w:val="20"/>
                <w:lang w:val="fr-FR"/>
              </w:rPr>
              <w:t>roit de la propriété intellectuelle</w:t>
            </w:r>
            <w:r w:rsidR="00CF3362" w:rsidRPr="00FB0054">
              <w:rPr>
                <w:rFonts w:cs="Times New Roman"/>
                <w:kern w:val="22"/>
                <w:sz w:val="20"/>
                <w:szCs w:val="20"/>
                <w:lang w:val="fr-FR"/>
              </w:rPr>
              <w:t xml:space="preserve"> </w:t>
            </w:r>
          </w:p>
        </w:tc>
        <w:tc>
          <w:tcPr>
            <w:tcW w:w="1461" w:type="dxa"/>
          </w:tcPr>
          <w:p w14:paraId="0D911246" w14:textId="77777777"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WEOG</w:t>
            </w:r>
          </w:p>
        </w:tc>
        <w:tc>
          <w:tcPr>
            <w:tcW w:w="1979" w:type="dxa"/>
          </w:tcPr>
          <w:p w14:paraId="1176B72A" w14:textId="5CC1C85C" w:rsidR="00CF3362" w:rsidRPr="00A2063C" w:rsidRDefault="003D4064" w:rsidP="008D7FDA">
            <w:pPr>
              <w:spacing w:line="252" w:lineRule="auto"/>
              <w:jc w:val="left"/>
              <w:rPr>
                <w:rFonts w:cs="Times New Roman"/>
                <w:kern w:val="22"/>
                <w:sz w:val="20"/>
                <w:szCs w:val="20"/>
                <w:lang w:val="en-GB"/>
              </w:rPr>
            </w:pPr>
            <w:r>
              <w:rPr>
                <w:rFonts w:cs="Times New Roman"/>
                <w:kern w:val="22"/>
                <w:sz w:val="20"/>
                <w:szCs w:val="20"/>
                <w:lang w:val="en-GB"/>
              </w:rPr>
              <w:t xml:space="preserve">Entretien au </w:t>
            </w:r>
            <w:r w:rsidR="00B63460">
              <w:rPr>
                <w:rFonts w:cs="Times New Roman"/>
                <w:kern w:val="22"/>
                <w:sz w:val="20"/>
                <w:szCs w:val="20"/>
                <w:lang w:val="en-GB"/>
              </w:rPr>
              <w:t>télé</w:t>
            </w:r>
            <w:r>
              <w:rPr>
                <w:rFonts w:cs="Times New Roman"/>
                <w:kern w:val="22"/>
                <w:sz w:val="20"/>
                <w:szCs w:val="20"/>
                <w:lang w:val="en-GB"/>
              </w:rPr>
              <w:t>phone</w:t>
            </w:r>
            <w:r w:rsidR="00CF3362" w:rsidRPr="00A2063C">
              <w:rPr>
                <w:rFonts w:cs="Times New Roman"/>
                <w:kern w:val="22"/>
                <w:sz w:val="20"/>
                <w:szCs w:val="20"/>
                <w:lang w:val="en-GB"/>
              </w:rPr>
              <w:t xml:space="preserve"> </w:t>
            </w:r>
          </w:p>
        </w:tc>
        <w:tc>
          <w:tcPr>
            <w:tcW w:w="1245" w:type="dxa"/>
          </w:tcPr>
          <w:p w14:paraId="125D6E6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06.01.2020</w:t>
            </w:r>
          </w:p>
        </w:tc>
      </w:tr>
      <w:tr w:rsidR="008D7FDA" w:rsidRPr="00A2063C" w14:paraId="67ED2E70" w14:textId="77777777" w:rsidTr="00A2063C">
        <w:trPr>
          <w:trHeight w:val="335"/>
        </w:trPr>
        <w:tc>
          <w:tcPr>
            <w:tcW w:w="1304" w:type="dxa"/>
          </w:tcPr>
          <w:p w14:paraId="37D477FE" w14:textId="7CEACD9C"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7</w:t>
            </w:r>
          </w:p>
        </w:tc>
        <w:tc>
          <w:tcPr>
            <w:tcW w:w="3219" w:type="dxa"/>
          </w:tcPr>
          <w:p w14:paraId="6D0C2DA7" w14:textId="4A94EE27" w:rsidR="00CF3362" w:rsidRPr="00A2063C" w:rsidRDefault="00FB0054" w:rsidP="008D7FDA">
            <w:pPr>
              <w:spacing w:line="252" w:lineRule="auto"/>
              <w:jc w:val="left"/>
              <w:rPr>
                <w:rFonts w:cs="Times New Roman"/>
                <w:kern w:val="22"/>
                <w:sz w:val="20"/>
                <w:szCs w:val="20"/>
                <w:lang w:val="en-GB"/>
              </w:rPr>
            </w:pPr>
            <w:r>
              <w:rPr>
                <w:rFonts w:cs="Times New Roman"/>
                <w:kern w:val="22"/>
                <w:sz w:val="20"/>
                <w:szCs w:val="20"/>
                <w:lang w:val="en-GB"/>
              </w:rPr>
              <w:t>Universitaire</w:t>
            </w:r>
            <w:r w:rsidR="00B63460">
              <w:rPr>
                <w:rFonts w:cs="Times New Roman"/>
                <w:kern w:val="22"/>
                <w:sz w:val="20"/>
                <w:szCs w:val="20"/>
                <w:lang w:val="en-GB"/>
              </w:rPr>
              <w:t>, e</w:t>
            </w:r>
            <w:r w:rsidR="00CF3362" w:rsidRPr="00A2063C">
              <w:rPr>
                <w:rFonts w:cs="Times New Roman"/>
                <w:kern w:val="22"/>
                <w:sz w:val="20"/>
                <w:szCs w:val="20"/>
                <w:lang w:val="en-GB"/>
              </w:rPr>
              <w:t>thnobotanist</w:t>
            </w:r>
            <w:r w:rsidR="00612C0B">
              <w:rPr>
                <w:rFonts w:cs="Times New Roman"/>
                <w:kern w:val="22"/>
                <w:sz w:val="20"/>
                <w:szCs w:val="20"/>
                <w:lang w:val="en-GB"/>
              </w:rPr>
              <w:t>e</w:t>
            </w:r>
          </w:p>
        </w:tc>
        <w:tc>
          <w:tcPr>
            <w:tcW w:w="1461" w:type="dxa"/>
          </w:tcPr>
          <w:p w14:paraId="07404C78" w14:textId="77777777"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WEOG</w:t>
            </w:r>
          </w:p>
        </w:tc>
        <w:tc>
          <w:tcPr>
            <w:tcW w:w="1979" w:type="dxa"/>
          </w:tcPr>
          <w:p w14:paraId="48C2412E" w14:textId="080FE0AA" w:rsidR="00CF3362" w:rsidRPr="00A2063C" w:rsidRDefault="008D7FDA" w:rsidP="008D7FDA">
            <w:pPr>
              <w:spacing w:line="252" w:lineRule="auto"/>
              <w:jc w:val="left"/>
              <w:rPr>
                <w:rFonts w:cs="Times New Roman"/>
                <w:kern w:val="22"/>
                <w:sz w:val="20"/>
                <w:szCs w:val="20"/>
                <w:lang w:val="en-GB"/>
              </w:rPr>
            </w:pPr>
            <w:r>
              <w:rPr>
                <w:rFonts w:cs="Times New Roman"/>
                <w:kern w:val="22"/>
                <w:sz w:val="20"/>
                <w:szCs w:val="20"/>
                <w:lang w:val="en-GB"/>
              </w:rPr>
              <w:t>Vidéoconférence</w:t>
            </w:r>
          </w:p>
        </w:tc>
        <w:tc>
          <w:tcPr>
            <w:tcW w:w="1245" w:type="dxa"/>
          </w:tcPr>
          <w:p w14:paraId="5F4B5448"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16.01.2020</w:t>
            </w:r>
          </w:p>
        </w:tc>
      </w:tr>
      <w:tr w:rsidR="008D7FDA" w:rsidRPr="00A2063C" w14:paraId="56EEAD6E" w14:textId="77777777" w:rsidTr="00A2063C">
        <w:trPr>
          <w:trHeight w:val="335"/>
        </w:trPr>
        <w:tc>
          <w:tcPr>
            <w:tcW w:w="1304" w:type="dxa"/>
          </w:tcPr>
          <w:p w14:paraId="111B6831" w14:textId="56DED53A"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8</w:t>
            </w:r>
          </w:p>
        </w:tc>
        <w:tc>
          <w:tcPr>
            <w:tcW w:w="3219" w:type="dxa"/>
          </w:tcPr>
          <w:p w14:paraId="6378C9AF" w14:textId="00BE8049"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2BDE2D05" w14:textId="77777777"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WEOG</w:t>
            </w:r>
          </w:p>
        </w:tc>
        <w:tc>
          <w:tcPr>
            <w:tcW w:w="1979" w:type="dxa"/>
          </w:tcPr>
          <w:p w14:paraId="0571E89E" w14:textId="28A2A03A"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7DF5BA08"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8D7FDA" w:rsidRPr="00A2063C" w14:paraId="3BA01A14" w14:textId="77777777" w:rsidTr="00A2063C">
        <w:trPr>
          <w:trHeight w:val="335"/>
        </w:trPr>
        <w:tc>
          <w:tcPr>
            <w:tcW w:w="1304" w:type="dxa"/>
          </w:tcPr>
          <w:p w14:paraId="1D803DCA" w14:textId="3DA70024"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9</w:t>
            </w:r>
          </w:p>
        </w:tc>
        <w:tc>
          <w:tcPr>
            <w:tcW w:w="3219" w:type="dxa"/>
          </w:tcPr>
          <w:p w14:paraId="5BCF2647" w14:textId="2BE043E9"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34FC5EF7" w14:textId="77777777"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WEOG</w:t>
            </w:r>
          </w:p>
        </w:tc>
        <w:tc>
          <w:tcPr>
            <w:tcW w:w="1979" w:type="dxa"/>
          </w:tcPr>
          <w:p w14:paraId="50D3F628" w14:textId="77831589"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6E9740D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8D7FDA" w:rsidRPr="00A2063C" w14:paraId="19FE0B53" w14:textId="77777777" w:rsidTr="00A2063C">
        <w:trPr>
          <w:trHeight w:val="335"/>
        </w:trPr>
        <w:tc>
          <w:tcPr>
            <w:tcW w:w="1304" w:type="dxa"/>
          </w:tcPr>
          <w:p w14:paraId="0815494F" w14:textId="4ABD3866"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10</w:t>
            </w:r>
          </w:p>
        </w:tc>
        <w:tc>
          <w:tcPr>
            <w:tcW w:w="3219" w:type="dxa"/>
          </w:tcPr>
          <w:p w14:paraId="33AA1F96" w14:textId="1252BA59"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208A86B3" w14:textId="77777777"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WEOG</w:t>
            </w:r>
          </w:p>
        </w:tc>
        <w:tc>
          <w:tcPr>
            <w:tcW w:w="1979" w:type="dxa"/>
          </w:tcPr>
          <w:p w14:paraId="7D5E4642" w14:textId="3704EAA6"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24BA4BE3"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8D7FDA" w:rsidRPr="00A2063C" w14:paraId="2B851FCC" w14:textId="77777777" w:rsidTr="00A2063C">
        <w:trPr>
          <w:trHeight w:val="335"/>
        </w:trPr>
        <w:tc>
          <w:tcPr>
            <w:tcW w:w="1304" w:type="dxa"/>
          </w:tcPr>
          <w:p w14:paraId="42052A0C" w14:textId="58297A4B" w:rsidR="00CF3362" w:rsidRPr="00A2063C" w:rsidRDefault="00381D7E" w:rsidP="004C2C06">
            <w:pPr>
              <w:rPr>
                <w:rFonts w:cs="Times New Roman"/>
                <w:kern w:val="22"/>
                <w:sz w:val="20"/>
                <w:szCs w:val="20"/>
                <w:lang w:val="en-GB"/>
              </w:rPr>
            </w:pPr>
            <w:r w:rsidRPr="00A2063C">
              <w:rPr>
                <w:rFonts w:cs="Times New Roman"/>
                <w:kern w:val="22"/>
                <w:sz w:val="20"/>
                <w:szCs w:val="20"/>
                <w:lang w:val="en-GB"/>
              </w:rPr>
              <w:t>11</w:t>
            </w:r>
          </w:p>
        </w:tc>
        <w:tc>
          <w:tcPr>
            <w:tcW w:w="3219" w:type="dxa"/>
          </w:tcPr>
          <w:p w14:paraId="5B2ADF5B" w14:textId="10D21C9F"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16C78D76" w14:textId="77777777"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WEOG</w:t>
            </w:r>
          </w:p>
        </w:tc>
        <w:tc>
          <w:tcPr>
            <w:tcW w:w="1979" w:type="dxa"/>
          </w:tcPr>
          <w:p w14:paraId="008AB4D3" w14:textId="79B8F7DA"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6447A4A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8D7FDA" w:rsidRPr="00A2063C" w14:paraId="70A6509A" w14:textId="77777777" w:rsidTr="00A2063C">
        <w:trPr>
          <w:trHeight w:val="335"/>
        </w:trPr>
        <w:tc>
          <w:tcPr>
            <w:tcW w:w="1304" w:type="dxa"/>
          </w:tcPr>
          <w:p w14:paraId="2D2194BA" w14:textId="5F1877BC" w:rsidR="00CF3362" w:rsidRPr="00A2063C" w:rsidDel="00D202E4" w:rsidRDefault="00381D7E" w:rsidP="004C2C06">
            <w:pPr>
              <w:rPr>
                <w:rFonts w:cs="Times New Roman"/>
                <w:kern w:val="22"/>
                <w:sz w:val="20"/>
                <w:szCs w:val="20"/>
                <w:lang w:val="en-GB"/>
              </w:rPr>
            </w:pPr>
            <w:r w:rsidRPr="00A2063C">
              <w:rPr>
                <w:rFonts w:cs="Times New Roman"/>
                <w:kern w:val="22"/>
                <w:sz w:val="20"/>
                <w:szCs w:val="20"/>
                <w:lang w:val="en-GB"/>
              </w:rPr>
              <w:t>12</w:t>
            </w:r>
          </w:p>
        </w:tc>
        <w:tc>
          <w:tcPr>
            <w:tcW w:w="3219" w:type="dxa"/>
          </w:tcPr>
          <w:p w14:paraId="7C535F36" w14:textId="196DEF54"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25788AF0" w14:textId="77777777"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WEOG</w:t>
            </w:r>
          </w:p>
        </w:tc>
        <w:tc>
          <w:tcPr>
            <w:tcW w:w="1979" w:type="dxa"/>
          </w:tcPr>
          <w:p w14:paraId="1C76D775" w14:textId="4E278C88" w:rsidR="00CF3362" w:rsidRPr="00A2063C" w:rsidRDefault="00B63460" w:rsidP="008D7FDA">
            <w:pPr>
              <w:spacing w:line="252" w:lineRule="auto"/>
              <w:jc w:val="left"/>
              <w:rPr>
                <w:rFonts w:cs="Times New Roman"/>
                <w:kern w:val="22"/>
                <w:sz w:val="20"/>
                <w:szCs w:val="20"/>
                <w:lang w:val="en-GB"/>
              </w:rPr>
            </w:pPr>
            <w:r>
              <w:rPr>
                <w:rFonts w:cs="Times New Roman"/>
                <w:kern w:val="22"/>
                <w:sz w:val="20"/>
                <w:szCs w:val="20"/>
                <w:lang w:val="en-GB"/>
              </w:rPr>
              <w:t>Corresponda</w:t>
            </w:r>
            <w:r w:rsidR="00CF3362" w:rsidRPr="00A2063C">
              <w:rPr>
                <w:rFonts w:cs="Times New Roman"/>
                <w:kern w:val="22"/>
                <w:sz w:val="20"/>
                <w:szCs w:val="20"/>
                <w:lang w:val="en-GB"/>
              </w:rPr>
              <w:t>nce</w:t>
            </w:r>
          </w:p>
        </w:tc>
        <w:tc>
          <w:tcPr>
            <w:tcW w:w="1245" w:type="dxa"/>
          </w:tcPr>
          <w:p w14:paraId="163454CF"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27.02.2020</w:t>
            </w:r>
          </w:p>
        </w:tc>
      </w:tr>
      <w:tr w:rsidR="008D7FDA" w:rsidRPr="00A2063C" w14:paraId="02CF0E1A" w14:textId="77777777" w:rsidTr="00A2063C">
        <w:trPr>
          <w:trHeight w:val="335"/>
        </w:trPr>
        <w:tc>
          <w:tcPr>
            <w:tcW w:w="1304" w:type="dxa"/>
          </w:tcPr>
          <w:p w14:paraId="376F281F" w14:textId="4A4575E6"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13</w:t>
            </w:r>
          </w:p>
        </w:tc>
        <w:tc>
          <w:tcPr>
            <w:tcW w:w="3219" w:type="dxa"/>
          </w:tcPr>
          <w:p w14:paraId="3E62F09F" w14:textId="27FE96CC"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74B5E8E9" w14:textId="45B2CBE9" w:rsidR="00CF3362" w:rsidRPr="008D7FDA" w:rsidRDefault="008D7FDA" w:rsidP="008D7FDA">
            <w:pPr>
              <w:spacing w:line="252" w:lineRule="auto"/>
              <w:jc w:val="left"/>
              <w:rPr>
                <w:rFonts w:cs="Times New Roman"/>
                <w:kern w:val="22"/>
                <w:sz w:val="20"/>
                <w:szCs w:val="20"/>
                <w:lang w:val="fr-FR"/>
              </w:rPr>
            </w:pPr>
            <w:r w:rsidRPr="008D7FDA">
              <w:rPr>
                <w:rFonts w:cs="Times New Roman"/>
                <w:kern w:val="22"/>
                <w:sz w:val="20"/>
                <w:szCs w:val="20"/>
                <w:lang w:val="fr-FR"/>
              </w:rPr>
              <w:t>Groupe des pays d’Asie et Pacifique</w:t>
            </w:r>
          </w:p>
        </w:tc>
        <w:tc>
          <w:tcPr>
            <w:tcW w:w="1979" w:type="dxa"/>
          </w:tcPr>
          <w:p w14:paraId="01B53B18" w14:textId="2D031949"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20A8B25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8D7FDA" w:rsidRPr="00A2063C" w14:paraId="50BF15FF" w14:textId="77777777" w:rsidTr="00A2063C">
        <w:trPr>
          <w:trHeight w:val="410"/>
        </w:trPr>
        <w:tc>
          <w:tcPr>
            <w:tcW w:w="1304" w:type="dxa"/>
          </w:tcPr>
          <w:p w14:paraId="5C5CB909" w14:textId="65C8CC8C"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14</w:t>
            </w:r>
          </w:p>
        </w:tc>
        <w:tc>
          <w:tcPr>
            <w:tcW w:w="3219" w:type="dxa"/>
          </w:tcPr>
          <w:p w14:paraId="6C3373F2" w14:textId="6B393C31" w:rsidR="00CF3362" w:rsidRPr="00A2063C" w:rsidRDefault="00FB0054" w:rsidP="008D7FDA">
            <w:pPr>
              <w:spacing w:line="252" w:lineRule="auto"/>
              <w:jc w:val="left"/>
              <w:rPr>
                <w:rFonts w:cs="Times New Roman"/>
                <w:kern w:val="22"/>
                <w:sz w:val="20"/>
                <w:szCs w:val="20"/>
                <w:lang w:val="en-GB"/>
              </w:rPr>
            </w:pPr>
            <w:r>
              <w:rPr>
                <w:rFonts w:cs="Times New Roman"/>
                <w:kern w:val="22"/>
                <w:sz w:val="20"/>
                <w:szCs w:val="20"/>
                <w:lang w:val="en-GB"/>
              </w:rPr>
              <w:t>Universitaire</w:t>
            </w:r>
            <w:r w:rsidR="00B63460">
              <w:rPr>
                <w:rFonts w:cs="Times New Roman"/>
                <w:kern w:val="22"/>
                <w:sz w:val="20"/>
                <w:szCs w:val="20"/>
                <w:lang w:val="en-GB"/>
              </w:rPr>
              <w:t>, b</w:t>
            </w:r>
            <w:r w:rsidR="00CF3362" w:rsidRPr="00A2063C">
              <w:rPr>
                <w:rFonts w:cs="Times New Roman"/>
                <w:kern w:val="22"/>
                <w:sz w:val="20"/>
                <w:szCs w:val="20"/>
                <w:lang w:val="en-GB"/>
              </w:rPr>
              <w:t>iologist</w:t>
            </w:r>
            <w:r w:rsidR="00612C0B">
              <w:rPr>
                <w:rFonts w:cs="Times New Roman"/>
                <w:kern w:val="22"/>
                <w:sz w:val="20"/>
                <w:szCs w:val="20"/>
                <w:lang w:val="en-GB"/>
              </w:rPr>
              <w:t>e</w:t>
            </w:r>
            <w:r w:rsidR="00CF3362" w:rsidRPr="00A2063C">
              <w:rPr>
                <w:rFonts w:cs="Times New Roman"/>
                <w:kern w:val="22"/>
                <w:sz w:val="20"/>
                <w:szCs w:val="20"/>
                <w:lang w:val="en-GB"/>
              </w:rPr>
              <w:t xml:space="preserve"> </w:t>
            </w:r>
          </w:p>
        </w:tc>
        <w:tc>
          <w:tcPr>
            <w:tcW w:w="1461" w:type="dxa"/>
          </w:tcPr>
          <w:p w14:paraId="0CF40E6B" w14:textId="77777777"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GRULAC</w:t>
            </w:r>
          </w:p>
        </w:tc>
        <w:tc>
          <w:tcPr>
            <w:tcW w:w="1979" w:type="dxa"/>
          </w:tcPr>
          <w:p w14:paraId="09D9C9F5" w14:textId="3E79EDD1"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0325807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8D7FDA" w:rsidRPr="00A2063C" w14:paraId="1BB1E353" w14:textId="77777777" w:rsidTr="00A2063C">
        <w:trPr>
          <w:trHeight w:val="335"/>
        </w:trPr>
        <w:tc>
          <w:tcPr>
            <w:tcW w:w="1304" w:type="dxa"/>
          </w:tcPr>
          <w:p w14:paraId="4DBBC8A1" w14:textId="635C0873"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15</w:t>
            </w:r>
          </w:p>
        </w:tc>
        <w:tc>
          <w:tcPr>
            <w:tcW w:w="3219" w:type="dxa"/>
          </w:tcPr>
          <w:p w14:paraId="380CB609" w14:textId="301950DC"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5AB0402C" w14:textId="27D615A0" w:rsidR="00CF3362" w:rsidRPr="00A2063C" w:rsidRDefault="008D7FDA" w:rsidP="008D7FDA">
            <w:pPr>
              <w:spacing w:line="252" w:lineRule="auto"/>
              <w:jc w:val="left"/>
              <w:rPr>
                <w:rFonts w:cs="Times New Roman"/>
                <w:kern w:val="22"/>
                <w:sz w:val="20"/>
                <w:szCs w:val="20"/>
                <w:lang w:val="en-GB"/>
              </w:rPr>
            </w:pPr>
            <w:r>
              <w:rPr>
                <w:rFonts w:cs="Times New Roman"/>
                <w:kern w:val="22"/>
                <w:sz w:val="20"/>
                <w:szCs w:val="20"/>
                <w:lang w:val="en-GB"/>
              </w:rPr>
              <w:t>Groupe des pays d’Afrique</w:t>
            </w:r>
          </w:p>
        </w:tc>
        <w:tc>
          <w:tcPr>
            <w:tcW w:w="1979" w:type="dxa"/>
          </w:tcPr>
          <w:p w14:paraId="369ACE12" w14:textId="6B29BD72"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6BE06C9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8D7FDA" w:rsidRPr="00A2063C" w14:paraId="1C5491B9" w14:textId="77777777" w:rsidTr="00A2063C">
        <w:trPr>
          <w:trHeight w:val="335"/>
        </w:trPr>
        <w:tc>
          <w:tcPr>
            <w:tcW w:w="1304" w:type="dxa"/>
          </w:tcPr>
          <w:p w14:paraId="126AA951" w14:textId="5CBD0BB4"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16</w:t>
            </w:r>
          </w:p>
        </w:tc>
        <w:tc>
          <w:tcPr>
            <w:tcW w:w="3219" w:type="dxa"/>
          </w:tcPr>
          <w:p w14:paraId="20EE4AD1" w14:textId="672FFC46"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70B8E4DA" w14:textId="42DD262E" w:rsidR="00CF3362" w:rsidRPr="008D7FDA" w:rsidRDefault="008D7FDA" w:rsidP="008D7FDA">
            <w:pPr>
              <w:spacing w:line="252" w:lineRule="auto"/>
              <w:jc w:val="left"/>
              <w:rPr>
                <w:rFonts w:cs="Times New Roman"/>
                <w:kern w:val="22"/>
                <w:sz w:val="20"/>
                <w:szCs w:val="20"/>
                <w:lang w:val="fr-FR"/>
              </w:rPr>
            </w:pPr>
            <w:r w:rsidRPr="008D7FDA">
              <w:rPr>
                <w:rFonts w:cs="Times New Roman"/>
                <w:kern w:val="22"/>
                <w:sz w:val="20"/>
                <w:szCs w:val="20"/>
                <w:lang w:val="fr-FR"/>
              </w:rPr>
              <w:t>Groupe des pays d’Asie et Pacifique</w:t>
            </w:r>
          </w:p>
        </w:tc>
        <w:tc>
          <w:tcPr>
            <w:tcW w:w="1979" w:type="dxa"/>
          </w:tcPr>
          <w:p w14:paraId="0030707E" w14:textId="60092CFA"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5D583776"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8D7FDA" w:rsidRPr="00A2063C" w14:paraId="78FA7FD7" w14:textId="77777777" w:rsidTr="00A2063C">
        <w:trPr>
          <w:trHeight w:val="335"/>
        </w:trPr>
        <w:tc>
          <w:tcPr>
            <w:tcW w:w="1304" w:type="dxa"/>
          </w:tcPr>
          <w:p w14:paraId="73671EA0" w14:textId="5B76CFC1"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17</w:t>
            </w:r>
          </w:p>
        </w:tc>
        <w:tc>
          <w:tcPr>
            <w:tcW w:w="3219" w:type="dxa"/>
          </w:tcPr>
          <w:p w14:paraId="560ED7B6" w14:textId="0B669616" w:rsidR="00CF3362" w:rsidRPr="00A2063C" w:rsidRDefault="00B63460" w:rsidP="008D7FDA">
            <w:pPr>
              <w:spacing w:line="252" w:lineRule="auto"/>
              <w:jc w:val="left"/>
              <w:rPr>
                <w:rFonts w:cs="Times New Roman"/>
                <w:kern w:val="22"/>
                <w:sz w:val="20"/>
                <w:szCs w:val="20"/>
                <w:lang w:val="en-GB"/>
              </w:rPr>
            </w:pPr>
            <w:r>
              <w:rPr>
                <w:rFonts w:cs="Times New Roman"/>
                <w:kern w:val="22"/>
                <w:sz w:val="20"/>
                <w:szCs w:val="20"/>
                <w:lang w:val="en-GB"/>
              </w:rPr>
              <w:t>Organisation intergouvernementale régionale</w:t>
            </w:r>
          </w:p>
        </w:tc>
        <w:tc>
          <w:tcPr>
            <w:tcW w:w="1461" w:type="dxa"/>
          </w:tcPr>
          <w:p w14:paraId="12763710" w14:textId="00B6B1EE" w:rsidR="00CF3362" w:rsidRPr="008D7FDA" w:rsidRDefault="008D7FDA" w:rsidP="008D7FDA">
            <w:pPr>
              <w:spacing w:line="252" w:lineRule="auto"/>
              <w:jc w:val="left"/>
              <w:rPr>
                <w:rFonts w:cs="Times New Roman"/>
                <w:kern w:val="22"/>
                <w:sz w:val="20"/>
                <w:szCs w:val="20"/>
                <w:lang w:val="fr-FR"/>
              </w:rPr>
            </w:pPr>
            <w:r w:rsidRPr="008D7FDA">
              <w:rPr>
                <w:rFonts w:cs="Times New Roman"/>
                <w:kern w:val="22"/>
                <w:sz w:val="20"/>
                <w:szCs w:val="20"/>
                <w:lang w:val="fr-FR"/>
              </w:rPr>
              <w:t>Groupe des pays d’Asie et Pacifique</w:t>
            </w:r>
          </w:p>
        </w:tc>
        <w:tc>
          <w:tcPr>
            <w:tcW w:w="1979" w:type="dxa"/>
          </w:tcPr>
          <w:p w14:paraId="5C2B2166" w14:textId="7675501F"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7DAD35E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8D7FDA" w:rsidRPr="00A2063C" w14:paraId="701CE4F3" w14:textId="77777777" w:rsidTr="00A2063C">
        <w:trPr>
          <w:trHeight w:val="335"/>
        </w:trPr>
        <w:tc>
          <w:tcPr>
            <w:tcW w:w="1304" w:type="dxa"/>
          </w:tcPr>
          <w:p w14:paraId="3D074488" w14:textId="780D175F"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18</w:t>
            </w:r>
          </w:p>
        </w:tc>
        <w:tc>
          <w:tcPr>
            <w:tcW w:w="3219" w:type="dxa"/>
          </w:tcPr>
          <w:p w14:paraId="5ADCDEC2" w14:textId="7FD5C7AD" w:rsidR="00CF3362" w:rsidRPr="00830BE4" w:rsidRDefault="008D7FDA" w:rsidP="008D7FDA">
            <w:pPr>
              <w:spacing w:line="252" w:lineRule="auto"/>
              <w:jc w:val="left"/>
              <w:rPr>
                <w:rFonts w:cs="Times New Roman"/>
                <w:kern w:val="22"/>
                <w:sz w:val="20"/>
                <w:szCs w:val="20"/>
                <w:lang w:val="fr-FR"/>
              </w:rPr>
            </w:pPr>
            <w:r>
              <w:rPr>
                <w:rFonts w:cs="Times New Roman"/>
                <w:kern w:val="22"/>
                <w:sz w:val="20"/>
                <w:szCs w:val="20"/>
                <w:lang w:val="fr-FR"/>
              </w:rPr>
              <w:t>Peuples autochtones</w:t>
            </w:r>
            <w:r w:rsidR="00830BE4" w:rsidRPr="00830BE4">
              <w:rPr>
                <w:rFonts w:cs="Times New Roman"/>
                <w:kern w:val="22"/>
                <w:sz w:val="20"/>
                <w:szCs w:val="20"/>
                <w:lang w:val="fr-FR"/>
              </w:rPr>
              <w:t xml:space="preserve"> et communautés locales</w:t>
            </w:r>
          </w:p>
        </w:tc>
        <w:tc>
          <w:tcPr>
            <w:tcW w:w="1461" w:type="dxa"/>
          </w:tcPr>
          <w:p w14:paraId="665AB202" w14:textId="6CFDAA9A" w:rsidR="00CF3362" w:rsidRPr="00A2063C" w:rsidRDefault="008D7FDA" w:rsidP="008D7FDA">
            <w:pPr>
              <w:spacing w:line="252" w:lineRule="auto"/>
              <w:jc w:val="left"/>
              <w:rPr>
                <w:rFonts w:cs="Times New Roman"/>
                <w:kern w:val="22"/>
                <w:sz w:val="20"/>
                <w:szCs w:val="20"/>
                <w:lang w:val="en-GB"/>
              </w:rPr>
            </w:pPr>
            <w:r>
              <w:rPr>
                <w:rFonts w:cs="Times New Roman"/>
                <w:kern w:val="22"/>
                <w:sz w:val="20"/>
                <w:szCs w:val="20"/>
                <w:lang w:val="en-GB"/>
              </w:rPr>
              <w:t>Groupe des pays d’Afrique</w:t>
            </w:r>
          </w:p>
        </w:tc>
        <w:tc>
          <w:tcPr>
            <w:tcW w:w="1979" w:type="dxa"/>
          </w:tcPr>
          <w:p w14:paraId="406BE865" w14:textId="5CB5CD76"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06BF333A"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26.02.2020</w:t>
            </w:r>
          </w:p>
        </w:tc>
      </w:tr>
      <w:tr w:rsidR="008D7FDA" w:rsidRPr="00A2063C" w14:paraId="6415CBFC" w14:textId="77777777" w:rsidTr="00A2063C">
        <w:trPr>
          <w:trHeight w:val="335"/>
        </w:trPr>
        <w:tc>
          <w:tcPr>
            <w:tcW w:w="1304" w:type="dxa"/>
          </w:tcPr>
          <w:p w14:paraId="684EA1BB" w14:textId="294685CF" w:rsidR="00CF3362" w:rsidRPr="00A2063C" w:rsidDel="00D202E4"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19</w:t>
            </w:r>
          </w:p>
        </w:tc>
        <w:tc>
          <w:tcPr>
            <w:tcW w:w="3219" w:type="dxa"/>
          </w:tcPr>
          <w:p w14:paraId="2B9F83E3" w14:textId="6B1F5CBA" w:rsidR="00CF3362" w:rsidRPr="00830BE4" w:rsidRDefault="008D7FDA" w:rsidP="008D7FDA">
            <w:pPr>
              <w:spacing w:line="252" w:lineRule="auto"/>
              <w:jc w:val="left"/>
              <w:rPr>
                <w:rFonts w:cs="Times New Roman"/>
                <w:kern w:val="22"/>
                <w:sz w:val="20"/>
                <w:szCs w:val="20"/>
                <w:lang w:val="fr-FR"/>
              </w:rPr>
            </w:pPr>
            <w:r>
              <w:rPr>
                <w:rFonts w:cs="Times New Roman"/>
                <w:kern w:val="22"/>
                <w:sz w:val="20"/>
                <w:szCs w:val="20"/>
                <w:lang w:val="fr-FR"/>
              </w:rPr>
              <w:t>P</w:t>
            </w:r>
            <w:r w:rsidR="00830BE4" w:rsidRPr="00830BE4">
              <w:rPr>
                <w:rFonts w:cs="Times New Roman"/>
                <w:kern w:val="22"/>
                <w:sz w:val="20"/>
                <w:szCs w:val="20"/>
                <w:lang w:val="fr-FR"/>
              </w:rPr>
              <w:t>euples autochtones et communautés locales</w:t>
            </w:r>
          </w:p>
        </w:tc>
        <w:tc>
          <w:tcPr>
            <w:tcW w:w="1461" w:type="dxa"/>
          </w:tcPr>
          <w:p w14:paraId="2193718F" w14:textId="4AF5066A"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WEOG</w:t>
            </w:r>
          </w:p>
        </w:tc>
        <w:tc>
          <w:tcPr>
            <w:tcW w:w="1979" w:type="dxa"/>
          </w:tcPr>
          <w:p w14:paraId="3078497A" w14:textId="77044634"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11A78E96" w14:textId="124CE9BC"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22.02.2020</w:t>
            </w:r>
          </w:p>
        </w:tc>
      </w:tr>
      <w:tr w:rsidR="008D7FDA" w:rsidRPr="00A2063C" w14:paraId="4BE36A10" w14:textId="77777777" w:rsidTr="00A2063C">
        <w:trPr>
          <w:trHeight w:val="335"/>
        </w:trPr>
        <w:tc>
          <w:tcPr>
            <w:tcW w:w="1304" w:type="dxa"/>
          </w:tcPr>
          <w:p w14:paraId="1F8836EA" w14:textId="11881810"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20</w:t>
            </w:r>
          </w:p>
        </w:tc>
        <w:tc>
          <w:tcPr>
            <w:tcW w:w="3219" w:type="dxa"/>
          </w:tcPr>
          <w:p w14:paraId="47AF7391" w14:textId="63E629AE"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30F1633C" w14:textId="7DA7D174" w:rsidR="00CF3362" w:rsidRPr="00A2063C" w:rsidRDefault="008D7FDA" w:rsidP="008D7FDA">
            <w:pPr>
              <w:spacing w:line="252" w:lineRule="auto"/>
              <w:jc w:val="left"/>
              <w:rPr>
                <w:rFonts w:cs="Times New Roman"/>
                <w:kern w:val="22"/>
                <w:sz w:val="20"/>
                <w:szCs w:val="20"/>
                <w:lang w:val="en-GB"/>
              </w:rPr>
            </w:pPr>
            <w:r>
              <w:rPr>
                <w:rFonts w:cs="Times New Roman"/>
                <w:kern w:val="22"/>
                <w:sz w:val="20"/>
                <w:szCs w:val="20"/>
                <w:lang w:val="en-GB"/>
              </w:rPr>
              <w:t>Groupe des pays d’Afrique</w:t>
            </w:r>
          </w:p>
        </w:tc>
        <w:tc>
          <w:tcPr>
            <w:tcW w:w="1979" w:type="dxa"/>
          </w:tcPr>
          <w:p w14:paraId="3778BB4E" w14:textId="595F1B32" w:rsidR="00CF3362" w:rsidRPr="00E3674F" w:rsidRDefault="00FB0054" w:rsidP="008D7FDA">
            <w:pPr>
              <w:spacing w:line="252" w:lineRule="auto"/>
              <w:jc w:val="left"/>
              <w:rPr>
                <w:rFonts w:cs="Times New Roman"/>
                <w:kern w:val="22"/>
                <w:sz w:val="20"/>
                <w:szCs w:val="20"/>
                <w:lang w:val="fr-FR"/>
              </w:rPr>
            </w:pPr>
            <w:r>
              <w:rPr>
                <w:rFonts w:cs="Times New Roman"/>
                <w:kern w:val="22"/>
                <w:sz w:val="20"/>
                <w:szCs w:val="20"/>
                <w:lang w:val="fr-FR"/>
              </w:rPr>
              <w:t xml:space="preserve">Entretien </w:t>
            </w:r>
            <w:r w:rsidR="008D7FDA">
              <w:rPr>
                <w:rFonts w:cs="Times New Roman"/>
                <w:kern w:val="22"/>
                <w:sz w:val="20"/>
                <w:szCs w:val="20"/>
                <w:lang w:val="fr-FR"/>
              </w:rPr>
              <w:t>en personne</w:t>
            </w:r>
            <w:r w:rsidR="00E3674F" w:rsidRPr="00E3674F">
              <w:rPr>
                <w:rFonts w:cs="Times New Roman"/>
                <w:kern w:val="22"/>
                <w:sz w:val="20"/>
                <w:szCs w:val="20"/>
                <w:lang w:val="fr-FR"/>
              </w:rPr>
              <w:t xml:space="preserve"> et </w:t>
            </w:r>
            <w:r w:rsidR="00CF3362" w:rsidRPr="00E3674F">
              <w:rPr>
                <w:rFonts w:cs="Times New Roman"/>
                <w:kern w:val="22"/>
                <w:sz w:val="20"/>
                <w:szCs w:val="20"/>
                <w:lang w:val="fr-FR"/>
              </w:rPr>
              <w:t>questionnaire</w:t>
            </w:r>
          </w:p>
        </w:tc>
        <w:tc>
          <w:tcPr>
            <w:tcW w:w="1245" w:type="dxa"/>
          </w:tcPr>
          <w:p w14:paraId="2DB6764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22.02.2020</w:t>
            </w:r>
          </w:p>
        </w:tc>
      </w:tr>
      <w:tr w:rsidR="008D7FDA" w:rsidRPr="00A2063C" w14:paraId="48B5F960" w14:textId="77777777" w:rsidTr="00A2063C">
        <w:trPr>
          <w:trHeight w:val="335"/>
        </w:trPr>
        <w:tc>
          <w:tcPr>
            <w:tcW w:w="1304" w:type="dxa"/>
          </w:tcPr>
          <w:p w14:paraId="6E68C878" w14:textId="2D0FEAB1"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lastRenderedPageBreak/>
              <w:t>21</w:t>
            </w:r>
          </w:p>
        </w:tc>
        <w:tc>
          <w:tcPr>
            <w:tcW w:w="3219" w:type="dxa"/>
          </w:tcPr>
          <w:p w14:paraId="44DF8992" w14:textId="32DA88B5"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4EAD881F" w14:textId="6D1F4556" w:rsidR="00CF3362" w:rsidRPr="00A2063C" w:rsidRDefault="008D7FDA" w:rsidP="008D7FDA">
            <w:pPr>
              <w:spacing w:line="252" w:lineRule="auto"/>
              <w:jc w:val="left"/>
              <w:rPr>
                <w:rFonts w:cs="Times New Roman"/>
                <w:kern w:val="22"/>
                <w:sz w:val="20"/>
                <w:szCs w:val="20"/>
                <w:lang w:val="en-GB"/>
              </w:rPr>
            </w:pPr>
            <w:r>
              <w:rPr>
                <w:rFonts w:cs="Times New Roman"/>
                <w:kern w:val="22"/>
                <w:sz w:val="20"/>
                <w:szCs w:val="20"/>
                <w:lang w:val="en-GB"/>
              </w:rPr>
              <w:t>Groupe des pays d’Afrique</w:t>
            </w:r>
          </w:p>
        </w:tc>
        <w:tc>
          <w:tcPr>
            <w:tcW w:w="1979" w:type="dxa"/>
          </w:tcPr>
          <w:p w14:paraId="724BDE2E" w14:textId="7E9A9D57"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6397918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22.02.2020</w:t>
            </w:r>
          </w:p>
        </w:tc>
      </w:tr>
      <w:tr w:rsidR="008D7FDA" w:rsidRPr="00A2063C" w14:paraId="00B7D9DD" w14:textId="77777777" w:rsidTr="00A2063C">
        <w:trPr>
          <w:trHeight w:val="335"/>
        </w:trPr>
        <w:tc>
          <w:tcPr>
            <w:tcW w:w="1304" w:type="dxa"/>
          </w:tcPr>
          <w:p w14:paraId="082CA6DA" w14:textId="56AB49B6"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22</w:t>
            </w:r>
          </w:p>
        </w:tc>
        <w:tc>
          <w:tcPr>
            <w:tcW w:w="3219" w:type="dxa"/>
          </w:tcPr>
          <w:p w14:paraId="3409BDE8" w14:textId="1F5D46C7"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74C73669" w14:textId="08B5B6C0" w:rsidR="00CF3362" w:rsidRPr="00A2063C" w:rsidRDefault="008D7FDA" w:rsidP="008D7FDA">
            <w:pPr>
              <w:spacing w:line="252" w:lineRule="auto"/>
              <w:jc w:val="left"/>
              <w:rPr>
                <w:rFonts w:cs="Times New Roman"/>
                <w:kern w:val="22"/>
                <w:sz w:val="20"/>
                <w:szCs w:val="20"/>
                <w:lang w:val="en-GB"/>
              </w:rPr>
            </w:pPr>
            <w:r>
              <w:rPr>
                <w:rFonts w:cs="Times New Roman"/>
                <w:kern w:val="22"/>
                <w:sz w:val="20"/>
                <w:szCs w:val="20"/>
                <w:lang w:val="en-GB"/>
              </w:rPr>
              <w:t>Groupe des pays d’Afrique</w:t>
            </w:r>
          </w:p>
        </w:tc>
        <w:tc>
          <w:tcPr>
            <w:tcW w:w="1979" w:type="dxa"/>
          </w:tcPr>
          <w:p w14:paraId="197F3EC7" w14:textId="02C68F9F"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419809A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26.02.2020</w:t>
            </w:r>
          </w:p>
        </w:tc>
      </w:tr>
      <w:tr w:rsidR="008D7FDA" w:rsidRPr="00A2063C" w14:paraId="40829B8D" w14:textId="77777777" w:rsidTr="00A2063C">
        <w:trPr>
          <w:trHeight w:val="335"/>
        </w:trPr>
        <w:tc>
          <w:tcPr>
            <w:tcW w:w="1304" w:type="dxa"/>
          </w:tcPr>
          <w:p w14:paraId="282DA69D" w14:textId="0437BAEA"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23</w:t>
            </w:r>
          </w:p>
        </w:tc>
        <w:tc>
          <w:tcPr>
            <w:tcW w:w="3219" w:type="dxa"/>
          </w:tcPr>
          <w:p w14:paraId="7A5D98C5" w14:textId="03AE76ED"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r w:rsidR="00CF3362" w:rsidRPr="001A200E">
              <w:rPr>
                <w:rFonts w:cs="Times New Roman"/>
                <w:kern w:val="22"/>
                <w:sz w:val="20"/>
                <w:szCs w:val="20"/>
                <w:lang w:val="fr-FR"/>
              </w:rPr>
              <w:t xml:space="preserve"> </w:t>
            </w:r>
          </w:p>
        </w:tc>
        <w:tc>
          <w:tcPr>
            <w:tcW w:w="1461" w:type="dxa"/>
          </w:tcPr>
          <w:p w14:paraId="73BAAAB2" w14:textId="73D6DF43" w:rsidR="00CF3362" w:rsidRPr="008D7FDA" w:rsidRDefault="008D7FDA" w:rsidP="008D7FDA">
            <w:pPr>
              <w:spacing w:line="252" w:lineRule="auto"/>
              <w:jc w:val="left"/>
              <w:rPr>
                <w:rFonts w:cs="Times New Roman"/>
                <w:kern w:val="22"/>
                <w:sz w:val="20"/>
                <w:szCs w:val="20"/>
                <w:lang w:val="fr-FR"/>
              </w:rPr>
            </w:pPr>
            <w:r w:rsidRPr="008D7FDA">
              <w:rPr>
                <w:rFonts w:cs="Times New Roman"/>
                <w:kern w:val="22"/>
                <w:sz w:val="20"/>
                <w:szCs w:val="20"/>
                <w:lang w:val="fr-FR"/>
              </w:rPr>
              <w:t>Groupe des pays d’Asie et Pacifique</w:t>
            </w:r>
            <w:r w:rsidR="00CF3362" w:rsidRPr="008D7FDA" w:rsidDel="0096126C">
              <w:rPr>
                <w:rFonts w:cs="Times New Roman"/>
                <w:kern w:val="22"/>
                <w:sz w:val="20"/>
                <w:szCs w:val="20"/>
                <w:lang w:val="fr-FR"/>
              </w:rPr>
              <w:t xml:space="preserve"> </w:t>
            </w:r>
          </w:p>
        </w:tc>
        <w:tc>
          <w:tcPr>
            <w:tcW w:w="1979" w:type="dxa"/>
          </w:tcPr>
          <w:p w14:paraId="5B337143" w14:textId="5893B6B5"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5F8D0841"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8D7FDA" w:rsidRPr="00A2063C" w14:paraId="72C9347E" w14:textId="77777777" w:rsidTr="00A2063C">
        <w:trPr>
          <w:trHeight w:val="335"/>
        </w:trPr>
        <w:tc>
          <w:tcPr>
            <w:tcW w:w="1304" w:type="dxa"/>
          </w:tcPr>
          <w:p w14:paraId="6D964650" w14:textId="690A56C8"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24</w:t>
            </w:r>
          </w:p>
        </w:tc>
        <w:tc>
          <w:tcPr>
            <w:tcW w:w="3219" w:type="dxa"/>
          </w:tcPr>
          <w:p w14:paraId="39145FF4" w14:textId="3C89EB30" w:rsidR="00CF3362" w:rsidRPr="00A2063C" w:rsidRDefault="00FB0054" w:rsidP="008D7FDA">
            <w:pPr>
              <w:spacing w:line="252" w:lineRule="auto"/>
              <w:jc w:val="left"/>
              <w:rPr>
                <w:rFonts w:cs="Times New Roman"/>
                <w:kern w:val="22"/>
                <w:sz w:val="20"/>
                <w:szCs w:val="20"/>
                <w:lang w:val="en-GB"/>
              </w:rPr>
            </w:pPr>
            <w:r>
              <w:rPr>
                <w:rFonts w:cs="Times New Roman"/>
                <w:kern w:val="22"/>
                <w:sz w:val="20"/>
                <w:szCs w:val="20"/>
                <w:lang w:val="en-GB"/>
              </w:rPr>
              <w:t>Gouvernement</w:t>
            </w:r>
          </w:p>
        </w:tc>
        <w:tc>
          <w:tcPr>
            <w:tcW w:w="1461" w:type="dxa"/>
          </w:tcPr>
          <w:p w14:paraId="5DB1D4E7" w14:textId="55A1FBD3" w:rsidR="00CF3362" w:rsidRPr="008D7FDA" w:rsidRDefault="008D7FDA" w:rsidP="008D7FDA">
            <w:pPr>
              <w:spacing w:line="252" w:lineRule="auto"/>
              <w:jc w:val="left"/>
              <w:rPr>
                <w:rFonts w:cs="Times New Roman"/>
                <w:kern w:val="22"/>
                <w:sz w:val="20"/>
                <w:szCs w:val="20"/>
                <w:lang w:val="fr-FR"/>
              </w:rPr>
            </w:pPr>
            <w:r w:rsidRPr="008D7FDA">
              <w:rPr>
                <w:rFonts w:cs="Times New Roman"/>
                <w:kern w:val="22"/>
                <w:sz w:val="20"/>
                <w:szCs w:val="20"/>
                <w:lang w:val="fr-FR"/>
              </w:rPr>
              <w:t>Groupe des pays d’Asie et Pacifique</w:t>
            </w:r>
          </w:p>
        </w:tc>
        <w:tc>
          <w:tcPr>
            <w:tcW w:w="1979" w:type="dxa"/>
          </w:tcPr>
          <w:p w14:paraId="0A4183C7" w14:textId="4AA0B7C5"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0E692550"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8D7FDA" w:rsidRPr="00A2063C" w14:paraId="5B8C2D2B" w14:textId="77777777" w:rsidTr="00A2063C">
        <w:trPr>
          <w:trHeight w:val="335"/>
        </w:trPr>
        <w:tc>
          <w:tcPr>
            <w:tcW w:w="1304" w:type="dxa"/>
          </w:tcPr>
          <w:p w14:paraId="2BEFBC16" w14:textId="4CB02433"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25</w:t>
            </w:r>
          </w:p>
        </w:tc>
        <w:tc>
          <w:tcPr>
            <w:tcW w:w="3219" w:type="dxa"/>
          </w:tcPr>
          <w:p w14:paraId="270F6AA4" w14:textId="32BE293C" w:rsidR="00CF3362" w:rsidRPr="00A2063C" w:rsidRDefault="00FB0054" w:rsidP="008D7FDA">
            <w:pPr>
              <w:spacing w:line="252" w:lineRule="auto"/>
              <w:jc w:val="left"/>
              <w:rPr>
                <w:rFonts w:cs="Times New Roman"/>
                <w:kern w:val="22"/>
                <w:sz w:val="20"/>
                <w:szCs w:val="20"/>
                <w:lang w:val="en-GB"/>
              </w:rPr>
            </w:pPr>
            <w:r>
              <w:rPr>
                <w:rFonts w:cs="Times New Roman"/>
                <w:kern w:val="22"/>
                <w:sz w:val="20"/>
                <w:szCs w:val="20"/>
                <w:lang w:val="en-GB"/>
              </w:rPr>
              <w:t>Universitaire</w:t>
            </w:r>
          </w:p>
        </w:tc>
        <w:tc>
          <w:tcPr>
            <w:tcW w:w="1461" w:type="dxa"/>
          </w:tcPr>
          <w:p w14:paraId="157AD678" w14:textId="77777777"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GRULAC</w:t>
            </w:r>
          </w:p>
        </w:tc>
        <w:tc>
          <w:tcPr>
            <w:tcW w:w="1979" w:type="dxa"/>
          </w:tcPr>
          <w:p w14:paraId="2482789C" w14:textId="0D1C0B7D"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3C59C94C"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24.02.2020</w:t>
            </w:r>
          </w:p>
        </w:tc>
      </w:tr>
      <w:tr w:rsidR="008D7FDA" w:rsidRPr="00A2063C" w14:paraId="313CC99D" w14:textId="77777777" w:rsidTr="00A2063C">
        <w:trPr>
          <w:trHeight w:val="335"/>
        </w:trPr>
        <w:tc>
          <w:tcPr>
            <w:tcW w:w="1304" w:type="dxa"/>
          </w:tcPr>
          <w:p w14:paraId="2BADAC2E" w14:textId="1C69A7CC"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26</w:t>
            </w:r>
          </w:p>
        </w:tc>
        <w:tc>
          <w:tcPr>
            <w:tcW w:w="3219" w:type="dxa"/>
          </w:tcPr>
          <w:p w14:paraId="40B32738" w14:textId="60D22416"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33F46643" w14:textId="6A1D2D6B" w:rsidR="00CF3362" w:rsidRPr="007267BB" w:rsidRDefault="00CF3362" w:rsidP="008D7FDA">
            <w:pPr>
              <w:spacing w:line="252" w:lineRule="auto"/>
              <w:jc w:val="left"/>
              <w:rPr>
                <w:rFonts w:cs="Times New Roman"/>
                <w:kern w:val="22"/>
                <w:sz w:val="20"/>
                <w:szCs w:val="20"/>
                <w:lang w:val="fr-FR"/>
              </w:rPr>
            </w:pPr>
            <w:r w:rsidRPr="007267BB">
              <w:rPr>
                <w:rFonts w:cs="Times New Roman"/>
                <w:kern w:val="22"/>
                <w:sz w:val="20"/>
                <w:szCs w:val="20"/>
                <w:lang w:val="fr-FR"/>
              </w:rPr>
              <w:t>Group</w:t>
            </w:r>
            <w:r w:rsidR="007267BB" w:rsidRPr="007267BB">
              <w:rPr>
                <w:rFonts w:cs="Times New Roman"/>
                <w:kern w:val="22"/>
                <w:sz w:val="20"/>
                <w:szCs w:val="20"/>
                <w:lang w:val="fr-FR"/>
              </w:rPr>
              <w:t>e des pays d’Europe de l’Est</w:t>
            </w:r>
          </w:p>
        </w:tc>
        <w:tc>
          <w:tcPr>
            <w:tcW w:w="1979" w:type="dxa"/>
          </w:tcPr>
          <w:p w14:paraId="4203E6CA" w14:textId="564A9587"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2AB9B40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8D7FDA" w:rsidRPr="00A2063C" w14:paraId="13B27216" w14:textId="77777777" w:rsidTr="00A2063C">
        <w:trPr>
          <w:trHeight w:val="335"/>
        </w:trPr>
        <w:tc>
          <w:tcPr>
            <w:tcW w:w="1304" w:type="dxa"/>
          </w:tcPr>
          <w:p w14:paraId="040F47AF" w14:textId="1C570CD6"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27</w:t>
            </w:r>
          </w:p>
        </w:tc>
        <w:tc>
          <w:tcPr>
            <w:tcW w:w="3219" w:type="dxa"/>
          </w:tcPr>
          <w:p w14:paraId="593DA82A" w14:textId="5F47C1F1"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2D6937D0" w14:textId="77777777" w:rsidR="00CF3362" w:rsidRPr="00A2063C" w:rsidRDefault="00CF3362" w:rsidP="008D7FDA">
            <w:pPr>
              <w:spacing w:line="252" w:lineRule="auto"/>
              <w:jc w:val="left"/>
              <w:rPr>
                <w:rFonts w:cs="Times New Roman"/>
                <w:kern w:val="22"/>
                <w:sz w:val="20"/>
                <w:szCs w:val="20"/>
                <w:lang w:val="en-GB"/>
              </w:rPr>
            </w:pPr>
            <w:r w:rsidRPr="00A2063C">
              <w:rPr>
                <w:rFonts w:cs="Times New Roman"/>
                <w:kern w:val="22"/>
                <w:sz w:val="20"/>
                <w:szCs w:val="20"/>
                <w:lang w:val="en-GB"/>
              </w:rPr>
              <w:t>GRULAC</w:t>
            </w:r>
          </w:p>
        </w:tc>
        <w:tc>
          <w:tcPr>
            <w:tcW w:w="1979" w:type="dxa"/>
          </w:tcPr>
          <w:p w14:paraId="388EF743" w14:textId="5EDCC12E"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5FB090D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8D7FDA" w:rsidRPr="00A2063C" w14:paraId="28DA69DE" w14:textId="77777777" w:rsidTr="00A2063C">
        <w:trPr>
          <w:trHeight w:val="335"/>
        </w:trPr>
        <w:tc>
          <w:tcPr>
            <w:tcW w:w="1304" w:type="dxa"/>
          </w:tcPr>
          <w:p w14:paraId="3FCF7CE0" w14:textId="1952216E"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28</w:t>
            </w:r>
          </w:p>
        </w:tc>
        <w:tc>
          <w:tcPr>
            <w:tcW w:w="3219" w:type="dxa"/>
          </w:tcPr>
          <w:p w14:paraId="15F670C6" w14:textId="1AC789EB" w:rsidR="00CF3362" w:rsidRPr="008D7FDA" w:rsidRDefault="008D7FDA" w:rsidP="008D7FDA">
            <w:pPr>
              <w:spacing w:line="252" w:lineRule="auto"/>
              <w:jc w:val="left"/>
              <w:rPr>
                <w:rFonts w:cs="Times New Roman"/>
                <w:kern w:val="22"/>
                <w:sz w:val="20"/>
                <w:szCs w:val="20"/>
                <w:lang w:val="fr-FR"/>
              </w:rPr>
            </w:pPr>
            <w:r w:rsidRPr="008D7FDA">
              <w:rPr>
                <w:rFonts w:cs="Times New Roman"/>
                <w:kern w:val="22"/>
                <w:sz w:val="20"/>
                <w:szCs w:val="20"/>
                <w:lang w:val="fr-FR"/>
              </w:rPr>
              <w:t>Org</w:t>
            </w:r>
            <w:r>
              <w:rPr>
                <w:rFonts w:cs="Times New Roman"/>
                <w:kern w:val="22"/>
                <w:sz w:val="20"/>
                <w:szCs w:val="20"/>
                <w:lang w:val="fr-FR"/>
              </w:rPr>
              <w:t>anisation intergouvernementale régionale</w:t>
            </w:r>
          </w:p>
        </w:tc>
        <w:tc>
          <w:tcPr>
            <w:tcW w:w="1461" w:type="dxa"/>
          </w:tcPr>
          <w:p w14:paraId="2A5115C7" w14:textId="68A5038F" w:rsidR="00CF3362" w:rsidRPr="00A2063C" w:rsidRDefault="008D7FDA" w:rsidP="008D7FDA">
            <w:pPr>
              <w:spacing w:line="252" w:lineRule="auto"/>
              <w:jc w:val="left"/>
              <w:rPr>
                <w:rFonts w:cs="Times New Roman"/>
                <w:kern w:val="22"/>
                <w:sz w:val="20"/>
                <w:szCs w:val="20"/>
                <w:lang w:val="en-GB"/>
              </w:rPr>
            </w:pPr>
            <w:r>
              <w:rPr>
                <w:rFonts w:cs="Times New Roman"/>
                <w:kern w:val="22"/>
                <w:sz w:val="20"/>
                <w:szCs w:val="20"/>
                <w:lang w:val="en-GB"/>
              </w:rPr>
              <w:t>Groupe des pays d’Afrique</w:t>
            </w:r>
          </w:p>
        </w:tc>
        <w:tc>
          <w:tcPr>
            <w:tcW w:w="1979" w:type="dxa"/>
          </w:tcPr>
          <w:p w14:paraId="03BD2F77" w14:textId="56F323A2"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0BD2963D"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8D7FDA" w:rsidRPr="00A2063C" w14:paraId="1CD852A7" w14:textId="77777777" w:rsidTr="00A2063C">
        <w:trPr>
          <w:trHeight w:val="335"/>
        </w:trPr>
        <w:tc>
          <w:tcPr>
            <w:tcW w:w="1304" w:type="dxa"/>
          </w:tcPr>
          <w:p w14:paraId="5E1C3CF8" w14:textId="7ED93AF8"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29</w:t>
            </w:r>
          </w:p>
        </w:tc>
        <w:tc>
          <w:tcPr>
            <w:tcW w:w="3219" w:type="dxa"/>
          </w:tcPr>
          <w:p w14:paraId="7C5BCF54" w14:textId="2703FF4A" w:rsidR="00CF3362" w:rsidRPr="00830BE4" w:rsidRDefault="008D7FDA" w:rsidP="008D7FDA">
            <w:pPr>
              <w:spacing w:line="252" w:lineRule="auto"/>
              <w:jc w:val="left"/>
              <w:rPr>
                <w:rFonts w:cs="Times New Roman"/>
                <w:kern w:val="22"/>
                <w:sz w:val="20"/>
                <w:szCs w:val="20"/>
                <w:lang w:val="fr-FR"/>
              </w:rPr>
            </w:pPr>
            <w:r>
              <w:rPr>
                <w:rFonts w:cs="Times New Roman"/>
                <w:kern w:val="22"/>
                <w:sz w:val="20"/>
                <w:szCs w:val="20"/>
                <w:lang w:val="fr-FR"/>
              </w:rPr>
              <w:t>P</w:t>
            </w:r>
            <w:r w:rsidR="00830BE4" w:rsidRPr="00830BE4">
              <w:rPr>
                <w:rFonts w:cs="Times New Roman"/>
                <w:kern w:val="22"/>
                <w:sz w:val="20"/>
                <w:szCs w:val="20"/>
                <w:lang w:val="fr-FR"/>
              </w:rPr>
              <w:t>euples autochtones et communautés locales</w:t>
            </w:r>
          </w:p>
        </w:tc>
        <w:tc>
          <w:tcPr>
            <w:tcW w:w="1461" w:type="dxa"/>
          </w:tcPr>
          <w:p w14:paraId="692DD687" w14:textId="2E2C6093" w:rsidR="00CF3362" w:rsidRPr="008D7FDA" w:rsidRDefault="008D7FDA" w:rsidP="008D7FDA">
            <w:pPr>
              <w:spacing w:line="252" w:lineRule="auto"/>
              <w:jc w:val="left"/>
              <w:rPr>
                <w:rFonts w:cs="Times New Roman"/>
                <w:kern w:val="22"/>
                <w:sz w:val="20"/>
                <w:szCs w:val="20"/>
                <w:lang w:val="fr-FR"/>
              </w:rPr>
            </w:pPr>
            <w:r w:rsidRPr="008D7FDA">
              <w:rPr>
                <w:rFonts w:cs="Times New Roman"/>
                <w:kern w:val="22"/>
                <w:sz w:val="20"/>
                <w:szCs w:val="20"/>
                <w:lang w:val="fr-FR"/>
              </w:rPr>
              <w:t>Groupe des pays d’Asie et Pacifique</w:t>
            </w:r>
          </w:p>
        </w:tc>
        <w:tc>
          <w:tcPr>
            <w:tcW w:w="1979" w:type="dxa"/>
          </w:tcPr>
          <w:p w14:paraId="1E8BF38E" w14:textId="5C46FCCD"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7A0B4162"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25.02.2020</w:t>
            </w:r>
          </w:p>
        </w:tc>
      </w:tr>
      <w:tr w:rsidR="008D7FDA" w:rsidRPr="00A2063C" w14:paraId="1318B752" w14:textId="77777777" w:rsidTr="00A2063C">
        <w:trPr>
          <w:trHeight w:val="335"/>
        </w:trPr>
        <w:tc>
          <w:tcPr>
            <w:tcW w:w="1304" w:type="dxa"/>
          </w:tcPr>
          <w:p w14:paraId="31E7827F" w14:textId="6EB83D45" w:rsidR="00CF3362" w:rsidRPr="00A2063C"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30</w:t>
            </w:r>
          </w:p>
        </w:tc>
        <w:tc>
          <w:tcPr>
            <w:tcW w:w="3219" w:type="dxa"/>
          </w:tcPr>
          <w:p w14:paraId="198613F6" w14:textId="32F57264" w:rsidR="00CF3362" w:rsidRPr="008D7FDA" w:rsidRDefault="008D7FDA" w:rsidP="008D7FDA">
            <w:pPr>
              <w:spacing w:line="252" w:lineRule="auto"/>
              <w:jc w:val="left"/>
              <w:rPr>
                <w:rFonts w:cs="Times New Roman"/>
                <w:kern w:val="22"/>
                <w:sz w:val="20"/>
                <w:szCs w:val="20"/>
                <w:lang w:val="fr-FR"/>
              </w:rPr>
            </w:pPr>
            <w:r w:rsidRPr="008D7FDA">
              <w:rPr>
                <w:rFonts w:cs="Times New Roman"/>
                <w:kern w:val="22"/>
                <w:sz w:val="20"/>
                <w:szCs w:val="20"/>
                <w:lang w:val="fr-FR"/>
              </w:rPr>
              <w:t>Org</w:t>
            </w:r>
            <w:r>
              <w:rPr>
                <w:rFonts w:cs="Times New Roman"/>
                <w:kern w:val="22"/>
                <w:sz w:val="20"/>
                <w:szCs w:val="20"/>
                <w:lang w:val="fr-FR"/>
              </w:rPr>
              <w:t>anisation intergouvernementale régionale</w:t>
            </w:r>
          </w:p>
        </w:tc>
        <w:tc>
          <w:tcPr>
            <w:tcW w:w="1461" w:type="dxa"/>
          </w:tcPr>
          <w:p w14:paraId="47B88554" w14:textId="4BA9669C" w:rsidR="00CF3362" w:rsidRPr="00A2063C" w:rsidRDefault="008D7FDA" w:rsidP="008D7FDA">
            <w:pPr>
              <w:spacing w:line="252" w:lineRule="auto"/>
              <w:jc w:val="left"/>
              <w:rPr>
                <w:rFonts w:cs="Times New Roman"/>
                <w:kern w:val="22"/>
                <w:sz w:val="20"/>
                <w:szCs w:val="20"/>
                <w:lang w:val="en-GB"/>
              </w:rPr>
            </w:pPr>
            <w:r>
              <w:rPr>
                <w:rFonts w:cs="Times New Roman"/>
                <w:kern w:val="22"/>
                <w:sz w:val="20"/>
                <w:szCs w:val="20"/>
                <w:lang w:val="en-GB"/>
              </w:rPr>
              <w:t>Groupe des pays d’Afrique</w:t>
            </w:r>
          </w:p>
        </w:tc>
        <w:tc>
          <w:tcPr>
            <w:tcW w:w="1979" w:type="dxa"/>
          </w:tcPr>
          <w:p w14:paraId="0CDFD3DE" w14:textId="5240EAA5" w:rsidR="00CF3362"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 xml:space="preserve">Entretien </w:t>
            </w:r>
            <w:r w:rsidR="008D7FDA">
              <w:rPr>
                <w:rFonts w:cs="Times New Roman"/>
                <w:kern w:val="22"/>
                <w:sz w:val="20"/>
                <w:szCs w:val="20"/>
                <w:lang w:val="fr-FR"/>
              </w:rPr>
              <w:t>en personne</w:t>
            </w:r>
          </w:p>
        </w:tc>
        <w:tc>
          <w:tcPr>
            <w:tcW w:w="1245" w:type="dxa"/>
          </w:tcPr>
          <w:p w14:paraId="01CF91CB"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22.02.2020</w:t>
            </w:r>
          </w:p>
        </w:tc>
      </w:tr>
      <w:tr w:rsidR="008D7FDA" w:rsidRPr="00A2063C" w14:paraId="041204E0" w14:textId="77777777" w:rsidTr="00A2063C">
        <w:trPr>
          <w:trHeight w:val="335"/>
        </w:trPr>
        <w:tc>
          <w:tcPr>
            <w:tcW w:w="1304" w:type="dxa"/>
          </w:tcPr>
          <w:p w14:paraId="363D7C77" w14:textId="5B476133" w:rsidR="00CF3362" w:rsidRPr="00A2063C" w:rsidDel="00D202E4"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31</w:t>
            </w:r>
          </w:p>
        </w:tc>
        <w:tc>
          <w:tcPr>
            <w:tcW w:w="3219" w:type="dxa"/>
          </w:tcPr>
          <w:p w14:paraId="6FDCAA22" w14:textId="08910FEF" w:rsidR="00CF3362" w:rsidRPr="001A200E" w:rsidRDefault="00FB0054" w:rsidP="008D7FDA">
            <w:pPr>
              <w:spacing w:line="252" w:lineRule="auto"/>
              <w:jc w:val="left"/>
              <w:rPr>
                <w:rFonts w:cs="Times New Roman"/>
                <w:kern w:val="22"/>
                <w:sz w:val="20"/>
                <w:szCs w:val="20"/>
                <w:lang w:val="fr-FR"/>
              </w:rPr>
            </w:pPr>
            <w:r>
              <w:rPr>
                <w:rFonts w:cs="Times New Roman"/>
                <w:kern w:val="22"/>
                <w:sz w:val="20"/>
                <w:szCs w:val="20"/>
                <w:lang w:val="fr-FR"/>
              </w:rPr>
              <w:t>Gouvernement</w:t>
            </w:r>
            <w:r w:rsidR="00CF3362" w:rsidRPr="001A200E">
              <w:rPr>
                <w:rFonts w:cs="Times New Roman"/>
                <w:kern w:val="22"/>
                <w:sz w:val="20"/>
                <w:szCs w:val="20"/>
                <w:lang w:val="fr-FR"/>
              </w:rPr>
              <w:t xml:space="preserve">, </w:t>
            </w:r>
            <w:r w:rsidR="001A200E" w:rsidRPr="001A200E">
              <w:rPr>
                <w:rFonts w:cs="Times New Roman"/>
                <w:kern w:val="22"/>
                <w:sz w:val="20"/>
                <w:szCs w:val="20"/>
                <w:lang w:val="fr-FR"/>
              </w:rPr>
              <w:t>Partie</w:t>
            </w:r>
            <w:r w:rsidR="00CF3362" w:rsidRPr="001A200E">
              <w:rPr>
                <w:rFonts w:cs="Times New Roman"/>
                <w:kern w:val="22"/>
                <w:sz w:val="20"/>
                <w:szCs w:val="20"/>
                <w:lang w:val="fr-FR"/>
              </w:rPr>
              <w:t xml:space="preserve"> </w:t>
            </w:r>
            <w:r>
              <w:rPr>
                <w:rFonts w:cs="Times New Roman"/>
                <w:kern w:val="22"/>
                <w:sz w:val="20"/>
                <w:szCs w:val="20"/>
                <w:lang w:val="fr-FR"/>
              </w:rPr>
              <w:t>au Pro</w:t>
            </w:r>
            <w:r w:rsidR="00E3674F" w:rsidRPr="001A200E">
              <w:rPr>
                <w:rFonts w:cs="Times New Roman"/>
                <w:kern w:val="22"/>
                <w:sz w:val="20"/>
                <w:szCs w:val="20"/>
                <w:lang w:val="fr-FR"/>
              </w:rPr>
              <w:t>tocole de Nagoya</w:t>
            </w:r>
          </w:p>
        </w:tc>
        <w:tc>
          <w:tcPr>
            <w:tcW w:w="1461" w:type="dxa"/>
          </w:tcPr>
          <w:p w14:paraId="7F77D06F" w14:textId="68D8CAE8" w:rsidR="00CF3362" w:rsidRPr="00A2063C" w:rsidRDefault="008D7FDA" w:rsidP="008D7FDA">
            <w:pPr>
              <w:spacing w:line="252" w:lineRule="auto"/>
              <w:jc w:val="left"/>
              <w:rPr>
                <w:rFonts w:cs="Times New Roman"/>
                <w:kern w:val="22"/>
                <w:sz w:val="20"/>
                <w:szCs w:val="20"/>
                <w:lang w:val="en-GB"/>
              </w:rPr>
            </w:pPr>
            <w:r>
              <w:rPr>
                <w:rFonts w:cs="Times New Roman"/>
                <w:kern w:val="22"/>
                <w:sz w:val="20"/>
                <w:szCs w:val="20"/>
                <w:lang w:val="en-GB"/>
              </w:rPr>
              <w:t>Groupe des pays d’Afrique</w:t>
            </w:r>
          </w:p>
        </w:tc>
        <w:tc>
          <w:tcPr>
            <w:tcW w:w="1979" w:type="dxa"/>
          </w:tcPr>
          <w:p w14:paraId="32843CB8" w14:textId="68DEA41A" w:rsidR="00CF3362" w:rsidRPr="00A2063C" w:rsidRDefault="00B63460" w:rsidP="008D7FDA">
            <w:pPr>
              <w:spacing w:line="252" w:lineRule="auto"/>
              <w:jc w:val="left"/>
              <w:rPr>
                <w:rFonts w:cs="Times New Roman"/>
                <w:kern w:val="22"/>
                <w:sz w:val="20"/>
                <w:szCs w:val="20"/>
                <w:lang w:val="en-GB"/>
              </w:rPr>
            </w:pPr>
            <w:r>
              <w:rPr>
                <w:rFonts w:cs="Times New Roman"/>
                <w:kern w:val="22"/>
                <w:sz w:val="20"/>
                <w:szCs w:val="20"/>
                <w:lang w:val="en-GB"/>
              </w:rPr>
              <w:t>Corresponda</w:t>
            </w:r>
            <w:r w:rsidR="00CF3362" w:rsidRPr="00A2063C">
              <w:rPr>
                <w:rFonts w:cs="Times New Roman"/>
                <w:kern w:val="22"/>
                <w:sz w:val="20"/>
                <w:szCs w:val="20"/>
                <w:lang w:val="en-GB"/>
              </w:rPr>
              <w:t>nce</w:t>
            </w:r>
          </w:p>
        </w:tc>
        <w:tc>
          <w:tcPr>
            <w:tcW w:w="1245" w:type="dxa"/>
          </w:tcPr>
          <w:p w14:paraId="161A2534"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09.03.2020</w:t>
            </w:r>
          </w:p>
        </w:tc>
      </w:tr>
      <w:tr w:rsidR="008D7FDA" w:rsidRPr="00A2063C" w14:paraId="642934C1" w14:textId="77777777" w:rsidTr="00A2063C">
        <w:trPr>
          <w:trHeight w:val="335"/>
        </w:trPr>
        <w:tc>
          <w:tcPr>
            <w:tcW w:w="1304" w:type="dxa"/>
          </w:tcPr>
          <w:p w14:paraId="4251B5B4" w14:textId="5C68BB97" w:rsidR="00CF3362" w:rsidRPr="00A2063C" w:rsidDel="00D202E4" w:rsidRDefault="00381D7E" w:rsidP="004C2C06">
            <w:pPr>
              <w:spacing w:line="252" w:lineRule="auto"/>
              <w:rPr>
                <w:rFonts w:cs="Times New Roman"/>
                <w:kern w:val="22"/>
                <w:sz w:val="20"/>
                <w:szCs w:val="20"/>
                <w:lang w:val="en-GB"/>
              </w:rPr>
            </w:pPr>
            <w:r w:rsidRPr="00A2063C">
              <w:rPr>
                <w:rFonts w:cs="Times New Roman"/>
                <w:kern w:val="22"/>
                <w:sz w:val="20"/>
                <w:szCs w:val="20"/>
                <w:lang w:val="en-GB"/>
              </w:rPr>
              <w:t>32</w:t>
            </w:r>
          </w:p>
        </w:tc>
        <w:tc>
          <w:tcPr>
            <w:tcW w:w="3219" w:type="dxa"/>
          </w:tcPr>
          <w:p w14:paraId="53B49A4C" w14:textId="54D7C2CA" w:rsidR="00CF3362" w:rsidRPr="008D7FDA" w:rsidRDefault="008D7FDA" w:rsidP="008D7FDA">
            <w:pPr>
              <w:spacing w:line="252" w:lineRule="auto"/>
              <w:jc w:val="left"/>
              <w:rPr>
                <w:rFonts w:cs="Times New Roman"/>
                <w:kern w:val="22"/>
                <w:sz w:val="20"/>
                <w:szCs w:val="20"/>
                <w:lang w:val="fr-FR"/>
              </w:rPr>
            </w:pPr>
            <w:r>
              <w:rPr>
                <w:rFonts w:cs="Times New Roman"/>
                <w:kern w:val="22"/>
                <w:sz w:val="20"/>
                <w:szCs w:val="20"/>
                <w:lang w:val="en-GB"/>
              </w:rPr>
              <w:t>Org</w:t>
            </w:r>
            <w:r>
              <w:rPr>
                <w:rFonts w:cs="Times New Roman"/>
                <w:kern w:val="22"/>
                <w:sz w:val="20"/>
                <w:szCs w:val="20"/>
                <w:lang w:val="fr-FR"/>
              </w:rPr>
              <w:t>anisation intergouvernementale régionale</w:t>
            </w:r>
          </w:p>
        </w:tc>
        <w:tc>
          <w:tcPr>
            <w:tcW w:w="1461" w:type="dxa"/>
          </w:tcPr>
          <w:p w14:paraId="529042A1" w14:textId="431F4FE6" w:rsidR="00CF3362" w:rsidRPr="008D7FDA" w:rsidRDefault="008D7FDA" w:rsidP="008D7FDA">
            <w:pPr>
              <w:spacing w:line="252" w:lineRule="auto"/>
              <w:jc w:val="left"/>
              <w:rPr>
                <w:rFonts w:cs="Times New Roman"/>
                <w:kern w:val="22"/>
                <w:sz w:val="20"/>
                <w:szCs w:val="20"/>
                <w:lang w:val="fr-FR"/>
              </w:rPr>
            </w:pPr>
            <w:r w:rsidRPr="008D7FDA">
              <w:rPr>
                <w:rFonts w:cs="Times New Roman"/>
                <w:kern w:val="22"/>
                <w:sz w:val="20"/>
                <w:szCs w:val="20"/>
                <w:lang w:val="fr-FR"/>
              </w:rPr>
              <w:t>Groupe des pays d’Asie et Pacifique</w:t>
            </w:r>
          </w:p>
        </w:tc>
        <w:tc>
          <w:tcPr>
            <w:tcW w:w="1979" w:type="dxa"/>
          </w:tcPr>
          <w:p w14:paraId="0358FF59" w14:textId="0132C91F" w:rsidR="00CF3362" w:rsidRPr="00A2063C" w:rsidRDefault="00B63460" w:rsidP="008D7FDA">
            <w:pPr>
              <w:spacing w:line="252" w:lineRule="auto"/>
              <w:jc w:val="left"/>
              <w:rPr>
                <w:rFonts w:cs="Times New Roman"/>
                <w:kern w:val="22"/>
                <w:sz w:val="20"/>
                <w:szCs w:val="20"/>
                <w:lang w:val="en-GB"/>
              </w:rPr>
            </w:pPr>
            <w:r>
              <w:rPr>
                <w:rFonts w:cs="Times New Roman"/>
                <w:kern w:val="22"/>
                <w:sz w:val="20"/>
                <w:szCs w:val="20"/>
                <w:lang w:val="en-GB"/>
              </w:rPr>
              <w:t>Corresponda</w:t>
            </w:r>
            <w:r w:rsidR="00CF3362" w:rsidRPr="00A2063C">
              <w:rPr>
                <w:rFonts w:cs="Times New Roman"/>
                <w:kern w:val="22"/>
                <w:sz w:val="20"/>
                <w:szCs w:val="20"/>
                <w:lang w:val="en-GB"/>
              </w:rPr>
              <w:t>nce</w:t>
            </w:r>
          </w:p>
        </w:tc>
        <w:tc>
          <w:tcPr>
            <w:tcW w:w="1245" w:type="dxa"/>
          </w:tcPr>
          <w:p w14:paraId="0848992E" w14:textId="77777777" w:rsidR="00CF3362" w:rsidRPr="00A2063C" w:rsidRDefault="00CF3362" w:rsidP="004C2C06">
            <w:pPr>
              <w:spacing w:line="252" w:lineRule="auto"/>
              <w:rPr>
                <w:rFonts w:cs="Times New Roman"/>
                <w:kern w:val="22"/>
                <w:sz w:val="20"/>
                <w:szCs w:val="20"/>
                <w:lang w:val="en-GB"/>
              </w:rPr>
            </w:pPr>
            <w:r w:rsidRPr="00A2063C">
              <w:rPr>
                <w:rFonts w:cs="Times New Roman"/>
                <w:kern w:val="22"/>
                <w:sz w:val="20"/>
                <w:szCs w:val="20"/>
                <w:lang w:val="en-GB"/>
              </w:rPr>
              <w:t>30.03.2020</w:t>
            </w:r>
          </w:p>
        </w:tc>
      </w:tr>
      <w:tr w:rsidR="008D7FDA" w:rsidRPr="00A2063C" w14:paraId="387CFDEA" w14:textId="77777777" w:rsidTr="00A2063C">
        <w:trPr>
          <w:trHeight w:val="335"/>
        </w:trPr>
        <w:tc>
          <w:tcPr>
            <w:tcW w:w="1304" w:type="dxa"/>
          </w:tcPr>
          <w:p w14:paraId="719DA01F" w14:textId="78E743E9" w:rsidR="00E568B7" w:rsidRPr="00A2063C" w:rsidRDefault="00E568B7" w:rsidP="004C2C06">
            <w:pPr>
              <w:spacing w:line="252" w:lineRule="auto"/>
              <w:rPr>
                <w:rFonts w:cs="Times New Roman"/>
                <w:kern w:val="22"/>
                <w:sz w:val="20"/>
                <w:szCs w:val="20"/>
                <w:lang w:val="en-GB"/>
              </w:rPr>
            </w:pPr>
            <w:r w:rsidRPr="00A2063C">
              <w:rPr>
                <w:rFonts w:cs="Times New Roman"/>
                <w:kern w:val="22"/>
                <w:sz w:val="20"/>
                <w:szCs w:val="20"/>
                <w:lang w:val="en-GB"/>
              </w:rPr>
              <w:t>33</w:t>
            </w:r>
          </w:p>
        </w:tc>
        <w:tc>
          <w:tcPr>
            <w:tcW w:w="3219" w:type="dxa"/>
          </w:tcPr>
          <w:p w14:paraId="4714C743" w14:textId="6C6C280D" w:rsidR="00E568B7" w:rsidRPr="00FB0054" w:rsidRDefault="00FB0054" w:rsidP="008D7FDA">
            <w:pPr>
              <w:spacing w:line="252" w:lineRule="auto"/>
              <w:jc w:val="left"/>
              <w:rPr>
                <w:rFonts w:cs="Times New Roman"/>
                <w:kern w:val="22"/>
                <w:sz w:val="20"/>
                <w:szCs w:val="20"/>
                <w:lang w:val="fr-FR"/>
              </w:rPr>
            </w:pPr>
            <w:r w:rsidRPr="00FB0054">
              <w:rPr>
                <w:rFonts w:cs="Times New Roman"/>
                <w:kern w:val="22"/>
                <w:sz w:val="20"/>
                <w:szCs w:val="20"/>
                <w:lang w:val="fr-FR"/>
              </w:rPr>
              <w:t>Universitaire</w:t>
            </w:r>
            <w:r w:rsidR="00286DB2" w:rsidRPr="00FB0054">
              <w:rPr>
                <w:rFonts w:cs="Times New Roman"/>
                <w:kern w:val="22"/>
                <w:sz w:val="20"/>
                <w:szCs w:val="20"/>
                <w:lang w:val="fr-FR"/>
              </w:rPr>
              <w:t xml:space="preserve">, </w:t>
            </w:r>
            <w:r w:rsidR="00612C0B">
              <w:rPr>
                <w:rFonts w:cs="Times New Roman"/>
                <w:kern w:val="22"/>
                <w:sz w:val="20"/>
                <w:szCs w:val="20"/>
                <w:lang w:val="fr-FR"/>
              </w:rPr>
              <w:t>chercheur en b</w:t>
            </w:r>
            <w:r w:rsidRPr="00FB0054">
              <w:rPr>
                <w:rFonts w:cs="Times New Roman"/>
                <w:kern w:val="22"/>
                <w:sz w:val="20"/>
                <w:szCs w:val="20"/>
                <w:lang w:val="fr-FR"/>
              </w:rPr>
              <w:t>iologie de synthèse</w:t>
            </w:r>
          </w:p>
        </w:tc>
        <w:tc>
          <w:tcPr>
            <w:tcW w:w="1461" w:type="dxa"/>
          </w:tcPr>
          <w:p w14:paraId="032D34E1" w14:textId="682D4D4F" w:rsidR="00E568B7" w:rsidRPr="00A2063C" w:rsidRDefault="00286DB2" w:rsidP="008D7FDA">
            <w:pPr>
              <w:spacing w:line="252" w:lineRule="auto"/>
              <w:jc w:val="left"/>
              <w:rPr>
                <w:rFonts w:cs="Times New Roman"/>
                <w:kern w:val="22"/>
                <w:sz w:val="20"/>
                <w:szCs w:val="20"/>
                <w:lang w:val="en-GB"/>
              </w:rPr>
            </w:pPr>
            <w:r w:rsidRPr="00A2063C">
              <w:rPr>
                <w:rFonts w:cs="Times New Roman"/>
                <w:kern w:val="22"/>
                <w:sz w:val="20"/>
                <w:szCs w:val="20"/>
                <w:lang w:val="en-GB"/>
              </w:rPr>
              <w:t>WEOG</w:t>
            </w:r>
          </w:p>
        </w:tc>
        <w:tc>
          <w:tcPr>
            <w:tcW w:w="1979" w:type="dxa"/>
          </w:tcPr>
          <w:p w14:paraId="78523F8D" w14:textId="684E32BB" w:rsidR="00E568B7" w:rsidRPr="00A2063C" w:rsidRDefault="003D4064" w:rsidP="008D7FDA">
            <w:pPr>
              <w:spacing w:line="252" w:lineRule="auto"/>
              <w:jc w:val="left"/>
              <w:rPr>
                <w:rFonts w:cs="Times New Roman"/>
                <w:kern w:val="22"/>
                <w:sz w:val="20"/>
                <w:szCs w:val="20"/>
                <w:lang w:val="en-GB"/>
              </w:rPr>
            </w:pPr>
            <w:r>
              <w:rPr>
                <w:rFonts w:cs="Times New Roman"/>
                <w:kern w:val="22"/>
                <w:sz w:val="20"/>
                <w:szCs w:val="20"/>
                <w:lang w:val="en-GB"/>
              </w:rPr>
              <w:t>Entretien au téléphone</w:t>
            </w:r>
          </w:p>
        </w:tc>
        <w:tc>
          <w:tcPr>
            <w:tcW w:w="1245" w:type="dxa"/>
          </w:tcPr>
          <w:p w14:paraId="065CFDB0" w14:textId="70C12964" w:rsidR="00E568B7" w:rsidRPr="00A2063C" w:rsidRDefault="00826C3F" w:rsidP="004C2C06">
            <w:pPr>
              <w:spacing w:line="252" w:lineRule="auto"/>
              <w:rPr>
                <w:rFonts w:cs="Times New Roman"/>
                <w:kern w:val="22"/>
                <w:sz w:val="20"/>
                <w:szCs w:val="20"/>
                <w:lang w:val="en-GB"/>
              </w:rPr>
            </w:pPr>
            <w:r w:rsidRPr="00A2063C">
              <w:rPr>
                <w:rFonts w:cs="Times New Roman"/>
                <w:kern w:val="22"/>
                <w:sz w:val="20"/>
                <w:szCs w:val="20"/>
                <w:lang w:val="en-GB"/>
              </w:rPr>
              <w:t>05.03.2020</w:t>
            </w:r>
          </w:p>
        </w:tc>
      </w:tr>
    </w:tbl>
    <w:p w14:paraId="78BBBFA7" w14:textId="139F077A" w:rsidR="00077DB3" w:rsidRPr="002364AB" w:rsidRDefault="006A55B7" w:rsidP="00A2063C">
      <w:pPr>
        <w:jc w:val="center"/>
        <w:rPr>
          <w:bCs/>
          <w:kern w:val="22"/>
          <w:sz w:val="22"/>
          <w:lang w:val="en-GB"/>
        </w:rPr>
      </w:pPr>
      <w:r>
        <w:rPr>
          <w:bCs/>
          <w:kern w:val="22"/>
          <w:sz w:val="22"/>
          <w:lang w:val="en-GB"/>
        </w:rPr>
        <w:t>__________</w:t>
      </w:r>
    </w:p>
    <w:p w14:paraId="37EEF5F1" w14:textId="565EE928" w:rsidR="00BF28D0" w:rsidRPr="002364AB" w:rsidRDefault="00BF28D0" w:rsidP="00C66921">
      <w:pPr>
        <w:pStyle w:val="Heading1"/>
        <w:rPr>
          <w:kern w:val="22"/>
          <w:sz w:val="22"/>
          <w:szCs w:val="22"/>
          <w:lang w:val="en-GB"/>
        </w:rPr>
      </w:pPr>
    </w:p>
    <w:sectPr w:rsidR="00BF28D0" w:rsidRPr="002364AB" w:rsidSect="0029684B">
      <w:headerReference w:type="even" r:id="rId15"/>
      <w:headerReference w:type="default" r:id="rId16"/>
      <w:footerReference w:type="default" r:id="rId17"/>
      <w:pgSz w:w="12240" w:h="15840"/>
      <w:pgMar w:top="567" w:right="1440" w:bottom="1134"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BA0B" w16cex:dateUtc="2020-06-24T15:39:00Z"/>
  <w16cex:commentExtensible w16cex:durableId="229DBC0B" w16cex:dateUtc="2020-06-24T15:48:00Z"/>
  <w16cex:commentExtensible w16cex:durableId="229DBB34" w16cex:dateUtc="2020-06-24T15:44:00Z"/>
  <w16cex:commentExtensible w16cex:durableId="229DBF7D" w16cex:dateUtc="2020-06-24T16:03:00Z"/>
  <w16cex:commentExtensible w16cex:durableId="229DBDC3" w16cex:dateUtc="2020-06-24T15:55:00Z"/>
  <w16cex:commentExtensible w16cex:durableId="229DC137" w16cex:dateUtc="2020-06-24T16: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BA1E" w14:textId="77777777" w:rsidR="008A77A6" w:rsidRDefault="008A77A6" w:rsidP="00F86834">
      <w:pPr>
        <w:spacing w:after="0"/>
      </w:pPr>
      <w:r>
        <w:separator/>
      </w:r>
    </w:p>
  </w:endnote>
  <w:endnote w:type="continuationSeparator" w:id="0">
    <w:p w14:paraId="617CF589" w14:textId="77777777" w:rsidR="008A77A6" w:rsidRDefault="008A77A6" w:rsidP="00F86834">
      <w:pPr>
        <w:spacing w:after="0"/>
      </w:pPr>
      <w:r>
        <w:continuationSeparator/>
      </w:r>
    </w:p>
  </w:endnote>
  <w:endnote w:type="continuationNotice" w:id="1">
    <w:p w14:paraId="02CA1F49" w14:textId="77777777" w:rsidR="008A77A6" w:rsidRDefault="008A77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ヒラギノ角ゴ Pro W3">
    <w:panose1 w:val="00000000000000000000"/>
    <w:charset w:val="80"/>
    <w:family w:val="roman"/>
    <w:notTrueType/>
    <w:pitch w:val="default"/>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6CFE" w14:textId="55937776" w:rsidR="008A77A6" w:rsidRDefault="008A77A6" w:rsidP="00A206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8B43B" w14:textId="77777777" w:rsidR="008A77A6" w:rsidRDefault="008A77A6" w:rsidP="00F86834">
      <w:pPr>
        <w:spacing w:after="0"/>
      </w:pPr>
      <w:r>
        <w:separator/>
      </w:r>
    </w:p>
  </w:footnote>
  <w:footnote w:type="continuationSeparator" w:id="0">
    <w:p w14:paraId="39EF3FF0" w14:textId="77777777" w:rsidR="008A77A6" w:rsidRDefault="008A77A6" w:rsidP="00F86834">
      <w:pPr>
        <w:spacing w:after="0"/>
      </w:pPr>
      <w:r>
        <w:continuationSeparator/>
      </w:r>
    </w:p>
  </w:footnote>
  <w:footnote w:type="continuationNotice" w:id="1">
    <w:p w14:paraId="57A47F50" w14:textId="77777777" w:rsidR="008A77A6" w:rsidRDefault="008A77A6">
      <w:pPr>
        <w:spacing w:after="0"/>
      </w:pPr>
    </w:p>
  </w:footnote>
  <w:footnote w:id="2">
    <w:p w14:paraId="4DDB73D4" w14:textId="42E44563" w:rsidR="008A77A6" w:rsidRPr="00770AB8" w:rsidRDefault="008A77A6" w:rsidP="00F43F79">
      <w:pPr>
        <w:pStyle w:val="FootnoteText"/>
        <w:spacing w:before="20" w:after="20"/>
        <w:rPr>
          <w:sz w:val="18"/>
          <w:szCs w:val="18"/>
          <w:lang w:val="fr-FR"/>
        </w:rPr>
      </w:pPr>
      <w:r w:rsidRPr="00770AB8">
        <w:rPr>
          <w:rStyle w:val="FootnoteReference"/>
          <w:sz w:val="18"/>
          <w:szCs w:val="18"/>
          <w:lang w:val="fr-FR"/>
        </w:rPr>
        <w:t>*</w:t>
      </w:r>
      <w:r w:rsidRPr="00770AB8">
        <w:rPr>
          <w:sz w:val="18"/>
          <w:szCs w:val="18"/>
          <w:lang w:val="fr-FR"/>
        </w:rPr>
        <w:t>CBD/SBI/3/1.</w:t>
      </w:r>
    </w:p>
  </w:footnote>
  <w:footnote w:id="3">
    <w:p w14:paraId="570B94F8" w14:textId="03EB457D" w:rsidR="008A77A6" w:rsidRPr="00FB033A" w:rsidRDefault="008A77A6" w:rsidP="00A2063C">
      <w:pPr>
        <w:pStyle w:val="FootnoteText"/>
        <w:spacing w:before="20" w:after="20"/>
        <w:rPr>
          <w:sz w:val="18"/>
          <w:szCs w:val="18"/>
          <w:lang w:val="fr-FR"/>
        </w:rPr>
      </w:pPr>
      <w:r>
        <w:rPr>
          <w:rStyle w:val="FootnoteReference"/>
        </w:rPr>
        <w:footnoteRef/>
      </w:r>
      <w:r w:rsidRPr="00FB033A">
        <w:rPr>
          <w:lang w:val="fr-FR"/>
        </w:rPr>
        <w:t xml:space="preserve"> </w:t>
      </w:r>
      <w:r w:rsidRPr="00FB033A">
        <w:rPr>
          <w:sz w:val="18"/>
          <w:szCs w:val="18"/>
          <w:lang w:val="fr-FR"/>
        </w:rPr>
        <w:t xml:space="preserve">Voir la </w:t>
      </w:r>
      <w:r>
        <w:rPr>
          <w:sz w:val="18"/>
          <w:szCs w:val="18"/>
          <w:lang w:val="fr-FR"/>
        </w:rPr>
        <w:t xml:space="preserve">notification 2020-028 du </w:t>
      </w:r>
      <w:r w:rsidRPr="00FB033A">
        <w:rPr>
          <w:sz w:val="18"/>
          <w:szCs w:val="18"/>
          <w:lang w:val="fr-FR"/>
        </w:rPr>
        <w:t>10 mars 2020 et l</w:t>
      </w:r>
      <w:r>
        <w:rPr>
          <w:sz w:val="18"/>
          <w:szCs w:val="18"/>
          <w:lang w:val="fr-FR"/>
        </w:rPr>
        <w:t>e report</w:t>
      </w:r>
      <w:r w:rsidRPr="00FB033A">
        <w:rPr>
          <w:sz w:val="18"/>
          <w:szCs w:val="18"/>
          <w:lang w:val="fr-FR"/>
        </w:rPr>
        <w:t xml:space="preserve"> </w:t>
      </w:r>
      <w:r>
        <w:rPr>
          <w:sz w:val="18"/>
          <w:szCs w:val="18"/>
          <w:lang w:val="fr-FR"/>
        </w:rPr>
        <w:t>de la date limite (notification 2020-030 du</w:t>
      </w:r>
      <w:r w:rsidRPr="00FB033A">
        <w:rPr>
          <w:sz w:val="18"/>
          <w:szCs w:val="18"/>
          <w:lang w:val="fr-FR"/>
        </w:rPr>
        <w:t xml:space="preserve"> 19 mars 2020</w:t>
      </w:r>
      <w:r>
        <w:rPr>
          <w:sz w:val="18"/>
          <w:szCs w:val="18"/>
          <w:lang w:val="fr-FR"/>
        </w:rPr>
        <w:t>)</w:t>
      </w:r>
      <w:r w:rsidRPr="00FB033A">
        <w:rPr>
          <w:sz w:val="18"/>
          <w:szCs w:val="18"/>
          <w:lang w:val="fr-FR"/>
        </w:rPr>
        <w:t>.</w:t>
      </w:r>
    </w:p>
  </w:footnote>
  <w:footnote w:id="4">
    <w:p w14:paraId="47C9CD0C" w14:textId="6DE0A522" w:rsidR="008A77A6" w:rsidRPr="00FB033A" w:rsidRDefault="008A77A6">
      <w:pPr>
        <w:pStyle w:val="FootnoteText"/>
        <w:rPr>
          <w:sz w:val="18"/>
          <w:szCs w:val="18"/>
          <w:lang w:val="fr-FR"/>
        </w:rPr>
      </w:pPr>
      <w:r>
        <w:rPr>
          <w:rStyle w:val="FootnoteReference"/>
        </w:rPr>
        <w:footnoteRef/>
      </w:r>
      <w:r w:rsidRPr="00FB033A">
        <w:rPr>
          <w:lang w:val="fr-FR"/>
        </w:rPr>
        <w:t xml:space="preserve"> </w:t>
      </w:r>
      <w:r w:rsidRPr="00FB033A">
        <w:rPr>
          <w:sz w:val="18"/>
          <w:szCs w:val="18"/>
          <w:lang w:val="fr-FR"/>
        </w:rPr>
        <w:t xml:space="preserve">Voir </w:t>
      </w:r>
      <w:hyperlink r:id="rId1" w:history="1">
        <w:r w:rsidRPr="00EE7582">
          <w:rPr>
            <w:rStyle w:val="Hyperlink"/>
            <w:sz w:val="18"/>
            <w:szCs w:val="18"/>
            <w:lang w:val="fr-FR"/>
          </w:rPr>
          <w:t>https://www.cbd.int/abs/art10/2019-2020/study.shtml</w:t>
        </w:r>
      </w:hyperlink>
    </w:p>
  </w:footnote>
  <w:footnote w:id="5">
    <w:p w14:paraId="58A1B980" w14:textId="4A1C555F" w:rsidR="008A77A6" w:rsidRPr="00994CB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994CBE">
        <w:rPr>
          <w:sz w:val="18"/>
          <w:szCs w:val="18"/>
          <w:lang w:val="fr-FR"/>
        </w:rPr>
        <w:t xml:space="preserve"> Faculté de droit de l’Université </w:t>
      </w:r>
      <w:r>
        <w:rPr>
          <w:sz w:val="18"/>
          <w:szCs w:val="18"/>
          <w:lang w:val="fr-FR"/>
        </w:rPr>
        <w:t>d’Emory, Atlanta, Géorgie</w:t>
      </w:r>
      <w:r w:rsidRPr="00994CBE">
        <w:rPr>
          <w:sz w:val="18"/>
          <w:szCs w:val="18"/>
          <w:lang w:val="fr-FR"/>
        </w:rPr>
        <w:t>, Etats-Unis</w:t>
      </w:r>
      <w:r>
        <w:rPr>
          <w:sz w:val="18"/>
          <w:szCs w:val="18"/>
          <w:lang w:val="fr-FR"/>
        </w:rPr>
        <w:t xml:space="preserve"> d’Amérique</w:t>
      </w:r>
      <w:r w:rsidRPr="00994CBE">
        <w:rPr>
          <w:sz w:val="18"/>
          <w:szCs w:val="18"/>
          <w:lang w:val="fr-FR"/>
        </w:rPr>
        <w:t>.</w:t>
      </w:r>
    </w:p>
  </w:footnote>
  <w:footnote w:id="6">
    <w:p w14:paraId="0D51F4A5" w14:textId="06962AB5" w:rsidR="008A77A6" w:rsidRPr="00994CB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994CBE">
        <w:rPr>
          <w:sz w:val="18"/>
          <w:szCs w:val="18"/>
          <w:lang w:val="fr-FR"/>
        </w:rPr>
        <w:t xml:space="preserve"> </w:t>
      </w:r>
      <w:r>
        <w:rPr>
          <w:sz w:val="18"/>
          <w:szCs w:val="18"/>
          <w:lang w:val="fr-FR"/>
        </w:rPr>
        <w:t>Centre Grotius d’études juridiques international</w:t>
      </w:r>
      <w:r w:rsidRPr="00994CBE">
        <w:rPr>
          <w:sz w:val="18"/>
          <w:szCs w:val="18"/>
          <w:lang w:val="fr-FR"/>
        </w:rPr>
        <w:t>es, Faculté de droit, Université de Leiden, Leiden, Pays-Bas.</w:t>
      </w:r>
    </w:p>
  </w:footnote>
  <w:footnote w:id="7">
    <w:p w14:paraId="60BCD426" w14:textId="57E8F3AF" w:rsidR="008A77A6" w:rsidRPr="00733DB1" w:rsidRDefault="008A77A6">
      <w:pPr>
        <w:pStyle w:val="FootnoteText"/>
        <w:rPr>
          <w:lang w:val="fr-FR"/>
        </w:rPr>
      </w:pPr>
      <w:r>
        <w:rPr>
          <w:rStyle w:val="FootnoteReference"/>
        </w:rPr>
        <w:footnoteRef/>
      </w:r>
      <w:r w:rsidRPr="00733DB1">
        <w:rPr>
          <w:lang w:val="fr-FR"/>
        </w:rPr>
        <w:t xml:space="preserve"> </w:t>
      </w:r>
      <w:r w:rsidRPr="00733DB1">
        <w:rPr>
          <w:sz w:val="18"/>
          <w:szCs w:val="18"/>
          <w:lang w:val="fr-FR"/>
        </w:rPr>
        <w:t>Cependant, dan</w:t>
      </w:r>
      <w:r>
        <w:rPr>
          <w:sz w:val="18"/>
          <w:szCs w:val="18"/>
          <w:lang w:val="fr-FR"/>
        </w:rPr>
        <w:t xml:space="preserve">s certains cas, </w:t>
      </w:r>
      <w:r w:rsidRPr="00733DB1">
        <w:rPr>
          <w:sz w:val="18"/>
          <w:szCs w:val="18"/>
          <w:lang w:val="fr-FR"/>
        </w:rPr>
        <w:t>des</w:t>
      </w:r>
      <w:r>
        <w:rPr>
          <w:sz w:val="18"/>
          <w:szCs w:val="18"/>
          <w:lang w:val="fr-FR"/>
        </w:rPr>
        <w:t xml:space="preserve"> populations de certaines espèces ont développé des diffé</w:t>
      </w:r>
      <w:r w:rsidRPr="00733DB1">
        <w:rPr>
          <w:sz w:val="18"/>
          <w:szCs w:val="18"/>
          <w:lang w:val="fr-FR"/>
        </w:rPr>
        <w:t>rences</w:t>
      </w:r>
      <w:r>
        <w:rPr>
          <w:sz w:val="18"/>
          <w:szCs w:val="18"/>
          <w:lang w:val="fr-FR"/>
        </w:rPr>
        <w:t xml:space="preserve"> génétiques suffisantes pour pouvoir déterminer leur origine</w:t>
      </w:r>
      <w:r w:rsidRPr="00733DB1">
        <w:rPr>
          <w:sz w:val="18"/>
          <w:szCs w:val="18"/>
          <w:lang w:val="fr-FR"/>
        </w:rPr>
        <w:t>.</w:t>
      </w:r>
    </w:p>
  </w:footnote>
  <w:footnote w:id="8">
    <w:p w14:paraId="245DC38B" w14:textId="37479BE5" w:rsidR="008A77A6" w:rsidRPr="00733DB1" w:rsidRDefault="008A77A6" w:rsidP="00F43F79">
      <w:pPr>
        <w:pStyle w:val="FootnoteText"/>
        <w:spacing w:before="20" w:after="20"/>
        <w:rPr>
          <w:sz w:val="18"/>
          <w:szCs w:val="18"/>
          <w:lang w:val="fr-FR"/>
        </w:rPr>
      </w:pPr>
      <w:r w:rsidRPr="00F43F79">
        <w:rPr>
          <w:rStyle w:val="FootnoteReference"/>
          <w:sz w:val="18"/>
          <w:szCs w:val="18"/>
        </w:rPr>
        <w:footnoteRef/>
      </w:r>
      <w:r w:rsidRPr="00733DB1">
        <w:rPr>
          <w:sz w:val="18"/>
          <w:szCs w:val="18"/>
          <w:lang w:val="fr-FR"/>
        </w:rPr>
        <w:t xml:space="preserve"> </w:t>
      </w:r>
      <w:r>
        <w:rPr>
          <w:sz w:val="18"/>
          <w:szCs w:val="18"/>
          <w:lang w:val="fr-FR"/>
        </w:rPr>
        <w:t xml:space="preserve">L’expression </w:t>
      </w:r>
      <w:r w:rsidRPr="00733DB1">
        <w:rPr>
          <w:sz w:val="18"/>
          <w:szCs w:val="18"/>
          <w:lang w:val="fr-FR"/>
        </w:rPr>
        <w:t>“</w:t>
      </w:r>
      <w:r>
        <w:rPr>
          <w:sz w:val="18"/>
          <w:szCs w:val="18"/>
          <w:lang w:val="fr-FR"/>
        </w:rPr>
        <w:t xml:space="preserve">information de séquençage numérique” </w:t>
      </w:r>
      <w:r w:rsidRPr="00733DB1">
        <w:rPr>
          <w:sz w:val="18"/>
          <w:szCs w:val="18"/>
          <w:lang w:val="fr-FR"/>
        </w:rPr>
        <w:t>est lar</w:t>
      </w:r>
      <w:r>
        <w:rPr>
          <w:sz w:val="18"/>
          <w:szCs w:val="18"/>
          <w:lang w:val="fr-FR"/>
        </w:rPr>
        <w:t>gement reconnue comme étant un terme temporaire, pour lequel il n’existe aucun consensus actuellement en termes de choix d’un terme définitif ou d’une définition précise à ce jour</w:t>
      </w:r>
      <w:r w:rsidRPr="00733DB1">
        <w:rPr>
          <w:sz w:val="18"/>
          <w:szCs w:val="18"/>
          <w:lang w:val="fr-FR"/>
        </w:rPr>
        <w:t>.</w:t>
      </w:r>
    </w:p>
  </w:footnote>
  <w:footnote w:id="9">
    <w:p w14:paraId="02D3C3FE" w14:textId="49C8F16B" w:rsidR="008A77A6" w:rsidRPr="0002675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02675E">
        <w:rPr>
          <w:sz w:val="18"/>
          <w:szCs w:val="18"/>
          <w:lang w:val="fr-FR"/>
        </w:rPr>
        <w:t xml:space="preserve"> ‘Spécifique, adj. et n.’ </w:t>
      </w:r>
      <w:r w:rsidRPr="0002675E">
        <w:rPr>
          <w:i/>
          <w:iCs/>
          <w:sz w:val="18"/>
          <w:szCs w:val="18"/>
          <w:lang w:val="fr-FR"/>
        </w:rPr>
        <w:t>OED Online</w:t>
      </w:r>
      <w:r w:rsidRPr="0002675E">
        <w:rPr>
          <w:sz w:val="18"/>
          <w:szCs w:val="18"/>
          <w:lang w:val="fr-FR"/>
        </w:rPr>
        <w:t>, Oxford University Press, mars 2020, &lt;http://www.oed.com/view/Entry/185999&gt; consulté le 2 mai 2020: “2.a. S’agit de qualités, propriétés, effets, etc.: ayant trait spécialement ou particulièrement à une certaine chose ou catégorie de choses, et constituant l’un des attributs caractéristiques de cette chose.”</w:t>
      </w:r>
    </w:p>
  </w:footnote>
  <w:footnote w:id="10">
    <w:p w14:paraId="1112A072" w14:textId="02B95C32" w:rsidR="008A77A6" w:rsidRPr="0032658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32658E">
        <w:rPr>
          <w:sz w:val="18"/>
          <w:szCs w:val="18"/>
          <w:lang w:val="fr-FR"/>
        </w:rPr>
        <w:t xml:space="preserve"> ‘Cas, n.1.’ </w:t>
      </w:r>
      <w:r w:rsidRPr="0032658E">
        <w:rPr>
          <w:i/>
          <w:iCs/>
          <w:sz w:val="18"/>
          <w:szCs w:val="18"/>
          <w:lang w:val="fr-FR"/>
        </w:rPr>
        <w:t>OED Online</w:t>
      </w:r>
      <w:r w:rsidRPr="0032658E">
        <w:rPr>
          <w:sz w:val="18"/>
          <w:szCs w:val="18"/>
          <w:lang w:val="fr-FR"/>
        </w:rPr>
        <w:t>, Oxford University Press, mars 2020 &lt;http://www.oed.com/view/Entry/28393&gt; consulté le 2 mai 2020: “6.a. Un cas d’une situation particulière; un exemple de quelque chose qui se produit; une circonstance ou un état de fait particulier.”</w:t>
      </w:r>
    </w:p>
  </w:footnote>
  <w:footnote w:id="11">
    <w:p w14:paraId="4F382D86" w14:textId="1081CFA6" w:rsidR="008A77A6" w:rsidRPr="008A472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Pr>
          <w:sz w:val="18"/>
          <w:szCs w:val="18"/>
          <w:lang w:val="fr-FR"/>
        </w:rPr>
        <w:t xml:space="preserve"> La </w:t>
      </w:r>
      <w:r w:rsidRPr="0013432E">
        <w:rPr>
          <w:sz w:val="18"/>
          <w:szCs w:val="18"/>
          <w:lang w:val="fr-FR"/>
        </w:rPr>
        <w:t xml:space="preserve">Convention </w:t>
      </w:r>
      <w:r>
        <w:rPr>
          <w:sz w:val="18"/>
          <w:szCs w:val="18"/>
          <w:lang w:val="fr-FR"/>
        </w:rPr>
        <w:t xml:space="preserve">de Vienne </w:t>
      </w:r>
      <w:r w:rsidRPr="0013432E">
        <w:rPr>
          <w:sz w:val="18"/>
          <w:szCs w:val="18"/>
          <w:lang w:val="fr-FR"/>
        </w:rPr>
        <w:t>sur le droit des traités (adopté</w:t>
      </w:r>
      <w:r>
        <w:rPr>
          <w:sz w:val="18"/>
          <w:szCs w:val="18"/>
          <w:lang w:val="fr-FR"/>
        </w:rPr>
        <w:t>e le</w:t>
      </w:r>
      <w:r w:rsidRPr="0013432E">
        <w:rPr>
          <w:sz w:val="18"/>
          <w:szCs w:val="18"/>
          <w:lang w:val="fr-FR"/>
        </w:rPr>
        <w:t xml:space="preserve"> 23 mai</w:t>
      </w:r>
      <w:r>
        <w:rPr>
          <w:sz w:val="18"/>
          <w:szCs w:val="18"/>
          <w:lang w:val="fr-FR"/>
        </w:rPr>
        <w:t xml:space="preserve"> 1969 et entrée en vigueur le </w:t>
      </w:r>
      <w:r w:rsidRPr="0013432E">
        <w:rPr>
          <w:sz w:val="18"/>
          <w:szCs w:val="18"/>
          <w:lang w:val="fr-FR"/>
        </w:rPr>
        <w:t>27</w:t>
      </w:r>
      <w:r>
        <w:rPr>
          <w:sz w:val="18"/>
          <w:szCs w:val="18"/>
          <w:lang w:val="fr-FR"/>
        </w:rPr>
        <w:t xml:space="preserve"> janvier 1980) 1155 UNTS 331, art 31.1.</w:t>
      </w:r>
      <w:r w:rsidRPr="0013432E">
        <w:rPr>
          <w:sz w:val="18"/>
          <w:szCs w:val="18"/>
          <w:lang w:val="fr-FR"/>
        </w:rPr>
        <w:t xml:space="preserve"> </w:t>
      </w:r>
      <w:r>
        <w:rPr>
          <w:sz w:val="18"/>
          <w:szCs w:val="18"/>
          <w:lang w:val="fr-FR"/>
        </w:rPr>
        <w:t>D’autres matériels d’interprétation peuvent être utilisés, mais on ne dispose pas d’</w:t>
      </w:r>
      <w:r w:rsidRPr="008A472E">
        <w:rPr>
          <w:sz w:val="18"/>
          <w:szCs w:val="18"/>
          <w:lang w:val="fr-FR"/>
        </w:rPr>
        <w:t>information</w:t>
      </w:r>
      <w:r>
        <w:rPr>
          <w:sz w:val="18"/>
          <w:szCs w:val="18"/>
          <w:lang w:val="fr-FR"/>
        </w:rPr>
        <w:t>s pertinentes pour l’interprétation du terme “impossible” dans l’</w:t>
      </w:r>
      <w:r w:rsidRPr="008A472E">
        <w:rPr>
          <w:sz w:val="18"/>
          <w:szCs w:val="18"/>
          <w:lang w:val="fr-FR"/>
        </w:rPr>
        <w:t>article</w:t>
      </w:r>
      <w:r>
        <w:rPr>
          <w:sz w:val="18"/>
          <w:szCs w:val="18"/>
          <w:lang w:val="fr-FR"/>
        </w:rPr>
        <w:t xml:space="preserve"> 10 du Protocole (telles que des </w:t>
      </w:r>
      <w:r w:rsidRPr="008A472E">
        <w:rPr>
          <w:sz w:val="18"/>
          <w:szCs w:val="18"/>
          <w:lang w:val="fr-FR"/>
        </w:rPr>
        <w:t xml:space="preserve">accords/instruments </w:t>
      </w:r>
      <w:r>
        <w:rPr>
          <w:sz w:val="18"/>
          <w:szCs w:val="18"/>
          <w:lang w:val="fr-FR"/>
        </w:rPr>
        <w:t xml:space="preserve">conclus à côté de l’adoption du </w:t>
      </w:r>
      <w:r w:rsidRPr="008A472E">
        <w:rPr>
          <w:sz w:val="18"/>
          <w:szCs w:val="18"/>
          <w:lang w:val="fr-FR"/>
        </w:rPr>
        <w:t>traité [Décision</w:t>
      </w:r>
      <w:r>
        <w:rPr>
          <w:sz w:val="18"/>
          <w:szCs w:val="18"/>
          <w:lang w:val="fr-FR"/>
        </w:rPr>
        <w:t xml:space="preserve"> X/1]; un </w:t>
      </w:r>
      <w:r w:rsidRPr="008A472E">
        <w:rPr>
          <w:sz w:val="18"/>
          <w:szCs w:val="18"/>
          <w:lang w:val="fr-FR"/>
        </w:rPr>
        <w:t xml:space="preserve">accord </w:t>
      </w:r>
      <w:r>
        <w:rPr>
          <w:sz w:val="18"/>
          <w:szCs w:val="18"/>
          <w:lang w:val="fr-FR"/>
        </w:rPr>
        <w:t>ultérieur conclu entre les Parties au sujet de l’interprétation</w:t>
      </w:r>
      <w:r w:rsidRPr="008A472E">
        <w:rPr>
          <w:sz w:val="18"/>
          <w:szCs w:val="18"/>
          <w:lang w:val="fr-FR"/>
        </w:rPr>
        <w:t xml:space="preserve"> ou </w:t>
      </w:r>
      <w:r>
        <w:rPr>
          <w:sz w:val="18"/>
          <w:szCs w:val="18"/>
          <w:lang w:val="fr-FR"/>
        </w:rPr>
        <w:t>l’</w:t>
      </w:r>
      <w:r w:rsidRPr="008A472E">
        <w:rPr>
          <w:sz w:val="18"/>
          <w:szCs w:val="18"/>
          <w:lang w:val="fr-FR"/>
        </w:rPr>
        <w:t>application</w:t>
      </w:r>
      <w:r>
        <w:rPr>
          <w:sz w:val="18"/>
          <w:szCs w:val="18"/>
          <w:lang w:val="fr-FR"/>
        </w:rPr>
        <w:t xml:space="preserve"> de la Convention; une pratiqu</w:t>
      </w:r>
      <w:r w:rsidRPr="008A472E">
        <w:rPr>
          <w:sz w:val="18"/>
          <w:szCs w:val="18"/>
          <w:lang w:val="fr-FR"/>
        </w:rPr>
        <w:t>e</w:t>
      </w:r>
      <w:r>
        <w:rPr>
          <w:sz w:val="18"/>
          <w:szCs w:val="18"/>
          <w:lang w:val="fr-FR"/>
        </w:rPr>
        <w:t xml:space="preserve"> ultérieure qui témoigne d’un consensus des Parties au sujet de l’interprétation</w:t>
      </w:r>
      <w:r w:rsidRPr="008A472E">
        <w:rPr>
          <w:sz w:val="18"/>
          <w:szCs w:val="18"/>
          <w:lang w:val="fr-FR"/>
        </w:rPr>
        <w:t xml:space="preserve">; </w:t>
      </w:r>
      <w:r>
        <w:rPr>
          <w:sz w:val="18"/>
          <w:szCs w:val="18"/>
          <w:lang w:val="fr-FR"/>
        </w:rPr>
        <w:t>des règles pertinentes du droit international</w:t>
      </w:r>
      <w:r w:rsidRPr="008A472E">
        <w:rPr>
          <w:sz w:val="18"/>
          <w:szCs w:val="18"/>
          <w:lang w:val="fr-FR"/>
        </w:rPr>
        <w:t xml:space="preserve">; </w:t>
      </w:r>
      <w:r>
        <w:rPr>
          <w:sz w:val="18"/>
          <w:szCs w:val="18"/>
          <w:lang w:val="fr-FR"/>
        </w:rPr>
        <w:t xml:space="preserve">une signification particulière souhaitée par les </w:t>
      </w:r>
      <w:r w:rsidRPr="008A472E">
        <w:rPr>
          <w:sz w:val="18"/>
          <w:szCs w:val="18"/>
          <w:lang w:val="fr-FR"/>
        </w:rPr>
        <w:t xml:space="preserve">Parties [article 2]; </w:t>
      </w:r>
      <w:r>
        <w:rPr>
          <w:sz w:val="18"/>
          <w:szCs w:val="18"/>
          <w:lang w:val="fr-FR"/>
        </w:rPr>
        <w:t xml:space="preserve">les </w:t>
      </w:r>
      <w:r w:rsidRPr="008A472E">
        <w:rPr>
          <w:i/>
          <w:iCs/>
          <w:color w:val="000000"/>
          <w:sz w:val="18"/>
          <w:szCs w:val="18"/>
          <w:lang w:val="fr-FR"/>
        </w:rPr>
        <w:t>travaux préparatoires</w:t>
      </w:r>
      <w:r>
        <w:rPr>
          <w:i/>
          <w:iCs/>
          <w:color w:val="000000"/>
          <w:sz w:val="18"/>
          <w:szCs w:val="18"/>
          <w:lang w:val="fr-FR"/>
        </w:rPr>
        <w:t xml:space="preserve"> </w:t>
      </w:r>
      <w:r w:rsidRPr="00752272">
        <w:rPr>
          <w:iCs/>
          <w:color w:val="000000"/>
          <w:sz w:val="18"/>
          <w:szCs w:val="18"/>
          <w:lang w:val="fr-FR"/>
        </w:rPr>
        <w:t xml:space="preserve">et </w:t>
      </w:r>
      <w:r>
        <w:rPr>
          <w:color w:val="000000"/>
          <w:sz w:val="18"/>
          <w:szCs w:val="18"/>
          <w:lang w:val="fr-FR"/>
        </w:rPr>
        <w:t>les circonstances de l’élaboration du traité</w:t>
      </w:r>
      <w:r w:rsidRPr="008A472E">
        <w:rPr>
          <w:color w:val="000000"/>
          <w:sz w:val="18"/>
          <w:szCs w:val="18"/>
          <w:lang w:val="fr-FR"/>
        </w:rPr>
        <w:t>).</w:t>
      </w:r>
    </w:p>
  </w:footnote>
  <w:footnote w:id="12">
    <w:p w14:paraId="1998680C" w14:textId="699A0265" w:rsidR="008A77A6" w:rsidRPr="0002675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{"citationID":"Sz4fv8WL","properties":{"formattedCitation":"\\uc0\\u8216{}Possible, Adj., Adv., and n.\\uc0\\u8217{}, {\\i{}OED Online} (Oxford University Press 2020) \\uc0\\u8216{}A. adj.  1. That is capable of being; that may or can exist, be done, or happen (in general, or in given or assumed conditions or circumstances); that is in a person\\uc0\\u8217{}s power, that a person can do, exert, use, etc.\\uc0\\u8217{};","plainCitation":"‘Possible, Adj., Adv., and n.’, OED Online (Oxford University Press 2020) ‘A. adj.  1. That is capable of being; that may or can exist, be done, or happen (in general, or in given or assumed conditions or circumstances); that is in a person’s power, that a person can do, exert, use, etc.’;","noteIndex":6},"citationItems":[{"id":743,"uris":["http://zotero.org/users/local/dU5rpCrq/items/RUGJR686"],"uri":["http://zotero.org/users/local/dU5rpCrq/items/RUGJR686"],"itemData":{"id":743,"type":"entry-dictionary","multi":{"main":{},"_keys":{}},"container-title":"OED Online","publisher":"Oxford University Press","title":"possible, adj., adv., and n.","URL":"www.oed.com/view/Entry/148376","accessed":{"date-parts":[["2020",5,5]]},"issued":{"date-parts":[["2020",3]]},"seeAlso":[]},"suffix":"  \"A. adj.  1. That is capable of being; that may or can exist, be done, or happen (in general, or in given or assumed conditions or circumstances); that is in a person's power, that a person can do, exert, use, etc.\";"}],"schema":"https://github.com/citation-style-language/schema/raw/master/csl-citation.json"} </w:instrText>
      </w:r>
      <w:r w:rsidRPr="00F43F79">
        <w:rPr>
          <w:sz w:val="18"/>
          <w:szCs w:val="18"/>
        </w:rPr>
        <w:fldChar w:fldCharType="separate"/>
      </w:r>
      <w:r>
        <w:rPr>
          <w:sz w:val="18"/>
          <w:szCs w:val="18"/>
        </w:rPr>
        <w:t xml:space="preserve">‘Possible, Adj., Adv., et </w:t>
      </w:r>
      <w:r w:rsidRPr="00F43F79">
        <w:rPr>
          <w:sz w:val="18"/>
          <w:szCs w:val="18"/>
        </w:rPr>
        <w:t xml:space="preserve">n.’, </w:t>
      </w:r>
      <w:r>
        <w:rPr>
          <w:i/>
          <w:iCs/>
          <w:sz w:val="18"/>
          <w:szCs w:val="18"/>
        </w:rPr>
        <w:t>OED Online</w:t>
      </w:r>
      <w:r w:rsidRPr="00F43F79">
        <w:rPr>
          <w:sz w:val="18"/>
          <w:szCs w:val="18"/>
        </w:rPr>
        <w:t xml:space="preserve"> (Oxford Universi</w:t>
      </w:r>
      <w:r>
        <w:rPr>
          <w:sz w:val="18"/>
          <w:szCs w:val="18"/>
        </w:rPr>
        <w:t xml:space="preserve">ty Press 2020) ‘A. adj.  </w:t>
      </w:r>
      <w:r w:rsidRPr="0002675E">
        <w:rPr>
          <w:sz w:val="18"/>
          <w:szCs w:val="18"/>
          <w:lang w:val="fr-FR"/>
        </w:rPr>
        <w:t>1. Qui est capable d'être; qui pourrait ou peut exister, être réal</w:t>
      </w:r>
      <w:r>
        <w:rPr>
          <w:sz w:val="18"/>
          <w:szCs w:val="18"/>
          <w:lang w:val="fr-FR"/>
        </w:rPr>
        <w:t>isé, ou se produire (en général,</w:t>
      </w:r>
      <w:r w:rsidRPr="0002675E">
        <w:rPr>
          <w:sz w:val="18"/>
          <w:szCs w:val="18"/>
          <w:lang w:val="fr-FR"/>
        </w:rPr>
        <w:t xml:space="preserve"> ou </w:t>
      </w:r>
      <w:r>
        <w:rPr>
          <w:sz w:val="18"/>
          <w:szCs w:val="18"/>
          <w:lang w:val="fr-FR"/>
        </w:rPr>
        <w:t xml:space="preserve">bien </w:t>
      </w:r>
      <w:r w:rsidRPr="0002675E">
        <w:rPr>
          <w:sz w:val="18"/>
          <w:szCs w:val="18"/>
          <w:lang w:val="fr-FR"/>
        </w:rPr>
        <w:t xml:space="preserve">dans des conditions ou </w:t>
      </w:r>
      <w:r>
        <w:rPr>
          <w:sz w:val="18"/>
          <w:szCs w:val="18"/>
          <w:lang w:val="fr-FR"/>
        </w:rPr>
        <w:t xml:space="preserve">des </w:t>
      </w:r>
      <w:r w:rsidRPr="0002675E">
        <w:rPr>
          <w:sz w:val="18"/>
          <w:szCs w:val="18"/>
          <w:lang w:val="fr-FR"/>
        </w:rPr>
        <w:t>circonstances données ou présumées); qui relève du pouvoir d'une pers</w:t>
      </w:r>
      <w:r>
        <w:rPr>
          <w:sz w:val="18"/>
          <w:szCs w:val="18"/>
          <w:lang w:val="fr-FR"/>
        </w:rPr>
        <w:t>onne, qu'une personne peut effectuer</w:t>
      </w:r>
      <w:r w:rsidRPr="0002675E">
        <w:rPr>
          <w:sz w:val="18"/>
          <w:szCs w:val="18"/>
          <w:lang w:val="fr-FR"/>
        </w:rPr>
        <w:t>, exercer, utiliser , etc.’;</w:t>
      </w:r>
      <w:r w:rsidRPr="00F43F79">
        <w:rPr>
          <w:sz w:val="18"/>
          <w:szCs w:val="18"/>
        </w:rPr>
        <w:fldChar w:fldCharType="end"/>
      </w:r>
      <w:r w:rsidRPr="0002675E">
        <w:rPr>
          <w:sz w:val="18"/>
          <w:szCs w:val="18"/>
          <w:lang w:val="fr-FR"/>
        </w:rPr>
        <w:t xml:space="preserve"> Le dictionnaire de Cambridge définit ce terme comme</w:t>
      </w:r>
      <w:r>
        <w:rPr>
          <w:sz w:val="18"/>
          <w:szCs w:val="18"/>
          <w:lang w:val="fr-FR"/>
        </w:rPr>
        <w:t xml:space="preserve"> suit :</w:t>
      </w:r>
      <w:r w:rsidRPr="0002675E">
        <w:rPr>
          <w:sz w:val="18"/>
          <w:szCs w:val="18"/>
          <w:lang w:val="fr-FR"/>
        </w:rPr>
        <w:t xml:space="preserve"> ‘en me</w:t>
      </w:r>
      <w:r>
        <w:rPr>
          <w:sz w:val="18"/>
          <w:szCs w:val="18"/>
          <w:lang w:val="fr-FR"/>
        </w:rPr>
        <w:t>sure d’être réalisé ou atteint</w:t>
      </w:r>
      <w:r w:rsidRPr="0002675E">
        <w:rPr>
          <w:sz w:val="18"/>
          <w:szCs w:val="18"/>
          <w:lang w:val="fr-FR"/>
        </w:rPr>
        <w:t>, ou capable d’</w:t>
      </w:r>
      <w:hyperlink r:id="rId2" w:tooltip="exist" w:history="1">
        <w:r w:rsidRPr="0002675E">
          <w:rPr>
            <w:rStyle w:val="Hyperlink"/>
            <w:rFonts w:eastAsiaTheme="majorEastAsia"/>
            <w:color w:val="auto"/>
            <w:sz w:val="18"/>
            <w:szCs w:val="18"/>
            <w:u w:val="none"/>
            <w:lang w:val="fr-FR"/>
          </w:rPr>
          <w:t>exist</w:t>
        </w:r>
      </w:hyperlink>
      <w:r w:rsidRPr="0002675E">
        <w:rPr>
          <w:rStyle w:val="Hyperlink"/>
          <w:rFonts w:eastAsiaTheme="majorEastAsia"/>
          <w:color w:val="auto"/>
          <w:sz w:val="18"/>
          <w:szCs w:val="18"/>
          <w:u w:val="none"/>
          <w:lang w:val="fr-FR"/>
        </w:rPr>
        <w:t>er</w:t>
      </w:r>
      <w:r w:rsidRPr="0002675E">
        <w:rPr>
          <w:sz w:val="18"/>
          <w:szCs w:val="18"/>
          <w:lang w:val="fr-FR"/>
        </w:rPr>
        <w:t>’; Le dictionnaire Meriam-Webster définit ce terme comme</w:t>
      </w:r>
      <w:r>
        <w:rPr>
          <w:sz w:val="18"/>
          <w:szCs w:val="18"/>
          <w:lang w:val="fr-FR"/>
        </w:rPr>
        <w:t xml:space="preserve"> :</w:t>
      </w:r>
      <w:r w:rsidRPr="0002675E">
        <w:rPr>
          <w:sz w:val="18"/>
          <w:szCs w:val="18"/>
          <w:lang w:val="fr-FR"/>
        </w:rPr>
        <w:t xml:space="preserve"> ‘</w:t>
      </w:r>
      <w:r>
        <w:rPr>
          <w:sz w:val="18"/>
          <w:szCs w:val="18"/>
          <w:lang w:val="fr-FR"/>
        </w:rPr>
        <w:t>entrant dans les limit</w:t>
      </w:r>
      <w:r w:rsidRPr="0002675E">
        <w:rPr>
          <w:sz w:val="18"/>
          <w:szCs w:val="18"/>
          <w:lang w:val="fr-FR"/>
        </w:rPr>
        <w:t>es</w:t>
      </w:r>
      <w:r>
        <w:rPr>
          <w:sz w:val="18"/>
          <w:szCs w:val="18"/>
          <w:lang w:val="fr-FR"/>
        </w:rPr>
        <w:t xml:space="preserve"> de capacités ou de réalisation</w:t>
      </w:r>
      <w:r w:rsidRPr="0002675E">
        <w:rPr>
          <w:rStyle w:val="dttext"/>
          <w:rFonts w:eastAsiaTheme="majorEastAsia"/>
          <w:sz w:val="18"/>
          <w:szCs w:val="18"/>
          <w:lang w:val="fr-FR"/>
        </w:rPr>
        <w:t>’</w:t>
      </w:r>
      <w:r>
        <w:rPr>
          <w:rStyle w:val="dttext"/>
          <w:rFonts w:eastAsiaTheme="majorEastAsia"/>
          <w:sz w:val="18"/>
          <w:szCs w:val="18"/>
          <w:lang w:val="fr-FR"/>
        </w:rPr>
        <w:t>.</w:t>
      </w:r>
    </w:p>
  </w:footnote>
  <w:footnote w:id="13">
    <w:p w14:paraId="401C7163" w14:textId="7CDAC85B" w:rsidR="008A77A6" w:rsidRPr="0002675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{"citationID":"TaleqXfh","properties":{"formattedCitation":"\\uc0\\u8216{}Impossible, Adj. and n.\\uc0\\u8217{}, {\\i{}OED Online} (Oxford University Press 2020) \\uc0\\u8216{}A. adj.  1.a. Not possible; that cannot be done or effected; that cannot exist or come into being; that cannot be, in existing or specified circumstances.\\uc0\\u8217{}","plainCitation":"‘Impossible, Adj. and n.’, OED Online (Oxford University Press 2020) ‘A. adj.  1.a. Not possible; that cannot be done or effected; that cannot exist or come into being; that cannot be, in existing or specified circumstances.’","noteIndex":7},"citationItems":[{"id":744,"uris":["http://zotero.org/users/local/dU5rpCrq/items/KQJVJLS9"],"uri":["http://zotero.org/users/local/dU5rpCrq/items/KQJVJLS9"],"itemData":{"id":744,"type":"entry-dictionary","multi":{"main":{},"_keys":{}},"container-title":"OED Online","publisher":"Oxford University Press","title":"impossible, adj. and n.","URL":"www.oed.com/view/Entry/92603","accessed":{"date-parts":[["2020",5,5]]},"issued":{"date-parts":[["2020",3]]},"seeAlso":[]},"suffix":"  \"A. adj.  1.a. Not possible; that cannot be done or effected; that cannot exist or come into being; that cannot be, in existing or specified circumstances.\""}],"schema":"https://github.com/citation-style-language/schema/raw/master/csl-citation.json"} </w:instrText>
      </w:r>
      <w:r w:rsidRPr="00F43F79">
        <w:rPr>
          <w:sz w:val="18"/>
          <w:szCs w:val="18"/>
        </w:rPr>
        <w:fldChar w:fldCharType="separate"/>
      </w:r>
      <w:r w:rsidRPr="00F43F79">
        <w:rPr>
          <w:sz w:val="18"/>
          <w:szCs w:val="18"/>
        </w:rPr>
        <w:t>‘Impossible, Adj.</w:t>
      </w:r>
      <w:r>
        <w:rPr>
          <w:sz w:val="18"/>
          <w:szCs w:val="18"/>
        </w:rPr>
        <w:t xml:space="preserve"> et </w:t>
      </w:r>
      <w:r w:rsidRPr="00F43F79">
        <w:rPr>
          <w:sz w:val="18"/>
          <w:szCs w:val="18"/>
        </w:rPr>
        <w:t xml:space="preserve">n.’, </w:t>
      </w:r>
      <w:r>
        <w:rPr>
          <w:i/>
          <w:iCs/>
          <w:sz w:val="18"/>
          <w:szCs w:val="18"/>
        </w:rPr>
        <w:t>OED Online</w:t>
      </w:r>
      <w:r w:rsidRPr="00F43F79">
        <w:rPr>
          <w:sz w:val="18"/>
          <w:szCs w:val="18"/>
        </w:rPr>
        <w:t xml:space="preserve"> (Oxford Universit</w:t>
      </w:r>
      <w:r>
        <w:rPr>
          <w:sz w:val="18"/>
          <w:szCs w:val="18"/>
        </w:rPr>
        <w:t xml:space="preserve">y Press 2020) ‘A. adj.  </w:t>
      </w:r>
      <w:r w:rsidRPr="0002675E">
        <w:rPr>
          <w:sz w:val="18"/>
          <w:szCs w:val="18"/>
          <w:lang w:val="fr-FR"/>
        </w:rPr>
        <w:t>1.a. Non possible; qui ne peut pas être réalisé ou effectué; qui ne peut pas exist</w:t>
      </w:r>
      <w:r>
        <w:rPr>
          <w:sz w:val="18"/>
          <w:szCs w:val="18"/>
          <w:lang w:val="fr-FR"/>
        </w:rPr>
        <w:t>er</w:t>
      </w:r>
      <w:r w:rsidRPr="0002675E">
        <w:rPr>
          <w:sz w:val="18"/>
          <w:szCs w:val="18"/>
          <w:lang w:val="fr-FR"/>
        </w:rPr>
        <w:t xml:space="preserve"> ou </w:t>
      </w:r>
      <w:r>
        <w:rPr>
          <w:sz w:val="18"/>
          <w:szCs w:val="18"/>
          <w:lang w:val="fr-FR"/>
        </w:rPr>
        <w:t>devenir existant</w:t>
      </w:r>
      <w:r w:rsidRPr="0002675E">
        <w:rPr>
          <w:sz w:val="18"/>
          <w:szCs w:val="18"/>
          <w:lang w:val="fr-FR"/>
        </w:rPr>
        <w:t xml:space="preserve">; </w:t>
      </w:r>
      <w:r>
        <w:rPr>
          <w:sz w:val="18"/>
          <w:szCs w:val="18"/>
          <w:lang w:val="fr-FR"/>
        </w:rPr>
        <w:t>qui ne peut pas être, dans les</w:t>
      </w:r>
      <w:r w:rsidRPr="0002675E">
        <w:rPr>
          <w:sz w:val="18"/>
          <w:szCs w:val="18"/>
          <w:lang w:val="fr-FR"/>
        </w:rPr>
        <w:t xml:space="preserve"> circonstances</w:t>
      </w:r>
      <w:r>
        <w:rPr>
          <w:sz w:val="18"/>
          <w:szCs w:val="18"/>
          <w:lang w:val="fr-FR"/>
        </w:rPr>
        <w:t xml:space="preserve"> actuelles ou des circonstances données</w:t>
      </w:r>
      <w:r w:rsidRPr="0002675E">
        <w:rPr>
          <w:sz w:val="18"/>
          <w:szCs w:val="18"/>
          <w:lang w:val="fr-FR"/>
        </w:rPr>
        <w:t>.’</w:t>
      </w:r>
      <w:r w:rsidRPr="00F43F79">
        <w:rPr>
          <w:sz w:val="18"/>
          <w:szCs w:val="18"/>
        </w:rPr>
        <w:fldChar w:fldCharType="end"/>
      </w:r>
      <w:r w:rsidRPr="0002675E">
        <w:rPr>
          <w:sz w:val="18"/>
          <w:szCs w:val="18"/>
          <w:lang w:val="fr-FR"/>
        </w:rPr>
        <w:t xml:space="preserve"> Le dictionnaire de Cambridge définit ce terme comme</w:t>
      </w:r>
      <w:r>
        <w:rPr>
          <w:sz w:val="18"/>
          <w:szCs w:val="18"/>
          <w:lang w:val="fr-FR"/>
        </w:rPr>
        <w:t xml:space="preserve"> suit :</w:t>
      </w:r>
      <w:r w:rsidRPr="0002675E">
        <w:rPr>
          <w:sz w:val="18"/>
          <w:szCs w:val="18"/>
          <w:lang w:val="fr-FR"/>
        </w:rPr>
        <w:t xml:space="preserve"> ‘incapable d’exister, de survenir ou d’être atteint</w:t>
      </w:r>
      <w:r>
        <w:rPr>
          <w:sz w:val="18"/>
          <w:szCs w:val="18"/>
          <w:lang w:val="fr-FR"/>
        </w:rPr>
        <w:t>; non possible’ et ‘extrêmement difficile à gérer ou à résoudre’.</w:t>
      </w:r>
      <w:r w:rsidRPr="0002675E">
        <w:rPr>
          <w:sz w:val="18"/>
          <w:szCs w:val="18"/>
          <w:lang w:val="fr-FR"/>
        </w:rPr>
        <w:t xml:space="preserve"> </w:t>
      </w:r>
      <w:r>
        <w:rPr>
          <w:sz w:val="18"/>
          <w:szCs w:val="18"/>
          <w:lang w:val="fr-FR"/>
        </w:rPr>
        <w:t xml:space="preserve">Le dictionnaire Meriam-Webster définit ce terme comme : </w:t>
      </w:r>
      <w:r w:rsidRPr="0002675E">
        <w:rPr>
          <w:sz w:val="18"/>
          <w:szCs w:val="18"/>
          <w:lang w:val="fr-FR"/>
        </w:rPr>
        <w:t>‘</w:t>
      </w:r>
      <w:r w:rsidRPr="0002675E">
        <w:rPr>
          <w:rStyle w:val="dttext"/>
          <w:rFonts w:eastAsiaTheme="majorEastAsia"/>
          <w:sz w:val="18"/>
          <w:szCs w:val="18"/>
          <w:lang w:val="fr-FR"/>
        </w:rPr>
        <w:t xml:space="preserve">incapable </w:t>
      </w:r>
      <w:r>
        <w:rPr>
          <w:rStyle w:val="dttext"/>
          <w:rFonts w:eastAsiaTheme="majorEastAsia"/>
          <w:sz w:val="18"/>
          <w:szCs w:val="18"/>
          <w:lang w:val="fr-FR"/>
        </w:rPr>
        <w:t>d’être ou de survenir</w:t>
      </w:r>
      <w:r w:rsidRPr="0002675E">
        <w:rPr>
          <w:rStyle w:val="dttext"/>
          <w:rFonts w:eastAsiaTheme="majorEastAsia"/>
          <w:sz w:val="18"/>
          <w:szCs w:val="18"/>
          <w:lang w:val="fr-FR"/>
        </w:rPr>
        <w:t xml:space="preserve">; </w:t>
      </w:r>
      <w:r>
        <w:rPr>
          <w:rStyle w:val="dttext"/>
          <w:rFonts w:eastAsiaTheme="majorEastAsia"/>
          <w:sz w:val="18"/>
          <w:szCs w:val="18"/>
          <w:lang w:val="fr-FR"/>
        </w:rPr>
        <w:t xml:space="preserve">jugé </w:t>
      </w:r>
      <w:r w:rsidRPr="0002675E">
        <w:rPr>
          <w:rStyle w:val="dttext"/>
          <w:rFonts w:eastAsiaTheme="majorEastAsia"/>
          <w:sz w:val="18"/>
          <w:szCs w:val="18"/>
          <w:lang w:val="fr-FR"/>
        </w:rPr>
        <w:t xml:space="preserve">incapable </w:t>
      </w:r>
      <w:r>
        <w:rPr>
          <w:rStyle w:val="dttext"/>
          <w:rFonts w:eastAsiaTheme="majorEastAsia"/>
          <w:sz w:val="18"/>
          <w:szCs w:val="18"/>
          <w:lang w:val="fr-FR"/>
        </w:rPr>
        <w:t>d’être réalisé, atteint ou accompli;</w:t>
      </w:r>
      <w:r w:rsidRPr="0002675E">
        <w:rPr>
          <w:rStyle w:val="Strong"/>
          <w:rFonts w:eastAsiaTheme="majorEastAsia"/>
          <w:sz w:val="18"/>
          <w:szCs w:val="18"/>
          <w:lang w:val="fr-FR"/>
        </w:rPr>
        <w:t xml:space="preserve"> </w:t>
      </w:r>
      <w:r>
        <w:rPr>
          <w:rStyle w:val="dttext"/>
          <w:rFonts w:eastAsiaTheme="majorEastAsia"/>
          <w:sz w:val="18"/>
          <w:szCs w:val="18"/>
          <w:lang w:val="fr-FR"/>
        </w:rPr>
        <w:t>extrêmement difficile</w:t>
      </w:r>
      <w:r w:rsidRPr="0002675E">
        <w:rPr>
          <w:rStyle w:val="dttext"/>
          <w:rFonts w:eastAsiaTheme="majorEastAsia"/>
          <w:sz w:val="18"/>
          <w:szCs w:val="18"/>
          <w:lang w:val="fr-FR"/>
        </w:rPr>
        <w:t>.’</w:t>
      </w:r>
    </w:p>
  </w:footnote>
  <w:footnote w:id="14">
    <w:p w14:paraId="18A30D1D" w14:textId="3D47B212" w:rsidR="008A77A6" w:rsidRPr="001F0A2A"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1F0A2A">
        <w:rPr>
          <w:sz w:val="18"/>
          <w:szCs w:val="18"/>
          <w:lang w:val="fr-FR"/>
        </w:rPr>
        <w:t xml:space="preserve"> </w:t>
      </w:r>
      <w:r>
        <w:rPr>
          <w:sz w:val="18"/>
          <w:szCs w:val="18"/>
          <w:lang w:val="fr-FR"/>
        </w:rPr>
        <w:t>Bien qu’il ne s’agisse pas d’une</w:t>
      </w:r>
      <w:r w:rsidRPr="001F0A2A">
        <w:rPr>
          <w:sz w:val="18"/>
          <w:szCs w:val="18"/>
          <w:lang w:val="fr-FR"/>
        </w:rPr>
        <w:t xml:space="preserve"> interprétation</w:t>
      </w:r>
      <w:r>
        <w:rPr>
          <w:sz w:val="18"/>
          <w:szCs w:val="18"/>
          <w:lang w:val="fr-FR"/>
        </w:rPr>
        <w:t xml:space="preserve"> décisive, </w:t>
      </w:r>
      <w:r w:rsidRPr="00F43F79">
        <w:rPr>
          <w:sz w:val="18"/>
          <w:szCs w:val="18"/>
        </w:rPr>
        <w:fldChar w:fldCharType="begin"/>
      </w:r>
      <w:r w:rsidRPr="001F0A2A">
        <w:rPr>
          <w:sz w:val="18"/>
          <w:szCs w:val="18"/>
          <w:lang w:val="fr-FR"/>
        </w:rPr>
        <w:instrText xml:space="preserve"> ADDIN ZOTERO_ITEM CSL_CITATION {"citationID":"g9Vvs5cK","properties":{"formattedCitation":"Thomas Greiber and others, {\\i{}An Explanatory Guide to the Nagoya Protocol on Access and Benefit-Sharing} (IUCN Environmental Policy and Law Paper 83, IUCN 2012) 129 notes that \\uc0\\u8216{}Article 10 discussions could also take into consideration the lack of practicality of obtaining PIC.","plainCitation":"Thomas Greiber and others, An Explanatory Guide to the Nagoya Protocol on Access and Benefit-Sharing (IUCN Environmental Policy and Law Paper 83, IUCN 2012) 129 notes that ‘Article 10 discussions could also take into consideration the lack of practicality of obtaining PIC.","noteIndex":8},"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129","suffix":"notes that ‘Article 10 discussions could also take into consideration the lack of practicality of obtaining PIC."}],"schema":"https://github.com/citation-style-language/schema/raw/master/csl-citation.json"} </w:instrText>
      </w:r>
      <w:r w:rsidRPr="00F43F79">
        <w:rPr>
          <w:sz w:val="18"/>
          <w:szCs w:val="18"/>
        </w:rPr>
        <w:fldChar w:fldCharType="separate"/>
      </w:r>
      <w:r w:rsidRPr="001F0A2A">
        <w:rPr>
          <w:sz w:val="18"/>
          <w:szCs w:val="18"/>
          <w:lang w:val="fr-FR"/>
        </w:rPr>
        <w:t xml:space="preserve">Thomas Greiber et </w:t>
      </w:r>
      <w:r>
        <w:rPr>
          <w:sz w:val="18"/>
          <w:szCs w:val="18"/>
          <w:lang w:val="fr-FR"/>
        </w:rPr>
        <w:t>al</w:t>
      </w:r>
      <w:r w:rsidRPr="001F0A2A">
        <w:rPr>
          <w:sz w:val="18"/>
          <w:szCs w:val="18"/>
          <w:lang w:val="fr-FR"/>
        </w:rPr>
        <w:t>,</w:t>
      </w:r>
      <w:r>
        <w:rPr>
          <w:sz w:val="18"/>
          <w:szCs w:val="18"/>
          <w:lang w:val="fr-FR"/>
        </w:rPr>
        <w:t xml:space="preserve"> dans</w:t>
      </w:r>
      <w:r w:rsidRPr="001F0A2A">
        <w:rPr>
          <w:sz w:val="18"/>
          <w:szCs w:val="18"/>
          <w:lang w:val="fr-FR"/>
        </w:rPr>
        <w:t xml:space="preserve"> </w:t>
      </w:r>
      <w:r w:rsidRPr="001F0A2A">
        <w:rPr>
          <w:i/>
          <w:iCs/>
          <w:sz w:val="18"/>
          <w:szCs w:val="18"/>
          <w:lang w:val="fr-FR"/>
        </w:rPr>
        <w:t xml:space="preserve">Guide </w:t>
      </w:r>
      <w:r>
        <w:rPr>
          <w:i/>
          <w:iCs/>
          <w:sz w:val="18"/>
          <w:szCs w:val="18"/>
          <w:lang w:val="fr-FR"/>
        </w:rPr>
        <w:t xml:space="preserve">explicatif du </w:t>
      </w:r>
      <w:r w:rsidRPr="001F0A2A">
        <w:rPr>
          <w:i/>
          <w:iCs/>
          <w:sz w:val="18"/>
          <w:szCs w:val="18"/>
          <w:lang w:val="fr-FR"/>
        </w:rPr>
        <w:t>Protocole de Nagoya sur l’accès et le partage des avantages</w:t>
      </w:r>
      <w:r>
        <w:rPr>
          <w:sz w:val="18"/>
          <w:szCs w:val="18"/>
          <w:lang w:val="fr-FR"/>
        </w:rPr>
        <w:t xml:space="preserve"> (IUCN Environmental Policy and</w:t>
      </w:r>
      <w:r w:rsidRPr="001F0A2A">
        <w:rPr>
          <w:sz w:val="18"/>
          <w:szCs w:val="18"/>
          <w:lang w:val="fr-FR"/>
        </w:rPr>
        <w:t xml:space="preserve"> La</w:t>
      </w:r>
      <w:r>
        <w:rPr>
          <w:sz w:val="18"/>
          <w:szCs w:val="18"/>
          <w:lang w:val="fr-FR"/>
        </w:rPr>
        <w:t>w Paper 83, IUCN 2012) 129 observent que "les débats sur l'</w:t>
      </w:r>
      <w:r w:rsidRPr="001F0A2A">
        <w:rPr>
          <w:sz w:val="18"/>
          <w:szCs w:val="18"/>
          <w:lang w:val="fr-FR"/>
        </w:rPr>
        <w:t xml:space="preserve">article 10 </w:t>
      </w:r>
      <w:r>
        <w:rPr>
          <w:sz w:val="18"/>
          <w:szCs w:val="18"/>
          <w:lang w:val="fr-FR"/>
        </w:rPr>
        <w:t>pourraient prendre en compte également le manque de faisabilité en ce qui concerne l'obtention d'un</w:t>
      </w:r>
      <w:r w:rsidRPr="001F0A2A">
        <w:rPr>
          <w:sz w:val="18"/>
          <w:szCs w:val="18"/>
          <w:lang w:val="fr-FR"/>
        </w:rPr>
        <w:t xml:space="preserve"> </w:t>
      </w:r>
      <w:r>
        <w:rPr>
          <w:sz w:val="18"/>
          <w:szCs w:val="18"/>
          <w:lang w:val="fr-FR"/>
        </w:rPr>
        <w:t>consentement préalable donné en connaissance de cause"</w:t>
      </w:r>
      <w:r w:rsidRPr="001F0A2A">
        <w:rPr>
          <w:sz w:val="18"/>
          <w:szCs w:val="18"/>
          <w:lang w:val="fr-FR"/>
        </w:rPr>
        <w:t>.</w:t>
      </w:r>
      <w:r w:rsidRPr="00F43F79">
        <w:rPr>
          <w:sz w:val="18"/>
          <w:szCs w:val="18"/>
        </w:rPr>
        <w:fldChar w:fldCharType="end"/>
      </w:r>
      <w:r w:rsidRPr="001F0A2A">
        <w:rPr>
          <w:sz w:val="18"/>
          <w:szCs w:val="18"/>
          <w:lang w:val="fr-FR"/>
        </w:rPr>
        <w:t xml:space="preserve"> Voir </w:t>
      </w:r>
      <w:r>
        <w:rPr>
          <w:sz w:val="18"/>
          <w:szCs w:val="18"/>
          <w:lang w:val="fr-FR"/>
        </w:rPr>
        <w:t xml:space="preserve">aussi la </w:t>
      </w:r>
      <w:r w:rsidRPr="001F0A2A">
        <w:rPr>
          <w:sz w:val="18"/>
          <w:szCs w:val="18"/>
          <w:lang w:val="fr-FR"/>
        </w:rPr>
        <w:t xml:space="preserve">communication </w:t>
      </w:r>
      <w:r>
        <w:rPr>
          <w:sz w:val="18"/>
          <w:szCs w:val="18"/>
          <w:lang w:val="fr-FR"/>
        </w:rPr>
        <w:t xml:space="preserve">de </w:t>
      </w:r>
      <w:r w:rsidRPr="001F0A2A">
        <w:rPr>
          <w:sz w:val="18"/>
          <w:szCs w:val="18"/>
          <w:lang w:val="fr-FR"/>
        </w:rPr>
        <w:t>2019</w:t>
      </w:r>
      <w:r>
        <w:rPr>
          <w:sz w:val="18"/>
          <w:szCs w:val="18"/>
          <w:lang w:val="fr-FR"/>
        </w:rPr>
        <w:t xml:space="preserve"> du Groupe des pays d’Afrique</w:t>
      </w:r>
      <w:r w:rsidRPr="001F0A2A">
        <w:rPr>
          <w:sz w:val="18"/>
          <w:szCs w:val="18"/>
          <w:lang w:val="fr-FR"/>
        </w:rPr>
        <w:t xml:space="preserve"> (“</w:t>
      </w:r>
      <w:r>
        <w:rPr>
          <w:sz w:val="18"/>
          <w:szCs w:val="18"/>
          <w:lang w:val="fr-FR"/>
        </w:rPr>
        <w:t>Dans la plupart de ces cas, il n’est pas possible</w:t>
      </w:r>
      <w:r w:rsidRPr="001F0A2A">
        <w:rPr>
          <w:sz w:val="18"/>
          <w:szCs w:val="18"/>
          <w:lang w:val="fr-FR"/>
        </w:rPr>
        <w:t xml:space="preserve"> – </w:t>
      </w:r>
      <w:r>
        <w:rPr>
          <w:sz w:val="18"/>
          <w:szCs w:val="18"/>
          <w:lang w:val="fr-FR"/>
        </w:rPr>
        <w:t>parce que cela n’est pas faisable – d’obtenir un</w:t>
      </w:r>
      <w:r w:rsidRPr="001F0A2A">
        <w:rPr>
          <w:sz w:val="18"/>
          <w:szCs w:val="18"/>
          <w:lang w:val="fr-FR"/>
        </w:rPr>
        <w:t xml:space="preserve"> </w:t>
      </w:r>
      <w:r>
        <w:rPr>
          <w:sz w:val="18"/>
          <w:szCs w:val="18"/>
          <w:lang w:val="fr-FR"/>
        </w:rPr>
        <w:t>consentement préalable donné en connaissance de cause</w:t>
      </w:r>
      <w:r w:rsidRPr="001F0A2A">
        <w:rPr>
          <w:sz w:val="18"/>
          <w:szCs w:val="18"/>
          <w:lang w:val="fr-FR"/>
        </w:rPr>
        <w:t xml:space="preserve"> et </w:t>
      </w:r>
      <w:r>
        <w:rPr>
          <w:sz w:val="18"/>
          <w:szCs w:val="18"/>
          <w:lang w:val="fr-FR"/>
        </w:rPr>
        <w:t xml:space="preserve">de </w:t>
      </w:r>
      <w:r w:rsidRPr="001F0A2A">
        <w:rPr>
          <w:sz w:val="18"/>
          <w:szCs w:val="18"/>
          <w:lang w:val="fr-FR"/>
        </w:rPr>
        <w:t xml:space="preserve">négocier </w:t>
      </w:r>
      <w:r>
        <w:rPr>
          <w:sz w:val="18"/>
          <w:szCs w:val="18"/>
          <w:lang w:val="fr-FR"/>
        </w:rPr>
        <w:t>des</w:t>
      </w:r>
      <w:r w:rsidRPr="001F0A2A">
        <w:rPr>
          <w:sz w:val="18"/>
          <w:szCs w:val="18"/>
          <w:lang w:val="fr-FR"/>
        </w:rPr>
        <w:t xml:space="preserve"> conditions convenues d’un commun accord avec </w:t>
      </w:r>
      <w:r>
        <w:rPr>
          <w:sz w:val="18"/>
          <w:szCs w:val="18"/>
          <w:lang w:val="fr-FR"/>
        </w:rPr>
        <w:t>l’ensemble des fournisseurs actuels et potentiels des connaissances</w:t>
      </w:r>
      <w:r w:rsidRPr="001F0A2A">
        <w:rPr>
          <w:sz w:val="18"/>
          <w:szCs w:val="18"/>
          <w:lang w:val="fr-FR"/>
        </w:rPr>
        <w:t>.”).</w:t>
      </w:r>
    </w:p>
  </w:footnote>
  <w:footnote w:id="15">
    <w:p w14:paraId="63546552" w14:textId="01D0A5D7" w:rsidR="008A77A6" w:rsidRPr="009E5D4F"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1F0A2A">
        <w:rPr>
          <w:sz w:val="18"/>
          <w:szCs w:val="18"/>
          <w:lang w:val="fr-FR"/>
        </w:rPr>
        <w:t xml:space="preserve"> L’article 31.2 de la </w:t>
      </w:r>
      <w:r>
        <w:rPr>
          <w:sz w:val="18"/>
          <w:szCs w:val="18"/>
          <w:lang w:val="fr-FR"/>
        </w:rPr>
        <w:t xml:space="preserve">Convention de </w:t>
      </w:r>
      <w:r w:rsidRPr="001F0A2A">
        <w:rPr>
          <w:sz w:val="18"/>
          <w:szCs w:val="18"/>
          <w:lang w:val="fr-FR"/>
        </w:rPr>
        <w:t>Vienne sur le droit des traités</w:t>
      </w:r>
      <w:r>
        <w:rPr>
          <w:sz w:val="18"/>
          <w:szCs w:val="18"/>
          <w:lang w:val="fr-FR"/>
        </w:rPr>
        <w:t xml:space="preserve"> confère au préambule d’un traité la même valeur juridique qu’aux dispositions du traité, dans la mesure où le préambule fournit un contexte pour l’</w:t>
      </w:r>
      <w:r w:rsidRPr="001F0A2A">
        <w:rPr>
          <w:sz w:val="18"/>
          <w:szCs w:val="18"/>
          <w:lang w:val="fr-FR"/>
        </w:rPr>
        <w:t>interprétation</w:t>
      </w:r>
      <w:r>
        <w:rPr>
          <w:sz w:val="18"/>
          <w:szCs w:val="18"/>
          <w:lang w:val="fr-FR"/>
        </w:rPr>
        <w:t xml:space="preserve"> des dispositions du traité</w:t>
      </w:r>
      <w:r w:rsidRPr="001F0A2A">
        <w:rPr>
          <w:sz w:val="18"/>
          <w:szCs w:val="18"/>
          <w:lang w:val="fr-FR"/>
        </w:rPr>
        <w:t>. Le préambule peut ainsi fournir un context</w:t>
      </w:r>
      <w:r>
        <w:rPr>
          <w:sz w:val="18"/>
          <w:szCs w:val="18"/>
          <w:lang w:val="fr-FR"/>
        </w:rPr>
        <w:t xml:space="preserve">e pour des futures </w:t>
      </w:r>
      <w:r w:rsidRPr="001F0A2A">
        <w:rPr>
          <w:sz w:val="18"/>
          <w:szCs w:val="18"/>
          <w:lang w:val="fr-FR"/>
        </w:rPr>
        <w:t xml:space="preserve">négociations. </w:t>
      </w:r>
      <w:r w:rsidRPr="009E5D4F">
        <w:rPr>
          <w:sz w:val="18"/>
          <w:szCs w:val="18"/>
          <w:lang w:val="fr-FR"/>
        </w:rPr>
        <w:t xml:space="preserve">Voir aussi </w:t>
      </w:r>
      <w:r w:rsidRPr="00F43F79">
        <w:rPr>
          <w:sz w:val="18"/>
          <w:szCs w:val="18"/>
        </w:rPr>
        <w:fldChar w:fldCharType="begin"/>
      </w:r>
      <w:r w:rsidRPr="009E5D4F">
        <w:rPr>
          <w:sz w:val="18"/>
          <w:szCs w:val="18"/>
          <w:lang w:val="fr-FR"/>
        </w:rPr>
        <w:instrText xml:space="preserve"> ADDIN ZOTERO_ITEM CSL_CITATION {"citationID":"WAAFTRen","properties":{"formattedCitation":"ibid 47.","plainCitation":"ibid 47.","noteIndex":9},"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47"}],"schema":"https://github.com/citation-style-language/schema/raw/master/csl-citation.json"} </w:instrText>
      </w:r>
      <w:r w:rsidRPr="00F43F79">
        <w:rPr>
          <w:sz w:val="18"/>
          <w:szCs w:val="18"/>
        </w:rPr>
        <w:fldChar w:fldCharType="separate"/>
      </w:r>
      <w:r w:rsidRPr="009E5D4F">
        <w:rPr>
          <w:sz w:val="18"/>
          <w:szCs w:val="18"/>
          <w:lang w:val="fr-FR"/>
        </w:rPr>
        <w:t>ibid 47.</w:t>
      </w:r>
      <w:r w:rsidRPr="00F43F79">
        <w:rPr>
          <w:sz w:val="18"/>
          <w:szCs w:val="18"/>
        </w:rPr>
        <w:fldChar w:fldCharType="end"/>
      </w:r>
    </w:p>
  </w:footnote>
  <w:footnote w:id="16">
    <w:p w14:paraId="574C54F4" w14:textId="6D5820BF"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3B5B81">
        <w:rPr>
          <w:sz w:val="18"/>
          <w:szCs w:val="18"/>
          <w:lang w:val="fr-FR"/>
        </w:rPr>
        <w:t xml:space="preserve"> </w:t>
      </w:r>
      <w:r w:rsidRPr="00F43F79">
        <w:rPr>
          <w:sz w:val="18"/>
          <w:szCs w:val="18"/>
        </w:rPr>
        <w:fldChar w:fldCharType="begin"/>
      </w:r>
      <w:r w:rsidRPr="003B5B81">
        <w:rPr>
          <w:sz w:val="18"/>
          <w:szCs w:val="18"/>
          <w:lang w:val="fr-FR"/>
        </w:rPr>
        <w:instrText xml:space="preserve"> ADDIN ZOTERO_ITEM CSL_CITATION {"citationID":"817LKGbM","properties":{"formattedCitation":"Brian A Garner, \\uc0\\u8216{}Equitable\\uc0\\u8217{}, {\\i{}Black\\uc0\\u8217{}s Law Dictionary} (8th edn, Thomson West 2004)\\uc0\\u8216{}Just; consistent with principles of justice and right\\uc0\\u8217{}.","plainCitation":"Brian A Garner, ‘Equitable’, Black’s Law Dictionary (8th edn, Thomson West 2004)‘Just; consistent with principles of justice and right’.","noteIndex":10},"citationItems":[{"id":748,"uris":["http://zotero.org/users/local/dU5rpCrq/items/QGE443UH"],"uri":["http://zotero.org/users/local/dU5rpCrq/items/QGE443UH"],"itemData":{"id":748,"type":"entry-dictionary","multi":{"main":{},"_keys":{}},"container-title":"Black's Law Dictionary","edition":"8","publisher":"Thomson West","title":"Equitable","author":[{"family":"Garner","given":"Brian A.","multi":{"_key":{}}}],"issued":{"date-parts":[["2004"]]},"seeAlso":[]},"suffix":" \"Just; consistent with principles of justice and right\""}],"schema":"https://github.com/citation-style-language/schema/raw/master/csl-citation.json"} </w:instrText>
      </w:r>
      <w:r w:rsidRPr="00F43F79">
        <w:rPr>
          <w:sz w:val="18"/>
          <w:szCs w:val="18"/>
        </w:rPr>
        <w:fldChar w:fldCharType="separate"/>
      </w:r>
      <w:r>
        <w:rPr>
          <w:sz w:val="18"/>
          <w:szCs w:val="18"/>
          <w:lang w:val="fr-FR"/>
        </w:rPr>
        <w:t>Brian A Garner, ‘E</w:t>
      </w:r>
      <w:r w:rsidRPr="003B5B81">
        <w:rPr>
          <w:sz w:val="18"/>
          <w:szCs w:val="18"/>
          <w:lang w:val="fr-FR"/>
        </w:rPr>
        <w:t xml:space="preserve">quitable’, </w:t>
      </w:r>
      <w:r w:rsidRPr="003B5B81">
        <w:rPr>
          <w:i/>
          <w:iCs/>
          <w:sz w:val="18"/>
          <w:szCs w:val="18"/>
          <w:lang w:val="fr-FR"/>
        </w:rPr>
        <w:t>Black’s Law Dictionary</w:t>
      </w:r>
      <w:r w:rsidRPr="003B5B81">
        <w:rPr>
          <w:sz w:val="18"/>
          <w:szCs w:val="18"/>
          <w:lang w:val="fr-FR"/>
        </w:rPr>
        <w:t xml:space="preserve"> (8th edn, Thomson West 2004) ‘Juste; conforme aux principes de justice et de d</w:t>
      </w:r>
      <w:r>
        <w:rPr>
          <w:sz w:val="18"/>
          <w:szCs w:val="18"/>
          <w:lang w:val="fr-FR"/>
        </w:rPr>
        <w:t>roit</w:t>
      </w:r>
      <w:r w:rsidRPr="003B5B81">
        <w:rPr>
          <w:sz w:val="18"/>
          <w:szCs w:val="18"/>
          <w:lang w:val="fr-FR"/>
        </w:rPr>
        <w:t>’.</w:t>
      </w:r>
      <w:r w:rsidRPr="00F43F79">
        <w:rPr>
          <w:sz w:val="18"/>
          <w:szCs w:val="18"/>
        </w:rPr>
        <w:fldChar w:fldCharType="end"/>
      </w:r>
      <w:r w:rsidRPr="003B5B81">
        <w:rPr>
          <w:sz w:val="18"/>
          <w:szCs w:val="18"/>
          <w:lang w:val="fr-FR"/>
        </w:rPr>
        <w:t xml:space="preserve"> Voir aussi </w:t>
      </w:r>
      <w:r w:rsidRPr="003B5B81">
        <w:rPr>
          <w:i/>
          <w:iCs/>
          <w:sz w:val="18"/>
          <w:szCs w:val="18"/>
          <w:lang w:val="fr-FR"/>
        </w:rPr>
        <w:t>Diversion of Water from Meuse (Neth. v. Belg.)</w:t>
      </w:r>
      <w:r w:rsidRPr="003B5B81">
        <w:rPr>
          <w:sz w:val="18"/>
          <w:szCs w:val="18"/>
          <w:lang w:val="fr-FR"/>
        </w:rPr>
        <w:t xml:space="preserve"> 1937 PCIJ Series A/B No 70, 76: “</w:t>
      </w:r>
      <w:r>
        <w:rPr>
          <w:sz w:val="18"/>
          <w:szCs w:val="18"/>
          <w:lang w:val="fr-FR"/>
        </w:rPr>
        <w:t>Qui sont b</w:t>
      </w:r>
      <w:r w:rsidRPr="003B5B81">
        <w:rPr>
          <w:sz w:val="18"/>
          <w:szCs w:val="18"/>
          <w:lang w:val="fr-FR"/>
        </w:rPr>
        <w:t xml:space="preserve">ien connus comme </w:t>
      </w:r>
      <w:r>
        <w:rPr>
          <w:sz w:val="18"/>
          <w:szCs w:val="18"/>
          <w:lang w:val="fr-FR"/>
        </w:rPr>
        <w:t>principes d’</w:t>
      </w:r>
      <w:r w:rsidRPr="003B5B81">
        <w:rPr>
          <w:sz w:val="18"/>
          <w:szCs w:val="18"/>
          <w:lang w:val="fr-FR"/>
        </w:rPr>
        <w:t>équité</w:t>
      </w:r>
      <w:r>
        <w:rPr>
          <w:sz w:val="18"/>
          <w:szCs w:val="18"/>
          <w:lang w:val="fr-FR"/>
        </w:rPr>
        <w:t>, et considérés depuis longtemps comme faisant partie du</w:t>
      </w:r>
      <w:r w:rsidRPr="003B5B81">
        <w:rPr>
          <w:sz w:val="18"/>
          <w:szCs w:val="18"/>
          <w:lang w:val="fr-FR"/>
        </w:rPr>
        <w:t xml:space="preserve"> droit international.” L’équité</w:t>
      </w:r>
      <w:r w:rsidRPr="003B5B81" w:rsidDel="00DD41AE">
        <w:rPr>
          <w:sz w:val="18"/>
          <w:szCs w:val="18"/>
          <w:lang w:val="fr-FR"/>
        </w:rPr>
        <w:t xml:space="preserve"> </w:t>
      </w:r>
      <w:r w:rsidRPr="003B5B81">
        <w:rPr>
          <w:sz w:val="18"/>
          <w:szCs w:val="18"/>
          <w:lang w:val="fr-FR"/>
        </w:rPr>
        <w:t xml:space="preserve">ne constitue pas une règle </w:t>
      </w:r>
      <w:r>
        <w:rPr>
          <w:sz w:val="18"/>
          <w:szCs w:val="18"/>
          <w:lang w:val="fr-FR"/>
        </w:rPr>
        <w:t>juridique en tant que telle</w:t>
      </w:r>
      <w:r w:rsidRPr="003B5B81">
        <w:rPr>
          <w:sz w:val="18"/>
          <w:szCs w:val="18"/>
          <w:lang w:val="fr-FR"/>
        </w:rPr>
        <w:t xml:space="preserve">, </w:t>
      </w:r>
      <w:r>
        <w:rPr>
          <w:sz w:val="18"/>
          <w:szCs w:val="18"/>
          <w:lang w:val="fr-FR"/>
        </w:rPr>
        <w:t>mais elle peut être considérée comme une source</w:t>
      </w:r>
      <w:r w:rsidRPr="003B5B81">
        <w:rPr>
          <w:sz w:val="18"/>
          <w:szCs w:val="18"/>
          <w:lang w:val="fr-FR"/>
        </w:rPr>
        <w:t xml:space="preserve"> matériel</w:t>
      </w:r>
      <w:r>
        <w:rPr>
          <w:sz w:val="18"/>
          <w:szCs w:val="18"/>
          <w:lang w:val="fr-FR"/>
        </w:rPr>
        <w:t>le de droit</w:t>
      </w:r>
      <w:r w:rsidRPr="003B5B81">
        <w:rPr>
          <w:sz w:val="18"/>
          <w:szCs w:val="18"/>
          <w:lang w:val="fr-FR"/>
        </w:rPr>
        <w:t xml:space="preserve">. </w:t>
      </w:r>
      <w:r>
        <w:rPr>
          <w:sz w:val="18"/>
          <w:szCs w:val="18"/>
        </w:rPr>
        <w:t xml:space="preserve">Voir </w:t>
      </w:r>
      <w:r w:rsidRPr="00F43F79">
        <w:rPr>
          <w:sz w:val="18"/>
          <w:szCs w:val="18"/>
        </w:rPr>
        <w:t>Clive Parry</w:t>
      </w:r>
      <w:r>
        <w:rPr>
          <w:sz w:val="18"/>
          <w:szCs w:val="18"/>
        </w:rPr>
        <w:t xml:space="preserve"> et al.</w:t>
      </w:r>
      <w:r w:rsidRPr="00F43F79">
        <w:rPr>
          <w:sz w:val="18"/>
          <w:szCs w:val="18"/>
        </w:rPr>
        <w:t>, ‘</w:t>
      </w:r>
      <w:r>
        <w:rPr>
          <w:sz w:val="18"/>
          <w:szCs w:val="18"/>
        </w:rPr>
        <w:t>Equity</w:t>
      </w:r>
      <w:r w:rsidRPr="00F43F79">
        <w:rPr>
          <w:sz w:val="18"/>
          <w:szCs w:val="18"/>
        </w:rPr>
        <w:t xml:space="preserve">’, </w:t>
      </w:r>
      <w:r w:rsidRPr="00F43F79">
        <w:rPr>
          <w:i/>
          <w:iCs/>
          <w:sz w:val="18"/>
          <w:szCs w:val="18"/>
        </w:rPr>
        <w:t>Parry</w:t>
      </w:r>
      <w:r>
        <w:rPr>
          <w:i/>
          <w:iCs/>
          <w:sz w:val="18"/>
          <w:szCs w:val="18"/>
        </w:rPr>
        <w:t xml:space="preserve"> and </w:t>
      </w:r>
      <w:r w:rsidRPr="00F43F79">
        <w:rPr>
          <w:i/>
          <w:iCs/>
          <w:sz w:val="18"/>
          <w:szCs w:val="18"/>
        </w:rPr>
        <w:t xml:space="preserve">Grant Encyclopaedic Dictionary of </w:t>
      </w:r>
      <w:r>
        <w:rPr>
          <w:i/>
          <w:iCs/>
          <w:sz w:val="18"/>
          <w:szCs w:val="18"/>
        </w:rPr>
        <w:t>International Law</w:t>
      </w:r>
      <w:r w:rsidRPr="00F43F79">
        <w:rPr>
          <w:sz w:val="18"/>
          <w:szCs w:val="18"/>
        </w:rPr>
        <w:t xml:space="preserve"> (3rd edn, Oxford University Press</w:t>
      </w:r>
      <w:r>
        <w:rPr>
          <w:sz w:val="18"/>
          <w:szCs w:val="18"/>
        </w:rPr>
        <w:t>)</w:t>
      </w:r>
      <w:r w:rsidRPr="00F43F79">
        <w:rPr>
          <w:sz w:val="18"/>
          <w:szCs w:val="18"/>
        </w:rPr>
        <w:t>.</w:t>
      </w:r>
    </w:p>
  </w:footnote>
  <w:footnote w:id="17">
    <w:p w14:paraId="5F8A7E3E" w14:textId="76D5B4CA"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{"citationID":"EDftudhH","properties":{"formattedCitation":"Vaughan Lowe, \\uc0\\u8216{}The Role of Equity in International Law\\uc0\\u8217{} (1989) 12 Australian Yearbook of International Law 54, 73.","plainCitation":"Vaughan Lowe, ‘The Role of Equity in International Law’ (1989) 12 Australian Yearbook of International Law 54, 73.","noteIndex":11},"citationItems":[{"id":746,"uris":["http://zotero.org/users/local/dU5rpCrq/items/FVAVF8ZL"],"uri":["http://zotero.org/users/local/dU5rpCrq/items/FVAVF8ZL"],"itemData":{"id":746,"type":"article-journal","multi":{"main":{},"_keys":{}},"container-title":"Australian Yearbook of International Law","page":"54-81","title":"The Role of Equity in International Law","volume":"12","author":[{"family":"Lowe","given":"Vaughan","multi":{"_key":{}}}],"issued":{"date-parts":[["1989"]]},"seeAlso":[]},"locator":"73"}],"schema":"https://github.com/citation-style-language/schema/raw/master/csl-citation.json"} </w:instrText>
      </w:r>
      <w:r w:rsidRPr="00F43F79">
        <w:rPr>
          <w:sz w:val="18"/>
          <w:szCs w:val="18"/>
        </w:rPr>
        <w:fldChar w:fldCharType="separate"/>
      </w:r>
      <w:r w:rsidRPr="00F43F79">
        <w:rPr>
          <w:sz w:val="18"/>
          <w:szCs w:val="18"/>
        </w:rPr>
        <w:t xml:space="preserve">Vaughan Lowe, ‘The Role of </w:t>
      </w:r>
      <w:r>
        <w:rPr>
          <w:sz w:val="18"/>
          <w:szCs w:val="18"/>
        </w:rPr>
        <w:t>Equity</w:t>
      </w:r>
      <w:r w:rsidRPr="00F43F79">
        <w:rPr>
          <w:sz w:val="18"/>
          <w:szCs w:val="18"/>
        </w:rPr>
        <w:t xml:space="preserve"> in </w:t>
      </w:r>
      <w:r>
        <w:rPr>
          <w:sz w:val="18"/>
          <w:szCs w:val="18"/>
        </w:rPr>
        <w:t>International Law</w:t>
      </w:r>
      <w:r w:rsidRPr="00F43F79">
        <w:rPr>
          <w:sz w:val="18"/>
          <w:szCs w:val="18"/>
        </w:rPr>
        <w:t xml:space="preserve">’ (1989) 12 Australian Yearbook of </w:t>
      </w:r>
      <w:r>
        <w:rPr>
          <w:sz w:val="18"/>
          <w:szCs w:val="18"/>
        </w:rPr>
        <w:t>International Law</w:t>
      </w:r>
      <w:r w:rsidRPr="00F43F79">
        <w:rPr>
          <w:sz w:val="18"/>
          <w:szCs w:val="18"/>
        </w:rPr>
        <w:t xml:space="preserve"> 54, 73.</w:t>
      </w:r>
      <w:r w:rsidRPr="00F43F79">
        <w:rPr>
          <w:sz w:val="18"/>
          <w:szCs w:val="18"/>
        </w:rPr>
        <w:fldChar w:fldCharType="end"/>
      </w:r>
    </w:p>
  </w:footnote>
  <w:footnote w:id="18">
    <w:p w14:paraId="3EBF6FC6" w14:textId="75A32801" w:rsidR="008A77A6" w:rsidRPr="001B188D"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Pr>
          <w:sz w:val="18"/>
          <w:szCs w:val="18"/>
          <w:lang w:val="fr-FR"/>
        </w:rPr>
        <w:t xml:space="preserve"> Le terme “entretien” inclut</w:t>
      </w:r>
      <w:r w:rsidRPr="001B188D">
        <w:rPr>
          <w:sz w:val="18"/>
          <w:szCs w:val="18"/>
          <w:lang w:val="fr-FR"/>
        </w:rPr>
        <w:t xml:space="preserve"> des communications semi-structuré</w:t>
      </w:r>
      <w:r>
        <w:rPr>
          <w:sz w:val="18"/>
          <w:szCs w:val="18"/>
          <w:lang w:val="fr-FR"/>
        </w:rPr>
        <w:t>es et non structurées effectuées au télé</w:t>
      </w:r>
      <w:r w:rsidRPr="001B188D">
        <w:rPr>
          <w:sz w:val="18"/>
          <w:szCs w:val="18"/>
          <w:lang w:val="fr-FR"/>
        </w:rPr>
        <w:t xml:space="preserve">phone, </w:t>
      </w:r>
      <w:r>
        <w:rPr>
          <w:sz w:val="18"/>
          <w:szCs w:val="18"/>
          <w:lang w:val="fr-FR"/>
        </w:rPr>
        <w:t xml:space="preserve">par courriel et </w:t>
      </w:r>
      <w:r w:rsidRPr="001B188D">
        <w:rPr>
          <w:sz w:val="18"/>
          <w:szCs w:val="18"/>
          <w:lang w:val="fr-FR"/>
        </w:rPr>
        <w:t>autres form</w:t>
      </w:r>
      <w:r>
        <w:rPr>
          <w:sz w:val="18"/>
          <w:szCs w:val="18"/>
          <w:lang w:val="fr-FR"/>
        </w:rPr>
        <w:t xml:space="preserve">es de </w:t>
      </w:r>
      <w:r w:rsidRPr="001B188D">
        <w:rPr>
          <w:sz w:val="18"/>
          <w:szCs w:val="18"/>
          <w:lang w:val="fr-FR"/>
        </w:rPr>
        <w:t>communication</w:t>
      </w:r>
      <w:r>
        <w:rPr>
          <w:sz w:val="18"/>
          <w:szCs w:val="18"/>
          <w:lang w:val="fr-FR"/>
        </w:rPr>
        <w:t xml:space="preserve"> électronique</w:t>
      </w:r>
      <w:r w:rsidRPr="001B188D">
        <w:rPr>
          <w:sz w:val="18"/>
          <w:szCs w:val="18"/>
          <w:lang w:val="fr-FR"/>
        </w:rPr>
        <w:t>,</w:t>
      </w:r>
      <w:r>
        <w:rPr>
          <w:sz w:val="18"/>
          <w:szCs w:val="18"/>
          <w:lang w:val="fr-FR"/>
        </w:rPr>
        <w:t xml:space="preserve"> ainsi qu’en</w:t>
      </w:r>
      <w:r w:rsidRPr="001B188D">
        <w:rPr>
          <w:sz w:val="18"/>
          <w:szCs w:val="18"/>
          <w:lang w:val="fr-FR"/>
        </w:rPr>
        <w:t xml:space="preserve"> person</w:t>
      </w:r>
      <w:r>
        <w:rPr>
          <w:sz w:val="18"/>
          <w:szCs w:val="18"/>
          <w:lang w:val="fr-FR"/>
        </w:rPr>
        <w:t>ne. Les informations provenant d’</w:t>
      </w:r>
      <w:r w:rsidRPr="001B188D">
        <w:rPr>
          <w:sz w:val="18"/>
          <w:szCs w:val="18"/>
          <w:lang w:val="fr-FR"/>
        </w:rPr>
        <w:t>entretien</w:t>
      </w:r>
      <w:r>
        <w:rPr>
          <w:sz w:val="18"/>
          <w:szCs w:val="18"/>
          <w:lang w:val="fr-FR"/>
        </w:rPr>
        <w:t xml:space="preserve">s sont indiquées dans la présent </w:t>
      </w:r>
      <w:r w:rsidRPr="001B188D">
        <w:rPr>
          <w:sz w:val="18"/>
          <w:szCs w:val="18"/>
          <w:lang w:val="fr-FR"/>
        </w:rPr>
        <w:t>étude</w:t>
      </w:r>
      <w:r>
        <w:rPr>
          <w:sz w:val="18"/>
          <w:szCs w:val="18"/>
          <w:lang w:val="fr-FR"/>
        </w:rPr>
        <w:t xml:space="preserve"> par les termes </w:t>
      </w:r>
      <w:r w:rsidRPr="001B188D">
        <w:rPr>
          <w:sz w:val="18"/>
          <w:szCs w:val="18"/>
          <w:lang w:val="fr-FR"/>
        </w:rPr>
        <w:t>[</w:t>
      </w:r>
      <w:r>
        <w:rPr>
          <w:sz w:val="18"/>
          <w:szCs w:val="18"/>
          <w:lang w:val="fr-FR"/>
        </w:rPr>
        <w:t>personne ayant mené l’entretien</w:t>
      </w:r>
      <w:r w:rsidRPr="001B188D">
        <w:rPr>
          <w:sz w:val="18"/>
          <w:szCs w:val="18"/>
          <w:lang w:val="fr-FR"/>
        </w:rPr>
        <w:t>], [</w:t>
      </w:r>
      <w:r>
        <w:rPr>
          <w:sz w:val="18"/>
          <w:szCs w:val="18"/>
          <w:lang w:val="fr-FR"/>
        </w:rPr>
        <w:t>personne interviewée], [descripteur, lorsque la personne souhaite conserver l’anonymat], ainsi que la date de l’</w:t>
      </w:r>
      <w:r w:rsidRPr="001B188D">
        <w:rPr>
          <w:sz w:val="18"/>
          <w:szCs w:val="18"/>
          <w:lang w:val="fr-FR"/>
        </w:rPr>
        <w:t>entretien.</w:t>
      </w:r>
      <w:r w:rsidRPr="001B188D" w:rsidDel="00A727A1">
        <w:rPr>
          <w:sz w:val="18"/>
          <w:szCs w:val="18"/>
          <w:lang w:val="fr-FR"/>
        </w:rPr>
        <w:t xml:space="preserve"> </w:t>
      </w:r>
      <w:r w:rsidRPr="001B188D">
        <w:rPr>
          <w:sz w:val="18"/>
          <w:szCs w:val="18"/>
          <w:lang w:val="fr-FR"/>
        </w:rPr>
        <w:t xml:space="preserve">Les auteurs de l’étude </w:t>
      </w:r>
      <w:r>
        <w:rPr>
          <w:sz w:val="18"/>
          <w:szCs w:val="18"/>
          <w:lang w:val="fr-FR"/>
        </w:rPr>
        <w:t>ont sélectionné pour ces</w:t>
      </w:r>
      <w:r w:rsidRPr="001B188D">
        <w:rPr>
          <w:sz w:val="18"/>
          <w:szCs w:val="18"/>
          <w:lang w:val="fr-FR"/>
        </w:rPr>
        <w:t xml:space="preserve"> entretiens, </w:t>
      </w:r>
      <w:r>
        <w:rPr>
          <w:sz w:val="18"/>
          <w:szCs w:val="18"/>
          <w:lang w:val="fr-FR"/>
        </w:rPr>
        <w:t>compte tenu des contraintes de temps</w:t>
      </w:r>
      <w:r w:rsidRPr="001B188D">
        <w:rPr>
          <w:sz w:val="18"/>
          <w:szCs w:val="18"/>
          <w:lang w:val="fr-FR"/>
        </w:rPr>
        <w:t xml:space="preserve">, </w:t>
      </w:r>
      <w:r>
        <w:rPr>
          <w:sz w:val="18"/>
          <w:szCs w:val="18"/>
          <w:lang w:val="fr-FR"/>
        </w:rPr>
        <w:t xml:space="preserve">des </w:t>
      </w:r>
      <w:r w:rsidRPr="001B188D">
        <w:rPr>
          <w:sz w:val="18"/>
          <w:szCs w:val="18"/>
          <w:lang w:val="fr-FR"/>
        </w:rPr>
        <w:t xml:space="preserve">experts </w:t>
      </w:r>
      <w:r>
        <w:rPr>
          <w:sz w:val="18"/>
          <w:szCs w:val="18"/>
          <w:lang w:val="fr-FR"/>
        </w:rPr>
        <w:t xml:space="preserve">considérés comme ayant les informations requises sur des </w:t>
      </w:r>
      <w:r w:rsidRPr="001B188D">
        <w:rPr>
          <w:sz w:val="18"/>
          <w:szCs w:val="18"/>
          <w:lang w:val="fr-FR"/>
        </w:rPr>
        <w:t>cas spécifiques</w:t>
      </w:r>
      <w:r>
        <w:rPr>
          <w:sz w:val="18"/>
          <w:szCs w:val="18"/>
          <w:lang w:val="fr-FR"/>
        </w:rPr>
        <w:t xml:space="preserve"> relevant du mandat de l’étude</w:t>
      </w:r>
      <w:r w:rsidRPr="001B188D">
        <w:rPr>
          <w:sz w:val="18"/>
          <w:szCs w:val="18"/>
          <w:lang w:val="fr-FR"/>
        </w:rPr>
        <w:t>.</w:t>
      </w:r>
    </w:p>
  </w:footnote>
  <w:footnote w:id="19">
    <w:p w14:paraId="512FCFC7" w14:textId="7ED91317" w:rsidR="008A77A6" w:rsidRPr="00B914D2"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sidRPr="00B914D2">
        <w:rPr>
          <w:sz w:val="18"/>
          <w:szCs w:val="18"/>
          <w:lang w:val="fr-FR"/>
        </w:rPr>
        <w:t xml:space="preserve"> </w:t>
      </w:r>
      <w:r w:rsidRPr="00F43F79">
        <w:rPr>
          <w:sz w:val="18"/>
          <w:szCs w:val="18"/>
        </w:rPr>
        <w:fldChar w:fldCharType="begin"/>
      </w:r>
      <w:r w:rsidRPr="00B914D2">
        <w:rPr>
          <w:sz w:val="18"/>
          <w:szCs w:val="18"/>
          <w:lang w:val="fr-FR"/>
        </w:rPr>
        <w:instrText xml:space="preserve"> ADDIN ZOTERO_ITEM CSL_CITATION {"citationID":"IbHRQ49U","properties":{"formattedCitation":"Secretariat of the Convention on Biological Diversity, \\uc0\\u8216{}What Has Been Done on the Need for and Modalities of a Global Multilateral Benefit-Sharing Mechanism? Developments since the Entry into Force of the Protocol\\uc0\\u8217{} (15 April 2019) &lt;http://www.cbd.int/abs/art10-whatdone.shtml&gt; accessed 28 February 2020.","plainCitation":"Secretariat of the Convention on Biological Diversity, ‘What Has Been Done on the Need for and Modalities of a Global Multilateral Benefit-Sharing Mechanism? Developments since the Entry into Force of the Protocol’ (15 April 2019) &lt;http://www.cbd.int/abs/art10-whatdone.shtml&gt; accessed 28 February 2020.","noteIndex":13},"citationItems":[{"id":616,"uris":["http://zotero.org/users/local/dU5rpCrq/items/VAEPVTN7"],"uri":["http://zotero.org/users/local/dU5rpCrq/items/VAEPVTN7"],"itemData":{"id":616,"type":"webpage","multi":{"main":{},"_keys":{}},"title":"What has been done on the need for and modalities of a global multilateral benefit-sharing mechanism? Developments since the entry into force of the Protocol","URL":"http://www.cbd.int/abs/art10-whatdone.shtml","author":[{"family":"Secretariat of the Convention on Biological Diversity","given":"","literal":"Secretariat of the Convention on Biological Diversity","multi":{"_key":{}}}],"accessed":{"date-parts":[["2020",2,28]]},"issued":{"date-parts":[["2019",4,15]]},"seeAlso":[]}}],"schema":"https://github.com/citation-style-language/schema/raw/master/csl-citation.json"} </w:instrText>
      </w:r>
      <w:r w:rsidRPr="00F43F79">
        <w:rPr>
          <w:sz w:val="18"/>
          <w:szCs w:val="18"/>
        </w:rPr>
        <w:fldChar w:fldCharType="separate"/>
      </w:r>
      <w:r w:rsidRPr="00B914D2">
        <w:rPr>
          <w:sz w:val="18"/>
          <w:szCs w:val="18"/>
          <w:lang w:val="fr-FR"/>
        </w:rPr>
        <w:t>Secrétariat de la Convention sur la diversité biologiq</w:t>
      </w:r>
      <w:r>
        <w:rPr>
          <w:sz w:val="18"/>
          <w:szCs w:val="18"/>
          <w:lang w:val="fr-FR"/>
        </w:rPr>
        <w:t>ue, ‘Qu'est-ce qui a été accompli concernant</w:t>
      </w:r>
      <w:r w:rsidRPr="00B914D2">
        <w:rPr>
          <w:sz w:val="18"/>
          <w:szCs w:val="18"/>
          <w:lang w:val="fr-FR"/>
        </w:rPr>
        <w:t xml:space="preserve"> la n</w:t>
      </w:r>
      <w:r>
        <w:rPr>
          <w:sz w:val="18"/>
          <w:szCs w:val="18"/>
          <w:lang w:val="fr-FR"/>
        </w:rPr>
        <w:t>écessité et l</w:t>
      </w:r>
      <w:r w:rsidRPr="00B914D2">
        <w:rPr>
          <w:sz w:val="18"/>
          <w:szCs w:val="18"/>
          <w:lang w:val="fr-FR"/>
        </w:rPr>
        <w:t>es modalités d'un mécanisme multilatéral mondial de partage des avantages? Développements depuis l</w:t>
      </w:r>
      <w:r>
        <w:rPr>
          <w:sz w:val="18"/>
          <w:szCs w:val="18"/>
          <w:lang w:val="fr-FR"/>
        </w:rPr>
        <w:t>'entrée en vigueur du Protocole’ (15 av</w:t>
      </w:r>
      <w:r w:rsidRPr="00B914D2">
        <w:rPr>
          <w:sz w:val="18"/>
          <w:szCs w:val="18"/>
          <w:lang w:val="fr-FR"/>
        </w:rPr>
        <w:t>ril 2019) &lt;http://www.cbd.int/abs/art10-whatdone.shtml&gt; consulté le 28 février 2020.</w:t>
      </w:r>
      <w:r w:rsidRPr="00F43F79">
        <w:rPr>
          <w:sz w:val="18"/>
          <w:szCs w:val="18"/>
        </w:rPr>
        <w:fldChar w:fldCharType="end"/>
      </w:r>
    </w:p>
  </w:footnote>
  <w:footnote w:id="20">
    <w:p w14:paraId="1E8DA937" w14:textId="39E3398C" w:rsidR="008A77A6" w:rsidRPr="00B914D2" w:rsidRDefault="008A77A6" w:rsidP="00F43F79">
      <w:pPr>
        <w:spacing w:before="20" w:after="20"/>
        <w:ind w:left="284" w:hanging="288"/>
        <w:rPr>
          <w:rFonts w:cs="Times New Roman"/>
          <w:color w:val="000000" w:themeColor="text1"/>
          <w:sz w:val="18"/>
          <w:szCs w:val="18"/>
          <w:lang w:val="fr-FR"/>
        </w:rPr>
      </w:pPr>
      <w:r w:rsidRPr="00F43F79">
        <w:rPr>
          <w:rStyle w:val="FootnoteReference"/>
          <w:rFonts w:cs="Times New Roman"/>
          <w:sz w:val="18"/>
          <w:szCs w:val="18"/>
        </w:rPr>
        <w:footnoteRef/>
      </w:r>
      <w:r w:rsidRPr="00B914D2">
        <w:rPr>
          <w:rFonts w:cs="Times New Roman"/>
          <w:sz w:val="18"/>
          <w:szCs w:val="18"/>
          <w:lang w:val="fr-FR"/>
        </w:rPr>
        <w:t xml:space="preserve"> </w:t>
      </w:r>
      <w:r w:rsidRPr="00F43F79">
        <w:rPr>
          <w:rFonts w:cs="Times New Roman"/>
          <w:color w:val="000000" w:themeColor="text1"/>
          <w:sz w:val="18"/>
          <w:szCs w:val="18"/>
        </w:rPr>
        <w:fldChar w:fldCharType="begin"/>
      </w:r>
      <w:r w:rsidRPr="00B914D2">
        <w:rPr>
          <w:rFonts w:cs="Times New Roman"/>
          <w:color w:val="000000" w:themeColor="text1"/>
          <w:sz w:val="18"/>
          <w:szCs w:val="18"/>
          <w:lang w:val="fr-FR"/>
        </w:rPr>
        <w:instrText xml:space="preserve"> ADDIN ZOTERO_ITEM CSL_CITATION {"citationID":"cumFBeYQ","properties":{"formattedCitation":"Secretariat of the Convention on Biological Diversity, \\uc0\\u8216{}Synthesis of the Online Discussions on Article 10 of the Nagoya Protocol on Access and Benefit-Sharing\\uc0\\u8217{} (8 January 2014).","plainCitation":"Secretariat of the Convention on Biological Diversity, ‘Synthesis of the Online Discussions on Article 10 of the Nagoya Protocol on Access and Benefit-Sharing’ (8 January 2014).","noteIndex":14},"citationItems":[{"id":617,"uris":["http://zotero.org/users/local/dU5rpCrq/items/Y5F9DDC7"],"uri":["http://zotero.org/users/local/dU5rpCrq/items/Y5F9DDC7"],"itemData":{"id":617,"type":"article","multi":{"main":{},"_keys":{}},"title":"Synthesis of the Online Discussions on Article 10 of the Nagoya Protocol on Access and Benefit-Sharing","author":[{"family":"Secretariat of the Convention on Biological Diversity","given":"","literal":"Secretariat of the Convention on Biological Diversity","multi":{"_key":{}}}],"issued":{"date-parts":[["2014",1,8]]},"seeAlso":[]}}],"schema":"https://github.com/citation-style-language/schema/raw/master/csl-citation.json"} </w:instrText>
      </w:r>
      <w:r w:rsidRPr="00F43F79">
        <w:rPr>
          <w:rFonts w:cs="Times New Roman"/>
          <w:color w:val="000000" w:themeColor="text1"/>
          <w:sz w:val="18"/>
          <w:szCs w:val="18"/>
        </w:rPr>
        <w:fldChar w:fldCharType="separate"/>
      </w:r>
      <w:r w:rsidRPr="00B914D2">
        <w:rPr>
          <w:rFonts w:cs="Times New Roman"/>
          <w:sz w:val="18"/>
          <w:szCs w:val="18"/>
          <w:lang w:val="fr-FR"/>
        </w:rPr>
        <w:t>Secrétariat de la Convention sur la diversité biologique, ‘Synthèse</w:t>
      </w:r>
      <w:r>
        <w:rPr>
          <w:rFonts w:cs="Times New Roman"/>
          <w:sz w:val="18"/>
          <w:szCs w:val="18"/>
          <w:lang w:val="fr-FR"/>
        </w:rPr>
        <w:t xml:space="preserve"> des débats en ligne sur l'a</w:t>
      </w:r>
      <w:r w:rsidRPr="00B914D2">
        <w:rPr>
          <w:rFonts w:cs="Times New Roman"/>
          <w:sz w:val="18"/>
          <w:szCs w:val="18"/>
          <w:lang w:val="fr-FR"/>
        </w:rPr>
        <w:t>r</w:t>
      </w:r>
      <w:r>
        <w:rPr>
          <w:rFonts w:cs="Times New Roman"/>
          <w:sz w:val="18"/>
          <w:szCs w:val="18"/>
          <w:lang w:val="fr-FR"/>
        </w:rPr>
        <w:t xml:space="preserve">ticle 10 du Protocole de </w:t>
      </w:r>
      <w:r w:rsidRPr="00B914D2">
        <w:rPr>
          <w:rFonts w:cs="Times New Roman"/>
          <w:sz w:val="18"/>
          <w:szCs w:val="18"/>
          <w:lang w:val="fr-FR"/>
        </w:rPr>
        <w:t>Nagoya</w:t>
      </w:r>
      <w:r>
        <w:rPr>
          <w:rFonts w:cs="Times New Roman"/>
          <w:sz w:val="18"/>
          <w:szCs w:val="18"/>
          <w:lang w:val="fr-FR"/>
        </w:rPr>
        <w:t xml:space="preserve"> sur l'accès et le partage des avantages</w:t>
      </w:r>
      <w:r w:rsidRPr="00B914D2">
        <w:rPr>
          <w:rFonts w:cs="Times New Roman"/>
          <w:sz w:val="18"/>
          <w:szCs w:val="18"/>
          <w:lang w:val="fr-FR"/>
        </w:rPr>
        <w:t>’ (8 janvier 2014).</w:t>
      </w:r>
      <w:r w:rsidRPr="00F43F79">
        <w:rPr>
          <w:rFonts w:cs="Times New Roman"/>
          <w:color w:val="000000" w:themeColor="text1"/>
          <w:sz w:val="18"/>
          <w:szCs w:val="18"/>
        </w:rPr>
        <w:fldChar w:fldCharType="end"/>
      </w:r>
    </w:p>
  </w:footnote>
  <w:footnote w:id="21">
    <w:p w14:paraId="3BA15422" w14:textId="33106D8A" w:rsidR="008A77A6" w:rsidRPr="0020703A" w:rsidRDefault="008A77A6" w:rsidP="00F43F79">
      <w:pPr>
        <w:spacing w:before="20" w:after="20"/>
        <w:ind w:left="284" w:hanging="288"/>
        <w:rPr>
          <w:rFonts w:cs="Times New Roman"/>
          <w:color w:val="000000" w:themeColor="text1"/>
          <w:sz w:val="18"/>
          <w:szCs w:val="18"/>
          <w:lang w:val="fr-FR"/>
        </w:rPr>
      </w:pPr>
      <w:r w:rsidRPr="00F43F79">
        <w:rPr>
          <w:rStyle w:val="FootnoteReference"/>
          <w:rFonts w:cs="Times New Roman"/>
          <w:sz w:val="18"/>
          <w:szCs w:val="18"/>
        </w:rPr>
        <w:footnoteRef/>
      </w:r>
      <w:r w:rsidRPr="0020703A">
        <w:rPr>
          <w:rFonts w:cs="Times New Roman"/>
          <w:sz w:val="18"/>
          <w:szCs w:val="18"/>
          <w:lang w:val="fr-FR"/>
        </w:rPr>
        <w:t xml:space="preserve"> </w:t>
      </w:r>
      <w:r w:rsidRPr="00F43F79">
        <w:rPr>
          <w:rFonts w:cs="Times New Roman"/>
          <w:color w:val="000000" w:themeColor="text1"/>
          <w:sz w:val="18"/>
          <w:szCs w:val="18"/>
        </w:rPr>
        <w:fldChar w:fldCharType="begin"/>
      </w:r>
      <w:r w:rsidRPr="0020703A">
        <w:rPr>
          <w:rFonts w:cs="Times New Roman"/>
          <w:color w:val="000000" w:themeColor="text1"/>
          <w:sz w:val="18"/>
          <w:szCs w:val="18"/>
          <w:lang w:val="fr-FR"/>
        </w:rPr>
        <w:instrText xml:space="preserve"> ADDIN ZOTERO_ITEM CSL_CITATION {"citationID":"PI2XNPCz","properties":{"formattedCitation":"Secretariat of the Convention on Biological Diversity, \\uc0\\u8216{}Report of the Expert Meeting on Article 10 of the Nagoya Protocol on Access and Benefit-Sharing\\uc0\\u8217{} (19 September 2013).","plainCitation":"Secretariat of the Convention on Biological Diversity, ‘Report of the Expert Meeting on Article 10 of the Nagoya Protocol on Access and Benefit-Sharing’ (19 September 2013).","noteIndex":15},"citationItems":[{"id":618,"uris":["http://zotero.org/users/local/dU5rpCrq/items/ETEYVZP4"],"uri":["http://zotero.org/users/local/dU5rpCrq/items/ETEYVZP4"],"itemData":{"id":618,"type":"article","multi":{"main":{},"_keys":{}},"title":"Report of the Expert Meeting on Article 10 of the Nagoya Protocol on Access and Benefit-Sharing","author":[{"family":"Secretariat of the Convention on Biological Diversity","given":"","literal":"Secretariat of the Convention on Biological Diversity","multi":{"_key":{}}}],"issued":{"date-parts":[["2013",9,19]]},"seeAlso":[]}}],"schema":"https://github.com/citation-style-language/schema/raw/master/csl-citation.json"} </w:instrText>
      </w:r>
      <w:r w:rsidRPr="00F43F79">
        <w:rPr>
          <w:rFonts w:cs="Times New Roman"/>
          <w:color w:val="000000" w:themeColor="text1"/>
          <w:sz w:val="18"/>
          <w:szCs w:val="18"/>
        </w:rPr>
        <w:fldChar w:fldCharType="separate"/>
      </w:r>
      <w:r w:rsidRPr="0020703A">
        <w:rPr>
          <w:rFonts w:cs="Times New Roman"/>
          <w:sz w:val="18"/>
          <w:szCs w:val="18"/>
          <w:lang w:val="fr-FR"/>
        </w:rPr>
        <w:t xml:space="preserve">Secrétariat </w:t>
      </w:r>
      <w:r>
        <w:rPr>
          <w:rFonts w:cs="Times New Roman"/>
          <w:sz w:val="18"/>
          <w:szCs w:val="18"/>
          <w:lang w:val="fr-FR"/>
        </w:rPr>
        <w:t>de la Convention</w:t>
      </w:r>
      <w:r w:rsidRPr="0020703A">
        <w:rPr>
          <w:rFonts w:cs="Times New Roman"/>
          <w:sz w:val="18"/>
          <w:szCs w:val="18"/>
          <w:lang w:val="fr-FR"/>
        </w:rPr>
        <w:t xml:space="preserve"> sur la diversité biologique, ‘</w:t>
      </w:r>
      <w:r>
        <w:rPr>
          <w:rFonts w:cs="Times New Roman"/>
          <w:sz w:val="18"/>
          <w:szCs w:val="18"/>
          <w:lang w:val="fr-FR"/>
        </w:rPr>
        <w:t>Rapport de la r</w:t>
      </w:r>
      <w:r w:rsidRPr="0020703A">
        <w:rPr>
          <w:rFonts w:cs="Times New Roman"/>
          <w:sz w:val="18"/>
          <w:szCs w:val="18"/>
          <w:lang w:val="fr-FR"/>
        </w:rPr>
        <w:t xml:space="preserve">éunion </w:t>
      </w:r>
      <w:r>
        <w:rPr>
          <w:rFonts w:cs="Times New Roman"/>
          <w:sz w:val="18"/>
          <w:szCs w:val="18"/>
          <w:lang w:val="fr-FR"/>
        </w:rPr>
        <w:t>du Groupe d'experts sur l’article</w:t>
      </w:r>
      <w:r w:rsidRPr="0020703A">
        <w:rPr>
          <w:rFonts w:cs="Times New Roman"/>
          <w:sz w:val="18"/>
          <w:szCs w:val="18"/>
          <w:lang w:val="fr-FR"/>
        </w:rPr>
        <w:t xml:space="preserve"> 10 </w:t>
      </w:r>
      <w:r>
        <w:rPr>
          <w:rFonts w:cs="Times New Roman"/>
          <w:sz w:val="18"/>
          <w:szCs w:val="18"/>
          <w:lang w:val="fr-FR"/>
        </w:rPr>
        <w:t>du Pro</w:t>
      </w:r>
      <w:r w:rsidRPr="0020703A">
        <w:rPr>
          <w:rFonts w:cs="Times New Roman"/>
          <w:sz w:val="18"/>
          <w:szCs w:val="18"/>
          <w:lang w:val="fr-FR"/>
        </w:rPr>
        <w:t>tocole de Nagoya sur l’accès et</w:t>
      </w:r>
      <w:r>
        <w:rPr>
          <w:rFonts w:cs="Times New Roman"/>
          <w:sz w:val="18"/>
          <w:szCs w:val="18"/>
          <w:lang w:val="fr-FR"/>
        </w:rPr>
        <w:t xml:space="preserve"> le partage des avantages’ (19 septemb</w:t>
      </w:r>
      <w:r w:rsidRPr="0020703A">
        <w:rPr>
          <w:rFonts w:cs="Times New Roman"/>
          <w:sz w:val="18"/>
          <w:szCs w:val="18"/>
          <w:lang w:val="fr-FR"/>
        </w:rPr>
        <w:t>r</w:t>
      </w:r>
      <w:r>
        <w:rPr>
          <w:rFonts w:cs="Times New Roman"/>
          <w:sz w:val="18"/>
          <w:szCs w:val="18"/>
          <w:lang w:val="fr-FR"/>
        </w:rPr>
        <w:t>e</w:t>
      </w:r>
      <w:r w:rsidRPr="0020703A">
        <w:rPr>
          <w:rFonts w:cs="Times New Roman"/>
          <w:sz w:val="18"/>
          <w:szCs w:val="18"/>
          <w:lang w:val="fr-FR"/>
        </w:rPr>
        <w:t xml:space="preserve"> 2013).</w:t>
      </w:r>
      <w:r w:rsidRPr="00F43F79">
        <w:rPr>
          <w:rFonts w:cs="Times New Roman"/>
          <w:color w:val="000000" w:themeColor="text1"/>
          <w:sz w:val="18"/>
          <w:szCs w:val="18"/>
        </w:rPr>
        <w:fldChar w:fldCharType="end"/>
      </w:r>
    </w:p>
  </w:footnote>
  <w:footnote w:id="22">
    <w:p w14:paraId="021B13D6" w14:textId="185C96C3" w:rsidR="008A77A6" w:rsidRPr="0020703A"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20703A">
        <w:rPr>
          <w:sz w:val="18"/>
          <w:szCs w:val="18"/>
          <w:lang w:val="fr-FR"/>
        </w:rPr>
        <w:t xml:space="preserve"> </w:t>
      </w:r>
      <w:r w:rsidRPr="00F43F79">
        <w:rPr>
          <w:sz w:val="18"/>
          <w:szCs w:val="18"/>
        </w:rPr>
        <w:fldChar w:fldCharType="begin"/>
      </w:r>
      <w:r w:rsidRPr="0020703A">
        <w:rPr>
          <w:sz w:val="18"/>
          <w:szCs w:val="18"/>
          <w:lang w:val="fr-FR"/>
        </w:rPr>
        <w:instrText xml:space="preserve"> ADDIN ZOTERO_ITEM CSL_CITATION {"citationID":"gbJnw8kI","properties":{"formattedCitation":"Secretariat of the Convention on Biological Diversity, \\uc0\\u8216{}Synthesis of Views Pursuant to Decision NP-1/10\\uc0\\u8217{} (14 December 2015).","plainCitation":"Secretariat of the Convention on Biological Diversity, ‘Synthesis of Views Pursuant to Decision NP-1/10’ (14 December 2015).","noteIndex":16},"citationItems":[{"id":619,"uris":["http://zotero.org/users/local/dU5rpCrq/items/VH5JIIQ3"],"uri":["http://zotero.org/users/local/dU5rpCrq/items/VH5JIIQ3"],"itemData":{"id":619,"type":"article","multi":{"main":{},"_keys":{}},"title":"Synthesis of Views Pursuant to Decision NP-1/10","author":[{"family":"Secretariat of the Convention on Biological Diversity","given":"","literal":"Secretariat of the Convention on Biological Diversity","multi":{"_key":{}}}],"issued":{"date-parts":[["2015",12,14]]},"seeAlso":[]}}],"schema":"https://github.com/citation-style-language/schema/raw/master/csl-citation.json"} </w:instrText>
      </w:r>
      <w:r w:rsidRPr="00F43F79">
        <w:rPr>
          <w:sz w:val="18"/>
          <w:szCs w:val="18"/>
        </w:rPr>
        <w:fldChar w:fldCharType="separate"/>
      </w:r>
      <w:r w:rsidRPr="0020703A">
        <w:rPr>
          <w:sz w:val="18"/>
          <w:szCs w:val="18"/>
          <w:lang w:val="fr-FR"/>
        </w:rPr>
        <w:t xml:space="preserve">Secrétariat </w:t>
      </w:r>
      <w:r>
        <w:rPr>
          <w:sz w:val="18"/>
          <w:szCs w:val="18"/>
          <w:lang w:val="fr-FR"/>
        </w:rPr>
        <w:t>de la Convention</w:t>
      </w:r>
      <w:r w:rsidRPr="0020703A">
        <w:rPr>
          <w:sz w:val="18"/>
          <w:szCs w:val="18"/>
          <w:lang w:val="fr-FR"/>
        </w:rPr>
        <w:t xml:space="preserve"> sur la diversité biologique, ‘</w:t>
      </w:r>
      <w:r>
        <w:rPr>
          <w:sz w:val="18"/>
          <w:szCs w:val="18"/>
          <w:lang w:val="fr-FR"/>
        </w:rPr>
        <w:t>Synthèse des points de vue communiqués en réponse à la décision</w:t>
      </w:r>
      <w:r w:rsidRPr="0020703A">
        <w:rPr>
          <w:sz w:val="18"/>
          <w:szCs w:val="18"/>
          <w:lang w:val="fr-FR"/>
        </w:rPr>
        <w:t xml:space="preserve"> </w:t>
      </w:r>
      <w:r>
        <w:rPr>
          <w:sz w:val="18"/>
          <w:szCs w:val="18"/>
          <w:lang w:val="fr-FR"/>
        </w:rPr>
        <w:t>1/10 sur les produits naturels’ (14 décembre</w:t>
      </w:r>
      <w:r w:rsidRPr="0020703A">
        <w:rPr>
          <w:sz w:val="18"/>
          <w:szCs w:val="18"/>
          <w:lang w:val="fr-FR"/>
        </w:rPr>
        <w:t xml:space="preserve"> 2015).</w:t>
      </w:r>
      <w:r w:rsidRPr="00F43F79">
        <w:rPr>
          <w:sz w:val="18"/>
          <w:szCs w:val="18"/>
        </w:rPr>
        <w:fldChar w:fldCharType="end"/>
      </w:r>
    </w:p>
  </w:footnote>
  <w:footnote w:id="23">
    <w:p w14:paraId="37257C30" w14:textId="79789CC4" w:rsidR="008A77A6" w:rsidRPr="0020703A"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20703A">
        <w:rPr>
          <w:sz w:val="18"/>
          <w:szCs w:val="18"/>
          <w:lang w:val="fr-FR"/>
        </w:rPr>
        <w:t xml:space="preserve"> </w:t>
      </w:r>
      <w:r w:rsidRPr="00F43F79">
        <w:rPr>
          <w:sz w:val="18"/>
          <w:szCs w:val="18"/>
        </w:rPr>
        <w:fldChar w:fldCharType="begin"/>
      </w:r>
      <w:r w:rsidRPr="0020703A">
        <w:rPr>
          <w:sz w:val="18"/>
          <w:szCs w:val="18"/>
          <w:lang w:val="fr-FR"/>
        </w:rPr>
        <w:instrText xml:space="preserve"> ADDIN ZOTERO_ITEM CSL_CITATION {"citationID":"ZZvaKdjt","properties":{"formattedCitation":"Secretariat of the Convention on Biological Diversity, \\uc0\\u8216{}Report of the Expert Group Meeting on Article 10 of the Nagoya Protocol on Access and Benefit-Sharing\\uc0\\u8217{} (3 February 2016).","plainCitation":"Secretariat of the Convention on Biological Diversity, ‘Report of the Expert Group Meeting on Article 10 of the Nagoya Protocol on Access and Benefit-Sharing’ (3 February 2016).","noteIndex":17},"citationItems":[{"id":620,"uris":["http://zotero.org/users/local/dU5rpCrq/items/ZZATBR7F"],"uri":["http://zotero.org/users/local/dU5rpCrq/items/ZZATBR7F"],"itemData":{"id":620,"type":"article","multi":{"main":{},"_keys":{}},"title":"Report of the Expert Group Meeting on Article 10 of the Nagoya Protocol on Access and Benefit-Sharing","author":[{"family":"Secretariat of the Convention on Biological Diversity","given":"","literal":"Secretariat of the Convention on Biological Diversity","multi":{"_key":{}}}],"issued":{"date-parts":[["2016",2,3]]},"seeAlso":[]}}],"schema":"https://github.com/citation-style-language/schema/raw/master/csl-citation.json"} </w:instrText>
      </w:r>
      <w:r w:rsidRPr="00F43F79">
        <w:rPr>
          <w:sz w:val="18"/>
          <w:szCs w:val="18"/>
        </w:rPr>
        <w:fldChar w:fldCharType="separate"/>
      </w:r>
      <w:r w:rsidRPr="0020703A">
        <w:rPr>
          <w:sz w:val="18"/>
          <w:szCs w:val="18"/>
          <w:lang w:val="fr-FR"/>
        </w:rPr>
        <w:t xml:space="preserve">Secrétariat </w:t>
      </w:r>
      <w:r>
        <w:rPr>
          <w:sz w:val="18"/>
          <w:szCs w:val="18"/>
          <w:lang w:val="fr-FR"/>
        </w:rPr>
        <w:t>de la Convention</w:t>
      </w:r>
      <w:r w:rsidRPr="0020703A">
        <w:rPr>
          <w:sz w:val="18"/>
          <w:szCs w:val="18"/>
          <w:lang w:val="fr-FR"/>
        </w:rPr>
        <w:t xml:space="preserve"> sur la diversité biologique, ‘</w:t>
      </w:r>
      <w:r>
        <w:rPr>
          <w:sz w:val="18"/>
          <w:szCs w:val="18"/>
          <w:lang w:val="fr-FR"/>
        </w:rPr>
        <w:t>Rapport</w:t>
      </w:r>
      <w:r w:rsidRPr="0020703A">
        <w:rPr>
          <w:sz w:val="18"/>
          <w:szCs w:val="18"/>
          <w:lang w:val="fr-FR"/>
        </w:rPr>
        <w:t xml:space="preserve"> </w:t>
      </w:r>
      <w:r>
        <w:rPr>
          <w:sz w:val="18"/>
          <w:szCs w:val="18"/>
          <w:lang w:val="fr-FR"/>
        </w:rPr>
        <w:t>de la réunion du Groupe d’experts</w:t>
      </w:r>
      <w:r w:rsidRPr="0020703A">
        <w:rPr>
          <w:sz w:val="18"/>
          <w:szCs w:val="18"/>
          <w:lang w:val="fr-FR"/>
        </w:rPr>
        <w:t xml:space="preserve"> </w:t>
      </w:r>
      <w:r>
        <w:rPr>
          <w:sz w:val="18"/>
          <w:szCs w:val="18"/>
          <w:lang w:val="fr-FR"/>
        </w:rPr>
        <w:t>sur l’article</w:t>
      </w:r>
      <w:r w:rsidRPr="0020703A">
        <w:rPr>
          <w:sz w:val="18"/>
          <w:szCs w:val="18"/>
          <w:lang w:val="fr-FR"/>
        </w:rPr>
        <w:t xml:space="preserve"> 10 </w:t>
      </w:r>
      <w:r>
        <w:rPr>
          <w:sz w:val="18"/>
          <w:szCs w:val="18"/>
          <w:lang w:val="fr-FR"/>
        </w:rPr>
        <w:t>du Pro</w:t>
      </w:r>
      <w:r w:rsidRPr="0020703A">
        <w:rPr>
          <w:sz w:val="18"/>
          <w:szCs w:val="18"/>
          <w:lang w:val="fr-FR"/>
        </w:rPr>
        <w:t xml:space="preserve">tocole de Nagoya sur l’accès et le partage des avantages’ (3 </w:t>
      </w:r>
      <w:r>
        <w:rPr>
          <w:sz w:val="18"/>
          <w:szCs w:val="18"/>
          <w:lang w:val="fr-FR"/>
        </w:rPr>
        <w:t>février</w:t>
      </w:r>
      <w:r w:rsidRPr="0020703A">
        <w:rPr>
          <w:sz w:val="18"/>
          <w:szCs w:val="18"/>
          <w:lang w:val="fr-FR"/>
        </w:rPr>
        <w:t xml:space="preserve"> 2016).</w:t>
      </w:r>
      <w:r w:rsidRPr="00F43F79">
        <w:rPr>
          <w:sz w:val="18"/>
          <w:szCs w:val="18"/>
        </w:rPr>
        <w:fldChar w:fldCharType="end"/>
      </w:r>
    </w:p>
  </w:footnote>
  <w:footnote w:id="24">
    <w:p w14:paraId="3419FD21" w14:textId="2764B2F5" w:rsidR="008A77A6" w:rsidRPr="00C82FE7" w:rsidRDefault="008A77A6" w:rsidP="00F43F79">
      <w:pPr>
        <w:spacing w:before="20" w:after="20"/>
        <w:ind w:left="284" w:hanging="288"/>
        <w:rPr>
          <w:rFonts w:cs="Times New Roman"/>
          <w:color w:val="000000" w:themeColor="text1"/>
          <w:sz w:val="18"/>
          <w:szCs w:val="18"/>
          <w:lang w:val="en-AU"/>
        </w:rPr>
      </w:pPr>
      <w:r w:rsidRPr="00F43F79">
        <w:rPr>
          <w:rStyle w:val="FootnoteReference"/>
          <w:rFonts w:cs="Times New Roman"/>
          <w:sz w:val="18"/>
          <w:szCs w:val="18"/>
        </w:rPr>
        <w:footnoteRef/>
      </w:r>
      <w:r w:rsidRPr="00C82FE7">
        <w:rPr>
          <w:rFonts w:cs="Times New Roman"/>
          <w:sz w:val="18"/>
          <w:szCs w:val="18"/>
          <w:lang w:val="en-AU"/>
        </w:rPr>
        <w:t xml:space="preserve"> </w:t>
      </w:r>
      <w:r w:rsidRPr="00F43F79">
        <w:rPr>
          <w:rFonts w:cs="Times New Roman"/>
          <w:sz w:val="18"/>
          <w:szCs w:val="18"/>
        </w:rPr>
        <w:fldChar w:fldCharType="begin"/>
      </w:r>
      <w:r w:rsidRPr="00C82FE7">
        <w:rPr>
          <w:rFonts w:cs="Times New Roman"/>
          <w:sz w:val="18"/>
          <w:szCs w:val="18"/>
          <w:lang w:val="en-AU"/>
        </w:rPr>
        <w:instrText xml:space="preserve"> ADDIN ZOTERO_ITEM CSL_CITATION {"citationID":"hK8jL0sE","properties":{"formattedCitation":"Elisa Morgera, \\uc0\\u8216{}Study on Experiences Gained with the Development and Implementation of the Nagoya Protocol and Other Multilateral Mechanisms and the Potential Relevance of Ongoing Work Undertaken by Other Processes, Including Case Studies\\uc0\\u8217{} (22 December 2015).","plainCitation":"Elisa Morgera, ‘Study on Experiences Gained with the Development and Implementation of the Nagoya Protocol and Other Multilateral Mechanisms and the Potential Relevance of Ongoing Work Undertaken by Other Processes, Including Case Studies’ (22 December 2015).","noteIndex":18},"citationItems":[{"id":621,"uris":["http://zotero.org/users/local/dU5rpCrq/items/5L7DRI7S"],"uri":["http://zotero.org/users/local/dU5rpCrq/items/5L7DRI7S"],"itemData":{"id":621,"type":"article","multi":{"main":{},"_keys":{}},"title":"Study on Experiences Gained with the Development and Implementation of the Nagoya Protocol and other Multilateral Mechanisms and the Potential Relevance of Ongoing Work Undertaken by Other Processes, including Case Studies","author":[{"family":"Morgera","given":"Elisa","multi":{"_key":{}}}],"issued":{"date-parts":[["2015",12,22]]},"seeAlso":[]}}],"schema":"https://github.com/citation-style-language/schema/raw/master/csl-citation.json"} </w:instrText>
      </w:r>
      <w:r w:rsidRPr="00F43F79">
        <w:rPr>
          <w:rFonts w:cs="Times New Roman"/>
          <w:sz w:val="18"/>
          <w:szCs w:val="18"/>
        </w:rPr>
        <w:fldChar w:fldCharType="separate"/>
      </w:r>
      <w:r w:rsidRPr="00C82FE7">
        <w:rPr>
          <w:rFonts w:cs="Times New Roman"/>
          <w:sz w:val="18"/>
          <w:szCs w:val="18"/>
          <w:lang w:val="en-AU"/>
        </w:rPr>
        <w:t>Elisa Morgera, ‘Study on Experience</w:t>
      </w:r>
      <w:r>
        <w:rPr>
          <w:rFonts w:cs="Times New Roman"/>
          <w:sz w:val="18"/>
          <w:szCs w:val="18"/>
          <w:lang w:val="en-AU"/>
        </w:rPr>
        <w:t>s Gained with the Development and</w:t>
      </w:r>
      <w:r w:rsidRPr="00C82FE7">
        <w:rPr>
          <w:rFonts w:cs="Times New Roman"/>
          <w:sz w:val="18"/>
          <w:szCs w:val="18"/>
          <w:lang w:val="en-AU"/>
        </w:rPr>
        <w:t xml:space="preserve"> Implementation of the Nagoya</w:t>
      </w:r>
      <w:r>
        <w:rPr>
          <w:rFonts w:cs="Times New Roman"/>
          <w:sz w:val="18"/>
          <w:szCs w:val="18"/>
          <w:lang w:val="en-AU"/>
        </w:rPr>
        <w:t xml:space="preserve"> Protocol and other </w:t>
      </w:r>
      <w:r w:rsidRPr="00C82FE7">
        <w:rPr>
          <w:rFonts w:cs="Times New Roman"/>
          <w:sz w:val="18"/>
          <w:szCs w:val="18"/>
          <w:lang w:val="en-AU"/>
        </w:rPr>
        <w:t>Multila</w:t>
      </w:r>
      <w:r>
        <w:rPr>
          <w:rFonts w:cs="Times New Roman"/>
          <w:sz w:val="18"/>
          <w:szCs w:val="18"/>
          <w:lang w:val="en-AU"/>
        </w:rPr>
        <w:t>teral Me</w:t>
      </w:r>
      <w:r w:rsidRPr="00C82FE7">
        <w:rPr>
          <w:rFonts w:cs="Times New Roman"/>
          <w:sz w:val="18"/>
          <w:szCs w:val="18"/>
          <w:lang w:val="en-AU"/>
        </w:rPr>
        <w:t>c</w:t>
      </w:r>
      <w:r>
        <w:rPr>
          <w:rFonts w:cs="Times New Roman"/>
          <w:sz w:val="18"/>
          <w:szCs w:val="18"/>
          <w:lang w:val="en-AU"/>
        </w:rPr>
        <w:t>hanisms and</w:t>
      </w:r>
      <w:r w:rsidRPr="00C82FE7">
        <w:rPr>
          <w:rFonts w:cs="Times New Roman"/>
          <w:sz w:val="18"/>
          <w:szCs w:val="18"/>
          <w:lang w:val="en-AU"/>
        </w:rPr>
        <w:t xml:space="preserve"> the Potential Relevance of Ongoing Work Undertaken by</w:t>
      </w:r>
      <w:r>
        <w:rPr>
          <w:rFonts w:cs="Times New Roman"/>
          <w:sz w:val="18"/>
          <w:szCs w:val="18"/>
          <w:lang w:val="en-AU"/>
        </w:rPr>
        <w:t xml:space="preserve"> other Processe</w:t>
      </w:r>
      <w:r w:rsidRPr="00C82FE7">
        <w:rPr>
          <w:rFonts w:cs="Times New Roman"/>
          <w:sz w:val="18"/>
          <w:szCs w:val="18"/>
          <w:lang w:val="en-AU"/>
        </w:rPr>
        <w:t>s</w:t>
      </w:r>
      <w:r>
        <w:rPr>
          <w:rFonts w:cs="Times New Roman"/>
          <w:sz w:val="18"/>
          <w:szCs w:val="18"/>
          <w:lang w:val="en-AU"/>
        </w:rPr>
        <w:t xml:space="preserve">, including </w:t>
      </w:r>
      <w:r w:rsidRPr="00C82FE7">
        <w:rPr>
          <w:rFonts w:cs="Times New Roman"/>
          <w:sz w:val="18"/>
          <w:szCs w:val="18"/>
          <w:lang w:val="en-AU"/>
        </w:rPr>
        <w:t xml:space="preserve">Case Studies’ (22 </w:t>
      </w:r>
      <w:r>
        <w:rPr>
          <w:rFonts w:cs="Times New Roman"/>
          <w:sz w:val="18"/>
          <w:szCs w:val="18"/>
          <w:lang w:val="en-AU"/>
        </w:rPr>
        <w:t>décembre</w:t>
      </w:r>
      <w:r w:rsidRPr="00C82FE7">
        <w:rPr>
          <w:rFonts w:cs="Times New Roman"/>
          <w:sz w:val="18"/>
          <w:szCs w:val="18"/>
          <w:lang w:val="en-AU"/>
        </w:rPr>
        <w:t xml:space="preserve"> 2015).</w:t>
      </w:r>
      <w:r w:rsidRPr="00F43F79">
        <w:rPr>
          <w:rFonts w:cs="Times New Roman"/>
          <w:sz w:val="18"/>
          <w:szCs w:val="18"/>
        </w:rPr>
        <w:fldChar w:fldCharType="end"/>
      </w:r>
    </w:p>
  </w:footnote>
  <w:footnote w:id="25">
    <w:p w14:paraId="64109D99" w14:textId="08143456" w:rsidR="008A77A6" w:rsidRPr="00770AB8"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770AB8">
        <w:rPr>
          <w:sz w:val="18"/>
          <w:szCs w:val="18"/>
          <w:lang w:val="fr-FR"/>
        </w:rPr>
        <w:t xml:space="preserve"> </w:t>
      </w:r>
      <w:r w:rsidRPr="00F43F79">
        <w:rPr>
          <w:sz w:val="18"/>
          <w:szCs w:val="18"/>
        </w:rPr>
        <w:fldChar w:fldCharType="begin"/>
      </w:r>
      <w:r w:rsidRPr="00770AB8">
        <w:rPr>
          <w:sz w:val="18"/>
          <w:szCs w:val="18"/>
          <w:lang w:val="fr-FR"/>
        </w:rPr>
        <w:instrText xml:space="preserve"> ADDIN ZOTERO_ITEM CSL_CITATION {"citationID":"0dJLsd8x","properties":{"formattedCitation":"Secretariat of the Convention on Biological Diversity, \\uc0\\u8216{}Submissions on Article 10 of the Nagoya Protocol Pursuant to Decision NP-2/10\\uc0\\u8217{} (24 April 2018) &lt;https://www.cbd.int/abs/submissions-np-2-10&gt; accessed 28 February 2020.","plainCitation":"Secretariat of the Convention on Biological Diversity, ‘Submissions on Article 10 of the Nagoya Protocol Pursuant to Decision NP-2/10’ (24 April 2018) &lt;https://www.cbd.int/abs/submissions-np-2-10&gt; accessed 28 February 2020.","noteIndex":19},"citationItems":[{"id":622,"uris":["http://zotero.org/users/local/dU5rpCrq/items/ZHPVXZZN"],"uri":["http://zotero.org/users/local/dU5rpCrq/items/ZHPVXZZN"],"itemData":{"id":622,"type":"webpage","multi":{"main":{},"_keys":{}},"title":"Submissions on Article 10 of the Nagoya Protocol pursuant to decision NP-2/10","URL":"https://www.cbd.int/abs/submissions-np-2-10","author":[{"family":"Secretariat of the Convention on Biological Diversity","given":"","literal":"Secretariat of the Convention on Biological Diversity","multi":{"_key":{}}}],"accessed":{"date-parts":[["2020",2,28]]},"issued":{"date-parts":[["2018",4,24]]},"seeAlso":[]}}],"schema":"https://github.com/citation-style-language/schema/raw/master/csl-citation.json"} </w:instrText>
      </w:r>
      <w:r w:rsidRPr="00F43F79">
        <w:rPr>
          <w:sz w:val="18"/>
          <w:szCs w:val="18"/>
        </w:rPr>
        <w:fldChar w:fldCharType="separate"/>
      </w:r>
      <w:r w:rsidRPr="00770AB8">
        <w:rPr>
          <w:sz w:val="18"/>
          <w:szCs w:val="18"/>
          <w:lang w:val="fr-FR"/>
        </w:rPr>
        <w:t xml:space="preserve">Secrétariat </w:t>
      </w:r>
      <w:r>
        <w:rPr>
          <w:sz w:val="18"/>
          <w:szCs w:val="18"/>
          <w:lang w:val="fr-FR"/>
        </w:rPr>
        <w:t>de la Convention</w:t>
      </w:r>
      <w:r w:rsidRPr="00770AB8">
        <w:rPr>
          <w:sz w:val="18"/>
          <w:szCs w:val="18"/>
          <w:lang w:val="fr-FR"/>
        </w:rPr>
        <w:t xml:space="preserve"> sur la diversité biologique, ‘</w:t>
      </w:r>
      <w:r>
        <w:rPr>
          <w:sz w:val="18"/>
          <w:szCs w:val="18"/>
          <w:lang w:val="fr-FR"/>
        </w:rPr>
        <w:t>Communication</w:t>
      </w:r>
      <w:r w:rsidRPr="00770AB8">
        <w:rPr>
          <w:sz w:val="18"/>
          <w:szCs w:val="18"/>
          <w:lang w:val="fr-FR"/>
        </w:rPr>
        <w:t xml:space="preserve">s </w:t>
      </w:r>
      <w:r>
        <w:rPr>
          <w:sz w:val="18"/>
          <w:szCs w:val="18"/>
          <w:lang w:val="fr-FR"/>
        </w:rPr>
        <w:t>sur l’article</w:t>
      </w:r>
      <w:r w:rsidRPr="00770AB8">
        <w:rPr>
          <w:sz w:val="18"/>
          <w:szCs w:val="18"/>
          <w:lang w:val="fr-FR"/>
        </w:rPr>
        <w:t xml:space="preserve"> 10 </w:t>
      </w:r>
      <w:r>
        <w:rPr>
          <w:sz w:val="18"/>
          <w:szCs w:val="18"/>
          <w:lang w:val="fr-FR"/>
        </w:rPr>
        <w:t>du Protocole de Nagoya en réponse à la décision</w:t>
      </w:r>
      <w:r w:rsidRPr="00770AB8">
        <w:rPr>
          <w:sz w:val="18"/>
          <w:szCs w:val="18"/>
          <w:lang w:val="fr-FR"/>
        </w:rPr>
        <w:t xml:space="preserve"> </w:t>
      </w:r>
      <w:r>
        <w:rPr>
          <w:sz w:val="18"/>
          <w:szCs w:val="18"/>
          <w:lang w:val="fr-FR"/>
        </w:rPr>
        <w:t>2/10 sur les produits naturels’ (24 av</w:t>
      </w:r>
      <w:r w:rsidRPr="00770AB8">
        <w:rPr>
          <w:sz w:val="18"/>
          <w:szCs w:val="18"/>
          <w:lang w:val="fr-FR"/>
        </w:rPr>
        <w:t>ril 2018) &lt;https://www.cbd.int/abs/</w:t>
      </w:r>
      <w:r>
        <w:rPr>
          <w:sz w:val="18"/>
          <w:szCs w:val="18"/>
          <w:lang w:val="fr-FR"/>
        </w:rPr>
        <w:t>submission</w:t>
      </w:r>
      <w:r w:rsidRPr="00770AB8">
        <w:rPr>
          <w:sz w:val="18"/>
          <w:szCs w:val="18"/>
          <w:lang w:val="fr-FR"/>
        </w:rPr>
        <w:t xml:space="preserve">s-np-2-10&gt; </w:t>
      </w:r>
      <w:r>
        <w:rPr>
          <w:sz w:val="18"/>
          <w:szCs w:val="18"/>
          <w:lang w:val="fr-FR"/>
        </w:rPr>
        <w:t>consulté le</w:t>
      </w:r>
      <w:r w:rsidRPr="00770AB8">
        <w:rPr>
          <w:sz w:val="18"/>
          <w:szCs w:val="18"/>
          <w:lang w:val="fr-FR"/>
        </w:rPr>
        <w:t xml:space="preserve"> 28 </w:t>
      </w:r>
      <w:r>
        <w:rPr>
          <w:sz w:val="18"/>
          <w:szCs w:val="18"/>
          <w:lang w:val="fr-FR"/>
        </w:rPr>
        <w:t>février</w:t>
      </w:r>
      <w:r w:rsidRPr="00770AB8">
        <w:rPr>
          <w:sz w:val="18"/>
          <w:szCs w:val="18"/>
          <w:lang w:val="fr-FR"/>
        </w:rPr>
        <w:t xml:space="preserve"> 2020.</w:t>
      </w:r>
      <w:r w:rsidRPr="00F43F79">
        <w:rPr>
          <w:sz w:val="18"/>
          <w:szCs w:val="18"/>
        </w:rPr>
        <w:fldChar w:fldCharType="end"/>
      </w:r>
    </w:p>
  </w:footnote>
  <w:footnote w:id="26">
    <w:p w14:paraId="6C7AE2C7" w14:textId="2D150623" w:rsidR="008A77A6" w:rsidRPr="0020703A" w:rsidRDefault="008A77A6" w:rsidP="00F43F79">
      <w:pPr>
        <w:spacing w:before="20" w:after="20"/>
        <w:ind w:left="284" w:hanging="288"/>
        <w:rPr>
          <w:rFonts w:cs="Times New Roman"/>
          <w:color w:val="000000" w:themeColor="text1"/>
          <w:sz w:val="18"/>
          <w:szCs w:val="18"/>
          <w:lang w:val="fr-FR"/>
        </w:rPr>
      </w:pPr>
      <w:r w:rsidRPr="00F43F79">
        <w:rPr>
          <w:rStyle w:val="FootnoteReference"/>
          <w:rFonts w:cs="Times New Roman"/>
          <w:sz w:val="18"/>
          <w:szCs w:val="18"/>
        </w:rPr>
        <w:footnoteRef/>
      </w:r>
      <w:r w:rsidRPr="0020703A">
        <w:rPr>
          <w:rFonts w:cs="Times New Roman"/>
          <w:sz w:val="18"/>
          <w:szCs w:val="18"/>
          <w:lang w:val="fr-FR"/>
        </w:rPr>
        <w:t xml:space="preserve"> </w:t>
      </w:r>
      <w:r w:rsidRPr="00F43F79">
        <w:rPr>
          <w:rFonts w:cs="Times New Roman"/>
          <w:sz w:val="18"/>
          <w:szCs w:val="18"/>
        </w:rPr>
        <w:fldChar w:fldCharType="begin"/>
      </w:r>
      <w:r w:rsidRPr="0020703A">
        <w:rPr>
          <w:rFonts w:cs="Times New Roman"/>
          <w:sz w:val="18"/>
          <w:szCs w:val="18"/>
          <w:lang w:val="fr-FR"/>
        </w:rPr>
        <w:instrText xml:space="preserve"> ADDIN ZOTERO_ITEM CSL_CITATION {"citationID":"An8CXdDp","properties":{"formattedCitation":"Secretariat of the Convention on Biological Diversity, \\uc0\\u8216{}Global Multilateral Benefit-Sharing Mechanism (Article 10 of the Nagoya Protocol)\\uc0\\u8217{} (1 July 2018).","plainCitation":"Secretariat of the Convention on Biological Diversity, ‘Global Multilateral Benefit-Sharing Mechanism (Article 10 of the Nagoya Protocol)’ (1 July 2018).","noteIndex":20},"citationItems":[{"id":623,"uris":["http://zotero.org/users/local/dU5rpCrq/items/UB8979S2"],"uri":["http://zotero.org/users/local/dU5rpCrq/items/UB8979S2"],"itemData":{"id":623,"type":"article","multi":{"main":{},"_keys":{}},"title":"Global Multilateral Benefit-Sharing Mechanism (Article 10 of the Nagoya Protocol)","author":[{"family":"Secretariat of the Convention on Biological Diversity","given":"","literal":"Secretariat of the Convention on Biological Diversity","multi":{"_key":{}}}],"issued":{"date-parts":[["2018",7,1]]},"seeAlso":[]}}],"schema":"https://github.com/citation-style-language/schema/raw/master/csl-citation.json"} </w:instrText>
      </w:r>
      <w:r w:rsidRPr="00F43F79">
        <w:rPr>
          <w:rFonts w:cs="Times New Roman"/>
          <w:sz w:val="18"/>
          <w:szCs w:val="18"/>
        </w:rPr>
        <w:fldChar w:fldCharType="separate"/>
      </w:r>
      <w:r w:rsidRPr="0020703A">
        <w:rPr>
          <w:rFonts w:cs="Times New Roman"/>
          <w:sz w:val="18"/>
          <w:szCs w:val="18"/>
          <w:lang w:val="fr-FR"/>
        </w:rPr>
        <w:t xml:space="preserve">Secrétariat </w:t>
      </w:r>
      <w:r>
        <w:rPr>
          <w:rFonts w:cs="Times New Roman"/>
          <w:sz w:val="18"/>
          <w:szCs w:val="18"/>
          <w:lang w:val="fr-FR"/>
        </w:rPr>
        <w:t>de la Convention</w:t>
      </w:r>
      <w:r w:rsidRPr="0020703A">
        <w:rPr>
          <w:rFonts w:cs="Times New Roman"/>
          <w:sz w:val="18"/>
          <w:szCs w:val="18"/>
          <w:lang w:val="fr-FR"/>
        </w:rPr>
        <w:t xml:space="preserve"> sur la diversité biologique, ‘</w:t>
      </w:r>
      <w:r>
        <w:rPr>
          <w:rFonts w:cs="Times New Roman"/>
          <w:sz w:val="18"/>
          <w:szCs w:val="18"/>
          <w:lang w:val="fr-FR"/>
        </w:rPr>
        <w:t>Mécanisme multilatéral mondial</w:t>
      </w:r>
      <w:r w:rsidRPr="0020703A">
        <w:rPr>
          <w:rFonts w:cs="Times New Roman"/>
          <w:sz w:val="18"/>
          <w:szCs w:val="18"/>
          <w:lang w:val="fr-FR"/>
        </w:rPr>
        <w:t xml:space="preserve"> de partage des avantages (</w:t>
      </w:r>
      <w:r>
        <w:rPr>
          <w:rFonts w:cs="Times New Roman"/>
          <w:sz w:val="18"/>
          <w:szCs w:val="18"/>
          <w:lang w:val="fr-FR"/>
        </w:rPr>
        <w:t>article</w:t>
      </w:r>
      <w:r w:rsidRPr="0020703A">
        <w:rPr>
          <w:rFonts w:cs="Times New Roman"/>
          <w:sz w:val="18"/>
          <w:szCs w:val="18"/>
          <w:lang w:val="fr-FR"/>
        </w:rPr>
        <w:t xml:space="preserve"> 10 </w:t>
      </w:r>
      <w:r>
        <w:rPr>
          <w:rFonts w:cs="Times New Roman"/>
          <w:sz w:val="18"/>
          <w:szCs w:val="18"/>
          <w:lang w:val="fr-FR"/>
        </w:rPr>
        <w:t>du Protocole de Nagoya)’ (1</w:t>
      </w:r>
      <w:r w:rsidRPr="00C82FE7">
        <w:rPr>
          <w:rFonts w:cs="Times New Roman"/>
          <w:sz w:val="18"/>
          <w:szCs w:val="18"/>
          <w:vertAlign w:val="superscript"/>
          <w:lang w:val="fr-FR"/>
        </w:rPr>
        <w:t>er</w:t>
      </w:r>
      <w:r>
        <w:rPr>
          <w:rFonts w:cs="Times New Roman"/>
          <w:sz w:val="18"/>
          <w:szCs w:val="18"/>
          <w:lang w:val="fr-FR"/>
        </w:rPr>
        <w:t xml:space="preserve"> juillet </w:t>
      </w:r>
      <w:r w:rsidRPr="0020703A">
        <w:rPr>
          <w:rFonts w:cs="Times New Roman"/>
          <w:sz w:val="18"/>
          <w:szCs w:val="18"/>
          <w:lang w:val="fr-FR"/>
        </w:rPr>
        <w:t>2018).</w:t>
      </w:r>
      <w:r w:rsidRPr="00F43F79">
        <w:rPr>
          <w:rFonts w:cs="Times New Roman"/>
          <w:sz w:val="18"/>
          <w:szCs w:val="18"/>
        </w:rPr>
        <w:fldChar w:fldCharType="end"/>
      </w:r>
    </w:p>
  </w:footnote>
  <w:footnote w:id="27">
    <w:p w14:paraId="541944F5" w14:textId="65DE90C4" w:rsidR="008A77A6" w:rsidRPr="0020703A"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20703A">
        <w:rPr>
          <w:sz w:val="18"/>
          <w:szCs w:val="18"/>
          <w:lang w:val="fr-FR"/>
        </w:rPr>
        <w:t xml:space="preserve"> </w:t>
      </w:r>
      <w:r w:rsidRPr="00F43F79">
        <w:rPr>
          <w:sz w:val="18"/>
          <w:szCs w:val="18"/>
        </w:rPr>
        <w:fldChar w:fldCharType="begin"/>
      </w:r>
      <w:r w:rsidRPr="0020703A">
        <w:rPr>
          <w:sz w:val="18"/>
          <w:szCs w:val="18"/>
          <w:lang w:val="fr-FR"/>
        </w:rPr>
        <w:instrText xml:space="preserve"> ADDIN ZOTERO_ITEM CSL_CITATION {"citationID":"xQ4HVeTv","properties":{"formattedCitation":"Secretariat of the Convention on Biological Diversity, \\uc0\\u8216{}Submissions on Article 10 of the Nagoya Protocol Pursuant to Decision NP-3/13\\uc0\\u8217{} (5 February 2020) &lt;www.cbd.int/abs/art10/2019-2020/submissions.shtml&gt; accessed 28 February 2020.","plainCitation":"Secretariat of the Convention on Biological Diversity, ‘Submissions on Article 10 of the Nagoya Protocol Pursuant to Decision NP-3/13’ (5 February 2020) &lt;www.cbd.int/abs/art10/2019-2020/submissions.shtml&gt; accessed 28 February 2020.","noteIndex":21},"citationItems":[{"id":624,"uris":["http://zotero.org/users/local/dU5rpCrq/items/6VTELENH"],"uri":["http://zotero.org/users/local/dU5rpCrq/items/6VTELENH"],"itemData":{"id":624,"type":"webpage","multi":{"main":{},"_keys":{}},"title":"Submissions on Article 10 of the Nagoya Protocol pursuant to decision NP-3/13","URL":"www.cbd.int/abs/art10/2019-2020/submissions.shtml","author":[{"family":"Secretariat of the Convention on Biological Diversity","given":"","literal":"Secretariat of the Convention on Biological Diversity","multi":{"_key":{}}}],"accessed":{"date-parts":[["2020",2,28]]},"issued":{"date-parts":[["2020",2,5]]},"seeAlso":[]}}],"schema":"https://github.com/citation-style-language/schema/raw/master/csl-citation.json"} </w:instrText>
      </w:r>
      <w:r w:rsidRPr="00F43F79">
        <w:rPr>
          <w:sz w:val="18"/>
          <w:szCs w:val="18"/>
        </w:rPr>
        <w:fldChar w:fldCharType="separate"/>
      </w:r>
      <w:r w:rsidRPr="0020703A">
        <w:rPr>
          <w:sz w:val="18"/>
          <w:szCs w:val="18"/>
          <w:lang w:val="fr-FR"/>
        </w:rPr>
        <w:t xml:space="preserve">Secrétariat </w:t>
      </w:r>
      <w:r>
        <w:rPr>
          <w:sz w:val="18"/>
          <w:szCs w:val="18"/>
          <w:lang w:val="fr-FR"/>
        </w:rPr>
        <w:t>de la Convention</w:t>
      </w:r>
      <w:r w:rsidRPr="0020703A">
        <w:rPr>
          <w:sz w:val="18"/>
          <w:szCs w:val="18"/>
          <w:lang w:val="fr-FR"/>
        </w:rPr>
        <w:t xml:space="preserve"> sur la diversité biologique, ‘</w:t>
      </w:r>
      <w:r>
        <w:rPr>
          <w:sz w:val="18"/>
          <w:szCs w:val="18"/>
          <w:lang w:val="fr-FR"/>
        </w:rPr>
        <w:t>Communication</w:t>
      </w:r>
      <w:r w:rsidRPr="0020703A">
        <w:rPr>
          <w:sz w:val="18"/>
          <w:szCs w:val="18"/>
          <w:lang w:val="fr-FR"/>
        </w:rPr>
        <w:t xml:space="preserve">s </w:t>
      </w:r>
      <w:r>
        <w:rPr>
          <w:sz w:val="18"/>
          <w:szCs w:val="18"/>
          <w:lang w:val="fr-FR"/>
        </w:rPr>
        <w:t>sur l’article</w:t>
      </w:r>
      <w:r w:rsidRPr="0020703A">
        <w:rPr>
          <w:sz w:val="18"/>
          <w:szCs w:val="18"/>
          <w:lang w:val="fr-FR"/>
        </w:rPr>
        <w:t xml:space="preserve"> 10 </w:t>
      </w:r>
      <w:r>
        <w:rPr>
          <w:sz w:val="18"/>
          <w:szCs w:val="18"/>
          <w:lang w:val="fr-FR"/>
        </w:rPr>
        <w:t>du Protocole de Nagoya en réponse à la décision</w:t>
      </w:r>
      <w:r w:rsidRPr="0020703A">
        <w:rPr>
          <w:sz w:val="18"/>
          <w:szCs w:val="18"/>
          <w:lang w:val="fr-FR"/>
        </w:rPr>
        <w:t xml:space="preserve"> 3/13</w:t>
      </w:r>
      <w:r>
        <w:rPr>
          <w:sz w:val="18"/>
          <w:szCs w:val="18"/>
          <w:lang w:val="fr-FR"/>
        </w:rPr>
        <w:t xml:space="preserve"> sur les produits naturels</w:t>
      </w:r>
      <w:r w:rsidRPr="0020703A">
        <w:rPr>
          <w:sz w:val="18"/>
          <w:szCs w:val="18"/>
          <w:lang w:val="fr-FR"/>
        </w:rPr>
        <w:t xml:space="preserve">’ (5 </w:t>
      </w:r>
      <w:r>
        <w:rPr>
          <w:sz w:val="18"/>
          <w:szCs w:val="18"/>
          <w:lang w:val="fr-FR"/>
        </w:rPr>
        <w:t>février</w:t>
      </w:r>
      <w:r w:rsidRPr="0020703A">
        <w:rPr>
          <w:sz w:val="18"/>
          <w:szCs w:val="18"/>
          <w:lang w:val="fr-FR"/>
        </w:rPr>
        <w:t xml:space="preserve"> 2020) &lt;www.cbd.int/abs/art10/2019-2020/</w:t>
      </w:r>
      <w:r>
        <w:rPr>
          <w:sz w:val="18"/>
          <w:szCs w:val="18"/>
          <w:lang w:val="fr-FR"/>
        </w:rPr>
        <w:t>submission</w:t>
      </w:r>
      <w:r w:rsidRPr="0020703A">
        <w:rPr>
          <w:sz w:val="18"/>
          <w:szCs w:val="18"/>
          <w:lang w:val="fr-FR"/>
        </w:rPr>
        <w:t xml:space="preserve">s.shtml&gt; </w:t>
      </w:r>
      <w:r>
        <w:rPr>
          <w:sz w:val="18"/>
          <w:szCs w:val="18"/>
          <w:lang w:val="fr-FR"/>
        </w:rPr>
        <w:t>consulté le</w:t>
      </w:r>
      <w:r w:rsidRPr="0020703A">
        <w:rPr>
          <w:sz w:val="18"/>
          <w:szCs w:val="18"/>
          <w:lang w:val="fr-FR"/>
        </w:rPr>
        <w:t xml:space="preserve"> 28 </w:t>
      </w:r>
      <w:r>
        <w:rPr>
          <w:sz w:val="18"/>
          <w:szCs w:val="18"/>
          <w:lang w:val="fr-FR"/>
        </w:rPr>
        <w:t>février</w:t>
      </w:r>
      <w:r w:rsidRPr="0020703A">
        <w:rPr>
          <w:sz w:val="18"/>
          <w:szCs w:val="18"/>
          <w:lang w:val="fr-FR"/>
        </w:rPr>
        <w:t xml:space="preserve"> 2020.</w:t>
      </w:r>
      <w:r w:rsidRPr="00F43F79">
        <w:rPr>
          <w:sz w:val="18"/>
          <w:szCs w:val="18"/>
        </w:rPr>
        <w:fldChar w:fldCharType="end"/>
      </w:r>
    </w:p>
  </w:footnote>
  <w:footnote w:id="28">
    <w:p w14:paraId="17B573AF" w14:textId="62BBEBF7" w:rsidR="008A77A6" w:rsidRPr="00317B94"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317B94">
        <w:rPr>
          <w:sz w:val="18"/>
          <w:szCs w:val="18"/>
          <w:lang w:val="fr-FR"/>
        </w:rPr>
        <w:t xml:space="preserve"> </w:t>
      </w:r>
      <w:r w:rsidRPr="00F43F79">
        <w:rPr>
          <w:sz w:val="18"/>
          <w:szCs w:val="18"/>
        </w:rPr>
        <w:fldChar w:fldCharType="begin"/>
      </w:r>
      <w:r w:rsidRPr="00317B94">
        <w:rPr>
          <w:sz w:val="18"/>
          <w:szCs w:val="18"/>
          <w:lang w:val="fr-FR"/>
        </w:rPr>
        <w:instrText xml:space="preserve"> ADDIN ZOTERO_ITEM CSL_CITATION {"citationID":"Xq1HOkgI","properties":{"formattedCitation":"Greiber and others (n 8) 25.","plainCitation":"Greiber and others (n 8) 25.","noteIndex":22},"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25"}],"schema":"https://github.com/citation-style-language/schema/raw/master/csl-citation.json"} </w:instrText>
      </w:r>
      <w:r w:rsidRPr="00F43F79">
        <w:rPr>
          <w:sz w:val="18"/>
          <w:szCs w:val="18"/>
        </w:rPr>
        <w:fldChar w:fldCharType="separate"/>
      </w:r>
      <w:r w:rsidRPr="00317B94">
        <w:rPr>
          <w:sz w:val="18"/>
          <w:szCs w:val="18"/>
          <w:lang w:val="fr-FR"/>
        </w:rPr>
        <w:t>Greiber et al (n 10) 25.</w:t>
      </w:r>
      <w:r w:rsidRPr="00F43F79">
        <w:rPr>
          <w:sz w:val="18"/>
          <w:szCs w:val="18"/>
        </w:rPr>
        <w:fldChar w:fldCharType="end"/>
      </w:r>
    </w:p>
  </w:footnote>
  <w:footnote w:id="29">
    <w:p w14:paraId="6001A98E" w14:textId="1325DEC6" w:rsidR="008A77A6" w:rsidRPr="00317B94" w:rsidRDefault="008A77A6" w:rsidP="00F43F79">
      <w:pPr>
        <w:pStyle w:val="FootnoteText"/>
        <w:spacing w:before="20" w:after="20"/>
        <w:ind w:left="284" w:hanging="288"/>
        <w:rPr>
          <w:sz w:val="18"/>
          <w:szCs w:val="18"/>
          <w:lang w:val="fr-FR"/>
        </w:rPr>
      </w:pPr>
      <w:r w:rsidRPr="00F43F79" w:rsidDel="00187C47">
        <w:rPr>
          <w:rStyle w:val="FootnoteReference"/>
          <w:rFonts w:eastAsiaTheme="majorEastAsia"/>
          <w:sz w:val="18"/>
          <w:szCs w:val="18"/>
        </w:rPr>
        <w:footnoteRef/>
      </w:r>
      <w:r>
        <w:rPr>
          <w:sz w:val="18"/>
          <w:szCs w:val="18"/>
          <w:lang w:val="fr-FR"/>
        </w:rPr>
        <w:t xml:space="preserve"> Les facteurs déclenchants, tel</w:t>
      </w:r>
      <w:r w:rsidRPr="00317B94">
        <w:rPr>
          <w:sz w:val="18"/>
          <w:szCs w:val="18"/>
          <w:lang w:val="fr-FR"/>
        </w:rPr>
        <w:t>s qu’identifiés dans la communication de l’UICN de</w:t>
      </w:r>
      <w:r>
        <w:rPr>
          <w:sz w:val="18"/>
          <w:szCs w:val="18"/>
          <w:lang w:val="fr-FR"/>
        </w:rPr>
        <w:t xml:space="preserve"> 2015 sont </w:t>
      </w:r>
      <w:r w:rsidRPr="00317B94">
        <w:rPr>
          <w:sz w:val="18"/>
          <w:szCs w:val="18"/>
          <w:lang w:val="fr-FR"/>
        </w:rPr>
        <w:t>:</w:t>
      </w:r>
    </w:p>
    <w:p w14:paraId="47BBCCF7" w14:textId="124F895F" w:rsidR="008A77A6" w:rsidRPr="00F43F79" w:rsidDel="00187C47" w:rsidRDefault="008A77A6" w:rsidP="00F43F79">
      <w:pPr>
        <w:pStyle w:val="FootnoteText"/>
        <w:numPr>
          <w:ilvl w:val="0"/>
          <w:numId w:val="16"/>
        </w:numPr>
        <w:spacing w:before="20" w:after="20"/>
        <w:ind w:left="284" w:hanging="288"/>
        <w:rPr>
          <w:sz w:val="18"/>
          <w:szCs w:val="18"/>
        </w:rPr>
      </w:pPr>
      <w:r>
        <w:rPr>
          <w:sz w:val="18"/>
          <w:szCs w:val="18"/>
        </w:rPr>
        <w:t>“L’a</w:t>
      </w:r>
      <w:r w:rsidRPr="00F43F79" w:rsidDel="00187C47">
        <w:rPr>
          <w:sz w:val="18"/>
          <w:szCs w:val="18"/>
        </w:rPr>
        <w:t xml:space="preserve">doption </w:t>
      </w:r>
      <w:r>
        <w:rPr>
          <w:sz w:val="18"/>
          <w:szCs w:val="18"/>
        </w:rPr>
        <w:t>de la CBD</w:t>
      </w:r>
      <w:r w:rsidRPr="00F43F79" w:rsidDel="00187C47">
        <w:rPr>
          <w:sz w:val="18"/>
          <w:szCs w:val="18"/>
        </w:rPr>
        <w:t>;</w:t>
      </w:r>
    </w:p>
    <w:p w14:paraId="0AB2FBE5" w14:textId="41711B59" w:rsidR="008A77A6" w:rsidRPr="00202126" w:rsidDel="00187C47" w:rsidRDefault="008A77A6" w:rsidP="00F43F79">
      <w:pPr>
        <w:pStyle w:val="FootnoteText"/>
        <w:numPr>
          <w:ilvl w:val="0"/>
          <w:numId w:val="16"/>
        </w:numPr>
        <w:spacing w:before="20" w:after="20"/>
        <w:ind w:left="284" w:hanging="288"/>
        <w:rPr>
          <w:sz w:val="18"/>
          <w:szCs w:val="18"/>
          <w:lang w:val="fr-FR"/>
        </w:rPr>
      </w:pPr>
      <w:r>
        <w:rPr>
          <w:sz w:val="18"/>
          <w:szCs w:val="18"/>
          <w:lang w:val="fr-FR"/>
        </w:rPr>
        <w:t>L’e</w:t>
      </w:r>
      <w:r w:rsidRPr="00202126">
        <w:rPr>
          <w:sz w:val="18"/>
          <w:szCs w:val="18"/>
          <w:lang w:val="fr-FR"/>
        </w:rPr>
        <w:t>ntrée en vigueur</w:t>
      </w:r>
      <w:r w:rsidRPr="00202126" w:rsidDel="00187C47">
        <w:rPr>
          <w:sz w:val="18"/>
          <w:szCs w:val="18"/>
          <w:lang w:val="fr-FR"/>
        </w:rPr>
        <w:t xml:space="preserve"> </w:t>
      </w:r>
      <w:r>
        <w:rPr>
          <w:sz w:val="18"/>
          <w:szCs w:val="18"/>
          <w:lang w:val="fr-FR"/>
        </w:rPr>
        <w:t>de la CBD</w:t>
      </w:r>
      <w:r w:rsidRPr="00202126" w:rsidDel="00187C47">
        <w:rPr>
          <w:sz w:val="18"/>
          <w:szCs w:val="18"/>
          <w:lang w:val="fr-FR"/>
        </w:rPr>
        <w:t>;</w:t>
      </w:r>
    </w:p>
    <w:p w14:paraId="0F7643B5" w14:textId="1C6641EC" w:rsidR="008A77A6" w:rsidRPr="00770AB8" w:rsidDel="00187C47" w:rsidRDefault="008A77A6" w:rsidP="00F43F79">
      <w:pPr>
        <w:pStyle w:val="FootnoteText"/>
        <w:numPr>
          <w:ilvl w:val="0"/>
          <w:numId w:val="16"/>
        </w:numPr>
        <w:spacing w:before="20" w:after="20"/>
        <w:ind w:left="284" w:hanging="288"/>
        <w:rPr>
          <w:sz w:val="18"/>
          <w:szCs w:val="18"/>
          <w:lang w:val="fr-FR"/>
        </w:rPr>
      </w:pPr>
      <w:r>
        <w:rPr>
          <w:sz w:val="18"/>
          <w:szCs w:val="18"/>
          <w:lang w:val="fr-FR"/>
        </w:rPr>
        <w:t>L’a</w:t>
      </w:r>
      <w:r w:rsidRPr="00770AB8" w:rsidDel="00187C47">
        <w:rPr>
          <w:sz w:val="18"/>
          <w:szCs w:val="18"/>
          <w:lang w:val="fr-FR"/>
        </w:rPr>
        <w:t xml:space="preserve">doption </w:t>
      </w:r>
      <w:r w:rsidRPr="00770AB8">
        <w:rPr>
          <w:sz w:val="18"/>
          <w:szCs w:val="18"/>
          <w:lang w:val="fr-FR"/>
        </w:rPr>
        <w:t>du Protocole de Nagoya</w:t>
      </w:r>
      <w:r w:rsidRPr="00770AB8" w:rsidDel="00187C47">
        <w:rPr>
          <w:sz w:val="18"/>
          <w:szCs w:val="18"/>
          <w:lang w:val="fr-FR"/>
        </w:rPr>
        <w:t>;</w:t>
      </w:r>
    </w:p>
    <w:p w14:paraId="47101D1E" w14:textId="59B6F783" w:rsidR="008A77A6" w:rsidRPr="00770AB8" w:rsidDel="00187C47" w:rsidRDefault="008A77A6" w:rsidP="00F43F79">
      <w:pPr>
        <w:pStyle w:val="FootnoteText"/>
        <w:numPr>
          <w:ilvl w:val="0"/>
          <w:numId w:val="16"/>
        </w:numPr>
        <w:spacing w:before="20" w:after="20"/>
        <w:ind w:left="284" w:hanging="288"/>
        <w:rPr>
          <w:sz w:val="18"/>
          <w:szCs w:val="18"/>
          <w:lang w:val="fr-FR"/>
        </w:rPr>
      </w:pPr>
      <w:r>
        <w:rPr>
          <w:sz w:val="18"/>
          <w:szCs w:val="18"/>
          <w:lang w:val="fr-FR"/>
        </w:rPr>
        <w:t>L’entrée en vigueur</w:t>
      </w:r>
      <w:r w:rsidRPr="00770AB8" w:rsidDel="00187C47">
        <w:rPr>
          <w:sz w:val="18"/>
          <w:szCs w:val="18"/>
          <w:lang w:val="fr-FR"/>
        </w:rPr>
        <w:t xml:space="preserve"> </w:t>
      </w:r>
      <w:r w:rsidRPr="00770AB8">
        <w:rPr>
          <w:sz w:val="18"/>
          <w:szCs w:val="18"/>
          <w:lang w:val="fr-FR"/>
        </w:rPr>
        <w:t>du Protocole de Nagoya</w:t>
      </w:r>
      <w:r w:rsidRPr="00770AB8" w:rsidDel="00187C47">
        <w:rPr>
          <w:sz w:val="18"/>
          <w:szCs w:val="18"/>
          <w:lang w:val="fr-FR"/>
        </w:rPr>
        <w:t>;</w:t>
      </w:r>
    </w:p>
    <w:p w14:paraId="5039E1BD" w14:textId="61A6EAB0" w:rsidR="008A77A6" w:rsidRPr="0028742E" w:rsidDel="00187C47" w:rsidRDefault="008A77A6" w:rsidP="00F43F79">
      <w:pPr>
        <w:pStyle w:val="FootnoteText"/>
        <w:numPr>
          <w:ilvl w:val="0"/>
          <w:numId w:val="16"/>
        </w:numPr>
        <w:spacing w:before="20" w:after="20"/>
        <w:ind w:left="284" w:hanging="288"/>
        <w:rPr>
          <w:sz w:val="18"/>
          <w:szCs w:val="18"/>
          <w:lang w:val="fr-FR"/>
        </w:rPr>
      </w:pPr>
      <w:r>
        <w:rPr>
          <w:sz w:val="18"/>
          <w:szCs w:val="18"/>
          <w:lang w:val="fr-FR"/>
        </w:rPr>
        <w:t>La r</w:t>
      </w:r>
      <w:r w:rsidRPr="0028742E" w:rsidDel="00187C47">
        <w:rPr>
          <w:sz w:val="18"/>
          <w:szCs w:val="18"/>
          <w:lang w:val="fr-FR"/>
        </w:rPr>
        <w:t>atification</w:t>
      </w:r>
      <w:r w:rsidRPr="0028742E">
        <w:rPr>
          <w:sz w:val="18"/>
          <w:szCs w:val="18"/>
          <w:lang w:val="fr-FR"/>
        </w:rPr>
        <w:t xml:space="preserve"> ou</w:t>
      </w:r>
      <w:r>
        <w:rPr>
          <w:sz w:val="18"/>
          <w:szCs w:val="18"/>
          <w:lang w:val="fr-FR"/>
        </w:rPr>
        <w:t xml:space="preserve"> autres formes d’adhésion</w:t>
      </w:r>
      <w:r w:rsidRPr="0028742E" w:rsidDel="00187C47">
        <w:rPr>
          <w:sz w:val="18"/>
          <w:szCs w:val="18"/>
          <w:lang w:val="fr-FR"/>
        </w:rPr>
        <w:t xml:space="preserve"> </w:t>
      </w:r>
      <w:r w:rsidRPr="0028742E">
        <w:rPr>
          <w:sz w:val="18"/>
          <w:szCs w:val="18"/>
          <w:lang w:val="fr-FR"/>
        </w:rPr>
        <w:t>à la CBD</w:t>
      </w:r>
      <w:r>
        <w:rPr>
          <w:sz w:val="18"/>
          <w:szCs w:val="18"/>
          <w:lang w:val="fr-FR"/>
        </w:rPr>
        <w:t xml:space="preserve"> par le</w:t>
      </w:r>
      <w:r w:rsidRPr="0028742E" w:rsidDel="00187C47">
        <w:rPr>
          <w:sz w:val="18"/>
          <w:szCs w:val="18"/>
          <w:lang w:val="fr-FR"/>
        </w:rPr>
        <w:t xml:space="preserve"> </w:t>
      </w:r>
      <w:r>
        <w:rPr>
          <w:sz w:val="18"/>
          <w:szCs w:val="18"/>
          <w:lang w:val="fr-FR"/>
        </w:rPr>
        <w:t>pays d’origine</w:t>
      </w:r>
      <w:r w:rsidRPr="0028742E">
        <w:rPr>
          <w:sz w:val="18"/>
          <w:szCs w:val="18"/>
          <w:lang w:val="fr-FR"/>
        </w:rPr>
        <w:t xml:space="preserve"> ou</w:t>
      </w:r>
      <w:r>
        <w:rPr>
          <w:sz w:val="18"/>
          <w:szCs w:val="18"/>
          <w:lang w:val="fr-FR"/>
        </w:rPr>
        <w:t xml:space="preserve"> le</w:t>
      </w:r>
      <w:r w:rsidRPr="0028742E">
        <w:rPr>
          <w:sz w:val="18"/>
          <w:szCs w:val="18"/>
          <w:lang w:val="fr-FR"/>
        </w:rPr>
        <w:t xml:space="preserve"> </w:t>
      </w:r>
      <w:r>
        <w:rPr>
          <w:sz w:val="18"/>
          <w:szCs w:val="18"/>
          <w:lang w:val="fr-FR"/>
        </w:rPr>
        <w:t>pays fournisseur des</w:t>
      </w:r>
      <w:r w:rsidRPr="0028742E" w:rsidDel="00187C47">
        <w:rPr>
          <w:sz w:val="18"/>
          <w:szCs w:val="18"/>
          <w:lang w:val="fr-FR"/>
        </w:rPr>
        <w:t xml:space="preserve"> </w:t>
      </w:r>
      <w:r w:rsidRPr="0028742E">
        <w:rPr>
          <w:sz w:val="18"/>
          <w:szCs w:val="18"/>
          <w:lang w:val="fr-FR"/>
        </w:rPr>
        <w:t>ressources génétiques</w:t>
      </w:r>
      <w:r w:rsidRPr="0028742E" w:rsidDel="00187C47">
        <w:rPr>
          <w:sz w:val="18"/>
          <w:szCs w:val="18"/>
          <w:lang w:val="fr-FR"/>
        </w:rPr>
        <w:t xml:space="preserve">; </w:t>
      </w:r>
    </w:p>
    <w:p w14:paraId="5795E155" w14:textId="48766A0B" w:rsidR="008A77A6" w:rsidRPr="002518EB" w:rsidDel="00187C47" w:rsidRDefault="008A77A6" w:rsidP="00F43F79">
      <w:pPr>
        <w:pStyle w:val="FootnoteText"/>
        <w:numPr>
          <w:ilvl w:val="0"/>
          <w:numId w:val="16"/>
        </w:numPr>
        <w:spacing w:before="20" w:after="20"/>
        <w:ind w:left="284" w:hanging="288"/>
        <w:rPr>
          <w:sz w:val="18"/>
          <w:szCs w:val="18"/>
          <w:lang w:val="fr-FR"/>
        </w:rPr>
      </w:pPr>
      <w:r>
        <w:rPr>
          <w:sz w:val="18"/>
          <w:szCs w:val="18"/>
          <w:lang w:val="fr-FR"/>
        </w:rPr>
        <w:t>La r</w:t>
      </w:r>
      <w:r w:rsidRPr="002518EB" w:rsidDel="00187C47">
        <w:rPr>
          <w:sz w:val="18"/>
          <w:szCs w:val="18"/>
          <w:lang w:val="fr-FR"/>
        </w:rPr>
        <w:t>atification</w:t>
      </w:r>
      <w:r>
        <w:rPr>
          <w:sz w:val="18"/>
          <w:szCs w:val="18"/>
          <w:lang w:val="fr-FR"/>
        </w:rPr>
        <w:t xml:space="preserve"> ou autres formes d’adhésion </w:t>
      </w:r>
      <w:r w:rsidRPr="002518EB">
        <w:rPr>
          <w:sz w:val="18"/>
          <w:szCs w:val="18"/>
          <w:lang w:val="fr-FR"/>
        </w:rPr>
        <w:t>au Protocole de Nagoya</w:t>
      </w:r>
      <w:r>
        <w:rPr>
          <w:sz w:val="18"/>
          <w:szCs w:val="18"/>
          <w:lang w:val="fr-FR"/>
        </w:rPr>
        <w:t xml:space="preserve"> par le</w:t>
      </w:r>
      <w:r w:rsidRPr="002518EB" w:rsidDel="00187C47">
        <w:rPr>
          <w:sz w:val="18"/>
          <w:szCs w:val="18"/>
          <w:lang w:val="fr-FR"/>
        </w:rPr>
        <w:t xml:space="preserve"> </w:t>
      </w:r>
      <w:r>
        <w:rPr>
          <w:sz w:val="18"/>
          <w:szCs w:val="18"/>
          <w:lang w:val="fr-FR"/>
        </w:rPr>
        <w:t>pays d’origine</w:t>
      </w:r>
      <w:r w:rsidRPr="002518EB">
        <w:rPr>
          <w:sz w:val="18"/>
          <w:szCs w:val="18"/>
          <w:lang w:val="fr-FR"/>
        </w:rPr>
        <w:t xml:space="preserve"> ou </w:t>
      </w:r>
      <w:r>
        <w:rPr>
          <w:sz w:val="18"/>
          <w:szCs w:val="18"/>
          <w:lang w:val="fr-FR"/>
        </w:rPr>
        <w:t>le pays fournisseur des</w:t>
      </w:r>
    </w:p>
    <w:p w14:paraId="2BF25345" w14:textId="30D3AE63" w:rsidR="008A77A6" w:rsidRPr="00F43F79" w:rsidDel="00187C47" w:rsidRDefault="008A77A6" w:rsidP="00F43F79">
      <w:pPr>
        <w:pStyle w:val="FootnoteText"/>
        <w:spacing w:before="20" w:after="20"/>
        <w:ind w:left="284" w:hanging="288"/>
        <w:rPr>
          <w:sz w:val="18"/>
          <w:szCs w:val="18"/>
        </w:rPr>
      </w:pPr>
      <w:r w:rsidRPr="002518EB" w:rsidDel="00187C47">
        <w:rPr>
          <w:sz w:val="18"/>
          <w:szCs w:val="18"/>
          <w:lang w:val="fr-FR"/>
        </w:rPr>
        <w:t xml:space="preserve"> </w:t>
      </w:r>
      <w:r w:rsidRPr="002518EB" w:rsidDel="00187C47">
        <w:rPr>
          <w:sz w:val="18"/>
          <w:szCs w:val="18"/>
          <w:lang w:val="fr-FR"/>
        </w:rPr>
        <w:tab/>
      </w:r>
      <w:r>
        <w:rPr>
          <w:sz w:val="18"/>
          <w:szCs w:val="18"/>
        </w:rPr>
        <w:t>ressources génétiques; ou</w:t>
      </w:r>
    </w:p>
    <w:p w14:paraId="0A714C4C" w14:textId="27EF623B" w:rsidR="008A77A6" w:rsidRPr="00695005" w:rsidDel="00187C47" w:rsidRDefault="008A77A6" w:rsidP="00F43F79">
      <w:pPr>
        <w:pStyle w:val="FootnoteText"/>
        <w:numPr>
          <w:ilvl w:val="0"/>
          <w:numId w:val="16"/>
        </w:numPr>
        <w:spacing w:before="20" w:after="20"/>
        <w:ind w:left="284" w:hanging="288"/>
        <w:rPr>
          <w:sz w:val="18"/>
          <w:szCs w:val="18"/>
          <w:lang w:val="fr-FR"/>
        </w:rPr>
      </w:pPr>
      <w:r w:rsidRPr="00C85D44">
        <w:rPr>
          <w:sz w:val="18"/>
          <w:szCs w:val="18"/>
          <w:lang w:val="fr-FR"/>
        </w:rPr>
        <w:t>L’a</w:t>
      </w:r>
      <w:r w:rsidRPr="00695005">
        <w:rPr>
          <w:sz w:val="18"/>
          <w:szCs w:val="18"/>
          <w:lang w:val="fr-FR"/>
        </w:rPr>
        <w:t xml:space="preserve">doption d’une </w:t>
      </w:r>
      <w:r>
        <w:rPr>
          <w:sz w:val="18"/>
          <w:szCs w:val="18"/>
          <w:lang w:val="fr-FR"/>
        </w:rPr>
        <w:t>législation</w:t>
      </w:r>
      <w:r w:rsidRPr="00695005">
        <w:rPr>
          <w:sz w:val="18"/>
          <w:szCs w:val="18"/>
          <w:lang w:val="fr-FR"/>
        </w:rPr>
        <w:t xml:space="preserve"> sur l’accès et </w:t>
      </w:r>
      <w:r>
        <w:rPr>
          <w:sz w:val="18"/>
          <w:szCs w:val="18"/>
          <w:lang w:val="fr-FR"/>
        </w:rPr>
        <w:t xml:space="preserve">le </w:t>
      </w:r>
      <w:r w:rsidRPr="00695005">
        <w:rPr>
          <w:sz w:val="18"/>
          <w:szCs w:val="18"/>
          <w:lang w:val="fr-FR"/>
        </w:rPr>
        <w:t>partage des avantages</w:t>
      </w:r>
      <w:r>
        <w:rPr>
          <w:sz w:val="18"/>
          <w:szCs w:val="18"/>
          <w:lang w:val="fr-FR"/>
        </w:rPr>
        <w:t xml:space="preserve"> dans le</w:t>
      </w:r>
      <w:r w:rsidRPr="00695005" w:rsidDel="00187C47">
        <w:rPr>
          <w:sz w:val="18"/>
          <w:szCs w:val="18"/>
          <w:lang w:val="fr-FR"/>
        </w:rPr>
        <w:t xml:space="preserve"> </w:t>
      </w:r>
      <w:r w:rsidRPr="00695005">
        <w:rPr>
          <w:sz w:val="18"/>
          <w:szCs w:val="18"/>
          <w:lang w:val="fr-FR"/>
        </w:rPr>
        <w:t>pays</w:t>
      </w:r>
      <w:r>
        <w:rPr>
          <w:sz w:val="18"/>
          <w:szCs w:val="18"/>
          <w:lang w:val="fr-FR"/>
        </w:rPr>
        <w:t xml:space="preserve"> d’</w:t>
      </w:r>
      <w:r w:rsidRPr="00695005" w:rsidDel="00187C47">
        <w:rPr>
          <w:sz w:val="18"/>
          <w:szCs w:val="18"/>
          <w:lang w:val="fr-FR"/>
        </w:rPr>
        <w:t>origin</w:t>
      </w:r>
      <w:r>
        <w:rPr>
          <w:sz w:val="18"/>
          <w:szCs w:val="18"/>
          <w:lang w:val="fr-FR"/>
        </w:rPr>
        <w:t>e</w:t>
      </w:r>
      <w:r w:rsidRPr="00695005">
        <w:rPr>
          <w:sz w:val="18"/>
          <w:szCs w:val="18"/>
          <w:lang w:val="fr-FR"/>
        </w:rPr>
        <w:t xml:space="preserve"> ou </w:t>
      </w:r>
      <w:r>
        <w:rPr>
          <w:sz w:val="18"/>
          <w:szCs w:val="18"/>
          <w:lang w:val="fr-FR"/>
        </w:rPr>
        <w:t xml:space="preserve">le </w:t>
      </w:r>
      <w:r w:rsidRPr="00695005">
        <w:rPr>
          <w:sz w:val="18"/>
          <w:szCs w:val="18"/>
          <w:lang w:val="fr-FR"/>
        </w:rPr>
        <w:t>pays</w:t>
      </w:r>
      <w:r>
        <w:rPr>
          <w:sz w:val="18"/>
          <w:szCs w:val="18"/>
          <w:lang w:val="fr-FR"/>
        </w:rPr>
        <w:t xml:space="preserve"> fournisseur des </w:t>
      </w:r>
      <w:r w:rsidRPr="00695005">
        <w:rPr>
          <w:sz w:val="18"/>
          <w:szCs w:val="18"/>
          <w:lang w:val="fr-FR"/>
        </w:rPr>
        <w:t>ressources génétiques</w:t>
      </w:r>
      <w:r w:rsidRPr="00695005" w:rsidDel="00187C47">
        <w:rPr>
          <w:sz w:val="18"/>
          <w:szCs w:val="18"/>
          <w:lang w:val="fr-FR"/>
        </w:rPr>
        <w:t>.”</w:t>
      </w:r>
    </w:p>
    <w:p w14:paraId="13D83546" w14:textId="4C4E5774" w:rsidR="008A77A6" w:rsidRPr="00E3674F" w:rsidDel="00187C47" w:rsidRDefault="008A77A6" w:rsidP="00F43F79">
      <w:pPr>
        <w:pStyle w:val="FootnoteText"/>
        <w:spacing w:before="20" w:after="20"/>
        <w:ind w:left="284" w:hanging="288"/>
        <w:rPr>
          <w:rFonts w:eastAsia="Calibri"/>
          <w:sz w:val="18"/>
          <w:szCs w:val="18"/>
          <w:lang w:val="fr-FR"/>
        </w:rPr>
      </w:pPr>
      <w:r>
        <w:rPr>
          <w:sz w:val="18"/>
          <w:szCs w:val="18"/>
          <w:lang w:val="fr-FR"/>
        </w:rPr>
        <w:t xml:space="preserve">Voir </w:t>
      </w:r>
      <w:r w:rsidRPr="00F43F79">
        <w:rPr>
          <w:sz w:val="18"/>
          <w:szCs w:val="18"/>
        </w:rPr>
        <w:fldChar w:fldCharType="begin"/>
      </w:r>
      <w:r w:rsidRPr="00E3674F">
        <w:rPr>
          <w:sz w:val="18"/>
          <w:szCs w:val="18"/>
          <w:lang w:val="fr-FR"/>
        </w:rPr>
        <w:instrText xml:space="preserve"> ADDIN ZOTERO_ITEM CSL_CITATION {"citationID":"3sDa8SPY","properties":{"formattedCitation":"IUCN Joint SSC-WCEL Global Specialist Group on ABS, Genetic Resources and Related Issues, \\uc0\\u8216{}Submission of Views in Preparation for the Expert Meeting on the Need for and Modalities of a Global Multilateral Benefit-Sharing Mechanism of the Nagoya Protocol\\uc0\\u8217{} (22 September 2015) 4.","plainCitation":"IUCN Joint SSC-WCEL Global Specialist Group on ABS, Genetic Resources and Related Issues, ‘Submission of Views in Preparation for the Expert Meeting on the Need for and Modalities of a Global Multilateral Benefit-Sharing Mechanism of the Nagoya Protocol’ (22 September 2015) 4.","noteIndex":23},"citationItems":[{"id":635,"uris":["http://zotero.org/users/local/dU5rpCrq/items/SP39NCY3"],"uri":["http://zotero.org/users/local/dU5rpCrq/items/SP39NCY3"],"itemData":{"id":635,"type":"article","multi":{"main":{},"_keys":{}},"title":"Submission of views in preparation for the Expert Meeting on the need for and modalities of a Global Multilateral Benefit-sharing Mechanism of the Nagoya Protocol","URL":"https://www.cbd.int/abs/submissions/Art10/IUCN-submissionArt10.doc","author":[{"family":"IUCN Joint SSC-WCEL Global Specialist Group on ABS, Genetic Resources and Related Issues","given":"","literal":"IUCN Joint SSC-WCEL Global Specialist Group on ABS, Genetic Resources and Related Issues","multi":{"_key":{}}}],"accessed":{"date-parts":[["2020",2,28]]},"issued":{"date-parts":[["2015",9,22]]},"seeAlso":[]},"locator":"4"}],"schema":"https://github.com/citation-style-language/schema/raw/master/csl-citation.json"} </w:instrText>
      </w:r>
      <w:r w:rsidRPr="00F43F79">
        <w:rPr>
          <w:sz w:val="18"/>
          <w:szCs w:val="18"/>
        </w:rPr>
        <w:fldChar w:fldCharType="separate"/>
      </w:r>
      <w:r w:rsidRPr="00E3674F">
        <w:rPr>
          <w:sz w:val="18"/>
          <w:szCs w:val="18"/>
          <w:lang w:val="fr-FR"/>
        </w:rPr>
        <w:t>U</w:t>
      </w:r>
      <w:r>
        <w:rPr>
          <w:sz w:val="18"/>
          <w:szCs w:val="18"/>
          <w:lang w:val="fr-FR"/>
        </w:rPr>
        <w:t>ICN Groupe de spécialistes mondial conjoint SSC-WCEL sur l'accès et le partage des avantages, les ressources génétiques et les question</w:t>
      </w:r>
      <w:r w:rsidRPr="00E3674F">
        <w:rPr>
          <w:sz w:val="18"/>
          <w:szCs w:val="18"/>
          <w:lang w:val="fr-FR"/>
        </w:rPr>
        <w:t>s</w:t>
      </w:r>
      <w:r>
        <w:rPr>
          <w:sz w:val="18"/>
          <w:szCs w:val="18"/>
          <w:lang w:val="fr-FR"/>
        </w:rPr>
        <w:t xml:space="preserve"> connexes</w:t>
      </w:r>
      <w:r w:rsidRPr="00E3674F">
        <w:rPr>
          <w:sz w:val="18"/>
          <w:szCs w:val="18"/>
          <w:lang w:val="fr-FR"/>
        </w:rPr>
        <w:t>, ‘</w:t>
      </w:r>
      <w:r>
        <w:rPr>
          <w:sz w:val="18"/>
          <w:szCs w:val="18"/>
          <w:lang w:val="fr-FR"/>
        </w:rPr>
        <w:t>Communication de points de vue dans le cadre de la pré</w:t>
      </w:r>
      <w:r w:rsidRPr="00E3674F">
        <w:rPr>
          <w:sz w:val="18"/>
          <w:szCs w:val="18"/>
          <w:lang w:val="fr-FR"/>
        </w:rPr>
        <w:t xml:space="preserve">paration </w:t>
      </w:r>
      <w:r>
        <w:rPr>
          <w:sz w:val="18"/>
          <w:szCs w:val="18"/>
          <w:lang w:val="fr-FR"/>
        </w:rPr>
        <w:t>de la réunion d'experts sur la nécessité et les modalités d'un mécanisme multilatéral mondial</w:t>
      </w:r>
      <w:r w:rsidRPr="00E3674F">
        <w:rPr>
          <w:sz w:val="18"/>
          <w:szCs w:val="18"/>
          <w:lang w:val="fr-FR"/>
        </w:rPr>
        <w:t xml:space="preserve"> de partage des avantages </w:t>
      </w:r>
      <w:r>
        <w:rPr>
          <w:sz w:val="18"/>
          <w:szCs w:val="18"/>
          <w:lang w:val="fr-FR"/>
        </w:rPr>
        <w:t>au titre du Protocole de Nagoya’ (22 septembre 2015) 4</w:t>
      </w:r>
      <w:r w:rsidRPr="00E3674F">
        <w:rPr>
          <w:sz w:val="18"/>
          <w:szCs w:val="18"/>
          <w:lang w:val="fr-FR"/>
        </w:rPr>
        <w:t>.</w:t>
      </w:r>
      <w:r w:rsidRPr="00F43F79">
        <w:rPr>
          <w:sz w:val="18"/>
          <w:szCs w:val="18"/>
        </w:rPr>
        <w:fldChar w:fldCharType="end"/>
      </w:r>
    </w:p>
  </w:footnote>
  <w:footnote w:id="30">
    <w:p w14:paraId="6C14A3B3" w14:textId="65D93DE5" w:rsidR="008A77A6" w:rsidRPr="00755381"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sidRPr="00C85D44">
        <w:rPr>
          <w:sz w:val="18"/>
          <w:szCs w:val="18"/>
          <w:lang w:val="fr-FR"/>
        </w:rPr>
        <w:t xml:space="preserve"> Voir </w:t>
      </w:r>
      <w:r w:rsidRPr="00F43F79">
        <w:rPr>
          <w:sz w:val="18"/>
          <w:szCs w:val="18"/>
        </w:rPr>
        <w:fldChar w:fldCharType="begin"/>
      </w:r>
      <w:r w:rsidRPr="00C85D44">
        <w:rPr>
          <w:sz w:val="18"/>
          <w:szCs w:val="18"/>
          <w:lang w:val="fr-FR"/>
        </w:rPr>
        <w:instrText xml:space="preserve"> ADDIN ZOTERO_ITEM CSL_CITATION {"citationID":"gwbB4dBm","properties":{"formattedCitation":"Greiber and others (n 8) 72\\uc0\\u8211{}73.","plainCitation":"Greiber and others (n 8) 72–73.","noteIndex":24},"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72-73"}],"schema":"https://github.com/citation-style-language/schema/raw/master/csl-citation.json"} </w:instrText>
      </w:r>
      <w:r w:rsidRPr="00F43F79">
        <w:rPr>
          <w:sz w:val="18"/>
          <w:szCs w:val="18"/>
        </w:rPr>
        <w:fldChar w:fldCharType="separate"/>
      </w:r>
      <w:r w:rsidRPr="00C85D44">
        <w:rPr>
          <w:sz w:val="18"/>
          <w:szCs w:val="18"/>
          <w:lang w:val="fr-FR"/>
        </w:rPr>
        <w:t>Greiber et al</w:t>
      </w:r>
      <w:r>
        <w:rPr>
          <w:sz w:val="18"/>
          <w:szCs w:val="18"/>
          <w:lang w:val="fr-FR"/>
        </w:rPr>
        <w:t>.</w:t>
      </w:r>
      <w:r w:rsidRPr="00C85D44">
        <w:rPr>
          <w:sz w:val="18"/>
          <w:szCs w:val="18"/>
          <w:lang w:val="fr-FR"/>
        </w:rPr>
        <w:t xml:space="preserve"> (n 10) 72–73.</w:t>
      </w:r>
      <w:r w:rsidRPr="00F43F79">
        <w:rPr>
          <w:sz w:val="18"/>
          <w:szCs w:val="18"/>
        </w:rPr>
        <w:fldChar w:fldCharType="end"/>
      </w:r>
      <w:r w:rsidRPr="00C85D44">
        <w:rPr>
          <w:sz w:val="18"/>
          <w:szCs w:val="18"/>
          <w:lang w:val="fr-FR"/>
        </w:rPr>
        <w:t xml:space="preserve"> </w:t>
      </w:r>
      <w:r w:rsidRPr="00755381">
        <w:rPr>
          <w:sz w:val="18"/>
          <w:szCs w:val="18"/>
          <w:lang w:val="fr-FR"/>
        </w:rPr>
        <w:t>Article 28 de la Convention de Vienne sur le droit des traités (n 7): “Sauf intention contraire</w:t>
      </w:r>
      <w:r>
        <w:rPr>
          <w:sz w:val="18"/>
          <w:szCs w:val="18"/>
          <w:lang w:val="fr-FR"/>
        </w:rPr>
        <w:t xml:space="preserve"> mentionnée ou autrement</w:t>
      </w:r>
      <w:r w:rsidRPr="00755381">
        <w:rPr>
          <w:sz w:val="18"/>
          <w:szCs w:val="18"/>
          <w:lang w:val="fr-FR"/>
        </w:rPr>
        <w:t xml:space="preserve"> établie dans le </w:t>
      </w:r>
      <w:r>
        <w:rPr>
          <w:sz w:val="18"/>
          <w:szCs w:val="18"/>
          <w:lang w:val="fr-FR"/>
        </w:rPr>
        <w:t>traité</w:t>
      </w:r>
      <w:r w:rsidRPr="00755381">
        <w:rPr>
          <w:sz w:val="18"/>
          <w:szCs w:val="18"/>
          <w:lang w:val="fr-FR"/>
        </w:rPr>
        <w:t>,</w:t>
      </w:r>
      <w:r>
        <w:rPr>
          <w:sz w:val="18"/>
          <w:szCs w:val="18"/>
          <w:lang w:val="fr-FR"/>
        </w:rPr>
        <w:t xml:space="preserve"> ses dispositions ne s’appliquent pas à une </w:t>
      </w:r>
      <w:r w:rsidRPr="00755381">
        <w:rPr>
          <w:sz w:val="18"/>
          <w:szCs w:val="18"/>
          <w:lang w:val="fr-FR"/>
        </w:rPr>
        <w:t>Partie</w:t>
      </w:r>
      <w:r>
        <w:rPr>
          <w:sz w:val="18"/>
          <w:szCs w:val="18"/>
          <w:lang w:val="fr-FR"/>
        </w:rPr>
        <w:t xml:space="preserve"> en ce qui concerne toute action ou tout fait s’étant produit, ou toute situation qui a cessé d’exister avant la</w:t>
      </w:r>
      <w:r w:rsidRPr="00755381">
        <w:rPr>
          <w:sz w:val="18"/>
          <w:szCs w:val="18"/>
          <w:lang w:val="fr-FR"/>
        </w:rPr>
        <w:t xml:space="preserve"> </w:t>
      </w:r>
      <w:r>
        <w:rPr>
          <w:sz w:val="18"/>
          <w:szCs w:val="18"/>
          <w:lang w:val="fr-FR"/>
        </w:rPr>
        <w:t>date d</w:t>
      </w:r>
      <w:r w:rsidRPr="00755381">
        <w:rPr>
          <w:sz w:val="18"/>
          <w:szCs w:val="18"/>
          <w:lang w:val="fr-FR"/>
        </w:rPr>
        <w:t>’entrée en vigueur</w:t>
      </w:r>
      <w:r>
        <w:rPr>
          <w:sz w:val="18"/>
          <w:szCs w:val="18"/>
          <w:lang w:val="fr-FR"/>
        </w:rPr>
        <w:t xml:space="preserve"> du </w:t>
      </w:r>
      <w:r w:rsidRPr="00755381">
        <w:rPr>
          <w:sz w:val="18"/>
          <w:szCs w:val="18"/>
          <w:lang w:val="fr-FR"/>
        </w:rPr>
        <w:t>traité</w:t>
      </w:r>
      <w:r>
        <w:rPr>
          <w:sz w:val="18"/>
          <w:szCs w:val="18"/>
          <w:lang w:val="fr-FR"/>
        </w:rPr>
        <w:t xml:space="preserve">, pour ce qui concerne cette </w:t>
      </w:r>
      <w:r w:rsidRPr="00755381">
        <w:rPr>
          <w:sz w:val="18"/>
          <w:szCs w:val="18"/>
          <w:lang w:val="fr-FR"/>
        </w:rPr>
        <w:t xml:space="preserve">Partie.” </w:t>
      </w:r>
      <w:r w:rsidRPr="00F43F79">
        <w:rPr>
          <w:sz w:val="18"/>
          <w:szCs w:val="18"/>
        </w:rPr>
        <w:fldChar w:fldCharType="begin"/>
      </w:r>
      <w:r w:rsidRPr="00755381">
        <w:rPr>
          <w:sz w:val="18"/>
          <w:szCs w:val="18"/>
          <w:lang w:val="fr-FR"/>
        </w:rPr>
        <w:instrText xml:space="preserve"> ADDIN ZOTERO_ITEM CSL_CITATION {"citationID":"AbnIlj2K","properties":{"formattedCitation":"Markus Kotzur, \\uc0\\u8216{}The Temporal Dimension: Non-Retroactivity and Its Discontents\\uc0\\u8217{} in Christian J Tams, and others (eds), {\\i{}Research Handbook on the Law of Treaties} (Edward Elgar 2014) 155\\uc0\\u8211{}56 notes that \\uc0\\u8216{}Facts or acts can occur more than once, they can be repeated, and situations might continue to exist \\uc0\\u8211{} they \\uc0\\u8220{}live on\\uc0\\u8221{}, not allowing for a strict bar against retroactive application.\\uc0\\u8217{}","plainCitation":"Markus Kotzur, ‘The Temporal Dimension: Non-Retroactivity and Its Discontents’ in Christian J Tams, and others (eds), Research Handbook on the Law of Treaties (Edward Elgar 2014) 155–56 notes that ‘Facts or acts can occur more than once, they can be repeated, and situations might continue to exist – they “live on”, not allowing for a strict bar against retroactive application.’","noteIndex":24},"citationItems":[{"id":789,"uris":["http://zotero.org/users/local/dU5rpCrq/items/PBZQC4EA"],"uri":["http://zotero.org/users/local/dU5rpCrq/items/PBZQC4EA"],"itemData":{"id":789,"type":"chapter","multi":{"main":{},"_keys":{}},"container-title":"Research Handbook on the Law of Treaties","event-place":"Cheltenham, UK","ISBN":"978-0-85793-477-2","page":"153","publisher":"Edward Elgar","publisher-place":"Cheltenham, UK","title":"The temporal dimension: Non-retroactivity and its discontents","author":[{"family":"Kotzur","given":"Markus","multi":{"_key":{}}}],"editor":[{"family":"Tams,","given":"Christian J","multi":{"_key":{}}},{"family":"Tzanakopoulos","given":"Antonios","multi":{"_key":{}}},{"family":"Zimmermann","given":"Andreas","multi":{"_key":{}}}],"issued":{"date-parts":[["2014"]]},"seeAlso":[]},"locator":"155-6","suffix":"notes that \"Facts or acts can occur more than once, they can be repeated, and situations might continue to exist – they ‘live on’, not allowing for a strict bar against retroactive application.\""}],"schema":"https://github.com/citation-style-language/schema/raw/master/csl-citation.json"} </w:instrText>
      </w:r>
      <w:r w:rsidRPr="00F43F79">
        <w:rPr>
          <w:sz w:val="18"/>
          <w:szCs w:val="18"/>
        </w:rPr>
        <w:fldChar w:fldCharType="separate"/>
      </w:r>
      <w:r w:rsidRPr="00755381">
        <w:rPr>
          <w:sz w:val="18"/>
          <w:szCs w:val="18"/>
          <w:lang w:val="fr-FR"/>
        </w:rPr>
        <w:t xml:space="preserve">Markus Kotzur, ‘The Temporal Dimension: Non-Retroactivity and Its Discontents’ in Christian J Tams, and others (eds), </w:t>
      </w:r>
      <w:r w:rsidRPr="00755381">
        <w:rPr>
          <w:i/>
          <w:sz w:val="18"/>
          <w:szCs w:val="18"/>
          <w:lang w:val="fr-FR"/>
        </w:rPr>
        <w:t xml:space="preserve">Research Handbook on the Law of Treaties </w:t>
      </w:r>
      <w:r>
        <w:rPr>
          <w:sz w:val="18"/>
          <w:szCs w:val="18"/>
          <w:lang w:val="fr-FR"/>
        </w:rPr>
        <w:t>(Edward Elgar 2014) 155–56 observe</w:t>
      </w:r>
      <w:r w:rsidRPr="00755381">
        <w:rPr>
          <w:sz w:val="18"/>
          <w:szCs w:val="18"/>
          <w:lang w:val="fr-FR"/>
        </w:rPr>
        <w:t xml:space="preserve"> que: ‘Des faits ou des actes peuvent se produire plus d'</w:t>
      </w:r>
      <w:r>
        <w:rPr>
          <w:sz w:val="18"/>
          <w:szCs w:val="18"/>
          <w:lang w:val="fr-FR"/>
        </w:rPr>
        <w:t>une seule fois, ils peuvent se répéter</w:t>
      </w:r>
      <w:r w:rsidRPr="00755381">
        <w:rPr>
          <w:sz w:val="18"/>
          <w:szCs w:val="18"/>
          <w:lang w:val="fr-FR"/>
        </w:rPr>
        <w:t>, et des situations peuvent perdurer - elles "continuent d'existe</w:t>
      </w:r>
      <w:r>
        <w:rPr>
          <w:sz w:val="18"/>
          <w:szCs w:val="18"/>
          <w:lang w:val="fr-FR"/>
        </w:rPr>
        <w:t>r</w:t>
      </w:r>
      <w:r w:rsidRPr="00755381">
        <w:rPr>
          <w:sz w:val="18"/>
          <w:szCs w:val="18"/>
          <w:lang w:val="fr-FR"/>
        </w:rPr>
        <w:t xml:space="preserve">", </w:t>
      </w:r>
      <w:r>
        <w:rPr>
          <w:sz w:val="18"/>
          <w:szCs w:val="18"/>
          <w:lang w:val="fr-FR"/>
        </w:rPr>
        <w:t>ceci implique qu'une interdiction pure et simple de l'</w:t>
      </w:r>
      <w:r w:rsidRPr="00755381">
        <w:rPr>
          <w:sz w:val="18"/>
          <w:szCs w:val="18"/>
          <w:lang w:val="fr-FR"/>
        </w:rPr>
        <w:t>application</w:t>
      </w:r>
      <w:r>
        <w:rPr>
          <w:sz w:val="18"/>
          <w:szCs w:val="18"/>
          <w:lang w:val="fr-FR"/>
        </w:rPr>
        <w:t xml:space="preserve"> rétroactive n'a pas lieu d'être</w:t>
      </w:r>
      <w:r w:rsidRPr="00755381">
        <w:rPr>
          <w:sz w:val="18"/>
          <w:szCs w:val="18"/>
          <w:lang w:val="fr-FR"/>
        </w:rPr>
        <w:t>.’</w:t>
      </w:r>
      <w:r w:rsidRPr="00F43F79">
        <w:rPr>
          <w:sz w:val="18"/>
          <w:szCs w:val="18"/>
        </w:rPr>
        <w:fldChar w:fldCharType="end"/>
      </w:r>
    </w:p>
  </w:footnote>
  <w:footnote w:id="31">
    <w:p w14:paraId="6ED904E8" w14:textId="7B70D2C3" w:rsidR="008A77A6" w:rsidRPr="004A1148"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sidRPr="00C85D44">
        <w:rPr>
          <w:sz w:val="18"/>
          <w:szCs w:val="18"/>
        </w:rPr>
        <w:t xml:space="preserve"> </w:t>
      </w:r>
      <w:r w:rsidRPr="00F43F79">
        <w:rPr>
          <w:sz w:val="18"/>
          <w:szCs w:val="18"/>
        </w:rPr>
        <w:fldChar w:fldCharType="begin"/>
      </w:r>
      <w:r w:rsidRPr="00C85D44">
        <w:rPr>
          <w:sz w:val="18"/>
          <w:szCs w:val="18"/>
        </w:rPr>
        <w:instrText xml:space="preserve"> ADDIN ZOTERO_ITEM CSL_CITATION {"citationID":"JFG2my2A","properties":{"formattedCitation":"Morten W Tvedt and Ole K Fauchald, \\uc0\\u8216{}Implementing the Nagoya Protocol on ABS: A Hypothetical Case Study on Enforcing Benefit Sharing in Norway\\uc0\\u8217{} (2011) 14 The Journal of World Intellectual Property 383, 385.","plainCitation":"Morten W Tvedt and Ole K Fauchald, ‘Implementing the Nagoya Protocol on ABS: A Hypothetical Case Study on Enforcing Benefit Sharing in Norway’ (2011) 14 The Journal of World Intellectual Property 383, 385.","noteIndex":25},"citationItems":[{"id":589,"uris":["http://zotero.org/users/local/dU5rpCrq/items/S22CJX4M"],"uri":["http://zotero.org/users/local/dU5rpCrq/items/S22CJX4M"],"itemData":{"id":589,"type":"article-journal","multi":{"main":{},"_keys":{}},"abstract":"In October 2010, the Nagoya Protocol on Access to Genetic Resources and the Fair and Equitable Sharing of Benefits Arising From Their Utilization (NP) was adopted at the Conference of the Parties (COP-10) of the Convention on Biological Diversity (CBD). The NP establishes rules on measures to be taken by user countries in the context of access and benefit sharing (ABS). The future success of ABS as embedded in CBD and the Nagoya Protocol depends on their implementation at a national level. The binding rules of CBD and NP have in common that they need to be transformed into national legal and political contexts to establish a functional system for ABS. This article addresses measures that are needed in the international regime to secure adoption and implementation of user-country measures which are compatible with provider-country legislation. It analyses one current example of user-country legislation: the recently adopted Norwegian legislation, for the purpose of finding options for and obstacles to implementing obligations in the CBD and the NP in national law and in actual practice. One part of the ABS challenge is that obligations in the CBD and the NP apply to states, whereas the actual users of genetic resources are mostly private or public enterprises: companies, universities or other institutions. Despite showing a promising start, far from all challenges of a functional ABS system are solved.","container-title":"The Journal of World Intellectual Property","DOI":"10.1111/j.1747-1796.2011.00424.x","ISSN":"1747-1796","issue":"5","language":"en","page":"383-402","source":"Wiley Online Library","title":"Implementing the Nagoya Protocol on ABS: A Hypothetical Case Study on Enforcing Benefit Sharing in Norway","title-short":"Implementing the Nagoya Protocol on ABS","volume":"14","author":[{"family":"Tvedt","given":"Morten W.","multi":{"_key":{}}},{"family":"Fauchald","given":"Ole K.","multi":{"_key":{}}}],"issued":{"date-parts":[["2011"]]},"seeAlso":[]},"locator":"385"}],"schema":"https://github.com/citation-style-language/schema/raw/master/csl-citation.json"} </w:instrText>
      </w:r>
      <w:r w:rsidRPr="00F43F79">
        <w:rPr>
          <w:sz w:val="18"/>
          <w:szCs w:val="18"/>
        </w:rPr>
        <w:fldChar w:fldCharType="separate"/>
      </w:r>
      <w:r>
        <w:rPr>
          <w:sz w:val="18"/>
          <w:szCs w:val="18"/>
        </w:rPr>
        <w:t>Morten W Tvedt and</w:t>
      </w:r>
      <w:r w:rsidRPr="00C85D44">
        <w:rPr>
          <w:sz w:val="18"/>
          <w:szCs w:val="18"/>
        </w:rPr>
        <w:t xml:space="preserve"> Ole K Fauchald, ‘Implementing the Nagoya Protocol</w:t>
      </w:r>
      <w:r>
        <w:rPr>
          <w:sz w:val="18"/>
          <w:szCs w:val="18"/>
        </w:rPr>
        <w:t xml:space="preserve"> on Access and Benefit Sharing: A Hypothetical Case Study</w:t>
      </w:r>
      <w:r w:rsidRPr="00C85D44">
        <w:rPr>
          <w:sz w:val="18"/>
          <w:szCs w:val="18"/>
        </w:rPr>
        <w:t xml:space="preserve"> on En</w:t>
      </w:r>
      <w:r>
        <w:rPr>
          <w:sz w:val="18"/>
          <w:szCs w:val="18"/>
        </w:rPr>
        <w:t>forcing Benefit Sharing</w:t>
      </w:r>
      <w:r w:rsidRPr="00C85D44">
        <w:rPr>
          <w:sz w:val="18"/>
          <w:szCs w:val="18"/>
        </w:rPr>
        <w:t xml:space="preserve"> in Norway’ (2011) 14 The Journal of World </w:t>
      </w:r>
      <w:r>
        <w:rPr>
          <w:sz w:val="18"/>
          <w:szCs w:val="18"/>
        </w:rPr>
        <w:t>Intellectual Property</w:t>
      </w:r>
      <w:r w:rsidRPr="00C85D44">
        <w:rPr>
          <w:sz w:val="18"/>
          <w:szCs w:val="18"/>
        </w:rPr>
        <w:t xml:space="preserve"> 383, 385.</w:t>
      </w:r>
      <w:r w:rsidRPr="00F43F79">
        <w:rPr>
          <w:sz w:val="18"/>
          <w:szCs w:val="18"/>
        </w:rPr>
        <w:fldChar w:fldCharType="end"/>
      </w:r>
      <w:r w:rsidRPr="00C85D44">
        <w:rPr>
          <w:sz w:val="18"/>
          <w:szCs w:val="18"/>
        </w:rPr>
        <w:t xml:space="preserve"> </w:t>
      </w:r>
      <w:r w:rsidRPr="00E11B20">
        <w:rPr>
          <w:sz w:val="18"/>
          <w:szCs w:val="18"/>
          <w:lang w:val="fr-FR"/>
        </w:rPr>
        <w:t xml:space="preserve">Voir aussi </w:t>
      </w:r>
      <w:r w:rsidRPr="00F43F79">
        <w:rPr>
          <w:sz w:val="18"/>
          <w:szCs w:val="18"/>
        </w:rPr>
        <w:fldChar w:fldCharType="begin"/>
      </w:r>
      <w:r w:rsidRPr="00E11B20">
        <w:rPr>
          <w:sz w:val="18"/>
          <w:szCs w:val="18"/>
          <w:lang w:val="fr-FR"/>
        </w:rPr>
        <w:instrText xml:space="preserve"> ADDIN ZOTERO_ITEM CSL_CITATION {"citationID":"AGQp0HO5","properties":{"formattedCitation":"Greiber and others (n 8) 63\\uc0\\u8211{}65; Morten W Tvedt and Olivier Rukundo, \\uc0\\u8216{}Functionality of an ABS Protocol\\uc0\\u8217{} (Fridjof Nansen Institute 2010); Kabir Bavikatte and Brendan Tobin, \\uc0\\u8216{}Cutting the Gordian Knot: Resolving Conflicts over the Term \\uc0\\u8220{}Utilization\\uc0\\u8221{}\\uc0\\u8217{} (2010) 4 Biores 3.","plainCitation":"Greiber and others (n 8) 63–65; Morten W Tvedt and Olivier Rukundo, ‘Functionality of an ABS Protocol’ (Fridjof Nansen Institute 2010); Kabir Bavikatte and Brendan Tobin, ‘Cutting the Gordian Knot: Resolving Conflicts over the Term “Utilization”’ (2010) 4 Biores 3.","noteIndex":25},"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63-65"},{"id":629,"uris":["http://zotero.org/users/local/dU5rpCrq/items/KM88ZMM5"],"uri":["http://zotero.org/users/local/dU5rpCrq/items/KM88ZMM5"],"itemData":{"id":629,"type":"article","multi":{"main":{},"_keys":{}},"publisher":"Fridjof Nansen Institute","title":"Functionality of an ABS Protocol","author":[{"family":"Tvedt","given":"Morten W","multi":{"_key":{}}},{"family":"Rukundo","given":"Olivier","multi":{"_key":{}}}],"issued":{"date-parts":[["2010"]]},"seeAlso":[]}},{"id":630,"uris":["http://zotero.org/users/local/dU5rpCrq/items/SNN7MKTB"],"uri":["http://zotero.org/users/local/dU5rpCrq/items/SNN7MKTB"],"itemData":{"id":630,"type":"article-journal","multi":{"main":{},"_keys":{}},"container-title":"Biores","issue":"3","page":"3","title":"Cutting the Gordian Knot: Resolving Conflicts over the Term “Utilization”","volume":"4","author":[{"family":"Bavikatte","given":"Kabir","multi":{"_key":{}}},{"family":"Tobin","given":"Brendan","multi":{"_key":{}}}],"issued":{"date-parts":[["2010"]]},"seeAlso":[]}}],"schema":"https://github.com/citation-style-language/schema/raw/master/csl-citation.json"} </w:instrText>
      </w:r>
      <w:r w:rsidRPr="00F43F79">
        <w:rPr>
          <w:sz w:val="18"/>
          <w:szCs w:val="18"/>
        </w:rPr>
        <w:fldChar w:fldCharType="separate"/>
      </w:r>
      <w:r w:rsidRPr="00E11B20">
        <w:rPr>
          <w:sz w:val="18"/>
          <w:szCs w:val="18"/>
          <w:lang w:val="fr-FR"/>
        </w:rPr>
        <w:t xml:space="preserve">Greiber et al. </w:t>
      </w:r>
      <w:r w:rsidRPr="004A1148">
        <w:rPr>
          <w:sz w:val="18"/>
          <w:szCs w:val="18"/>
          <w:lang w:val="fr-FR"/>
        </w:rPr>
        <w:t>(n 10) 63–65; Morten W Tvedt and Olivier Rukundo, ‘Functionality of an Access and Benefit Sharing Protocol’ (Fridjof Nansen Institute 2010); Kabir Bavikatte and Brendan Tobin, ‘Cutting the Gordian Knot: Resolving Conflicts over the Term “Utilisation”’ (2010) 4 Biores 3.</w:t>
      </w:r>
      <w:r w:rsidRPr="00F43F79">
        <w:rPr>
          <w:sz w:val="18"/>
          <w:szCs w:val="18"/>
        </w:rPr>
        <w:fldChar w:fldCharType="end"/>
      </w:r>
    </w:p>
  </w:footnote>
  <w:footnote w:id="32">
    <w:p w14:paraId="169E344A" w14:textId="5955FD9A" w:rsidR="008A77A6" w:rsidRPr="00FB033A"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sidRPr="00FB033A">
        <w:rPr>
          <w:sz w:val="18"/>
          <w:szCs w:val="18"/>
          <w:lang w:val="fr-FR"/>
        </w:rPr>
        <w:t xml:space="preserve"> Voir </w:t>
      </w:r>
      <w:r>
        <w:rPr>
          <w:sz w:val="18"/>
          <w:szCs w:val="18"/>
          <w:lang w:val="fr-FR"/>
        </w:rPr>
        <w:t>l’article 2 du Règlement</w:t>
      </w:r>
      <w:r w:rsidRPr="00FB033A">
        <w:rPr>
          <w:sz w:val="18"/>
          <w:szCs w:val="18"/>
          <w:lang w:val="fr-FR"/>
        </w:rPr>
        <w:t xml:space="preserve"> </w:t>
      </w:r>
      <w:r>
        <w:rPr>
          <w:sz w:val="18"/>
          <w:szCs w:val="18"/>
          <w:lang w:val="fr-FR"/>
        </w:rPr>
        <w:t xml:space="preserve">(UE) </w:t>
      </w:r>
      <w:r w:rsidRPr="00FB033A">
        <w:rPr>
          <w:sz w:val="18"/>
          <w:szCs w:val="18"/>
          <w:lang w:val="fr-FR"/>
        </w:rPr>
        <w:t>511/2014.</w:t>
      </w:r>
    </w:p>
  </w:footnote>
  <w:footnote w:id="33">
    <w:p w14:paraId="4E48C609" w14:textId="225F706E" w:rsidR="008A77A6" w:rsidRPr="00C85D44" w:rsidRDefault="008A77A6" w:rsidP="00F43F79">
      <w:pPr>
        <w:pStyle w:val="FootnoteText"/>
        <w:spacing w:before="20" w:after="20"/>
        <w:ind w:left="284" w:hanging="288"/>
        <w:rPr>
          <w:sz w:val="18"/>
          <w:szCs w:val="18"/>
          <w:lang w:val="en-AU"/>
        </w:rPr>
      </w:pPr>
      <w:r w:rsidRPr="00F43F79">
        <w:rPr>
          <w:rStyle w:val="FootnoteReference"/>
          <w:rFonts w:eastAsiaTheme="majorEastAsia"/>
          <w:sz w:val="18"/>
          <w:szCs w:val="18"/>
        </w:rPr>
        <w:footnoteRef/>
      </w:r>
      <w:r>
        <w:rPr>
          <w:sz w:val="18"/>
          <w:szCs w:val="18"/>
          <w:lang w:val="fr-FR"/>
        </w:rPr>
        <w:t xml:space="preserve"> Dont l’Afrique du Sud, le Brésil</w:t>
      </w:r>
      <w:r w:rsidRPr="00367430">
        <w:rPr>
          <w:sz w:val="18"/>
          <w:szCs w:val="18"/>
          <w:lang w:val="fr-FR"/>
        </w:rPr>
        <w:t xml:space="preserve">, </w:t>
      </w:r>
      <w:r>
        <w:rPr>
          <w:sz w:val="18"/>
          <w:szCs w:val="18"/>
          <w:lang w:val="fr-FR"/>
        </w:rPr>
        <w:t>la Colombie et le Costa Rica</w:t>
      </w:r>
      <w:r w:rsidRPr="00367430">
        <w:rPr>
          <w:sz w:val="18"/>
          <w:szCs w:val="18"/>
          <w:lang w:val="fr-FR"/>
        </w:rPr>
        <w:t xml:space="preserve">.  </w:t>
      </w:r>
      <w:r w:rsidRPr="000C3696">
        <w:rPr>
          <w:sz w:val="18"/>
          <w:szCs w:val="18"/>
          <w:lang w:val="en-AU"/>
        </w:rPr>
        <w:t xml:space="preserve">Voir </w:t>
      </w:r>
      <w:r w:rsidRPr="00F43F79">
        <w:rPr>
          <w:sz w:val="18"/>
          <w:szCs w:val="18"/>
        </w:rPr>
        <w:fldChar w:fldCharType="begin"/>
      </w:r>
      <w:r w:rsidRPr="000C3696">
        <w:rPr>
          <w:sz w:val="18"/>
          <w:szCs w:val="18"/>
          <w:lang w:val="en-AU"/>
        </w:rPr>
        <w:instrText xml:space="preserve"> ADDIN ZOTERO_ITEM CSL_CITATION {"citationID":"TYuQLyhb","properties":{"formattedCitation":"Margo A Bagley and Arti K Rai, \\uc0\\u8216{}The Nagoya Protocol and Synthetic Biology Research: A Look at the Potential Impacts\\uc0\\u8217{} (Wilson Center 2013) 17\\uc0\\u8211{}21.","plainCitation":"Margo A Bagley and Arti K Rai, ‘The Nagoya Protocol and Synthetic Biology Research: A Look at the Potential Impacts’ (Wilson Center 2013) 17–21.","noteIndex":27},"citationItems":[{"id":591,"uris":["http://zotero.org/users/local/dU5rpCrq/items/5QLBMC5M"],"uri":["http://zotero.org/users/local/dU5rpCrq/items/5QLBMC5M"],"itemData":{"id":591,"type":"report","multi":{"main":{},"_keys":{}},"publisher":"Wilson Center","title":"The Nagoya Protocol and Synthetic Biology Research: A Look at the Potential Impacts","author":[{"family":"Bagley","given":"Margo A","multi":{"_key":{}}},{"family":"Rai","given":"Arti K","multi":{"_key":{}}}],"issued":{"date-parts":[["2013"]]},"seeAlso":[]},"locator":"17-21"}],"schema":"https://github.com/citation-style-language/schema/raw/master/csl-citation.json"} </w:instrText>
      </w:r>
      <w:r w:rsidRPr="00F43F79">
        <w:rPr>
          <w:sz w:val="18"/>
          <w:szCs w:val="18"/>
        </w:rPr>
        <w:fldChar w:fldCharType="separate"/>
      </w:r>
      <w:r>
        <w:rPr>
          <w:sz w:val="18"/>
          <w:szCs w:val="18"/>
          <w:lang w:val="en-AU"/>
        </w:rPr>
        <w:t xml:space="preserve">Margo A Bagley and Arti K Rai, ‘The Nagoya Protocol and Synthetic </w:t>
      </w:r>
      <w:r w:rsidRPr="000C3696">
        <w:rPr>
          <w:sz w:val="18"/>
          <w:szCs w:val="18"/>
          <w:lang w:val="en-AU"/>
        </w:rPr>
        <w:t>Biolog</w:t>
      </w:r>
      <w:r>
        <w:rPr>
          <w:sz w:val="18"/>
          <w:szCs w:val="18"/>
          <w:lang w:val="en-AU"/>
        </w:rPr>
        <w:t>y</w:t>
      </w:r>
      <w:r w:rsidRPr="000C3696">
        <w:rPr>
          <w:sz w:val="18"/>
          <w:szCs w:val="18"/>
          <w:lang w:val="en-AU"/>
        </w:rPr>
        <w:t xml:space="preserve"> </w:t>
      </w:r>
      <w:r>
        <w:rPr>
          <w:sz w:val="18"/>
          <w:szCs w:val="18"/>
          <w:lang w:val="en-AU"/>
        </w:rPr>
        <w:t>Research</w:t>
      </w:r>
      <w:r w:rsidRPr="000C3696">
        <w:rPr>
          <w:sz w:val="18"/>
          <w:szCs w:val="18"/>
          <w:lang w:val="en-AU"/>
        </w:rPr>
        <w:t>: A Look at the Potential Impacts’ (Wilson Center 2013) 17–21.</w:t>
      </w:r>
      <w:r w:rsidRPr="00F43F79">
        <w:rPr>
          <w:sz w:val="18"/>
          <w:szCs w:val="18"/>
        </w:rPr>
        <w:fldChar w:fldCharType="end"/>
      </w:r>
      <w:r w:rsidRPr="000C3696">
        <w:rPr>
          <w:sz w:val="18"/>
          <w:szCs w:val="18"/>
          <w:lang w:val="en-AU"/>
        </w:rPr>
        <w:t xml:space="preserve"> </w:t>
      </w:r>
      <w:r w:rsidRPr="00F43F79">
        <w:rPr>
          <w:sz w:val="18"/>
          <w:szCs w:val="18"/>
        </w:rPr>
        <w:fldChar w:fldCharType="begin"/>
      </w:r>
      <w:r w:rsidRPr="0002675E">
        <w:rPr>
          <w:sz w:val="18"/>
          <w:szCs w:val="18"/>
          <w:lang w:val="en-AU"/>
        </w:rPr>
        <w:instrText xml:space="preserve"> ADDIN ZOTERO_ITEM CSL_CITATION {"citationID":"RbvoVWQE","properties":{"formattedCitation":"See also Elisa Morgera and others, {\\i{}Unraveling the Nagoya Protocol: A Commentary on the Nagoya Protocol on Access and Benefit-Sharing to the Convention on Biological Diversity} (Brill Nijhoff 2014) 77\\uc0\\u8211{}80 for further commentary on this matter.","plainCitation":"See also Elisa Morgera and others, Unraveling the Nagoya Protocol: A Commentary on the Nagoya Protocol on Access and Benefit-</w:instrText>
      </w:r>
      <w:r w:rsidRPr="00C85D44">
        <w:rPr>
          <w:sz w:val="18"/>
          <w:szCs w:val="18"/>
          <w:lang w:val="en-AU"/>
        </w:rPr>
        <w:instrText xml:space="preserve">Sharing to the Convention on Biological Diversity (Brill Nijhoff 2014) 77–80 for further commentary on this matter.","noteIndex":27},"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77-80","prefix":"See also ","suffix":"for further commentary on this matter."}],"schema":"https://github.com/citation-style-language/schema/raw/master/csl-citation.json"} </w:instrText>
      </w:r>
      <w:r w:rsidRPr="00F43F79">
        <w:rPr>
          <w:sz w:val="18"/>
          <w:szCs w:val="18"/>
        </w:rPr>
        <w:fldChar w:fldCharType="separate"/>
      </w:r>
      <w:r w:rsidRPr="00C85D44">
        <w:rPr>
          <w:sz w:val="18"/>
          <w:szCs w:val="18"/>
          <w:lang w:val="en-AU"/>
        </w:rPr>
        <w:t xml:space="preserve">Voir aussi Elisa Morgera et al., </w:t>
      </w:r>
      <w:r w:rsidRPr="00C85D44">
        <w:rPr>
          <w:i/>
          <w:iCs/>
          <w:sz w:val="18"/>
          <w:szCs w:val="18"/>
          <w:lang w:val="en-AU"/>
        </w:rPr>
        <w:t>Unraveling the Nagoya Protocol: A Commentary on the Nag</w:t>
      </w:r>
      <w:r>
        <w:rPr>
          <w:i/>
          <w:iCs/>
          <w:sz w:val="18"/>
          <w:szCs w:val="18"/>
          <w:lang w:val="en-AU"/>
        </w:rPr>
        <w:t>oya Protocol on Access and Benef</w:t>
      </w:r>
      <w:r w:rsidRPr="00C85D44">
        <w:rPr>
          <w:i/>
          <w:iCs/>
          <w:sz w:val="18"/>
          <w:szCs w:val="18"/>
          <w:lang w:val="en-AU"/>
        </w:rPr>
        <w:t>it Sharing to th</w:t>
      </w:r>
      <w:r>
        <w:rPr>
          <w:i/>
          <w:iCs/>
          <w:sz w:val="18"/>
          <w:szCs w:val="18"/>
          <w:lang w:val="en-AU"/>
        </w:rPr>
        <w:t xml:space="preserve">e </w:t>
      </w:r>
      <w:r w:rsidRPr="00C85D44">
        <w:rPr>
          <w:i/>
          <w:iCs/>
          <w:sz w:val="18"/>
          <w:szCs w:val="18"/>
          <w:lang w:val="en-AU"/>
        </w:rPr>
        <w:t>Conven</w:t>
      </w:r>
      <w:r>
        <w:rPr>
          <w:i/>
          <w:iCs/>
          <w:sz w:val="18"/>
          <w:szCs w:val="18"/>
          <w:lang w:val="en-AU"/>
        </w:rPr>
        <w:t>tion on Biological Diversity</w:t>
      </w:r>
      <w:r w:rsidRPr="00C85D44">
        <w:rPr>
          <w:sz w:val="18"/>
          <w:szCs w:val="18"/>
          <w:lang w:val="en-AU"/>
        </w:rPr>
        <w:t xml:space="preserve"> </w:t>
      </w:r>
      <w:r>
        <w:rPr>
          <w:sz w:val="18"/>
          <w:szCs w:val="18"/>
          <w:lang w:val="en-AU"/>
        </w:rPr>
        <w:t>(Brill Nijhoff 2014) voir 77–80 pour d'autres observations sur cette question</w:t>
      </w:r>
      <w:r w:rsidRPr="00C85D44">
        <w:rPr>
          <w:sz w:val="18"/>
          <w:szCs w:val="18"/>
          <w:lang w:val="en-AU"/>
        </w:rPr>
        <w:t>.</w:t>
      </w:r>
      <w:r w:rsidRPr="00F43F79">
        <w:rPr>
          <w:sz w:val="18"/>
          <w:szCs w:val="18"/>
        </w:rPr>
        <w:fldChar w:fldCharType="end"/>
      </w:r>
      <w:r w:rsidRPr="00C85D44">
        <w:rPr>
          <w:sz w:val="18"/>
          <w:szCs w:val="18"/>
          <w:lang w:val="en-AU"/>
        </w:rPr>
        <w:t xml:space="preserve">  </w:t>
      </w:r>
    </w:p>
  </w:footnote>
  <w:footnote w:id="34">
    <w:p w14:paraId="58E2283A" w14:textId="4E30A7C3" w:rsidR="008A77A6" w:rsidRPr="007B0179" w:rsidRDefault="008A77A6" w:rsidP="00F43F79">
      <w:pPr>
        <w:pStyle w:val="FootnoteText"/>
        <w:spacing w:before="20" w:after="20"/>
        <w:ind w:left="284" w:hanging="288"/>
        <w:rPr>
          <w:iCs/>
          <w:sz w:val="18"/>
          <w:szCs w:val="18"/>
          <w:lang w:val="en-AU"/>
        </w:rPr>
      </w:pPr>
      <w:r w:rsidRPr="00F43F79">
        <w:rPr>
          <w:rStyle w:val="FootnoteReference"/>
          <w:rFonts w:eastAsiaTheme="majorEastAsia"/>
          <w:sz w:val="18"/>
          <w:szCs w:val="18"/>
        </w:rPr>
        <w:footnoteRef/>
      </w:r>
      <w:r w:rsidRPr="007B0179">
        <w:rPr>
          <w:sz w:val="18"/>
          <w:szCs w:val="18"/>
          <w:lang w:val="en-AU"/>
        </w:rPr>
        <w:t xml:space="preserve"> </w:t>
      </w:r>
      <w:r w:rsidRPr="00F43F79">
        <w:rPr>
          <w:sz w:val="18"/>
          <w:szCs w:val="18"/>
        </w:rPr>
        <w:fldChar w:fldCharType="begin"/>
      </w:r>
      <w:r w:rsidRPr="007B0179">
        <w:rPr>
          <w:sz w:val="18"/>
          <w:szCs w:val="18"/>
          <w:lang w:val="en-AU"/>
        </w:rPr>
        <w:instrText xml:space="preserve"> ADDIN ZOTERO_ITEM CSL_CITATION {"citationID":"OvMeenh3","properties":{"formattedCitation":"Margo A Bagley and others, \\uc0\\u8216{}Fact-Finding Study on How Domestic Measures Address Benefit-Sharing Arising from Commercial and Non-Commercial Use of Digital Sequence Information on Genetic Resources and Address the Use of Digital Sequence Information on Genetic Resources for Research and Development\\uc0\\u8217{} (Secretariat of the Convention on Biological Diversity 29 January 2020).","plainCitation":"Margo A Bagley and others, ‘Fact-Finding Study on How Domestic Measures Address Benefit-Sharing Arising from Commercial and Non-Commercial Use of Digital Sequence Information on Genetic Resources and Address the Use of Digital Sequence Information on Genetic Resources for Research and Development’ (Secretariat of the Convention on Biological Diversity 29 January 2020).","noteIndex":28},"citationItems":[{"id":648,"uris":["http://zotero.org/users/local/dU5rpCrq/items/PD5M6V67"],"uri":["http://zotero.org/users/local/dU5rpCrq/items/PD5M6V67"],"itemData":{"id":648,"type":"article","multi":{"main":{},"_keys":{}},"publisher":"Secretariat of the Convention on Biological Diversity","title":"Fact-finding Study on How Domestic Measures Address Benefit-sharing Arising from Commercial and Non-commercial Use of Digital Sequence Information on Genetic Resources and Address the Use of Digital Sequence Information on Genetic Resources for Research and Development","URL":"https://www.cbd.int/meetings/DSI-AHTEG-2020-01","author":[{"family":"Bagley","given":"Margo A","multi":{"_key":{}}},{"family":"Karger","given":"Elizabeth","multi":{"_key":{}}},{"family":"Ruiz Muller","given":"Manuel","multi":{"_key":{}}},{"family":"Perron-Welch","given":"Frederic","multi":{"_key":{}}},{"family":"Thambisetty","given":"Siva","multi":{"_key":{}}}],"accessed":{"date-parts":[["2020",2,28]]},"issued":{"date-parts":[["2020",1,29]]},"seeAlso":[]}}],"schema":"https://github.com/citation-style-language/schema/raw/master/csl-citation.json"} </w:instrText>
      </w:r>
      <w:r w:rsidRPr="00F43F79">
        <w:rPr>
          <w:sz w:val="18"/>
          <w:szCs w:val="18"/>
        </w:rPr>
        <w:fldChar w:fldCharType="separate"/>
      </w:r>
      <w:r w:rsidRPr="007B0179">
        <w:rPr>
          <w:sz w:val="18"/>
          <w:szCs w:val="18"/>
          <w:lang w:val="en-AU"/>
        </w:rPr>
        <w:t>Margo A Bagley et al., ‘</w:t>
      </w:r>
      <w:r>
        <w:rPr>
          <w:sz w:val="18"/>
          <w:szCs w:val="18"/>
        </w:rPr>
        <w:t>Fact-Finding Study on How Domestic Measures Address Benefit-Sharing Arising from Commercial and Non-Commercial Use of Digital Sequence Information on Genetic Resources and Address the Use of Digital Sequence Information on Genetic Resources for Research and Development</w:t>
      </w:r>
      <w:r w:rsidRPr="007B0179">
        <w:rPr>
          <w:sz w:val="18"/>
          <w:szCs w:val="18"/>
          <w:lang w:val="en-AU"/>
        </w:rPr>
        <w:t xml:space="preserve">’ (Secrétariat de la Convention </w:t>
      </w:r>
      <w:r>
        <w:rPr>
          <w:sz w:val="18"/>
          <w:szCs w:val="18"/>
          <w:lang w:val="en-AU"/>
        </w:rPr>
        <w:t>sur la diversité biologique, 29 </w:t>
      </w:r>
      <w:r w:rsidRPr="007B0179">
        <w:rPr>
          <w:sz w:val="18"/>
          <w:szCs w:val="18"/>
          <w:lang w:val="en-AU"/>
        </w:rPr>
        <w:t>janvier 2020).</w:t>
      </w:r>
      <w:r w:rsidRPr="00F43F79">
        <w:rPr>
          <w:sz w:val="18"/>
          <w:szCs w:val="18"/>
        </w:rPr>
        <w:fldChar w:fldCharType="end"/>
      </w:r>
      <w:r w:rsidRPr="007B0179">
        <w:rPr>
          <w:sz w:val="18"/>
          <w:szCs w:val="18"/>
          <w:lang w:val="en-AU"/>
        </w:rPr>
        <w:t xml:space="preserve"> &lt;https://www.cbd.int/doc/c/428d/017b/1b0c60b47af50c81a1a34d52/dsi-ahteg-2020-01-05-en.pdf.</w:t>
      </w:r>
    </w:p>
  </w:footnote>
  <w:footnote w:id="35">
    <w:p w14:paraId="70B101C5" w14:textId="657887AF" w:rsidR="008A77A6" w:rsidRPr="0020703A"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20703A">
        <w:rPr>
          <w:sz w:val="18"/>
          <w:szCs w:val="18"/>
          <w:lang w:val="fr-FR"/>
        </w:rPr>
        <w:t xml:space="preserve"> Convention sur la diversité biologique, art</w:t>
      </w:r>
      <w:r>
        <w:rPr>
          <w:sz w:val="18"/>
          <w:szCs w:val="18"/>
          <w:lang w:val="fr-FR"/>
        </w:rPr>
        <w:t xml:space="preserve">icle 4 </w:t>
      </w:r>
      <w:r w:rsidRPr="0020703A">
        <w:rPr>
          <w:sz w:val="18"/>
          <w:szCs w:val="18"/>
          <w:lang w:val="fr-FR"/>
        </w:rPr>
        <w:t>b).</w:t>
      </w:r>
    </w:p>
  </w:footnote>
  <w:footnote w:id="36">
    <w:p w14:paraId="2D631ECF" w14:textId="20E16AA7" w:rsidR="008A77A6" w:rsidRPr="00C85D44"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02675E">
        <w:rPr>
          <w:sz w:val="18"/>
          <w:szCs w:val="18"/>
          <w:lang w:val="fr-FR"/>
        </w:rPr>
        <w:t xml:space="preserve"> </w:t>
      </w:r>
      <w:r w:rsidRPr="00F43F79">
        <w:rPr>
          <w:sz w:val="18"/>
          <w:szCs w:val="18"/>
        </w:rPr>
        <w:fldChar w:fldCharType="begin"/>
      </w:r>
      <w:r w:rsidRPr="0002675E">
        <w:rPr>
          <w:sz w:val="18"/>
          <w:szCs w:val="18"/>
          <w:lang w:val="fr-FR"/>
        </w:rPr>
        <w:instrText xml:space="preserve"> ADDIN ZOTERO_ITEM CSL_CITATION {"citationID":"ijjd3E87","properties":{"formattedCitation":"See Morgera and others (n 27) 81\\uc0\\u8211{}83 for additional commentary on this matter.","plainCitation":"See Morgera and others (n 27) 81–83 for additional commentary on this matter.","noteIndex":30},"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81-83","prefix":"See ","suffix":" for additional commentary on this matter."}],"schema":"https://github.com/citation-style-language/schema/raw/master/csl-citation.json"} </w:instrText>
      </w:r>
      <w:r w:rsidRPr="00F43F79">
        <w:rPr>
          <w:sz w:val="18"/>
          <w:szCs w:val="18"/>
        </w:rPr>
        <w:fldChar w:fldCharType="separate"/>
      </w:r>
      <w:r w:rsidRPr="0002675E">
        <w:rPr>
          <w:sz w:val="18"/>
          <w:szCs w:val="18"/>
          <w:lang w:val="fr-FR"/>
        </w:rPr>
        <w:t xml:space="preserve">Voir Morgera et al. </w:t>
      </w:r>
      <w:r w:rsidRPr="00C85D44">
        <w:rPr>
          <w:sz w:val="18"/>
          <w:szCs w:val="18"/>
          <w:lang w:val="fr-FR"/>
        </w:rPr>
        <w:t xml:space="preserve">(n 29) 81–83 pour </w:t>
      </w:r>
      <w:r>
        <w:rPr>
          <w:sz w:val="18"/>
          <w:szCs w:val="18"/>
          <w:lang w:val="fr-FR"/>
        </w:rPr>
        <w:t>d’autres observations sur cette question</w:t>
      </w:r>
      <w:r w:rsidRPr="00C85D44">
        <w:rPr>
          <w:sz w:val="18"/>
          <w:szCs w:val="18"/>
          <w:lang w:val="fr-FR"/>
        </w:rPr>
        <w:t>.</w:t>
      </w:r>
      <w:r w:rsidRPr="00F43F79">
        <w:rPr>
          <w:sz w:val="18"/>
          <w:szCs w:val="18"/>
        </w:rPr>
        <w:fldChar w:fldCharType="end"/>
      </w:r>
    </w:p>
  </w:footnote>
  <w:footnote w:id="37">
    <w:p w14:paraId="36D657FB" w14:textId="24E26877" w:rsidR="008A77A6" w:rsidRPr="0020703A"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C85D44">
        <w:rPr>
          <w:sz w:val="18"/>
          <w:szCs w:val="18"/>
          <w:lang w:val="fr-FR"/>
        </w:rPr>
        <w:t xml:space="preserve"> </w:t>
      </w:r>
      <w:r w:rsidRPr="00F43F79">
        <w:rPr>
          <w:sz w:val="18"/>
          <w:szCs w:val="18"/>
        </w:rPr>
        <w:fldChar w:fldCharType="begin"/>
      </w:r>
      <w:r w:rsidRPr="00C85D44">
        <w:rPr>
          <w:sz w:val="18"/>
          <w:szCs w:val="18"/>
          <w:lang w:val="fr-FR"/>
        </w:rPr>
        <w:instrText xml:space="preserve"> ADDIN ZOTERO_ITEM CSL_CITATION {"citationID":"9GlFjUHs","properties":{"formattedCitation":"Secretariat of the Convention</w:instrText>
      </w:r>
      <w:r w:rsidRPr="0020703A">
        <w:rPr>
          <w:sz w:val="18"/>
          <w:szCs w:val="18"/>
          <w:lang w:val="fr-FR"/>
        </w:rPr>
        <w:instrText xml:space="preserve"> on Biological Diversity, \\uc0\\u8216{}Report of the Expert Group Meeting on Article 10 of the Nagoya Protocol on Access and Benefit-Sharing\\uc0\\u8217{} (n 17).","plainCitation":"Secretariat of the Convention on Biological Diversity, ‘Report of the Expert Group Meeting on Article 10 of the Nagoya Protocol on Access and Benefit-Sharing’ (n 17).","noteIndex":31},"citationItems":[{"id":620,"uris":["http://zotero.org/users/local/dU5rpCrq/items/ZZATBR7F"],"uri":["http://zotero.org/users/local/dU5rpCrq/items/ZZATBR7F"],"itemData":{"id":620,"type":"article","multi":{"main":{},"_keys":{}},"title":"Report of the Expert Group Meeting on Article 10 of the Nagoya Protocol on Access and Benefit-Sharing","author":[{"family":"Secretariat of the Convention on Biological Diversity","given":"","literal":"Secretariat of the Convention on Biological Diversity","multi":{"_key":{}}}],"issued":{"date-parts":[["2016",2,3]]},"seeAlso":[]}}],"schema":"https://github.com/citation-style-language/schema/raw/master/csl-citation.json"} </w:instrText>
      </w:r>
      <w:r w:rsidRPr="00F43F79">
        <w:rPr>
          <w:sz w:val="18"/>
          <w:szCs w:val="18"/>
        </w:rPr>
        <w:fldChar w:fldCharType="separate"/>
      </w:r>
      <w:r w:rsidRPr="0020703A">
        <w:rPr>
          <w:sz w:val="18"/>
          <w:szCs w:val="18"/>
          <w:lang w:val="fr-FR"/>
        </w:rPr>
        <w:t xml:space="preserve">Secrétariat </w:t>
      </w:r>
      <w:r>
        <w:rPr>
          <w:sz w:val="18"/>
          <w:szCs w:val="18"/>
          <w:lang w:val="fr-FR"/>
        </w:rPr>
        <w:t>de la Convention</w:t>
      </w:r>
      <w:r w:rsidRPr="0020703A">
        <w:rPr>
          <w:sz w:val="18"/>
          <w:szCs w:val="18"/>
          <w:lang w:val="fr-FR"/>
        </w:rPr>
        <w:t xml:space="preserve"> sur la diversité biologique, ‘</w:t>
      </w:r>
      <w:r>
        <w:rPr>
          <w:sz w:val="18"/>
          <w:szCs w:val="18"/>
          <w:lang w:val="fr-FR"/>
        </w:rPr>
        <w:t>Rapport</w:t>
      </w:r>
      <w:r w:rsidRPr="0020703A">
        <w:rPr>
          <w:sz w:val="18"/>
          <w:szCs w:val="18"/>
          <w:lang w:val="fr-FR"/>
        </w:rPr>
        <w:t xml:space="preserve"> </w:t>
      </w:r>
      <w:r>
        <w:rPr>
          <w:sz w:val="18"/>
          <w:szCs w:val="18"/>
          <w:lang w:val="fr-FR"/>
        </w:rPr>
        <w:t>de la réunion du Groupe d’experts</w:t>
      </w:r>
      <w:r w:rsidRPr="0020703A">
        <w:rPr>
          <w:sz w:val="18"/>
          <w:szCs w:val="18"/>
          <w:lang w:val="fr-FR"/>
        </w:rPr>
        <w:t xml:space="preserve"> </w:t>
      </w:r>
      <w:r>
        <w:rPr>
          <w:sz w:val="18"/>
          <w:szCs w:val="18"/>
          <w:lang w:val="fr-FR"/>
        </w:rPr>
        <w:t>sur l’article</w:t>
      </w:r>
      <w:r w:rsidRPr="0020703A">
        <w:rPr>
          <w:sz w:val="18"/>
          <w:szCs w:val="18"/>
          <w:lang w:val="fr-FR"/>
        </w:rPr>
        <w:t xml:space="preserve"> 10 </w:t>
      </w:r>
      <w:r>
        <w:rPr>
          <w:sz w:val="18"/>
          <w:szCs w:val="18"/>
          <w:lang w:val="fr-FR"/>
        </w:rPr>
        <w:t>du Pro</w:t>
      </w:r>
      <w:r w:rsidRPr="0020703A">
        <w:rPr>
          <w:sz w:val="18"/>
          <w:szCs w:val="18"/>
          <w:lang w:val="fr-FR"/>
        </w:rPr>
        <w:t>tocole de Nagoya sur l’accès et le partage des avantages’ (n 19).</w:t>
      </w:r>
      <w:r w:rsidRPr="00F43F79">
        <w:rPr>
          <w:sz w:val="18"/>
          <w:szCs w:val="18"/>
        </w:rPr>
        <w:fldChar w:fldCharType="end"/>
      </w:r>
    </w:p>
  </w:footnote>
  <w:footnote w:id="38">
    <w:p w14:paraId="6C23E3F2" w14:textId="69EA5B75"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{"citationID":"zcVNtscb","properties":{"formattedCitation":"Graham Dutfield, \\uc0\\u8216{}Transboundary Resources, Consent and Customary Law\\uc0\\u8217{} (2013) 9 Law, Environment and Development Journal 259, 260.","plainCitation":"Graham Dutfield, ‘Transboundary Resources, Consent and Customary Law’ (2013) 9 Law, Environment and Development Journal 259, 260.","noteIndex":32},"citationItems":[{"id":592,"uris":["http://zotero.org/users/local/dU5rpCrq/items/B5JY57IW"],"uri":["http://zotero.org/users/local/dU5rpCrq/items/B5JY57IW"],"itemData":{"id":592,"type":"article-journal","multi":{"main":{},"_keys":{}},"container-title":"Law, Environment and Development Journal","issue":"2","page":"259","title":"Transboundary Resources, Consent and Customary Law","volume":"9","author":[{"family":"Dutfield","given":"Graham","multi":{"_key":{}}}],"issued":{"date-parts":[["2013"]]},"seeAlso":[]},"locator":"260"}],"schema":"https://github.com/citation-style-language/schema/raw/master/csl-citation.json"} </w:instrText>
      </w:r>
      <w:r w:rsidRPr="00F43F79">
        <w:rPr>
          <w:sz w:val="18"/>
          <w:szCs w:val="18"/>
        </w:rPr>
        <w:fldChar w:fldCharType="separate"/>
      </w:r>
      <w:r w:rsidRPr="00F43F79">
        <w:rPr>
          <w:sz w:val="18"/>
          <w:szCs w:val="18"/>
        </w:rPr>
        <w:t>Graham Dutfield, ‘</w:t>
      </w:r>
      <w:r>
        <w:rPr>
          <w:sz w:val="18"/>
          <w:szCs w:val="18"/>
        </w:rPr>
        <w:t>Transboundary</w:t>
      </w:r>
      <w:r w:rsidRPr="00F43F79">
        <w:rPr>
          <w:sz w:val="18"/>
          <w:szCs w:val="18"/>
        </w:rPr>
        <w:t xml:space="preserve"> </w:t>
      </w:r>
      <w:r>
        <w:rPr>
          <w:sz w:val="18"/>
          <w:szCs w:val="18"/>
        </w:rPr>
        <w:t>Resources</w:t>
      </w:r>
      <w:r w:rsidRPr="00F43F79">
        <w:rPr>
          <w:sz w:val="18"/>
          <w:szCs w:val="18"/>
        </w:rPr>
        <w:t>, Consent</w:t>
      </w:r>
      <w:r>
        <w:rPr>
          <w:sz w:val="18"/>
          <w:szCs w:val="18"/>
        </w:rPr>
        <w:t xml:space="preserve"> and </w:t>
      </w:r>
      <w:r w:rsidRPr="00F43F79">
        <w:rPr>
          <w:sz w:val="18"/>
          <w:szCs w:val="18"/>
        </w:rPr>
        <w:t>Customary Law’ (2013) 9 Law, Environment</w:t>
      </w:r>
      <w:r>
        <w:rPr>
          <w:sz w:val="18"/>
          <w:szCs w:val="18"/>
        </w:rPr>
        <w:t xml:space="preserve"> and </w:t>
      </w:r>
      <w:r w:rsidRPr="00F43F79">
        <w:rPr>
          <w:sz w:val="18"/>
          <w:szCs w:val="18"/>
        </w:rPr>
        <w:t>Development Journal 259, 260.</w:t>
      </w:r>
      <w:r w:rsidRPr="00F43F79">
        <w:rPr>
          <w:sz w:val="18"/>
          <w:szCs w:val="18"/>
        </w:rPr>
        <w:fldChar w:fldCharType="end"/>
      </w:r>
    </w:p>
  </w:footnote>
  <w:footnote w:id="39">
    <w:p w14:paraId="0BAEA7A5" w14:textId="0D3313E0"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{"citationID":"LPp2JOXY","properties":{"formattedCitation":"Morgera and others (n 27) 200.","plainCitation":"Morgera and others (n 27) 200.","noteIndex":33},"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200"}],"schema":"https://github.com/citation-style-language/schema/raw/master/csl-citation.json"} </w:instrText>
      </w:r>
      <w:r w:rsidRPr="00F43F79">
        <w:rPr>
          <w:sz w:val="18"/>
          <w:szCs w:val="18"/>
        </w:rPr>
        <w:fldChar w:fldCharType="separate"/>
      </w:r>
      <w:r w:rsidRPr="00F43F79">
        <w:rPr>
          <w:sz w:val="18"/>
          <w:szCs w:val="18"/>
        </w:rPr>
        <w:t>Morgera</w:t>
      </w:r>
      <w:r>
        <w:rPr>
          <w:sz w:val="18"/>
          <w:szCs w:val="18"/>
        </w:rPr>
        <w:t xml:space="preserve"> et al.</w:t>
      </w:r>
      <w:r w:rsidRPr="00F43F79">
        <w:rPr>
          <w:sz w:val="18"/>
          <w:szCs w:val="18"/>
        </w:rPr>
        <w:t xml:space="preserve"> (n 2</w:t>
      </w:r>
      <w:r>
        <w:rPr>
          <w:sz w:val="18"/>
          <w:szCs w:val="18"/>
        </w:rPr>
        <w:t>9</w:t>
      </w:r>
      <w:r w:rsidRPr="00F43F79">
        <w:rPr>
          <w:sz w:val="18"/>
          <w:szCs w:val="18"/>
        </w:rPr>
        <w:t>) 200.</w:t>
      </w:r>
      <w:r w:rsidRPr="00F43F79">
        <w:rPr>
          <w:sz w:val="18"/>
          <w:szCs w:val="18"/>
        </w:rPr>
        <w:fldChar w:fldCharType="end"/>
      </w:r>
    </w:p>
  </w:footnote>
  <w:footnote w:id="40">
    <w:p w14:paraId="0792ADB6" w14:textId="48B7F6C1" w:rsidR="008A77A6" w:rsidRPr="00F43F79" w:rsidRDefault="008A77A6" w:rsidP="00F43F79">
      <w:pPr>
        <w:pStyle w:val="FootnoteText"/>
        <w:spacing w:before="20" w:after="20"/>
        <w:ind w:left="284" w:hanging="288"/>
        <w:rPr>
          <w:i/>
          <w:iCs/>
          <w:sz w:val="18"/>
          <w:szCs w:val="18"/>
        </w:rPr>
      </w:pPr>
      <w:r w:rsidRPr="00F43F79">
        <w:rPr>
          <w:rStyle w:val="FootnoteReference"/>
          <w:rFonts w:eastAsiaTheme="majorEastAsia"/>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{"citationID":"JrfCwo1X","properties":{"formattedCitation":"Kakudidi Esezah and others, \\uc0\\u8216{}Antifungal Medicinal Plants Used by Communities Adjacent to Bwindi Impenetrable National Park, South-Western Uganda\\uc0\\u8217{} (2015) 7 European Journal of Medicinal Plants 184, 188.","plainCitation":"Kakudidi Esezah and others, ‘Antifungal Medicinal Plants Used by Communities Adjacent to Bwindi Impenetrable National Park, South-Western Uganda’ (2015) 7 European Journal of Medicinal Plants 184, 188.","noteIndex":34},"citationItems":[{"id":610,"uris":["http://zotero.org/users/local/dU5rpCrq/items/FDAGRPAD"],"uri":["http://zotero.org/users/local/dU5rpCrq/items/FDAGRPAD"],"itemData":{"id":610,"type":"article-journal","multi":{"main":{},"_keys":{}},"container-title":"European Journal of Medicinal Plants","DOI":"10.9734/EJMP/2015/16237","ISSN":"2231-0894","issue":"4","language":"en-US","page":"184-192","source":"www.journalejmp.com","title":"Antifungal Medicinal Plants Used by Communities Adjacent to Bwindi Impenetrable National Park, South-Western Uganda","volume":"7","author":[{"family":"Esezah","given":"Kakudidi","multi":{"_key":{}}},{"family":"Godwin","given":"Anywar","multi":{"_key":{}}},{"family":"Fredrick","given":"Ayorekire","multi":{"_key":{}}},{"family":"Jasper","given":"Ogwal-Okeng","multi":{"_key":{}}}],"issued":{"date-parts":[["2015"]]},"seeAlso":[]},"locator":"188"}],"schema":"https://github.com/citation-style-language/schema/raw/master/csl-citation.json"} </w:instrText>
      </w:r>
      <w:r w:rsidRPr="00F43F79">
        <w:rPr>
          <w:sz w:val="18"/>
          <w:szCs w:val="18"/>
        </w:rPr>
        <w:fldChar w:fldCharType="separate"/>
      </w:r>
      <w:r w:rsidRPr="00F43F79">
        <w:rPr>
          <w:sz w:val="18"/>
          <w:szCs w:val="18"/>
        </w:rPr>
        <w:t>Kakudidi Esezah</w:t>
      </w:r>
      <w:r>
        <w:rPr>
          <w:sz w:val="18"/>
          <w:szCs w:val="18"/>
        </w:rPr>
        <w:t xml:space="preserve"> et al.</w:t>
      </w:r>
      <w:r w:rsidRPr="00F43F79">
        <w:rPr>
          <w:sz w:val="18"/>
          <w:szCs w:val="18"/>
        </w:rPr>
        <w:t xml:space="preserve">, ‘Antifungal </w:t>
      </w:r>
      <w:r>
        <w:rPr>
          <w:sz w:val="18"/>
          <w:szCs w:val="18"/>
        </w:rPr>
        <w:t xml:space="preserve">Medicinal Plants Used by </w:t>
      </w:r>
      <w:r w:rsidRPr="00F43F79">
        <w:rPr>
          <w:sz w:val="18"/>
          <w:szCs w:val="18"/>
        </w:rPr>
        <w:t xml:space="preserve">Communities Adjacent to Bwindi Impenetrable National Park, South-Western Uganda’ (2015) 7 European Journal of </w:t>
      </w:r>
      <w:r>
        <w:rPr>
          <w:sz w:val="18"/>
          <w:szCs w:val="18"/>
        </w:rPr>
        <w:t>Medicinal Plants</w:t>
      </w:r>
      <w:r w:rsidRPr="00F43F79">
        <w:rPr>
          <w:sz w:val="18"/>
          <w:szCs w:val="18"/>
        </w:rPr>
        <w:t xml:space="preserve"> 184, 188.</w:t>
      </w:r>
      <w:r w:rsidRPr="00F43F79">
        <w:rPr>
          <w:sz w:val="18"/>
          <w:szCs w:val="18"/>
        </w:rPr>
        <w:fldChar w:fldCharType="end"/>
      </w:r>
    </w:p>
  </w:footnote>
  <w:footnote w:id="41">
    <w:p w14:paraId="08B5EB82" w14:textId="1AD4DD60" w:rsidR="008A77A6" w:rsidRPr="00E11B20"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{"citationID":"vvQuGN6K","properties":{"formattedCitation":"\\uc0\\u8216{}Carnegie Museum of Natural History Herbarium Catalog No CM226483\\uc0\\u8217{} ({\\i{}SERNEC Detailed Collection Record Information}, no date) &lt;http://sernecportal.org/portal/collections/individual/index.php?occid=12316926&amp;clid=0%3e&gt; accessed 29 February 2020.","plainCitation":"‘Carnegie Museum of Natural History Herbarium Catalog No CM226483’ (SERNEC Detailed Collection Record Information, no date) &lt;http://sernecportal.org/portal/collections/individual/index.php?occid=12316926&amp;clid=0%3e&gt; accessed 29 February 2020.","dontUpdate":true,"noteIndex":35},"citationItems":[{"id":656,"uris":["http://zotero.org/users/local/dU5rpCrq/items/R4EQ76ZQ"],"uri":["http://zotero.org/users/local/dU5rpCrq/items/R4EQ76ZQ"],"itemData":{"id":656,"type":"webpage","multi":{"main":{},"_keys":{}},"container-title":"SERNEC Detailed Collection Record Information","title":"Carnegie Museum of Natural History Herbarium Catalog No CM226483","URL":"http://sernecportal.org/portal/collections/individual/index.php?occid=12316926&amp;clid=0%3e","accessed":{"date-parts":[["2020",2,28]]},"seeAlso":[]}}],"schema":"https://github.com/citation-style-language/schema/raw/master/csl-citation.json"} </w:instrText>
      </w:r>
      <w:r w:rsidRPr="00F43F79">
        <w:rPr>
          <w:sz w:val="18"/>
          <w:szCs w:val="18"/>
        </w:rPr>
        <w:fldChar w:fldCharType="separate"/>
      </w:r>
      <w:r w:rsidRPr="00F43F79">
        <w:rPr>
          <w:sz w:val="18"/>
          <w:szCs w:val="18"/>
        </w:rPr>
        <w:t xml:space="preserve">‘Carnegie Museum of Natural History </w:t>
      </w:r>
      <w:r>
        <w:rPr>
          <w:sz w:val="18"/>
          <w:szCs w:val="18"/>
        </w:rPr>
        <w:t>Herbarium</w:t>
      </w:r>
      <w:r w:rsidRPr="00F43F79">
        <w:rPr>
          <w:sz w:val="18"/>
          <w:szCs w:val="18"/>
        </w:rPr>
        <w:t xml:space="preserve"> Catalog No CM226483’ (</w:t>
      </w:r>
      <w:r w:rsidRPr="00F43F79">
        <w:rPr>
          <w:i/>
          <w:iCs/>
          <w:sz w:val="18"/>
          <w:szCs w:val="18"/>
        </w:rPr>
        <w:t>SERNEC Detailed Collection Record Information</w:t>
      </w:r>
      <w:r>
        <w:rPr>
          <w:sz w:val="18"/>
          <w:szCs w:val="18"/>
        </w:rPr>
        <w:t xml:space="preserve">, non daté). </w:t>
      </w:r>
      <w:r w:rsidRPr="00E11B20">
        <w:rPr>
          <w:sz w:val="18"/>
          <w:szCs w:val="18"/>
          <w:lang w:val="fr-FR"/>
        </w:rPr>
        <w:t>Voir:</w:t>
      </w:r>
    </w:p>
    <w:p w14:paraId="211ECB41" w14:textId="12D1009D" w:rsidR="008A77A6" w:rsidRPr="007B0179" w:rsidRDefault="008A77A6" w:rsidP="00F43F79">
      <w:pPr>
        <w:pStyle w:val="FootnoteText"/>
        <w:spacing w:before="20" w:after="20"/>
        <w:ind w:left="284" w:hanging="288"/>
        <w:rPr>
          <w:sz w:val="18"/>
          <w:szCs w:val="18"/>
          <w:lang w:val="fr-FR"/>
        </w:rPr>
      </w:pPr>
      <w:r w:rsidRPr="007B0179">
        <w:rPr>
          <w:sz w:val="18"/>
          <w:szCs w:val="18"/>
          <w:lang w:val="fr-FR"/>
        </w:rPr>
        <w:t>&lt;http://sernecportal.org/portal/collections/individu</w:t>
      </w:r>
      <w:r>
        <w:rPr>
          <w:sz w:val="18"/>
          <w:szCs w:val="18"/>
          <w:lang w:val="fr-FR"/>
        </w:rPr>
        <w:t>a</w:t>
      </w:r>
      <w:r w:rsidRPr="007B0179">
        <w:rPr>
          <w:sz w:val="18"/>
          <w:szCs w:val="18"/>
          <w:lang w:val="fr-FR"/>
        </w:rPr>
        <w:t>l</w:t>
      </w:r>
      <w:r>
        <w:rPr>
          <w:sz w:val="18"/>
          <w:szCs w:val="18"/>
          <w:lang w:val="fr-FR"/>
        </w:rPr>
        <w:t>/index.php?occid=12316926&amp;clid=</w:t>
      </w:r>
      <w:r w:rsidRPr="007B0179">
        <w:rPr>
          <w:sz w:val="18"/>
          <w:szCs w:val="18"/>
          <w:lang w:val="fr-FR"/>
        </w:rPr>
        <w:t>0%3e&gt; consulté le 29 février 2020.</w:t>
      </w:r>
      <w:r w:rsidRPr="00F43F79">
        <w:rPr>
          <w:sz w:val="18"/>
          <w:szCs w:val="18"/>
        </w:rPr>
        <w:fldChar w:fldCharType="end"/>
      </w:r>
      <w:r w:rsidRPr="007B0179">
        <w:rPr>
          <w:sz w:val="18"/>
          <w:szCs w:val="18"/>
          <w:lang w:val="fr-FR"/>
        </w:rPr>
        <w:t xml:space="preserve">  </w:t>
      </w:r>
    </w:p>
  </w:footnote>
  <w:footnote w:id="42">
    <w:p w14:paraId="79205C1F" w14:textId="4F53768B" w:rsidR="008A77A6" w:rsidRPr="008811C9"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8811C9">
        <w:rPr>
          <w:sz w:val="18"/>
          <w:szCs w:val="18"/>
          <w:lang w:val="en-AU"/>
        </w:rPr>
        <w:t xml:space="preserve"> </w:t>
      </w:r>
      <w:r w:rsidRPr="00F43F79">
        <w:rPr>
          <w:sz w:val="18"/>
          <w:szCs w:val="18"/>
        </w:rPr>
        <w:fldChar w:fldCharType="begin"/>
      </w:r>
      <w:r w:rsidRPr="008811C9">
        <w:rPr>
          <w:sz w:val="18"/>
          <w:szCs w:val="18"/>
          <w:lang w:val="en-AU"/>
        </w:rPr>
        <w:instrText xml:space="preserve"> ADDIN ZOTERO_ITEM CSL_CITATION {"citationID":"lX443vC2","properties":{"formattedCitation":"\\uc0\\u8216{}Arizona State University Vascular Plant Herbarium Catalog No ASU0104660\\uc0\\u8217{} ({\\i{}SERNEC Detailed Collection Record Information}, no date) &lt;http://sernecportal.org/portal/collections/individual/index.php?occid=11238099&amp;clid=0&gt; accessed 28 February 2020.","plainCitation":"‘Arizona State University Vascular Plant Herbarium Catalog No ASU0104660’ (SERNEC Detailed Collection Record Information, no date) &lt;http://sernecportal.org/portal/collections/individual/index.php?occid=11238099&amp;clid=0&gt; accessed 28 February 2020.","dontUpdate":true,"noteIndex":36},"citationItems":[{"id":658,"uris":["http://zotero.org/users/local/dU5rpCrq/items/XWFK8GK5"],"uri":["http://zotero.org/users/local/dU5rpCrq/items/XWFK8GK5"],"itemData":{"id":658,"type":"webpage","multi":{"main":{},"_keys":{}},"container-title":"SERNEC Detailed Collection Record Information","title":"Arizona State University Vascular Plant Herbarium Catalog No ASU0104660","URL":"http://sernecportal.org/portal/collections/individual/index.php?occid=11238099&amp;clid=0","accessed":{"date-parts":[["2020",2,28]]},"seeAlso":[]}}],"schema":"https://github.com/citation-style-language/schema/raw/master/csl-citation.json"} </w:instrText>
      </w:r>
      <w:r w:rsidRPr="00F43F79">
        <w:rPr>
          <w:sz w:val="18"/>
          <w:szCs w:val="18"/>
        </w:rPr>
        <w:fldChar w:fldCharType="separate"/>
      </w:r>
      <w:r w:rsidRPr="008811C9">
        <w:rPr>
          <w:sz w:val="18"/>
          <w:szCs w:val="18"/>
          <w:lang w:val="en-AU"/>
        </w:rPr>
        <w:t>‘Arizona State University Vascular Plant Herbarium Catalog No ASU0104660’ (</w:t>
      </w:r>
      <w:r w:rsidRPr="008811C9">
        <w:rPr>
          <w:i/>
          <w:iCs/>
          <w:sz w:val="18"/>
          <w:szCs w:val="18"/>
          <w:lang w:val="en-AU"/>
        </w:rPr>
        <w:t>SERNEC Detailed Collection Record Information</w:t>
      </w:r>
      <w:r w:rsidRPr="008811C9">
        <w:rPr>
          <w:sz w:val="18"/>
          <w:szCs w:val="18"/>
          <w:lang w:val="en-AU"/>
        </w:rPr>
        <w:t>, non daté)</w:t>
      </w:r>
      <w:r>
        <w:rPr>
          <w:sz w:val="18"/>
          <w:szCs w:val="18"/>
          <w:lang w:val="en-AU"/>
        </w:rPr>
        <w:t xml:space="preserve">. </w:t>
      </w:r>
      <w:r w:rsidRPr="008811C9">
        <w:rPr>
          <w:sz w:val="18"/>
          <w:szCs w:val="18"/>
          <w:lang w:val="fr-FR"/>
        </w:rPr>
        <w:t xml:space="preserve">Voir: </w:t>
      </w:r>
    </w:p>
    <w:p w14:paraId="71C71668" w14:textId="58410A98" w:rsidR="008A77A6" w:rsidRPr="00B00B91" w:rsidRDefault="008A77A6" w:rsidP="00F43F79">
      <w:pPr>
        <w:pStyle w:val="FootnoteText"/>
        <w:spacing w:before="20" w:after="20"/>
        <w:ind w:left="284" w:hanging="288"/>
        <w:rPr>
          <w:sz w:val="18"/>
          <w:szCs w:val="18"/>
          <w:lang w:val="fr-FR"/>
        </w:rPr>
      </w:pPr>
      <w:r w:rsidRPr="00535643">
        <w:rPr>
          <w:sz w:val="18"/>
          <w:szCs w:val="18"/>
          <w:lang w:val="fr-FR"/>
        </w:rPr>
        <w:t>&lt;http://sernecportal.org/portal/collections/individu</w:t>
      </w:r>
      <w:r>
        <w:rPr>
          <w:sz w:val="18"/>
          <w:szCs w:val="18"/>
          <w:lang w:val="fr-FR"/>
        </w:rPr>
        <w:t>al/index.php?occid=11238099</w:t>
      </w:r>
      <w:r w:rsidRPr="00535643">
        <w:rPr>
          <w:sz w:val="18"/>
          <w:szCs w:val="18"/>
          <w:lang w:val="fr-FR"/>
        </w:rPr>
        <w:t>&amp;clid=0&gt; consulté le 28 février 2020</w:t>
      </w:r>
      <w:r w:rsidRPr="00F43F79">
        <w:rPr>
          <w:sz w:val="18"/>
          <w:szCs w:val="18"/>
        </w:rPr>
        <w:fldChar w:fldCharType="end"/>
      </w:r>
      <w:r>
        <w:rPr>
          <w:sz w:val="18"/>
          <w:szCs w:val="18"/>
          <w:lang w:val="fr-FR"/>
        </w:rPr>
        <w:t xml:space="preserve"> (indiquant que l’espèce est</w:t>
      </w:r>
      <w:r w:rsidRPr="00535643">
        <w:rPr>
          <w:sz w:val="18"/>
          <w:szCs w:val="18"/>
          <w:lang w:val="fr-FR"/>
        </w:rPr>
        <w:t xml:space="preserve"> “</w:t>
      </w:r>
      <w:r>
        <w:rPr>
          <w:sz w:val="18"/>
          <w:szCs w:val="18"/>
          <w:lang w:val="fr-FR"/>
        </w:rPr>
        <w:t>endémique depuis Madagascar jusqu’en Inde</w:t>
      </w:r>
      <w:r w:rsidRPr="00535643">
        <w:rPr>
          <w:sz w:val="18"/>
          <w:szCs w:val="18"/>
          <w:lang w:val="fr-FR"/>
        </w:rPr>
        <w:t xml:space="preserve">”). </w:t>
      </w:r>
      <w:r w:rsidRPr="00B00B91">
        <w:rPr>
          <w:sz w:val="18"/>
          <w:szCs w:val="18"/>
          <w:lang w:val="fr-FR"/>
        </w:rPr>
        <w:t xml:space="preserve">Il existe de </w:t>
      </w:r>
      <w:r>
        <w:rPr>
          <w:sz w:val="18"/>
          <w:szCs w:val="18"/>
          <w:lang w:val="fr-FR"/>
        </w:rPr>
        <w:t>nombreux spécimens contenus dans l’herbier</w:t>
      </w:r>
      <w:r w:rsidRPr="00B00B91">
        <w:rPr>
          <w:sz w:val="18"/>
          <w:szCs w:val="18"/>
          <w:lang w:val="fr-FR"/>
        </w:rPr>
        <w:t xml:space="preserve"> SERNEC </w:t>
      </w:r>
      <w:r>
        <w:rPr>
          <w:sz w:val="18"/>
          <w:szCs w:val="18"/>
          <w:lang w:val="fr-FR"/>
        </w:rPr>
        <w:t xml:space="preserve">pour cette famille de végétaux, collectés dans un grand nombre de pays différents, y compris Cuba, les </w:t>
      </w:r>
      <w:r w:rsidRPr="00B00B91">
        <w:rPr>
          <w:sz w:val="18"/>
          <w:szCs w:val="18"/>
          <w:lang w:val="fr-FR"/>
        </w:rPr>
        <w:t xml:space="preserve">Bahamas, et </w:t>
      </w:r>
      <w:r>
        <w:rPr>
          <w:sz w:val="18"/>
          <w:szCs w:val="18"/>
          <w:lang w:val="fr-FR"/>
        </w:rPr>
        <w:t xml:space="preserve">les </w:t>
      </w:r>
      <w:r w:rsidRPr="00B00B91">
        <w:rPr>
          <w:sz w:val="18"/>
          <w:szCs w:val="18"/>
          <w:lang w:val="fr-FR"/>
        </w:rPr>
        <w:t xml:space="preserve">Philippines. </w:t>
      </w:r>
    </w:p>
  </w:footnote>
  <w:footnote w:id="43">
    <w:p w14:paraId="725C6F51" w14:textId="2C53BECF" w:rsidR="008A77A6" w:rsidRPr="00B00B91"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535643">
        <w:rPr>
          <w:sz w:val="18"/>
          <w:szCs w:val="18"/>
          <w:lang w:val="en-AU"/>
        </w:rPr>
        <w:t xml:space="preserve"> </w:t>
      </w:r>
      <w:r w:rsidRPr="00F43F79">
        <w:rPr>
          <w:sz w:val="18"/>
          <w:szCs w:val="18"/>
        </w:rPr>
        <w:fldChar w:fldCharType="begin"/>
      </w:r>
      <w:r w:rsidRPr="00535643">
        <w:rPr>
          <w:sz w:val="18"/>
          <w:szCs w:val="18"/>
          <w:lang w:val="en-AU"/>
        </w:rPr>
        <w:instrText xml:space="preserve"> ADDIN ZOTERO_ITEM CSL_CITATION {"citationID":"DGZqgpG5","properties":{"formattedCitation":"African Union Scientific Technical Research Commission, {\\i{}African Pharmacopoeia} (2nd edn, African Union 2014) 27.","plainCitation":"African Union Scientific Technical Research Commission, African Pharmacopoeia (2nd edn, African Union 2014) 27.","noteIndex":37},"citationItems":[{"id":653,"uris":["http://zotero.org/users/local/dU5rpCrq/items/S68BTUW2"],"uri":["http://zotero.org/users/local/dU5rpCrq/items/S68BTUW2"],"itemData":{"id":653,"type":"book","multi":{"main":{},"_keys":{}},"edition":"2","publisher":"African Union","title":"African Pharmacopoeia","author":[{"family":"African Union Scientific Technical Research Commission","given":"","literal":"African Union Scientific Technical Research Commission","multi":{"_key":{}}}],"issued":{"date-parts":[["2014"]]},"seeAlso":[]},"locator":"27"}],"schema":"https://github.com/citation-style-language/schema/raw/master/csl-citation.json"} </w:instrText>
      </w:r>
      <w:r w:rsidRPr="00F43F79">
        <w:rPr>
          <w:sz w:val="18"/>
          <w:szCs w:val="18"/>
        </w:rPr>
        <w:fldChar w:fldCharType="separate"/>
      </w:r>
      <w:r>
        <w:rPr>
          <w:sz w:val="18"/>
          <w:szCs w:val="18"/>
          <w:lang w:val="en-AU"/>
        </w:rPr>
        <w:t>African Union</w:t>
      </w:r>
      <w:r w:rsidRPr="00535643">
        <w:rPr>
          <w:sz w:val="18"/>
          <w:szCs w:val="18"/>
          <w:lang w:val="en-AU"/>
        </w:rPr>
        <w:t xml:space="preserve"> Scientific Technical </w:t>
      </w:r>
      <w:r>
        <w:rPr>
          <w:sz w:val="18"/>
          <w:szCs w:val="18"/>
          <w:lang w:val="en-AU"/>
        </w:rPr>
        <w:t>Research</w:t>
      </w:r>
      <w:r w:rsidRPr="00535643">
        <w:rPr>
          <w:sz w:val="18"/>
          <w:szCs w:val="18"/>
          <w:lang w:val="en-AU"/>
        </w:rPr>
        <w:t xml:space="preserve"> Commission, </w:t>
      </w:r>
      <w:r w:rsidRPr="00535643">
        <w:rPr>
          <w:i/>
          <w:iCs/>
          <w:sz w:val="18"/>
          <w:szCs w:val="18"/>
          <w:lang w:val="en-AU"/>
        </w:rPr>
        <w:t>African Pharmacopoeia</w:t>
      </w:r>
      <w:r w:rsidRPr="00535643">
        <w:rPr>
          <w:sz w:val="18"/>
          <w:szCs w:val="18"/>
          <w:lang w:val="en-AU"/>
        </w:rPr>
        <w:t xml:space="preserve"> (2nd edn, </w:t>
      </w:r>
      <w:r>
        <w:rPr>
          <w:sz w:val="18"/>
          <w:szCs w:val="18"/>
          <w:lang w:val="en-AU"/>
        </w:rPr>
        <w:t>African Union</w:t>
      </w:r>
      <w:r w:rsidRPr="00535643">
        <w:rPr>
          <w:sz w:val="18"/>
          <w:szCs w:val="18"/>
          <w:lang w:val="en-AU"/>
        </w:rPr>
        <w:t xml:space="preserve"> 2014) 27.</w:t>
      </w:r>
      <w:r w:rsidRPr="00F43F79">
        <w:rPr>
          <w:sz w:val="18"/>
          <w:szCs w:val="18"/>
        </w:rPr>
        <w:fldChar w:fldCharType="end"/>
      </w:r>
      <w:r w:rsidRPr="00535643">
        <w:rPr>
          <w:sz w:val="18"/>
          <w:szCs w:val="18"/>
          <w:lang w:val="en-AU"/>
        </w:rPr>
        <w:t xml:space="preserve"> </w:t>
      </w:r>
      <w:r w:rsidRPr="00535643">
        <w:rPr>
          <w:sz w:val="18"/>
          <w:szCs w:val="18"/>
          <w:lang w:val="fr-FR"/>
        </w:rPr>
        <w:t xml:space="preserve">Voir aussi The Royal Botanic </w:t>
      </w:r>
      <w:r>
        <w:rPr>
          <w:sz w:val="18"/>
          <w:szCs w:val="18"/>
          <w:lang w:val="fr-FR"/>
        </w:rPr>
        <w:t>Gardens, Kew (Kew), qui comprend</w:t>
      </w:r>
      <w:r w:rsidRPr="00535643">
        <w:rPr>
          <w:sz w:val="18"/>
          <w:szCs w:val="18"/>
          <w:lang w:val="fr-FR"/>
        </w:rPr>
        <w:t xml:space="preserve"> un outil de recherche utile</w:t>
      </w:r>
      <w:r>
        <w:rPr>
          <w:sz w:val="18"/>
          <w:szCs w:val="18"/>
          <w:lang w:val="fr-FR"/>
        </w:rPr>
        <w:t xml:space="preserve"> intitulé</w:t>
      </w:r>
      <w:r w:rsidRPr="00535643">
        <w:rPr>
          <w:sz w:val="18"/>
          <w:szCs w:val="18"/>
          <w:lang w:val="fr-FR"/>
        </w:rPr>
        <w:t xml:space="preserve"> “Plants of the World”, pouvant être utilisé pour identifier de nombreuses plantes </w:t>
      </w:r>
      <w:r>
        <w:rPr>
          <w:sz w:val="18"/>
          <w:szCs w:val="18"/>
          <w:lang w:val="fr-FR"/>
        </w:rPr>
        <w:t xml:space="preserve">du monde entier qui sont </w:t>
      </w:r>
      <w:r w:rsidRPr="00535643">
        <w:rPr>
          <w:sz w:val="18"/>
          <w:szCs w:val="18"/>
          <w:lang w:val="fr-FR"/>
        </w:rPr>
        <w:t>endémique</w:t>
      </w:r>
      <w:r>
        <w:rPr>
          <w:sz w:val="18"/>
          <w:szCs w:val="18"/>
          <w:lang w:val="fr-FR"/>
        </w:rPr>
        <w:t>s à plusieurs pays à la fois</w:t>
      </w:r>
      <w:r w:rsidRPr="00535643">
        <w:rPr>
          <w:sz w:val="18"/>
          <w:szCs w:val="18"/>
          <w:lang w:val="fr-FR"/>
        </w:rPr>
        <w:t xml:space="preserve">. </w:t>
      </w:r>
      <w:r w:rsidRPr="00B00B91">
        <w:rPr>
          <w:sz w:val="18"/>
          <w:szCs w:val="18"/>
          <w:lang w:val="fr-FR"/>
        </w:rPr>
        <w:t xml:space="preserve">Voir </w:t>
      </w:r>
      <w:r w:rsidRPr="00F43F79">
        <w:rPr>
          <w:sz w:val="18"/>
          <w:szCs w:val="18"/>
        </w:rPr>
        <w:fldChar w:fldCharType="begin"/>
      </w:r>
      <w:r w:rsidRPr="00B00B91">
        <w:rPr>
          <w:sz w:val="18"/>
          <w:szCs w:val="18"/>
          <w:lang w:val="fr-FR"/>
        </w:rPr>
        <w:instrText xml:space="preserve"> ADDIN ZOTERO_ITEM CSL_CITATION {"citationID":"H9k6tzXs","properties":{"formattedCitation":"Royal Botanic Gardens, Kew, \\uc0\\u8216{}Plants of the World\\uc0\\u8217{} (no date) &lt;http://www.plantsoftheworldonline.org&gt; accessed 28 February 2020.","plainCitation":"Royal Botanic Gardens, Kew, ‘Plants of the World’ (no date) &lt;http://www.plantsoftheworldonline.org&gt; accessed 28 February 2020.","noteIndex":38},"citationItems":[{"id":625,"uris":["http://zotero.org/users/local/dU5rpCrq/items/B5I56B3F"],"uri":["http://zotero.org/users/local/dU5rpCrq/items/B5I56B3F"],"itemData":{"id":625,"type":"webpage","multi":{"main":{},"_keys":{}},"title":"Plants of the World","URL":"http://www.plantsoftheworldonline.org","author":[{"family":"Royal Botanic Gardens, Kew","given":"","literal":"Royal Botanic Gardens, Kew","multi":{"_key":{}}}],"accessed":{"date-parts":[["2020",2,28]]},"seeAlso":[]}}],"schema":"https://github.com/citation-style-language/schema/raw/master/csl-citation.json"} </w:instrText>
      </w:r>
      <w:r w:rsidRPr="00F43F79">
        <w:rPr>
          <w:sz w:val="18"/>
          <w:szCs w:val="18"/>
        </w:rPr>
        <w:fldChar w:fldCharType="separate"/>
      </w:r>
      <w:r w:rsidRPr="00B00B91">
        <w:rPr>
          <w:sz w:val="18"/>
          <w:szCs w:val="18"/>
          <w:lang w:val="fr-FR"/>
        </w:rPr>
        <w:t>Royal Botanic Gardens, Kew, ‘Plants of the World’ (non daté) &lt;http://www.plantsoftheworldonline.org&gt; consulté le 28 février 2020.</w:t>
      </w:r>
      <w:r w:rsidRPr="00F43F79">
        <w:rPr>
          <w:sz w:val="18"/>
          <w:szCs w:val="18"/>
        </w:rPr>
        <w:fldChar w:fldCharType="end"/>
      </w:r>
    </w:p>
  </w:footnote>
  <w:footnote w:id="44">
    <w:p w14:paraId="43138228" w14:textId="54FFA4B6" w:rsidR="008A77A6" w:rsidRPr="008811C9" w:rsidRDefault="008A77A6" w:rsidP="00F43F79">
      <w:pPr>
        <w:pStyle w:val="FootnoteText"/>
        <w:spacing w:before="20" w:after="20"/>
        <w:ind w:left="284" w:hanging="288"/>
        <w:rPr>
          <w:sz w:val="18"/>
          <w:szCs w:val="18"/>
          <w:lang w:val="en-AU"/>
        </w:rPr>
      </w:pPr>
      <w:r w:rsidRPr="00F43F79">
        <w:rPr>
          <w:rStyle w:val="FootnoteReference"/>
          <w:rFonts w:eastAsiaTheme="majorEastAsia"/>
          <w:sz w:val="18"/>
          <w:szCs w:val="18"/>
        </w:rPr>
        <w:footnoteRef/>
      </w:r>
      <w:r w:rsidRPr="008811C9">
        <w:rPr>
          <w:sz w:val="18"/>
          <w:szCs w:val="18"/>
          <w:lang w:val="fr-FR"/>
        </w:rPr>
        <w:t xml:space="preserve"> </w:t>
      </w:r>
      <w:r w:rsidRPr="008811C9">
        <w:rPr>
          <w:iCs/>
          <w:sz w:val="18"/>
          <w:szCs w:val="18"/>
          <w:lang w:val="fr-FR"/>
        </w:rPr>
        <w:t xml:space="preserve">Voir la </w:t>
      </w:r>
      <w:r w:rsidRPr="008811C9">
        <w:rPr>
          <w:sz w:val="18"/>
          <w:szCs w:val="18"/>
          <w:lang w:val="fr-FR"/>
        </w:rPr>
        <w:t xml:space="preserve">demande de brevet international (PCT) No. </w:t>
      </w:r>
      <w:r w:rsidRPr="008811C9">
        <w:rPr>
          <w:sz w:val="18"/>
          <w:szCs w:val="18"/>
          <w:lang w:val="en-AU"/>
        </w:rPr>
        <w:t>WO2011012780A1</w:t>
      </w:r>
      <w:r>
        <w:rPr>
          <w:sz w:val="18"/>
          <w:szCs w:val="18"/>
          <w:lang w:val="en-AU"/>
        </w:rPr>
        <w:t>,</w:t>
      </w:r>
      <w:r w:rsidRPr="008811C9">
        <w:rPr>
          <w:i/>
          <w:iCs/>
          <w:sz w:val="18"/>
          <w:szCs w:val="18"/>
          <w:lang w:val="en-AU"/>
        </w:rPr>
        <w:t xml:space="preserve"> </w:t>
      </w:r>
      <w:r>
        <w:rPr>
          <w:i/>
          <w:iCs/>
          <w:sz w:val="18"/>
          <w:szCs w:val="18"/>
          <w:lang w:val="en-AU"/>
        </w:rPr>
        <w:t xml:space="preserve">Rosmarinic acid and </w:t>
      </w:r>
      <w:r w:rsidRPr="008811C9">
        <w:rPr>
          <w:i/>
          <w:iCs/>
          <w:sz w:val="18"/>
          <w:szCs w:val="18"/>
          <w:lang w:val="en-AU"/>
        </w:rPr>
        <w:t>the derivatives thereof to treat ciguatera</w:t>
      </w:r>
      <w:r w:rsidRPr="008811C9">
        <w:rPr>
          <w:sz w:val="18"/>
          <w:szCs w:val="18"/>
          <w:lang w:val="en-AU"/>
        </w:rPr>
        <w:t>.</w:t>
      </w:r>
    </w:p>
  </w:footnote>
  <w:footnote w:id="45">
    <w:p w14:paraId="4E23A281" w14:textId="3D238D95" w:rsidR="008A77A6" w:rsidRPr="00B00B91"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8266FD">
        <w:rPr>
          <w:sz w:val="18"/>
          <w:szCs w:val="18"/>
          <w:lang w:val="fr-FR"/>
        </w:rPr>
        <w:t xml:space="preserve"> </w:t>
      </w:r>
      <w:r w:rsidRPr="00F43F79">
        <w:rPr>
          <w:sz w:val="18"/>
          <w:szCs w:val="18"/>
        </w:rPr>
        <w:fldChar w:fldCharType="begin"/>
      </w:r>
      <w:r w:rsidRPr="008266FD">
        <w:rPr>
          <w:sz w:val="18"/>
          <w:szCs w:val="18"/>
          <w:lang w:val="fr-FR"/>
        </w:rPr>
        <w:instrText xml:space="preserve"> ADDIN ZOTERO_ITEM CSL_CITATION {"citationID":"v7vzBb4z","properties":{"formattedCitation":"CABI, \\uc0\\u8216{}Azadirachta Indica (Neem Tree)\\uc0\\u8217{} ({\\i{}Invasive Species Compendium}, 25 November 2019) &lt;https://www.cabi.org/isc/datasheet/8112#todistribution&gt; accessed 28 February 2020.","plainCitation":"CABI, ‘Azadirachta Indica (Neem Tree)’ (Invasive Species Compendium, 25 November 2019) &lt;https://www.cabi.org/isc/datasheet/8112#todistribution&gt; accessed 28 February 2020.","noteIndex":40},"citationItems":[{"id":626,"uris":["http://zotero.org/users/local/dU5rpCrq/items/YMPFEI4Q"],"uri":["http://zotero.org/users/local/dU5rpCrq/items/YMPFEI4Q"],"itemData":{"id":626,"type":"webpage","multi":{"main":{},"_keys":{}},"container-title":"Invasive Species Compendium","title":"Azadirachta indica (neem tree)","URL":"https://www.cabi.org/isc/datasheet/8112#todistribution","author":[{"family":"CABI","given":"","literal":"CABI","multi":{"_key":{}}}],"accessed":{"date-parts":[["2020",2,28]]},"issued":{"date-parts":[["2019",11,25]]},"seeAlso":[]}}],"schema":"https://github.com/citation-style-language/schema/raw/master/csl-citation.json"} </w:instrText>
      </w:r>
      <w:r w:rsidRPr="00F43F79">
        <w:rPr>
          <w:sz w:val="18"/>
          <w:szCs w:val="18"/>
        </w:rPr>
        <w:fldChar w:fldCharType="separate"/>
      </w:r>
      <w:r w:rsidRPr="008266FD">
        <w:rPr>
          <w:sz w:val="18"/>
          <w:szCs w:val="18"/>
          <w:lang w:val="fr-FR"/>
        </w:rPr>
        <w:t>CABI, ‘Azadirachta Indica (Neem Tree)’ (</w:t>
      </w:r>
      <w:r>
        <w:rPr>
          <w:i/>
          <w:iCs/>
          <w:sz w:val="18"/>
          <w:szCs w:val="18"/>
          <w:lang w:val="fr-FR"/>
        </w:rPr>
        <w:t>Invasive Specie</w:t>
      </w:r>
      <w:r w:rsidRPr="008266FD">
        <w:rPr>
          <w:i/>
          <w:iCs/>
          <w:sz w:val="18"/>
          <w:szCs w:val="18"/>
          <w:lang w:val="fr-FR"/>
        </w:rPr>
        <w:t>s Compendium</w:t>
      </w:r>
      <w:r w:rsidRPr="008266FD">
        <w:rPr>
          <w:sz w:val="18"/>
          <w:szCs w:val="18"/>
          <w:lang w:val="fr-FR"/>
        </w:rPr>
        <w:t xml:space="preserve">, 25 novembre 2019) </w:t>
      </w:r>
      <w:r>
        <w:rPr>
          <w:sz w:val="18"/>
          <w:szCs w:val="18"/>
          <w:lang w:val="fr-FR"/>
        </w:rPr>
        <w:t>&lt;https://www.cabi.org/isc/fact</w:t>
      </w:r>
      <w:r w:rsidRPr="008266FD">
        <w:rPr>
          <w:sz w:val="18"/>
          <w:szCs w:val="18"/>
          <w:lang w:val="fr-FR"/>
        </w:rPr>
        <w:t>sheet/8112#todistribution&gt; consulté le 28 février 2020.</w:t>
      </w:r>
      <w:r w:rsidRPr="00F43F79">
        <w:rPr>
          <w:sz w:val="18"/>
          <w:szCs w:val="18"/>
        </w:rPr>
        <w:fldChar w:fldCharType="end"/>
      </w:r>
      <w:r w:rsidRPr="008266FD">
        <w:rPr>
          <w:sz w:val="18"/>
          <w:szCs w:val="18"/>
          <w:lang w:val="fr-FR"/>
        </w:rPr>
        <w:t xml:space="preserve"> </w:t>
      </w:r>
      <w:r w:rsidRPr="00B00B91">
        <w:rPr>
          <w:sz w:val="18"/>
          <w:szCs w:val="18"/>
          <w:lang w:val="fr-FR"/>
        </w:rPr>
        <w:t xml:space="preserve">(“Il existe beaucoup de confusion dans la littérature scientifique concernant l’aire de </w:t>
      </w:r>
      <w:r>
        <w:rPr>
          <w:sz w:val="18"/>
          <w:szCs w:val="18"/>
          <w:lang w:val="fr-FR"/>
        </w:rPr>
        <w:t>ré</w:t>
      </w:r>
      <w:r w:rsidRPr="00B00B91">
        <w:rPr>
          <w:sz w:val="18"/>
          <w:szCs w:val="18"/>
          <w:lang w:val="fr-FR"/>
        </w:rPr>
        <w:t xml:space="preserve">partition </w:t>
      </w:r>
      <w:r>
        <w:rPr>
          <w:sz w:val="18"/>
          <w:szCs w:val="18"/>
          <w:lang w:val="fr-FR"/>
        </w:rPr>
        <w:t>naturelle de l’espèce</w:t>
      </w:r>
      <w:r w:rsidRPr="00B00B91">
        <w:rPr>
          <w:sz w:val="18"/>
          <w:szCs w:val="18"/>
          <w:lang w:val="fr-FR"/>
        </w:rPr>
        <w:t> </w:t>
      </w:r>
      <w:r w:rsidRPr="00B00B91">
        <w:rPr>
          <w:i/>
          <w:iCs/>
          <w:sz w:val="18"/>
          <w:szCs w:val="18"/>
          <w:lang w:val="fr-FR"/>
        </w:rPr>
        <w:t>A. indica</w:t>
      </w:r>
      <w:r w:rsidRPr="00B00B91">
        <w:rPr>
          <w:sz w:val="18"/>
          <w:szCs w:val="18"/>
          <w:lang w:val="fr-FR"/>
        </w:rPr>
        <w:t>. Cette espèce est considérée comme</w:t>
      </w:r>
      <w:r>
        <w:rPr>
          <w:sz w:val="18"/>
          <w:szCs w:val="18"/>
          <w:lang w:val="fr-FR"/>
        </w:rPr>
        <w:t xml:space="preserve"> </w:t>
      </w:r>
      <w:r w:rsidRPr="00B00B91">
        <w:rPr>
          <w:sz w:val="18"/>
          <w:szCs w:val="18"/>
          <w:lang w:val="fr-FR"/>
        </w:rPr>
        <w:t xml:space="preserve">endémique </w:t>
      </w:r>
      <w:r>
        <w:rPr>
          <w:sz w:val="18"/>
          <w:szCs w:val="18"/>
          <w:lang w:val="fr-FR"/>
        </w:rPr>
        <w:t>dans les zones arides de l’Afghanistan, Pakistan, Inde</w:t>
      </w:r>
      <w:r w:rsidRPr="00B00B91">
        <w:rPr>
          <w:sz w:val="18"/>
          <w:szCs w:val="18"/>
          <w:lang w:val="fr-FR"/>
        </w:rPr>
        <w:t xml:space="preserve">, Sri Lanka, Bangladesh, Myanmar et </w:t>
      </w:r>
      <w:r>
        <w:rPr>
          <w:sz w:val="18"/>
          <w:szCs w:val="18"/>
          <w:lang w:val="fr-FR"/>
        </w:rPr>
        <w:t>Chine</w:t>
      </w:r>
      <w:r w:rsidRPr="00B00B91">
        <w:rPr>
          <w:sz w:val="18"/>
          <w:szCs w:val="18"/>
          <w:lang w:val="fr-FR"/>
        </w:rPr>
        <w:t>”).</w:t>
      </w:r>
    </w:p>
  </w:footnote>
  <w:footnote w:id="46">
    <w:p w14:paraId="306947CF" w14:textId="3A4B48B2" w:rsidR="008A77A6" w:rsidRPr="00D6074A"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Pr>
          <w:sz w:val="18"/>
          <w:szCs w:val="18"/>
          <w:lang w:val="fr-FR"/>
        </w:rPr>
        <w:t xml:space="preserve"> Il est bien possible que le but ait été d’éviter des obligations relatives au </w:t>
      </w:r>
      <w:r w:rsidRPr="00D6074A">
        <w:rPr>
          <w:sz w:val="18"/>
          <w:szCs w:val="18"/>
          <w:lang w:val="fr-FR"/>
        </w:rPr>
        <w:t>p</w:t>
      </w:r>
      <w:r>
        <w:rPr>
          <w:sz w:val="18"/>
          <w:szCs w:val="18"/>
          <w:lang w:val="fr-FR"/>
        </w:rPr>
        <w:t>artage des avantages</w:t>
      </w:r>
      <w:r w:rsidRPr="00D6074A">
        <w:rPr>
          <w:sz w:val="18"/>
          <w:szCs w:val="18"/>
          <w:lang w:val="fr-FR"/>
        </w:rPr>
        <w:t xml:space="preserve">. </w:t>
      </w:r>
      <w:r>
        <w:rPr>
          <w:sz w:val="18"/>
          <w:szCs w:val="18"/>
          <w:lang w:val="fr-FR"/>
        </w:rPr>
        <w:t>Voir la déclaration de la délégation suisse</w:t>
      </w:r>
      <w:r w:rsidRPr="0017354A">
        <w:rPr>
          <w:sz w:val="18"/>
          <w:szCs w:val="18"/>
          <w:lang w:val="fr-FR"/>
        </w:rPr>
        <w:t xml:space="preserve">, </w:t>
      </w:r>
      <w:r w:rsidRPr="000429B8">
        <w:rPr>
          <w:i/>
          <w:sz w:val="18"/>
          <w:szCs w:val="18"/>
          <w:lang w:val="fr-FR"/>
        </w:rPr>
        <w:t>The Declaration of the Source of Genetic Resources and Traditional Knowledge in the Swiss Patent Act and Related Swiss Regulations on Genetic Resources</w:t>
      </w:r>
      <w:r>
        <w:rPr>
          <w:i/>
          <w:sz w:val="18"/>
          <w:szCs w:val="18"/>
          <w:lang w:val="fr-FR"/>
        </w:rPr>
        <w:t xml:space="preserve"> </w:t>
      </w:r>
      <w:r w:rsidRPr="0017354A">
        <w:rPr>
          <w:i/>
          <w:sz w:val="18"/>
          <w:szCs w:val="18"/>
          <w:lang w:val="fr-FR"/>
        </w:rPr>
        <w:t>– Communicatio</w:t>
      </w:r>
      <w:r>
        <w:rPr>
          <w:i/>
          <w:sz w:val="18"/>
          <w:szCs w:val="18"/>
          <w:lang w:val="fr-FR"/>
        </w:rPr>
        <w:t>n de la Suisse en réponse au d</w:t>
      </w:r>
      <w:r w:rsidRPr="0017354A">
        <w:rPr>
          <w:i/>
          <w:sz w:val="18"/>
          <w:szCs w:val="18"/>
          <w:lang w:val="fr-FR"/>
        </w:rPr>
        <w:t>ocument WIPO/GRTKF/IC/30/9</w:t>
      </w:r>
      <w:r>
        <w:rPr>
          <w:sz w:val="18"/>
          <w:szCs w:val="18"/>
          <w:lang w:val="fr-FR"/>
        </w:rPr>
        <w:t>, Comité intergouvernemental sur la propriété intellectuelle et les ressources génétiques, les savoirs traditionnels et le f</w:t>
      </w:r>
      <w:r w:rsidRPr="0017354A">
        <w:rPr>
          <w:sz w:val="18"/>
          <w:szCs w:val="18"/>
          <w:lang w:val="fr-FR"/>
        </w:rPr>
        <w:t>ol</w:t>
      </w:r>
      <w:r>
        <w:rPr>
          <w:sz w:val="18"/>
          <w:szCs w:val="18"/>
          <w:lang w:val="fr-FR"/>
        </w:rPr>
        <w:t>klore, WIPO/GRTKF/IC/31/8 (Septembre 2016) [ci-après</w:t>
      </w:r>
      <w:r w:rsidRPr="0017354A">
        <w:rPr>
          <w:sz w:val="18"/>
          <w:szCs w:val="18"/>
          <w:lang w:val="fr-FR"/>
        </w:rPr>
        <w:t xml:space="preserve">, </w:t>
      </w:r>
      <w:r>
        <w:rPr>
          <w:sz w:val="18"/>
          <w:szCs w:val="18"/>
          <w:lang w:val="fr-FR"/>
        </w:rPr>
        <w:t>Suisse, Déclaration de s</w:t>
      </w:r>
      <w:r w:rsidRPr="0017354A">
        <w:rPr>
          <w:sz w:val="18"/>
          <w:szCs w:val="18"/>
          <w:lang w:val="fr-FR"/>
        </w:rPr>
        <w:t xml:space="preserve">ource]. </w:t>
      </w:r>
      <w:r>
        <w:rPr>
          <w:sz w:val="18"/>
          <w:szCs w:val="18"/>
          <w:lang w:val="fr-FR"/>
        </w:rPr>
        <w:t>Le G</w:t>
      </w:r>
      <w:r w:rsidRPr="00D6074A">
        <w:rPr>
          <w:sz w:val="18"/>
          <w:szCs w:val="18"/>
          <w:lang w:val="fr-FR"/>
        </w:rPr>
        <w:t>ouvernement</w:t>
      </w:r>
      <w:r>
        <w:rPr>
          <w:sz w:val="18"/>
          <w:szCs w:val="18"/>
          <w:lang w:val="fr-FR"/>
        </w:rPr>
        <w:t xml:space="preserve"> suisse</w:t>
      </w:r>
      <w:r w:rsidRPr="00D6074A">
        <w:rPr>
          <w:sz w:val="18"/>
          <w:szCs w:val="18"/>
          <w:lang w:val="fr-FR"/>
        </w:rPr>
        <w:t xml:space="preserve">, </w:t>
      </w:r>
      <w:r>
        <w:rPr>
          <w:sz w:val="18"/>
          <w:szCs w:val="18"/>
          <w:lang w:val="fr-FR"/>
        </w:rPr>
        <w:t>pour expliquer la préfé</w:t>
      </w:r>
      <w:r w:rsidRPr="00D6074A">
        <w:rPr>
          <w:sz w:val="18"/>
          <w:szCs w:val="18"/>
          <w:lang w:val="fr-FR"/>
        </w:rPr>
        <w:t>rence</w:t>
      </w:r>
      <w:r>
        <w:rPr>
          <w:sz w:val="18"/>
          <w:szCs w:val="18"/>
          <w:lang w:val="fr-FR"/>
        </w:rPr>
        <w:t xml:space="preserve"> accordée en droit interne aux demandeurs de brevet qui identifient la </w:t>
      </w:r>
      <w:r w:rsidRPr="00D6074A">
        <w:rPr>
          <w:sz w:val="18"/>
          <w:szCs w:val="18"/>
          <w:lang w:val="fr-FR"/>
        </w:rPr>
        <w:t>“source” de</w:t>
      </w:r>
      <w:r>
        <w:rPr>
          <w:sz w:val="18"/>
          <w:szCs w:val="18"/>
          <w:lang w:val="fr-FR"/>
        </w:rPr>
        <w:t>s</w:t>
      </w:r>
      <w:r w:rsidRPr="00D6074A">
        <w:rPr>
          <w:sz w:val="18"/>
          <w:szCs w:val="18"/>
          <w:lang w:val="fr-FR"/>
        </w:rPr>
        <w:t xml:space="preserve"> ressources génétiques</w:t>
      </w:r>
      <w:r>
        <w:rPr>
          <w:sz w:val="18"/>
          <w:szCs w:val="18"/>
          <w:lang w:val="fr-FR"/>
        </w:rPr>
        <w:t xml:space="preserve"> plutôt que le </w:t>
      </w:r>
      <w:r w:rsidRPr="00D6074A">
        <w:rPr>
          <w:sz w:val="18"/>
          <w:szCs w:val="18"/>
          <w:lang w:val="fr-FR"/>
        </w:rPr>
        <w:t>“pays d’origine” de</w:t>
      </w:r>
      <w:r>
        <w:rPr>
          <w:sz w:val="18"/>
          <w:szCs w:val="18"/>
          <w:lang w:val="fr-FR"/>
        </w:rPr>
        <w:t xml:space="preserve">s ressources génétiques, a ainsi déclaré </w:t>
      </w:r>
      <w:r w:rsidRPr="00D6074A">
        <w:rPr>
          <w:sz w:val="18"/>
          <w:szCs w:val="18"/>
          <w:lang w:val="fr-FR"/>
        </w:rPr>
        <w:t>:</w:t>
      </w:r>
    </w:p>
    <w:p w14:paraId="6C0FECB6" w14:textId="0E92C0F0" w:rsidR="008A77A6" w:rsidRPr="00065E2D" w:rsidRDefault="008A77A6" w:rsidP="00F43F79">
      <w:pPr>
        <w:pStyle w:val="FootnoteText"/>
        <w:spacing w:before="20" w:after="20"/>
        <w:ind w:left="284" w:right="720"/>
        <w:rPr>
          <w:sz w:val="18"/>
          <w:szCs w:val="18"/>
          <w:lang w:val="fr-FR"/>
        </w:rPr>
      </w:pPr>
      <w:r>
        <w:rPr>
          <w:sz w:val="18"/>
          <w:szCs w:val="18"/>
          <w:lang w:val="fr-FR"/>
        </w:rPr>
        <w:t>« </w:t>
      </w:r>
      <w:r w:rsidRPr="00065E2D">
        <w:rPr>
          <w:sz w:val="18"/>
          <w:szCs w:val="18"/>
          <w:lang w:val="fr-FR"/>
        </w:rPr>
        <w:t xml:space="preserve">Si, cependant, le demandeur d’un brevet est tenu de divulguer “le pays d’origine”, comme proposé par certaines </w:t>
      </w:r>
      <w:r>
        <w:rPr>
          <w:sz w:val="18"/>
          <w:szCs w:val="18"/>
          <w:lang w:val="fr-FR"/>
        </w:rPr>
        <w:t>délé</w:t>
      </w:r>
      <w:r w:rsidRPr="00065E2D">
        <w:rPr>
          <w:sz w:val="18"/>
          <w:szCs w:val="18"/>
          <w:lang w:val="fr-FR"/>
        </w:rPr>
        <w:t xml:space="preserve">gations </w:t>
      </w:r>
      <w:r>
        <w:rPr>
          <w:sz w:val="18"/>
          <w:szCs w:val="18"/>
          <w:lang w:val="fr-FR"/>
        </w:rPr>
        <w:t xml:space="preserve">dans les </w:t>
      </w:r>
      <w:r w:rsidRPr="00065E2D">
        <w:rPr>
          <w:sz w:val="18"/>
          <w:szCs w:val="18"/>
          <w:lang w:val="fr-FR"/>
        </w:rPr>
        <w:t>négociations</w:t>
      </w:r>
      <w:r>
        <w:rPr>
          <w:sz w:val="18"/>
          <w:szCs w:val="18"/>
          <w:lang w:val="fr-FR"/>
        </w:rPr>
        <w:t xml:space="preserve"> du Comité intergouvernemental, le demandeur de</w:t>
      </w:r>
      <w:r w:rsidRPr="00065E2D">
        <w:rPr>
          <w:sz w:val="18"/>
          <w:szCs w:val="18"/>
          <w:lang w:val="fr-FR"/>
        </w:rPr>
        <w:t xml:space="preserve"> brevet </w:t>
      </w:r>
      <w:r>
        <w:rPr>
          <w:sz w:val="18"/>
          <w:szCs w:val="18"/>
          <w:lang w:val="fr-FR"/>
        </w:rPr>
        <w:t xml:space="preserve">pourrait divulguer n’importe quel </w:t>
      </w:r>
      <w:r w:rsidRPr="00065E2D">
        <w:rPr>
          <w:sz w:val="18"/>
          <w:szCs w:val="18"/>
          <w:lang w:val="fr-FR"/>
        </w:rPr>
        <w:t>pays d’origine</w:t>
      </w:r>
      <w:r>
        <w:rPr>
          <w:sz w:val="18"/>
          <w:szCs w:val="18"/>
          <w:lang w:val="fr-FR"/>
        </w:rPr>
        <w:t>, à savoir, l’Allemagne, l’Autriche</w:t>
      </w:r>
      <w:r w:rsidRPr="00065E2D">
        <w:rPr>
          <w:sz w:val="18"/>
          <w:szCs w:val="18"/>
          <w:lang w:val="fr-FR"/>
        </w:rPr>
        <w:t xml:space="preserve">, </w:t>
      </w:r>
      <w:r>
        <w:rPr>
          <w:sz w:val="18"/>
          <w:szCs w:val="18"/>
          <w:lang w:val="fr-FR"/>
        </w:rPr>
        <w:t>la France, l’Italie</w:t>
      </w:r>
      <w:r w:rsidRPr="00065E2D">
        <w:rPr>
          <w:sz w:val="18"/>
          <w:szCs w:val="18"/>
          <w:lang w:val="fr-FR"/>
        </w:rPr>
        <w:t xml:space="preserve">, </w:t>
      </w:r>
      <w:r>
        <w:rPr>
          <w:sz w:val="18"/>
          <w:szCs w:val="18"/>
          <w:lang w:val="fr-FR"/>
        </w:rPr>
        <w:t>la Roumanie</w:t>
      </w:r>
      <w:r w:rsidRPr="00065E2D">
        <w:rPr>
          <w:sz w:val="18"/>
          <w:szCs w:val="18"/>
          <w:lang w:val="fr-FR"/>
        </w:rPr>
        <w:t xml:space="preserve"> ou </w:t>
      </w:r>
      <w:r>
        <w:rPr>
          <w:sz w:val="18"/>
          <w:szCs w:val="18"/>
          <w:lang w:val="fr-FR"/>
        </w:rPr>
        <w:t xml:space="preserve">la </w:t>
      </w:r>
      <w:r w:rsidRPr="00065E2D">
        <w:rPr>
          <w:sz w:val="18"/>
          <w:szCs w:val="18"/>
          <w:lang w:val="fr-FR"/>
        </w:rPr>
        <w:t xml:space="preserve">Suisse, </w:t>
      </w:r>
      <w:r>
        <w:rPr>
          <w:sz w:val="18"/>
          <w:szCs w:val="18"/>
          <w:lang w:val="fr-FR"/>
        </w:rPr>
        <w:t xml:space="preserve">sans se préoccuper du fait que la plante ait été ou non obtenue réellement dans le </w:t>
      </w:r>
      <w:r w:rsidRPr="00065E2D">
        <w:rPr>
          <w:sz w:val="18"/>
          <w:szCs w:val="18"/>
          <w:lang w:val="fr-FR"/>
        </w:rPr>
        <w:t>pays d’origine</w:t>
      </w:r>
      <w:r>
        <w:rPr>
          <w:sz w:val="18"/>
          <w:szCs w:val="18"/>
          <w:lang w:val="fr-FR"/>
        </w:rPr>
        <w:t xml:space="preserve"> indiqué</w:t>
      </w:r>
      <w:r w:rsidRPr="00065E2D">
        <w:rPr>
          <w:sz w:val="18"/>
          <w:szCs w:val="18"/>
          <w:lang w:val="fr-FR"/>
        </w:rPr>
        <w:t xml:space="preserve">. Le concept de “pays d’origine” </w:t>
      </w:r>
      <w:r>
        <w:rPr>
          <w:sz w:val="18"/>
          <w:szCs w:val="18"/>
          <w:lang w:val="fr-FR"/>
        </w:rPr>
        <w:t>fournirait alors</w:t>
      </w:r>
      <w:r w:rsidRPr="00065E2D">
        <w:rPr>
          <w:sz w:val="18"/>
          <w:szCs w:val="18"/>
          <w:lang w:val="fr-FR"/>
        </w:rPr>
        <w:t xml:space="preserve"> </w:t>
      </w:r>
      <w:r>
        <w:rPr>
          <w:i/>
          <w:sz w:val="18"/>
          <w:szCs w:val="18"/>
          <w:lang w:val="fr-FR"/>
        </w:rPr>
        <w:t>une</w:t>
      </w:r>
      <w:r w:rsidRPr="00065E2D">
        <w:rPr>
          <w:i/>
          <w:sz w:val="18"/>
          <w:szCs w:val="18"/>
          <w:lang w:val="fr-FR"/>
        </w:rPr>
        <w:t xml:space="preserve"> possibilité</w:t>
      </w:r>
      <w:r>
        <w:rPr>
          <w:i/>
          <w:sz w:val="18"/>
          <w:szCs w:val="18"/>
          <w:lang w:val="fr-FR"/>
        </w:rPr>
        <w:t xml:space="preserve"> d’éviter de divulguer le </w:t>
      </w:r>
      <w:r w:rsidRPr="00065E2D">
        <w:rPr>
          <w:i/>
          <w:sz w:val="18"/>
          <w:szCs w:val="18"/>
          <w:lang w:val="fr-FR"/>
        </w:rPr>
        <w:t xml:space="preserve">pays </w:t>
      </w:r>
      <w:r>
        <w:rPr>
          <w:i/>
          <w:sz w:val="18"/>
          <w:szCs w:val="18"/>
          <w:lang w:val="fr-FR"/>
        </w:rPr>
        <w:t xml:space="preserve">qui a fourni en réalité la </w:t>
      </w:r>
      <w:r w:rsidRPr="00065E2D">
        <w:rPr>
          <w:i/>
          <w:sz w:val="18"/>
          <w:szCs w:val="18"/>
          <w:lang w:val="fr-FR"/>
        </w:rPr>
        <w:t>ressource génétique</w:t>
      </w:r>
      <w:r w:rsidRPr="00065E2D">
        <w:rPr>
          <w:sz w:val="18"/>
          <w:szCs w:val="18"/>
          <w:lang w:val="fr-FR"/>
        </w:rPr>
        <w:t>.  C</w:t>
      </w:r>
      <w:r>
        <w:rPr>
          <w:sz w:val="18"/>
          <w:szCs w:val="18"/>
          <w:lang w:val="fr-FR"/>
        </w:rPr>
        <w:t>eci irait à l’encontre de l’</w:t>
      </w:r>
      <w:r w:rsidRPr="00065E2D">
        <w:rPr>
          <w:sz w:val="18"/>
          <w:szCs w:val="18"/>
          <w:lang w:val="fr-FR"/>
        </w:rPr>
        <w:t>objectif</w:t>
      </w:r>
      <w:r>
        <w:rPr>
          <w:sz w:val="18"/>
          <w:szCs w:val="18"/>
          <w:lang w:val="fr-FR"/>
        </w:rPr>
        <w:t xml:space="preserve"> visant à améliorer la transparence dans l’</w:t>
      </w:r>
      <w:r w:rsidRPr="00065E2D">
        <w:rPr>
          <w:sz w:val="18"/>
          <w:szCs w:val="18"/>
          <w:lang w:val="fr-FR"/>
        </w:rPr>
        <w:t>accès</w:t>
      </w:r>
      <w:r>
        <w:rPr>
          <w:sz w:val="18"/>
          <w:szCs w:val="18"/>
          <w:lang w:val="fr-FR"/>
        </w:rPr>
        <w:t xml:space="preserve"> et l</w:t>
      </w:r>
      <w:r w:rsidRPr="00065E2D">
        <w:rPr>
          <w:sz w:val="18"/>
          <w:szCs w:val="18"/>
          <w:lang w:val="fr-FR"/>
        </w:rPr>
        <w:t>e partage des avantages.</w:t>
      </w:r>
      <w:r>
        <w:rPr>
          <w:sz w:val="18"/>
          <w:szCs w:val="18"/>
          <w:lang w:val="fr-FR"/>
        </w:rPr>
        <w:t> »</w:t>
      </w:r>
    </w:p>
    <w:p w14:paraId="5845CFAA" w14:textId="151F19A0" w:rsidR="008A77A6" w:rsidRPr="0002675E" w:rsidRDefault="008A77A6" w:rsidP="00F43F79">
      <w:pPr>
        <w:pStyle w:val="FootnoteText"/>
        <w:spacing w:before="20" w:after="20"/>
        <w:ind w:left="284" w:hanging="288"/>
        <w:rPr>
          <w:sz w:val="18"/>
          <w:szCs w:val="18"/>
          <w:lang w:val="fr-FR"/>
        </w:rPr>
      </w:pPr>
      <w:r>
        <w:rPr>
          <w:iCs/>
          <w:sz w:val="18"/>
          <w:szCs w:val="18"/>
          <w:lang w:val="fr-FR"/>
        </w:rPr>
        <w:t>I</w:t>
      </w:r>
      <w:r w:rsidRPr="009E5D4F">
        <w:rPr>
          <w:iCs/>
          <w:sz w:val="18"/>
          <w:szCs w:val="18"/>
          <w:lang w:val="fr-FR"/>
        </w:rPr>
        <w:t>bid.</w:t>
      </w:r>
      <w:r>
        <w:rPr>
          <w:sz w:val="18"/>
          <w:szCs w:val="18"/>
          <w:lang w:val="fr-FR"/>
        </w:rPr>
        <w:t xml:space="preserve"> para 21 (italique ajouté</w:t>
      </w:r>
      <w:r w:rsidRPr="009E5D4F">
        <w:rPr>
          <w:sz w:val="18"/>
          <w:szCs w:val="18"/>
          <w:lang w:val="fr-FR"/>
        </w:rPr>
        <w:t xml:space="preserve">).  </w:t>
      </w:r>
      <w:r w:rsidRPr="000429B8">
        <w:rPr>
          <w:sz w:val="18"/>
          <w:szCs w:val="18"/>
          <w:lang w:val="fr-FR"/>
        </w:rPr>
        <w:t>De plus</w:t>
      </w:r>
      <w:bookmarkStart w:id="104" w:name="_Toc457989476"/>
      <w:bookmarkStart w:id="105" w:name="_Toc457988593"/>
      <w:bookmarkStart w:id="106" w:name="_Toc457394811"/>
      <w:bookmarkStart w:id="107" w:name="_Toc457391469"/>
      <w:r>
        <w:rPr>
          <w:sz w:val="18"/>
          <w:szCs w:val="18"/>
          <w:lang w:val="fr-FR"/>
        </w:rPr>
        <w:t>, la Loi s</w:t>
      </w:r>
      <w:r w:rsidRPr="000429B8">
        <w:rPr>
          <w:sz w:val="18"/>
          <w:szCs w:val="18"/>
          <w:lang w:val="fr-FR"/>
        </w:rPr>
        <w:t>uisse sur les brevets prévoit des sanc</w:t>
      </w:r>
      <w:r>
        <w:rPr>
          <w:sz w:val="18"/>
          <w:szCs w:val="18"/>
          <w:lang w:val="fr-FR"/>
        </w:rPr>
        <w:t xml:space="preserve">tions après l’obtention d’un brevet, </w:t>
      </w:r>
      <w:r w:rsidRPr="000429B8">
        <w:rPr>
          <w:sz w:val="18"/>
          <w:szCs w:val="18"/>
          <w:lang w:val="fr-FR"/>
        </w:rPr>
        <w:t>pouvant aller jusqu’</w:t>
      </w:r>
      <w:r>
        <w:rPr>
          <w:sz w:val="18"/>
          <w:szCs w:val="18"/>
          <w:lang w:val="fr-FR"/>
        </w:rPr>
        <w:t xml:space="preserve">à 100 000 </w:t>
      </w:r>
      <w:r w:rsidRPr="000429B8">
        <w:rPr>
          <w:sz w:val="18"/>
          <w:szCs w:val="18"/>
          <w:lang w:val="fr-FR"/>
        </w:rPr>
        <w:t>Francs</w:t>
      </w:r>
      <w:r>
        <w:rPr>
          <w:sz w:val="18"/>
          <w:szCs w:val="18"/>
          <w:lang w:val="fr-FR"/>
        </w:rPr>
        <w:t xml:space="preserve"> suisse d’amende et comprenant la </w:t>
      </w:r>
      <w:r w:rsidRPr="000429B8">
        <w:rPr>
          <w:sz w:val="18"/>
          <w:szCs w:val="18"/>
          <w:lang w:val="fr-FR"/>
        </w:rPr>
        <w:t>publication</w:t>
      </w:r>
      <w:r>
        <w:rPr>
          <w:sz w:val="18"/>
          <w:szCs w:val="18"/>
          <w:lang w:val="fr-FR"/>
        </w:rPr>
        <w:t xml:space="preserve"> du jugement, en cas de fausse déclaration intentionnelle de la</w:t>
      </w:r>
      <w:r w:rsidRPr="000429B8">
        <w:rPr>
          <w:sz w:val="18"/>
          <w:szCs w:val="18"/>
          <w:lang w:val="fr-FR"/>
        </w:rPr>
        <w:t xml:space="preserve"> source </w:t>
      </w:r>
      <w:r>
        <w:rPr>
          <w:sz w:val="18"/>
          <w:szCs w:val="18"/>
          <w:lang w:val="fr-FR"/>
        </w:rPr>
        <w:t xml:space="preserve">d’une ressource génétique </w:t>
      </w:r>
      <w:r w:rsidRPr="000429B8">
        <w:rPr>
          <w:sz w:val="18"/>
          <w:szCs w:val="18"/>
          <w:lang w:val="fr-FR"/>
        </w:rPr>
        <w:t>(Art. 81</w:t>
      </w:r>
      <w:r w:rsidRPr="000429B8">
        <w:rPr>
          <w:i/>
          <w:sz w:val="18"/>
          <w:szCs w:val="18"/>
          <w:lang w:val="fr-FR"/>
        </w:rPr>
        <w:t>a</w:t>
      </w:r>
      <w:r w:rsidRPr="000429B8">
        <w:rPr>
          <w:sz w:val="18"/>
          <w:szCs w:val="18"/>
          <w:lang w:val="fr-FR"/>
        </w:rPr>
        <w:t xml:space="preserve"> PatA). </w:t>
      </w:r>
      <w:r w:rsidRPr="0002675E">
        <w:rPr>
          <w:i/>
          <w:sz w:val="18"/>
          <w:szCs w:val="18"/>
          <w:lang w:val="fr-FR"/>
        </w:rPr>
        <w:t>Ibid</w:t>
      </w:r>
      <w:r>
        <w:rPr>
          <w:i/>
          <w:sz w:val="18"/>
          <w:szCs w:val="18"/>
          <w:lang w:val="fr-FR"/>
        </w:rPr>
        <w:t>,</w:t>
      </w:r>
      <w:r w:rsidRPr="0002675E">
        <w:rPr>
          <w:sz w:val="18"/>
          <w:szCs w:val="18"/>
          <w:lang w:val="fr-FR"/>
        </w:rPr>
        <w:t xml:space="preserve"> para. 27.  </w:t>
      </w:r>
      <w:bookmarkEnd w:id="104"/>
      <w:bookmarkEnd w:id="105"/>
      <w:bookmarkEnd w:id="106"/>
      <w:bookmarkEnd w:id="107"/>
    </w:p>
  </w:footnote>
  <w:footnote w:id="47">
    <w:p w14:paraId="4E02C84A" w14:textId="16198455" w:rsidR="008A77A6" w:rsidRPr="00435987"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435987">
        <w:rPr>
          <w:sz w:val="18"/>
          <w:szCs w:val="18"/>
          <w:lang w:val="fr-FR"/>
        </w:rPr>
        <w:t xml:space="preserve"> </w:t>
      </w:r>
      <w:r w:rsidRPr="00435987">
        <w:rPr>
          <w:iCs/>
          <w:sz w:val="18"/>
          <w:szCs w:val="18"/>
          <w:lang w:val="fr-FR"/>
        </w:rPr>
        <w:t>Convention sur la c</w:t>
      </w:r>
      <w:r>
        <w:rPr>
          <w:iCs/>
          <w:sz w:val="18"/>
          <w:szCs w:val="18"/>
          <w:lang w:val="fr-FR"/>
        </w:rPr>
        <w:t>onservation des e</w:t>
      </w:r>
      <w:r w:rsidRPr="00435987">
        <w:rPr>
          <w:iCs/>
          <w:sz w:val="18"/>
          <w:szCs w:val="18"/>
          <w:lang w:val="fr-FR"/>
        </w:rPr>
        <w:t>spèces migratrices</w:t>
      </w:r>
      <w:r>
        <w:rPr>
          <w:iCs/>
          <w:sz w:val="18"/>
          <w:szCs w:val="18"/>
          <w:lang w:val="fr-FR"/>
        </w:rPr>
        <w:t xml:space="preserve"> a</w:t>
      </w:r>
      <w:r w:rsidRPr="00435987">
        <w:rPr>
          <w:iCs/>
          <w:sz w:val="18"/>
          <w:szCs w:val="18"/>
          <w:lang w:val="fr-FR"/>
        </w:rPr>
        <w:t>ppartenant à la faune sauvage (adopté</w:t>
      </w:r>
      <w:r>
        <w:rPr>
          <w:iCs/>
          <w:sz w:val="18"/>
          <w:szCs w:val="18"/>
          <w:lang w:val="fr-FR"/>
        </w:rPr>
        <w:t>e le</w:t>
      </w:r>
      <w:r w:rsidRPr="00435987">
        <w:rPr>
          <w:iCs/>
          <w:sz w:val="18"/>
          <w:szCs w:val="18"/>
          <w:lang w:val="fr-FR"/>
        </w:rPr>
        <w:t xml:space="preserve"> </w:t>
      </w:r>
      <w:r>
        <w:rPr>
          <w:sz w:val="18"/>
          <w:szCs w:val="18"/>
          <w:lang w:val="fr-FR"/>
        </w:rPr>
        <w:t>23 j</w:t>
      </w:r>
      <w:r w:rsidRPr="00435987">
        <w:rPr>
          <w:sz w:val="18"/>
          <w:szCs w:val="18"/>
          <w:lang w:val="fr-FR"/>
        </w:rPr>
        <w:t>u</w:t>
      </w:r>
      <w:r>
        <w:rPr>
          <w:sz w:val="18"/>
          <w:szCs w:val="18"/>
          <w:lang w:val="fr-FR"/>
        </w:rPr>
        <w:t xml:space="preserve">in 1979 et entrée en vigueur le </w:t>
      </w:r>
      <w:r w:rsidRPr="00435987">
        <w:rPr>
          <w:sz w:val="18"/>
          <w:szCs w:val="18"/>
          <w:lang w:val="fr-FR"/>
        </w:rPr>
        <w:t>1</w:t>
      </w:r>
      <w:r w:rsidRPr="00435987">
        <w:rPr>
          <w:sz w:val="18"/>
          <w:szCs w:val="18"/>
          <w:vertAlign w:val="superscript"/>
          <w:lang w:val="fr-FR"/>
        </w:rPr>
        <w:t>er</w:t>
      </w:r>
      <w:r>
        <w:rPr>
          <w:sz w:val="18"/>
          <w:szCs w:val="18"/>
          <w:lang w:val="fr-FR"/>
        </w:rPr>
        <w:t xml:space="preserve"> novemb</w:t>
      </w:r>
      <w:r w:rsidRPr="00435987">
        <w:rPr>
          <w:sz w:val="18"/>
          <w:szCs w:val="18"/>
          <w:lang w:val="fr-FR"/>
        </w:rPr>
        <w:t>r</w:t>
      </w:r>
      <w:r>
        <w:rPr>
          <w:sz w:val="18"/>
          <w:szCs w:val="18"/>
          <w:lang w:val="fr-FR"/>
        </w:rPr>
        <w:t>e</w:t>
      </w:r>
      <w:r w:rsidRPr="00435987">
        <w:rPr>
          <w:sz w:val="18"/>
          <w:szCs w:val="18"/>
          <w:lang w:val="fr-FR"/>
        </w:rPr>
        <w:t xml:space="preserve"> 1983) 19 ILM 15.</w:t>
      </w:r>
    </w:p>
  </w:footnote>
  <w:footnote w:id="48">
    <w:p w14:paraId="5BCAA48F" w14:textId="2F0C4285" w:rsidR="008A77A6" w:rsidRPr="00ED05C0"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ED05C0">
        <w:rPr>
          <w:sz w:val="18"/>
          <w:szCs w:val="18"/>
          <w:lang w:val="fr-FR"/>
        </w:rPr>
        <w:t xml:space="preserve"> Ibid article 1 a).</w:t>
      </w:r>
    </w:p>
  </w:footnote>
  <w:footnote w:id="49">
    <w:p w14:paraId="04145F55" w14:textId="16E5CA3C" w:rsidR="008A77A6" w:rsidRPr="00ED05C0"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435987">
        <w:rPr>
          <w:sz w:val="18"/>
          <w:szCs w:val="18"/>
          <w:lang w:val="fr-FR"/>
        </w:rPr>
        <w:t xml:space="preserve"> À titre d’exemple, voir l’article 2 du Décret </w:t>
      </w:r>
      <w:r>
        <w:rPr>
          <w:sz w:val="18"/>
          <w:szCs w:val="18"/>
          <w:lang w:val="fr-FR"/>
        </w:rPr>
        <w:t>exécutif No. 19 du 26 mars 2019</w:t>
      </w:r>
      <w:r w:rsidRPr="00435987">
        <w:rPr>
          <w:sz w:val="18"/>
          <w:szCs w:val="18"/>
          <w:lang w:val="fr-FR"/>
        </w:rPr>
        <w:t xml:space="preserve"> sur la réglementation de l’accès et le contr</w:t>
      </w:r>
      <w:r>
        <w:rPr>
          <w:sz w:val="18"/>
          <w:szCs w:val="18"/>
          <w:lang w:val="fr-FR"/>
        </w:rPr>
        <w:t>ôle de</w:t>
      </w:r>
      <w:r w:rsidRPr="00435987">
        <w:rPr>
          <w:sz w:val="18"/>
          <w:szCs w:val="18"/>
          <w:lang w:val="fr-FR"/>
        </w:rPr>
        <w:t xml:space="preserve"> l’utilisation</w:t>
      </w:r>
      <w:r>
        <w:rPr>
          <w:sz w:val="18"/>
          <w:szCs w:val="18"/>
          <w:lang w:val="fr-FR"/>
        </w:rPr>
        <w:t xml:space="preserve"> des ressources biologiques et g</w:t>
      </w:r>
      <w:r w:rsidRPr="00435987">
        <w:rPr>
          <w:sz w:val="18"/>
          <w:szCs w:val="18"/>
          <w:lang w:val="fr-FR"/>
        </w:rPr>
        <w:t>énétiques</w:t>
      </w:r>
      <w:r>
        <w:rPr>
          <w:sz w:val="18"/>
          <w:szCs w:val="18"/>
          <w:lang w:val="fr-FR"/>
        </w:rPr>
        <w:t xml:space="preserve"> dans la République du Panama et la mise en place d’autres m</w:t>
      </w:r>
      <w:r w:rsidRPr="00435987">
        <w:rPr>
          <w:sz w:val="18"/>
          <w:szCs w:val="18"/>
          <w:lang w:val="fr-FR"/>
        </w:rPr>
        <w:t>esure</w:t>
      </w:r>
      <w:r>
        <w:rPr>
          <w:sz w:val="18"/>
          <w:szCs w:val="18"/>
          <w:lang w:val="fr-FR"/>
        </w:rPr>
        <w:t xml:space="preserve">s (2019), qui dispose </w:t>
      </w:r>
      <w:r w:rsidRPr="00435987">
        <w:rPr>
          <w:sz w:val="18"/>
          <w:szCs w:val="18"/>
          <w:lang w:val="fr-FR"/>
        </w:rPr>
        <w:t>: “</w:t>
      </w:r>
      <w:r>
        <w:rPr>
          <w:sz w:val="18"/>
          <w:szCs w:val="18"/>
          <w:lang w:val="fr-FR"/>
        </w:rPr>
        <w:t>les e</w:t>
      </w:r>
      <w:r w:rsidRPr="00435987">
        <w:rPr>
          <w:sz w:val="18"/>
          <w:szCs w:val="18"/>
          <w:lang w:val="fr-FR"/>
        </w:rPr>
        <w:t xml:space="preserve">spèces migratrices </w:t>
      </w:r>
      <w:r>
        <w:rPr>
          <w:sz w:val="18"/>
          <w:szCs w:val="18"/>
          <w:lang w:val="fr-FR"/>
        </w:rPr>
        <w:t>qui sont présentes en raison de causes naturelles sont inclues dans le territoire national</w:t>
      </w:r>
      <w:r w:rsidRPr="00435987">
        <w:rPr>
          <w:sz w:val="18"/>
          <w:szCs w:val="18"/>
          <w:lang w:val="fr-FR"/>
        </w:rPr>
        <w:t xml:space="preserve">.” </w:t>
      </w:r>
      <w:r>
        <w:rPr>
          <w:sz w:val="18"/>
          <w:szCs w:val="18"/>
          <w:lang w:val="fr-FR"/>
        </w:rPr>
        <w:t>(T</w:t>
      </w:r>
      <w:r w:rsidRPr="00ED05C0">
        <w:rPr>
          <w:sz w:val="18"/>
          <w:szCs w:val="18"/>
          <w:lang w:val="fr-FR"/>
        </w:rPr>
        <w:t>raduction non officielle</w:t>
      </w:r>
      <w:r>
        <w:rPr>
          <w:sz w:val="18"/>
          <w:szCs w:val="18"/>
          <w:lang w:val="fr-FR"/>
        </w:rPr>
        <w:t xml:space="preserve"> du texte en espagnol</w:t>
      </w:r>
      <w:r w:rsidRPr="00ED05C0">
        <w:rPr>
          <w:sz w:val="18"/>
          <w:szCs w:val="18"/>
          <w:lang w:val="fr-FR"/>
        </w:rPr>
        <w:t>).</w:t>
      </w:r>
    </w:p>
  </w:footnote>
  <w:footnote w:id="50">
    <w:p w14:paraId="45D92A0A" w14:textId="1C0E5BC7" w:rsidR="008A77A6" w:rsidRPr="00ED05C0" w:rsidRDefault="008A77A6" w:rsidP="00F43F79">
      <w:pPr>
        <w:pStyle w:val="FootnoteText"/>
        <w:spacing w:before="20" w:after="20"/>
        <w:ind w:left="288" w:hanging="288"/>
        <w:rPr>
          <w:sz w:val="18"/>
          <w:szCs w:val="18"/>
          <w:lang w:val="fr-FR"/>
        </w:rPr>
      </w:pPr>
      <w:r w:rsidRPr="00F43F79">
        <w:rPr>
          <w:rStyle w:val="FootnoteReference"/>
          <w:sz w:val="18"/>
          <w:szCs w:val="18"/>
        </w:rPr>
        <w:footnoteRef/>
      </w:r>
      <w:r w:rsidRPr="00ED05C0">
        <w:rPr>
          <w:sz w:val="18"/>
          <w:szCs w:val="18"/>
          <w:lang w:val="fr-FR"/>
        </w:rPr>
        <w:t xml:space="preserve"> Une question semblable pourrait </w:t>
      </w:r>
      <w:r>
        <w:rPr>
          <w:sz w:val="18"/>
          <w:szCs w:val="18"/>
          <w:lang w:val="fr-FR"/>
        </w:rPr>
        <w:t xml:space="preserve">être </w:t>
      </w:r>
      <w:r w:rsidRPr="00ED05C0">
        <w:rPr>
          <w:sz w:val="18"/>
          <w:szCs w:val="18"/>
          <w:lang w:val="fr-FR"/>
        </w:rPr>
        <w:t>examiné</w:t>
      </w:r>
      <w:r>
        <w:rPr>
          <w:sz w:val="18"/>
          <w:szCs w:val="18"/>
          <w:lang w:val="fr-FR"/>
        </w:rPr>
        <w:t xml:space="preserve">e en ce qui concerne les </w:t>
      </w:r>
      <w:r w:rsidRPr="00ED05C0">
        <w:rPr>
          <w:sz w:val="18"/>
          <w:szCs w:val="18"/>
          <w:lang w:val="fr-FR"/>
        </w:rPr>
        <w:t>espèces</w:t>
      </w:r>
      <w:r>
        <w:rPr>
          <w:sz w:val="18"/>
          <w:szCs w:val="18"/>
          <w:lang w:val="fr-FR"/>
        </w:rPr>
        <w:t xml:space="preserve"> cosmopolites</w:t>
      </w:r>
      <w:r w:rsidRPr="00ED05C0">
        <w:rPr>
          <w:sz w:val="18"/>
          <w:szCs w:val="18"/>
          <w:lang w:val="fr-FR"/>
        </w:rPr>
        <w:t>. Dans le domaine de la biog</w:t>
      </w:r>
      <w:r>
        <w:rPr>
          <w:sz w:val="18"/>
          <w:szCs w:val="18"/>
          <w:lang w:val="fr-FR"/>
        </w:rPr>
        <w:t>éographie, une espèce est dit</w:t>
      </w:r>
      <w:r w:rsidRPr="00ED05C0">
        <w:rPr>
          <w:sz w:val="18"/>
          <w:szCs w:val="18"/>
          <w:lang w:val="fr-FR"/>
        </w:rPr>
        <w:t>e</w:t>
      </w:r>
      <w:r>
        <w:rPr>
          <w:sz w:val="18"/>
          <w:szCs w:val="18"/>
          <w:lang w:val="fr-FR"/>
        </w:rPr>
        <w:t xml:space="preserve"> "cosmopolite</w:t>
      </w:r>
      <w:r w:rsidRPr="00ED05C0">
        <w:rPr>
          <w:sz w:val="18"/>
          <w:szCs w:val="18"/>
          <w:lang w:val="fr-FR"/>
        </w:rPr>
        <w:t xml:space="preserve">" </w:t>
      </w:r>
      <w:r>
        <w:rPr>
          <w:sz w:val="18"/>
          <w:szCs w:val="18"/>
          <w:lang w:val="fr-FR"/>
        </w:rPr>
        <w:t>lorsque son aire de répartition s’étend à la plupart, voire à toutes les régions du monde</w:t>
      </w:r>
      <w:r w:rsidRPr="00ED05C0">
        <w:rPr>
          <w:sz w:val="18"/>
          <w:szCs w:val="18"/>
          <w:lang w:val="fr-FR"/>
        </w:rPr>
        <w:t>.</w:t>
      </w:r>
    </w:p>
  </w:footnote>
  <w:footnote w:id="51">
    <w:p w14:paraId="2D4DCDE9" w14:textId="68EBC4E8" w:rsidR="008A77A6" w:rsidRPr="00C85D44"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C85D44">
        <w:rPr>
          <w:sz w:val="18"/>
          <w:szCs w:val="18"/>
          <w:lang w:val="fr-FR"/>
        </w:rPr>
        <w:t xml:space="preserve"> </w:t>
      </w:r>
      <w:r w:rsidRPr="00F43F79">
        <w:rPr>
          <w:sz w:val="18"/>
          <w:szCs w:val="18"/>
        </w:rPr>
        <w:fldChar w:fldCharType="begin"/>
      </w:r>
      <w:r w:rsidRPr="00C85D44">
        <w:rPr>
          <w:sz w:val="18"/>
          <w:szCs w:val="18"/>
          <w:lang w:val="fr-FR"/>
        </w:rPr>
        <w:instrText xml:space="preserve"> ADDIN ZOTERO_ITEM CSL_CITATION {"citationID":"Dmci5uqi","properties":{"formattedCitation":"Morgera and others (n 27) 203.","plainCitation":"Morgera and others (n 27) 203.","noteIndex":46},"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203"}],"schema":"https://github.com/citation-style-language/schema/raw/master/csl-citation.json"} </w:instrText>
      </w:r>
      <w:r w:rsidRPr="00F43F79">
        <w:rPr>
          <w:sz w:val="18"/>
          <w:szCs w:val="18"/>
        </w:rPr>
        <w:fldChar w:fldCharType="separate"/>
      </w:r>
      <w:r w:rsidRPr="00C85D44">
        <w:rPr>
          <w:sz w:val="18"/>
          <w:szCs w:val="18"/>
          <w:lang w:val="fr-FR"/>
        </w:rPr>
        <w:t>Morgera et al. (n 29) 203.</w:t>
      </w:r>
      <w:r w:rsidRPr="00F43F79">
        <w:rPr>
          <w:sz w:val="18"/>
          <w:szCs w:val="18"/>
        </w:rPr>
        <w:fldChar w:fldCharType="end"/>
      </w:r>
    </w:p>
  </w:footnote>
  <w:footnote w:id="52">
    <w:p w14:paraId="0817EE73" w14:textId="32870D81" w:rsidR="008A77A6" w:rsidRPr="008F38B0"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C85D44">
        <w:rPr>
          <w:sz w:val="18"/>
          <w:szCs w:val="18"/>
          <w:lang w:val="fr-FR"/>
        </w:rPr>
        <w:t xml:space="preserve"> </w:t>
      </w:r>
      <w:r w:rsidRPr="00F43F79">
        <w:rPr>
          <w:sz w:val="18"/>
          <w:szCs w:val="18"/>
        </w:rPr>
        <w:fldChar w:fldCharType="begin"/>
      </w:r>
      <w:r w:rsidRPr="00C85D44">
        <w:rPr>
          <w:sz w:val="18"/>
          <w:szCs w:val="18"/>
          <w:lang w:val="fr-FR"/>
        </w:rPr>
        <w:instrText xml:space="preserve"> ADDIN ZOTERO_ITEM CSL_CITATION {"citationID":"SWAEtpXx","properties":{"formattedCitation":"A James Kettle and others, \\uc0\\u8216{}Where Once the Eel and the Elephant Were Together: Decline of the European Eel Because of Changing Hydrology in Southwest Europe and Northwest Africa?\\uc0\\u8217{} (2011) 12 Fish and Fisheries 380.","plainCitation":"A James Kettle and others, ‘Where Once the Eel and the Elephant Were Together: Decline of the European Eel Because of Changing Hydrology in Southwest Europe and Northwest Africa?’ (2011) 12 Fish and Fisheries 380.","noteIndex":47},"citationItems":[{"id":606,"uris":["http://zotero.org/users/local/dU5rpCrq/items/GVSV3ENC"],"uri":["http://zotero.org/users/local/dU5rpCrq/items/GVSV3ENC"],"itemData":{"id":606,"type":"article-journal","multi":{"main":{},"_keys":{}},"abstract":"The collapse in recruitment of the European eel (Anguilla anguilla) since the early 1980s has been ascribed to possible overfishing, poisoning, parasitism, habitat loss and changes in ocean circulation. It is unclear which mechanism is most important, and firm data are lacking to make an assessment of the factors that apply over the full continental range. On the other hand, the recruitment of the American eel (A. rostrata) has declined along the western Atlantic at about the same time. This suggests a candidate mechanism that can affect both species together. A change in ocean climate may be a likely explanation, which is supported by a possible link between the North Atlantic Oscillation and one important recruitment index. However, it is unsafe to discard the other possible mechanisms because of la</w:instrText>
      </w:r>
      <w:r w:rsidRPr="004A1148">
        <w:rPr>
          <w:sz w:val="18"/>
          <w:szCs w:val="18"/>
          <w:lang w:val="fr-FR"/>
        </w:rPr>
        <w:instrText xml:space="preserve">ck of evidence. Habitat loss, in particular, may be important. We review over a century of evidence to suggest how the eel may have declined through progressive habitat loss that accelerated in the early 1980s as the result of economic development linked with hydrological changes. Although no single line of evidence can definitely prove one hypothesis for the eel decline, the total body of information may indicate a pronounced susceptibility in the southwest corner of the continental range closest to the Sargasso Sea that has been particularly affected by drought and dam construction. The sexual dimorphism of the species together with the energy requirements of the spawning migration may provide insight to explain the population collapse.","container-title":"Fish and Fisheries","DOI":"10.1111/j.1467-2979.2010.00400.x","ISSN":"1467-2979","issue":"4","language":"en","page":"380-411","source":"Wiley Online Library","title":"Where once the eel and the elephant were together: decline of the European eel because of changing hydrology in southwest Europe and northwest Africa?","title-short":"Where once the eel and the elephant were together","volume":"12","author":[{"family":"Kettle","given":"A. James","multi":{"_key":{}}},{"family":"Vøllestad","given":"L. Asbjørn","multi":{"_key":{}}},{"family":"Wibig","given":"Joanna","multi":{"_key":{}}}],"issued":{"date-parts":[["2011"]]},"seeAlso":[]}}],"schema":"https://github.com/citation-style-language/schema/raw/master/csl-citation.json"} </w:instrText>
      </w:r>
      <w:r w:rsidRPr="00F43F79">
        <w:rPr>
          <w:sz w:val="18"/>
          <w:szCs w:val="18"/>
        </w:rPr>
        <w:fldChar w:fldCharType="separate"/>
      </w:r>
      <w:r w:rsidRPr="004A1148">
        <w:rPr>
          <w:sz w:val="18"/>
          <w:szCs w:val="18"/>
          <w:lang w:val="fr-FR"/>
        </w:rPr>
        <w:t xml:space="preserve">A James Kettle et al., ‘Where Once the Eel and the Elephant Were Together: Decline of the European Eel Because of Changing Hydrology in Southwest Europe and Northwest Africa?’ </w:t>
      </w:r>
      <w:r>
        <w:rPr>
          <w:sz w:val="18"/>
          <w:szCs w:val="18"/>
          <w:lang w:val="fr-FR"/>
        </w:rPr>
        <w:t>(2011) 12 Fish and</w:t>
      </w:r>
      <w:r w:rsidRPr="008F38B0">
        <w:rPr>
          <w:sz w:val="18"/>
          <w:szCs w:val="18"/>
          <w:lang w:val="fr-FR"/>
        </w:rPr>
        <w:t xml:space="preserve"> Fisheries 380.</w:t>
      </w:r>
      <w:r w:rsidRPr="00F43F79">
        <w:rPr>
          <w:sz w:val="18"/>
          <w:szCs w:val="18"/>
        </w:rPr>
        <w:fldChar w:fldCharType="end"/>
      </w:r>
    </w:p>
  </w:footnote>
  <w:footnote w:id="53">
    <w:p w14:paraId="192365DB" w14:textId="49B1696B" w:rsidR="008A77A6" w:rsidRPr="008F38B0"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8F38B0">
        <w:rPr>
          <w:sz w:val="18"/>
          <w:szCs w:val="18"/>
          <w:lang w:val="fr-FR"/>
        </w:rPr>
        <w:t xml:space="preserve"> </w:t>
      </w:r>
      <w:r w:rsidRPr="00F43F79">
        <w:rPr>
          <w:sz w:val="18"/>
          <w:szCs w:val="18"/>
        </w:rPr>
        <w:fldChar w:fldCharType="begin"/>
      </w:r>
      <w:r w:rsidRPr="008F38B0">
        <w:rPr>
          <w:sz w:val="18"/>
          <w:szCs w:val="18"/>
          <w:lang w:val="fr-FR"/>
        </w:rPr>
        <w:instrText xml:space="preserve"> ADDIN ZOTERO_ITEM CSL_CITATION {"citationID":"xCIM8Dqz","properties":{"formattedCitation":"Secretariat of the Convention on Biological Diversity, \\uc0\\u8216{}The Sargasso Sea\\uc0\\u8217{} ({\\i{}The Clearing House Mechanism of the Convention on Biological Diversity}, 15 June 2015) &lt;https://chm.cbd.int/database/record?documentID=200098&gt; accessed 28 February 2020.","plainCitation":"Secretariat of the Convention on Biological Diversity, ‘The Sargasso Sea’ (The Clearing House Mechanism of the Convention on Biological Diversity, 15 June 2015) &lt;https://chm.cbd.int/database/record?documentID=200098&gt; accessed 28 February 2020.","noteIndex":48},"citationItems":[{"id":608,"uris":["http://zotero.org/users/local/dU5rpCrq/items/B39926YT"],"uri":["http://zotero.org/users/local/dU5rpCrq/items/B39926YT"],"itemData":{"id":608,"type":"webpage","multi":{"main":{},"_keys":{}},"container-title":"The Clearing House Mechanism of the Convention on Biological Diversity","title":"The Sargasso Sea","URL":"https://chm.cbd.int/database/record?documentID=200098","author":[{"family":"Secretariat of the Convention on Biological Diversity","given":"","literal":"Secretariat of the Convention on Biological Diversity","multi":{"_key":{}}}],"accessed":{"date-parts":[["2020",2,28]]},"issued":{"date-parts":[["2015",6,15]]},"seeAlso":[]}}],"schema":"https://github.com/citation-style-language/schema/raw/master/csl-citation.json"} </w:instrText>
      </w:r>
      <w:r w:rsidRPr="00F43F79">
        <w:rPr>
          <w:sz w:val="18"/>
          <w:szCs w:val="18"/>
        </w:rPr>
        <w:fldChar w:fldCharType="separate"/>
      </w:r>
      <w:r w:rsidRPr="008F38B0">
        <w:rPr>
          <w:sz w:val="18"/>
          <w:szCs w:val="18"/>
          <w:lang w:val="fr-FR"/>
        </w:rPr>
        <w:t>Secrétariat de la Convention s</w:t>
      </w:r>
      <w:r>
        <w:rPr>
          <w:sz w:val="18"/>
          <w:szCs w:val="18"/>
          <w:lang w:val="fr-FR"/>
        </w:rPr>
        <w:t>ur la diversité biologique, ‘La</w:t>
      </w:r>
      <w:r w:rsidRPr="008F38B0">
        <w:rPr>
          <w:sz w:val="18"/>
          <w:szCs w:val="18"/>
          <w:lang w:val="fr-FR"/>
        </w:rPr>
        <w:t xml:space="preserve"> </w:t>
      </w:r>
      <w:r>
        <w:rPr>
          <w:sz w:val="18"/>
          <w:szCs w:val="18"/>
          <w:lang w:val="fr-FR"/>
        </w:rPr>
        <w:t>Mer des Sargasses</w:t>
      </w:r>
      <w:r w:rsidRPr="008F38B0">
        <w:rPr>
          <w:sz w:val="18"/>
          <w:szCs w:val="18"/>
          <w:lang w:val="fr-FR"/>
        </w:rPr>
        <w:t>’ (</w:t>
      </w:r>
      <w:r>
        <w:rPr>
          <w:i/>
          <w:iCs/>
          <w:sz w:val="18"/>
          <w:szCs w:val="18"/>
          <w:lang w:val="fr-FR"/>
        </w:rPr>
        <w:t xml:space="preserve">Centre d'échange </w:t>
      </w:r>
      <w:r w:rsidRPr="008F38B0">
        <w:rPr>
          <w:i/>
          <w:iCs/>
          <w:sz w:val="18"/>
          <w:szCs w:val="18"/>
          <w:lang w:val="fr-FR"/>
        </w:rPr>
        <w:t>de la Convention sur la diversité biologique</w:t>
      </w:r>
      <w:r>
        <w:rPr>
          <w:sz w:val="18"/>
          <w:szCs w:val="18"/>
          <w:lang w:val="fr-FR"/>
        </w:rPr>
        <w:t>, 15 juin</w:t>
      </w:r>
      <w:r w:rsidRPr="008F38B0">
        <w:rPr>
          <w:sz w:val="18"/>
          <w:szCs w:val="18"/>
          <w:lang w:val="fr-FR"/>
        </w:rPr>
        <w:t xml:space="preserve"> 2015) &lt;https://chm.cbd.int/</w:t>
      </w:r>
      <w:r>
        <w:rPr>
          <w:sz w:val="18"/>
          <w:szCs w:val="18"/>
          <w:lang w:val="fr-FR"/>
        </w:rPr>
        <w:t>database</w:t>
      </w:r>
      <w:r w:rsidRPr="008F38B0">
        <w:rPr>
          <w:sz w:val="18"/>
          <w:szCs w:val="18"/>
          <w:lang w:val="fr-FR"/>
        </w:rPr>
        <w:t xml:space="preserve">/record?documentID=200098&gt; </w:t>
      </w:r>
      <w:r>
        <w:rPr>
          <w:sz w:val="18"/>
          <w:szCs w:val="18"/>
          <w:lang w:val="fr-FR"/>
        </w:rPr>
        <w:t>consulté le</w:t>
      </w:r>
      <w:r w:rsidRPr="008F38B0">
        <w:rPr>
          <w:sz w:val="18"/>
          <w:szCs w:val="18"/>
          <w:lang w:val="fr-FR"/>
        </w:rPr>
        <w:t xml:space="preserve"> 28 </w:t>
      </w:r>
      <w:r>
        <w:rPr>
          <w:sz w:val="18"/>
          <w:szCs w:val="18"/>
          <w:lang w:val="fr-FR"/>
        </w:rPr>
        <w:t>février</w:t>
      </w:r>
      <w:r w:rsidRPr="008F38B0">
        <w:rPr>
          <w:sz w:val="18"/>
          <w:szCs w:val="18"/>
          <w:lang w:val="fr-FR"/>
        </w:rPr>
        <w:t xml:space="preserve"> 2020.</w:t>
      </w:r>
      <w:r w:rsidRPr="00F43F79">
        <w:rPr>
          <w:sz w:val="18"/>
          <w:szCs w:val="18"/>
        </w:rPr>
        <w:fldChar w:fldCharType="end"/>
      </w:r>
    </w:p>
  </w:footnote>
  <w:footnote w:id="54">
    <w:p w14:paraId="7E073F3F" w14:textId="052881D8"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Pr>
          <w:sz w:val="18"/>
          <w:szCs w:val="18"/>
          <w:lang w:val="fr-FR"/>
        </w:rPr>
        <w:t xml:space="preserve"> Comme noté</w:t>
      </w:r>
      <w:r w:rsidRPr="00473745">
        <w:rPr>
          <w:sz w:val="18"/>
          <w:szCs w:val="18"/>
          <w:lang w:val="fr-FR"/>
        </w:rPr>
        <w:t xml:space="preserve"> </w:t>
      </w:r>
      <w:r>
        <w:rPr>
          <w:sz w:val="18"/>
          <w:szCs w:val="18"/>
          <w:lang w:val="fr-FR"/>
        </w:rPr>
        <w:t>plus haut, le dépôt d’une demande de brevet et l’obtention d’un brevet reflètent les activités de recherche et développement, et indiquent qu’une</w:t>
      </w:r>
      <w:r w:rsidRPr="00473745">
        <w:rPr>
          <w:sz w:val="18"/>
          <w:szCs w:val="18"/>
          <w:lang w:val="fr-FR"/>
        </w:rPr>
        <w:t xml:space="preserve"> “utilisation de ressources génétiques</w:t>
      </w:r>
      <w:r>
        <w:rPr>
          <w:sz w:val="18"/>
          <w:szCs w:val="18"/>
          <w:lang w:val="fr-FR"/>
        </w:rPr>
        <w:t>” a bien eu lieu</w:t>
      </w:r>
      <w:r w:rsidRPr="00473745">
        <w:rPr>
          <w:sz w:val="18"/>
          <w:szCs w:val="18"/>
          <w:lang w:val="fr-FR"/>
        </w:rPr>
        <w:t xml:space="preserve">. </w:t>
      </w:r>
      <w:r>
        <w:rPr>
          <w:sz w:val="18"/>
          <w:szCs w:val="18"/>
        </w:rPr>
        <w:t>Voir par exemple les brevets suivants: Brevet américain</w:t>
      </w:r>
      <w:r w:rsidRPr="00F43F79">
        <w:rPr>
          <w:sz w:val="18"/>
          <w:szCs w:val="18"/>
        </w:rPr>
        <w:t xml:space="preserve"> No US9035033B2</w:t>
      </w:r>
      <w:r>
        <w:rPr>
          <w:sz w:val="18"/>
          <w:szCs w:val="18"/>
        </w:rPr>
        <w:t xml:space="preserve"> </w:t>
      </w:r>
      <w:r w:rsidRPr="00F43F79">
        <w:rPr>
          <w:i/>
          <w:sz w:val="18"/>
          <w:szCs w:val="18"/>
        </w:rPr>
        <w:t>Tumor</w:t>
      </w:r>
      <w:r>
        <w:rPr>
          <w:i/>
          <w:sz w:val="18"/>
          <w:szCs w:val="18"/>
        </w:rPr>
        <w:t xml:space="preserve"> and </w:t>
      </w:r>
      <w:r w:rsidRPr="00F43F79">
        <w:rPr>
          <w:i/>
          <w:sz w:val="18"/>
          <w:szCs w:val="18"/>
        </w:rPr>
        <w:t>infectious disease therapeutic compositions</w:t>
      </w:r>
      <w:r w:rsidRPr="00F43F79">
        <w:rPr>
          <w:sz w:val="18"/>
          <w:szCs w:val="18"/>
        </w:rPr>
        <w:t xml:space="preserve">; </w:t>
      </w:r>
      <w:r>
        <w:rPr>
          <w:sz w:val="18"/>
          <w:szCs w:val="18"/>
        </w:rPr>
        <w:t>Brevet américain</w:t>
      </w:r>
      <w:r w:rsidRPr="00F43F79">
        <w:rPr>
          <w:sz w:val="18"/>
          <w:szCs w:val="18"/>
        </w:rPr>
        <w:t xml:space="preserve"> No US10287616B2</w:t>
      </w:r>
      <w:r>
        <w:rPr>
          <w:sz w:val="18"/>
          <w:szCs w:val="18"/>
        </w:rPr>
        <w:t xml:space="preserve"> </w:t>
      </w:r>
      <w:r w:rsidRPr="00F43F79">
        <w:rPr>
          <w:i/>
          <w:sz w:val="18"/>
          <w:szCs w:val="18"/>
        </w:rPr>
        <w:t>Label free biosensors, gram-negative bacteria detection,</w:t>
      </w:r>
      <w:r>
        <w:rPr>
          <w:i/>
          <w:sz w:val="18"/>
          <w:szCs w:val="18"/>
        </w:rPr>
        <w:t xml:space="preserve"> and </w:t>
      </w:r>
      <w:r w:rsidRPr="00F43F79">
        <w:rPr>
          <w:i/>
          <w:sz w:val="18"/>
          <w:szCs w:val="18"/>
        </w:rPr>
        <w:t>real-time</w:t>
      </w:r>
      <w:r>
        <w:rPr>
          <w:i/>
          <w:sz w:val="18"/>
          <w:szCs w:val="18"/>
        </w:rPr>
        <w:t xml:space="preserve"> and </w:t>
      </w:r>
      <w:r w:rsidRPr="00F43F79">
        <w:rPr>
          <w:i/>
          <w:sz w:val="18"/>
          <w:szCs w:val="18"/>
        </w:rPr>
        <w:t>end point determination of antibiotic effects</w:t>
      </w:r>
      <w:r w:rsidRPr="00F43F79">
        <w:rPr>
          <w:sz w:val="18"/>
          <w:szCs w:val="18"/>
        </w:rPr>
        <w:t xml:space="preserve">; </w:t>
      </w:r>
      <w:r>
        <w:rPr>
          <w:sz w:val="18"/>
          <w:szCs w:val="18"/>
        </w:rPr>
        <w:t>Brevet américain</w:t>
      </w:r>
      <w:r w:rsidRPr="00F43F79">
        <w:rPr>
          <w:sz w:val="18"/>
          <w:szCs w:val="18"/>
        </w:rPr>
        <w:t xml:space="preserve"> No US8454566B2</w:t>
      </w:r>
      <w:r>
        <w:rPr>
          <w:sz w:val="18"/>
          <w:szCs w:val="18"/>
        </w:rPr>
        <w:t xml:space="preserve"> </w:t>
      </w:r>
      <w:r w:rsidRPr="00F43F79">
        <w:rPr>
          <w:i/>
          <w:sz w:val="18"/>
          <w:szCs w:val="18"/>
        </w:rPr>
        <w:t>Methods</w:t>
      </w:r>
      <w:r>
        <w:rPr>
          <w:i/>
          <w:sz w:val="18"/>
          <w:szCs w:val="18"/>
        </w:rPr>
        <w:t xml:space="preserve"> and </w:t>
      </w:r>
      <w:r w:rsidRPr="00F43F79">
        <w:rPr>
          <w:i/>
          <w:sz w:val="18"/>
          <w:szCs w:val="18"/>
        </w:rPr>
        <w:t>compositions for the inhibition of biofilms on medical devices</w:t>
      </w:r>
      <w:r w:rsidRPr="00F43F79">
        <w:rPr>
          <w:sz w:val="18"/>
          <w:szCs w:val="18"/>
        </w:rPr>
        <w:t xml:space="preserve">; </w:t>
      </w:r>
      <w:r>
        <w:rPr>
          <w:sz w:val="18"/>
          <w:szCs w:val="18"/>
        </w:rPr>
        <w:t>Brevet américain</w:t>
      </w:r>
      <w:r w:rsidRPr="00F43F79">
        <w:rPr>
          <w:sz w:val="18"/>
          <w:szCs w:val="18"/>
        </w:rPr>
        <w:t xml:space="preserve"> No US6365187B2</w:t>
      </w:r>
      <w:r>
        <w:rPr>
          <w:sz w:val="18"/>
          <w:szCs w:val="18"/>
        </w:rPr>
        <w:t xml:space="preserve"> </w:t>
      </w:r>
      <w:r w:rsidRPr="00F43F79">
        <w:rPr>
          <w:i/>
          <w:sz w:val="18"/>
          <w:szCs w:val="18"/>
        </w:rPr>
        <w:t>Bioadhesive microspheres</w:t>
      </w:r>
      <w:r>
        <w:rPr>
          <w:i/>
          <w:sz w:val="18"/>
          <w:szCs w:val="18"/>
        </w:rPr>
        <w:t xml:space="preserve"> and their uses </w:t>
      </w:r>
      <w:r w:rsidRPr="00F43F79">
        <w:rPr>
          <w:i/>
          <w:sz w:val="18"/>
          <w:szCs w:val="18"/>
        </w:rPr>
        <w:t xml:space="preserve">as </w:t>
      </w:r>
      <w:r>
        <w:rPr>
          <w:i/>
          <w:sz w:val="18"/>
          <w:szCs w:val="18"/>
        </w:rPr>
        <w:t xml:space="preserve">medicine </w:t>
      </w:r>
      <w:r w:rsidRPr="00F43F79">
        <w:rPr>
          <w:i/>
          <w:sz w:val="18"/>
          <w:szCs w:val="18"/>
        </w:rPr>
        <w:t>delivery</w:t>
      </w:r>
      <w:r>
        <w:rPr>
          <w:i/>
          <w:sz w:val="18"/>
          <w:szCs w:val="18"/>
        </w:rPr>
        <w:t xml:space="preserve"> and </w:t>
      </w:r>
      <w:r w:rsidRPr="00F43F79">
        <w:rPr>
          <w:i/>
          <w:sz w:val="18"/>
          <w:szCs w:val="18"/>
        </w:rPr>
        <w:t xml:space="preserve">imaging </w:t>
      </w:r>
      <w:r>
        <w:rPr>
          <w:i/>
          <w:sz w:val="18"/>
          <w:szCs w:val="18"/>
        </w:rPr>
        <w:t>system</w:t>
      </w:r>
      <w:r w:rsidRPr="00F43F79">
        <w:rPr>
          <w:i/>
          <w:sz w:val="18"/>
          <w:szCs w:val="18"/>
        </w:rPr>
        <w:t>s</w:t>
      </w:r>
      <w:r w:rsidRPr="00F43F79">
        <w:rPr>
          <w:sz w:val="18"/>
          <w:szCs w:val="18"/>
        </w:rPr>
        <w:t xml:space="preserve">; </w:t>
      </w:r>
      <w:r>
        <w:rPr>
          <w:iCs/>
          <w:sz w:val="18"/>
          <w:szCs w:val="18"/>
        </w:rPr>
        <w:t>Brevet américain</w:t>
      </w:r>
      <w:r w:rsidRPr="00F43F79">
        <w:rPr>
          <w:sz w:val="18"/>
          <w:szCs w:val="18"/>
        </w:rPr>
        <w:t xml:space="preserve"> US6743773B2</w:t>
      </w:r>
      <w:r>
        <w:rPr>
          <w:sz w:val="18"/>
          <w:szCs w:val="18"/>
        </w:rPr>
        <w:t xml:space="preserve"> </w:t>
      </w:r>
      <w:r w:rsidRPr="00F43F79">
        <w:rPr>
          <w:i/>
          <w:sz w:val="18"/>
          <w:szCs w:val="18"/>
        </w:rPr>
        <w:t>Method of</w:t>
      </w:r>
      <w:r>
        <w:rPr>
          <w:i/>
          <w:sz w:val="18"/>
          <w:szCs w:val="18"/>
        </w:rPr>
        <w:t xml:space="preserve"> using </w:t>
      </w:r>
      <w:r w:rsidRPr="00F43F79">
        <w:rPr>
          <w:i/>
          <w:sz w:val="18"/>
          <w:szCs w:val="18"/>
        </w:rPr>
        <w:t>lectins for contraception, prophylaxis against diseases transmit</w:t>
      </w:r>
      <w:r>
        <w:rPr>
          <w:i/>
          <w:sz w:val="18"/>
          <w:szCs w:val="18"/>
        </w:rPr>
        <w:t xml:space="preserve"> table </w:t>
      </w:r>
      <w:r w:rsidRPr="00F43F79">
        <w:rPr>
          <w:i/>
          <w:sz w:val="18"/>
          <w:szCs w:val="18"/>
        </w:rPr>
        <w:t>by sexual contact,</w:t>
      </w:r>
      <w:r>
        <w:rPr>
          <w:i/>
          <w:sz w:val="18"/>
          <w:szCs w:val="18"/>
        </w:rPr>
        <w:t xml:space="preserve"> and </w:t>
      </w:r>
      <w:r w:rsidRPr="00F43F79">
        <w:rPr>
          <w:i/>
          <w:sz w:val="18"/>
          <w:szCs w:val="18"/>
        </w:rPr>
        <w:t>therapy of such diseases,</w:t>
      </w:r>
      <w:r>
        <w:rPr>
          <w:i/>
          <w:sz w:val="18"/>
          <w:szCs w:val="18"/>
        </w:rPr>
        <w:t xml:space="preserve"> and </w:t>
      </w:r>
      <w:r w:rsidRPr="00F43F79">
        <w:rPr>
          <w:i/>
          <w:sz w:val="18"/>
          <w:szCs w:val="18"/>
        </w:rPr>
        <w:t>apparatus for administering lectins</w:t>
      </w:r>
      <w:r w:rsidRPr="00F43F79">
        <w:rPr>
          <w:sz w:val="18"/>
          <w:szCs w:val="18"/>
        </w:rPr>
        <w:t>;</w:t>
      </w:r>
      <w:r w:rsidRPr="00D66423">
        <w:rPr>
          <w:sz w:val="18"/>
          <w:szCs w:val="18"/>
        </w:rPr>
        <w:t xml:space="preserve"> </w:t>
      </w:r>
      <w:r>
        <w:rPr>
          <w:sz w:val="18"/>
          <w:szCs w:val="18"/>
        </w:rPr>
        <w:t>Brevet américain</w:t>
      </w:r>
      <w:r w:rsidRPr="00F43F79">
        <w:rPr>
          <w:sz w:val="18"/>
          <w:szCs w:val="18"/>
        </w:rPr>
        <w:t xml:space="preserve"> US7790672B2 </w:t>
      </w:r>
      <w:r w:rsidRPr="00F43F79">
        <w:rPr>
          <w:i/>
          <w:sz w:val="18"/>
          <w:szCs w:val="18"/>
        </w:rPr>
        <w:t>Method of</w:t>
      </w:r>
      <w:r>
        <w:rPr>
          <w:i/>
          <w:sz w:val="18"/>
          <w:szCs w:val="18"/>
        </w:rPr>
        <w:t xml:space="preserve"> using </w:t>
      </w:r>
      <w:r w:rsidRPr="00F43F79">
        <w:rPr>
          <w:i/>
          <w:sz w:val="18"/>
          <w:szCs w:val="18"/>
        </w:rPr>
        <w:t>lectins for prevention</w:t>
      </w:r>
      <w:r>
        <w:rPr>
          <w:i/>
          <w:sz w:val="18"/>
          <w:szCs w:val="18"/>
        </w:rPr>
        <w:t xml:space="preserve"> and treatment of </w:t>
      </w:r>
      <w:r w:rsidRPr="00F43F79">
        <w:rPr>
          <w:i/>
          <w:sz w:val="18"/>
          <w:szCs w:val="18"/>
        </w:rPr>
        <w:t>oral</w:t>
      </w:r>
      <w:r>
        <w:rPr>
          <w:i/>
          <w:sz w:val="18"/>
          <w:szCs w:val="18"/>
        </w:rPr>
        <w:t xml:space="preserve"> and </w:t>
      </w:r>
      <w:r w:rsidRPr="00F43F79">
        <w:rPr>
          <w:i/>
          <w:sz w:val="18"/>
          <w:szCs w:val="18"/>
        </w:rPr>
        <w:t>alimentary tract disorders</w:t>
      </w:r>
      <w:r w:rsidRPr="00F43F79">
        <w:rPr>
          <w:sz w:val="18"/>
          <w:szCs w:val="18"/>
        </w:rPr>
        <w:t>.</w:t>
      </w:r>
    </w:p>
  </w:footnote>
  <w:footnote w:id="55">
    <w:p w14:paraId="77125908" w14:textId="5F627D1A"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Pr>
          <w:sz w:val="18"/>
          <w:szCs w:val="18"/>
        </w:rPr>
        <w:t>Brevet européen</w:t>
      </w:r>
      <w:r w:rsidRPr="00F43F79">
        <w:rPr>
          <w:sz w:val="18"/>
          <w:szCs w:val="18"/>
        </w:rPr>
        <w:t xml:space="preserve"> (EPO) No EP2349224B1</w:t>
      </w:r>
      <w:r w:rsidRPr="002F510F">
        <w:rPr>
          <w:i/>
          <w:sz w:val="18"/>
          <w:szCs w:val="18"/>
        </w:rPr>
        <w:t xml:space="preserve"> </w:t>
      </w:r>
      <w:r w:rsidRPr="00F43F79">
        <w:rPr>
          <w:i/>
          <w:sz w:val="18"/>
          <w:szCs w:val="18"/>
        </w:rPr>
        <w:t xml:space="preserve">Orally administrable immunostimulant </w:t>
      </w:r>
      <w:r>
        <w:rPr>
          <w:i/>
          <w:sz w:val="18"/>
          <w:szCs w:val="18"/>
        </w:rPr>
        <w:t>product</w:t>
      </w:r>
      <w:r w:rsidRPr="00F43F79">
        <w:rPr>
          <w:i/>
          <w:sz w:val="18"/>
          <w:szCs w:val="18"/>
        </w:rPr>
        <w:t xml:space="preserve"> for aquaculture</w:t>
      </w:r>
      <w:r w:rsidRPr="00F43F79">
        <w:rPr>
          <w:sz w:val="18"/>
          <w:szCs w:val="18"/>
        </w:rPr>
        <w:t xml:space="preserve">. </w:t>
      </w:r>
    </w:p>
  </w:footnote>
  <w:footnote w:id="56">
    <w:p w14:paraId="5DBC9441" w14:textId="789BA1BA"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Pr>
          <w:sz w:val="18"/>
          <w:szCs w:val="18"/>
        </w:rPr>
        <w:t>Voir par exemple</w:t>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{"citationID":"MMAfPPJU","properties":{"formattedCitation":"Gerald McCormack, \\uc0\\u8216{}Cook Islands Biodiversity\\uc0\\u8239{}: Cook Islands\\uc0\\u8217{} Largest Butterfly - the Monarch\\uc0\\u8217{} ({\\i{}Cook Islands Natural Heritage Trust}, 7 December 2005) &lt;http://cookislands.bishopmuseum.org/showarticle.asp?id=21&gt; accessed 28 February 2020; Monarch Butterfly New Zealand Trust, \\uc0\\u8216{}Monarch Sightings Map\\uc0\\u8217{} (no date) &lt;https://www.monarch.org.nz/introduction-to-research/monarch-sightings-map/&gt; accessed 28 February 2020.","plainCitation":"Gerald McCormack, ‘Cook Islands Biodiversity : Cook Islands’ Largest Butterfly - the Monarch’ (Cook Islands Natural Heritage Trust, 7 December 2005) &lt;http://cookislands.bishopmuseum.org/showarticle.asp?id=21&gt; accessed 28 February 2020; Monarch Butterfly New Zealand Trust, ‘Monarch Sightings Map’ (no date) &lt;https://www.monarch.org.nz/introduction-to-research/monarch-sightings-map/&gt; accessed 28 February 2020.","dontUpdate":true,"noteIndex":52},"citationItems":[{"id":649,"uris":["http://zotero.org/users/local/dU5rpCrq/items/PYMLMSW9"],"uri":["http://zotero.org/users/local/dU5rpCrq/items/PYMLMSW9"],"itemData":{"id":649,"type":"webpage","multi":{"main":{},"_keys":{}},"container-title":"Cook Islands Natural Heritage Trust","title":"Cook Islands Biodiversity : Cook Islands' Largest Butterfly - the Monarch","URL":"http://cookislands.bishopmuseum.org/showarticle.asp?id=21","author":[{"family":"McCormack","given":"Gerald","multi":{"_key":{}}}],"accessed":{"date-parts":[["2020",2,28]]},"issued":{"date-parts":[["2005",12,7]]},"seeAlso":[]}},{"id":651,"uris":["http://zotero.org/users/local/dU5rpCrq/items/VJYKB9JE"],"uri":["http://zotero.org/users/local/dU5rpCrq/items/VJYKB9JE"],"itemData":{"id":651,"type":"webpage","multi":{"main":{},"_keys":{}},"title":"Monarch Sightings Map","URL":"https://www.monarch.org.nz/introduction-to-research/monarch-sightings-map/","author":[{"family":"Monarch Butterfly New Zealand Trust","given":"","literal":"Monarch Butterfly New Zealand Trust","multi":{"_key":{}}}],"accessed":{"date-parts":[["2020",2,28]]},"seeAlso":[]}}],"schema":"https://github.com/citation-style-language/schema/raw/master/csl-citation.json"} </w:instrText>
      </w:r>
      <w:r w:rsidRPr="00F43F79">
        <w:rPr>
          <w:sz w:val="18"/>
          <w:szCs w:val="18"/>
        </w:rPr>
        <w:fldChar w:fldCharType="separate"/>
      </w:r>
      <w:r w:rsidRPr="00F43F79">
        <w:rPr>
          <w:sz w:val="18"/>
          <w:szCs w:val="18"/>
        </w:rPr>
        <w:t xml:space="preserve">Gerald McCormack, ‘Cook Islands </w:t>
      </w:r>
      <w:r>
        <w:rPr>
          <w:sz w:val="18"/>
          <w:szCs w:val="18"/>
        </w:rPr>
        <w:t>Biodiversity</w:t>
      </w:r>
      <w:r w:rsidRPr="00F43F79">
        <w:rPr>
          <w:sz w:val="18"/>
          <w:szCs w:val="18"/>
        </w:rPr>
        <w:t> : Cook Islands’ Largest Butterfly - the Monarch’ (</w:t>
      </w:r>
      <w:r w:rsidRPr="00F43F79">
        <w:rPr>
          <w:i/>
          <w:iCs/>
          <w:sz w:val="18"/>
          <w:szCs w:val="18"/>
        </w:rPr>
        <w:t>Cook Islands Natural Heritage Trust</w:t>
      </w:r>
      <w:r w:rsidRPr="00F43F79">
        <w:rPr>
          <w:sz w:val="18"/>
          <w:szCs w:val="18"/>
        </w:rPr>
        <w:t xml:space="preserve">, 7 </w:t>
      </w:r>
      <w:r>
        <w:rPr>
          <w:sz w:val="18"/>
          <w:szCs w:val="18"/>
        </w:rPr>
        <w:t>décembre</w:t>
      </w:r>
      <w:r w:rsidRPr="00F43F79">
        <w:rPr>
          <w:sz w:val="18"/>
          <w:szCs w:val="18"/>
        </w:rPr>
        <w:t xml:space="preserve"> 2005) &lt;http://cookislands.bishopmuseum.org/showarticle.asp</w:t>
      </w:r>
      <w:r w:rsidRPr="00F43F79">
        <w:rPr>
          <w:sz w:val="18"/>
          <w:szCs w:val="18"/>
        </w:rPr>
        <w:br/>
        <w:t xml:space="preserve">?id=21&gt; </w:t>
      </w:r>
      <w:r>
        <w:rPr>
          <w:sz w:val="18"/>
          <w:szCs w:val="18"/>
        </w:rPr>
        <w:t>consulté le</w:t>
      </w:r>
      <w:r w:rsidRPr="00F43F79">
        <w:rPr>
          <w:sz w:val="18"/>
          <w:szCs w:val="18"/>
        </w:rPr>
        <w:t xml:space="preserve"> 28 </w:t>
      </w:r>
      <w:r>
        <w:rPr>
          <w:sz w:val="18"/>
          <w:szCs w:val="18"/>
        </w:rPr>
        <w:t>février</w:t>
      </w:r>
      <w:r w:rsidRPr="00F43F79">
        <w:rPr>
          <w:sz w:val="18"/>
          <w:szCs w:val="18"/>
        </w:rPr>
        <w:t xml:space="preserve"> 2020; </w:t>
      </w:r>
      <w:r>
        <w:rPr>
          <w:sz w:val="18"/>
          <w:szCs w:val="18"/>
        </w:rPr>
        <w:t>Monarch Butterfly</w:t>
      </w:r>
      <w:r w:rsidRPr="00F43F79">
        <w:rPr>
          <w:sz w:val="18"/>
          <w:szCs w:val="18"/>
        </w:rPr>
        <w:t xml:space="preserve"> New Zealand Trust, ‘Monarch Sightings Map’ (</w:t>
      </w:r>
      <w:r>
        <w:rPr>
          <w:sz w:val="18"/>
          <w:szCs w:val="18"/>
        </w:rPr>
        <w:t>non daté</w:t>
      </w:r>
      <w:r w:rsidRPr="00F43F79">
        <w:rPr>
          <w:sz w:val="18"/>
          <w:szCs w:val="18"/>
        </w:rPr>
        <w:t>) &lt;https://www.monarch.org.nz/introduction-to-</w:t>
      </w:r>
      <w:r>
        <w:rPr>
          <w:sz w:val="18"/>
          <w:szCs w:val="18"/>
        </w:rPr>
        <w:t>research</w:t>
      </w:r>
      <w:r w:rsidRPr="00F43F79">
        <w:rPr>
          <w:sz w:val="18"/>
          <w:szCs w:val="18"/>
        </w:rPr>
        <w:t xml:space="preserve">/monarch-sightings-map/&gt; </w:t>
      </w:r>
      <w:r>
        <w:rPr>
          <w:sz w:val="18"/>
          <w:szCs w:val="18"/>
        </w:rPr>
        <w:t>consulté le</w:t>
      </w:r>
      <w:r w:rsidRPr="00F43F79">
        <w:rPr>
          <w:sz w:val="18"/>
          <w:szCs w:val="18"/>
        </w:rPr>
        <w:t xml:space="preserve"> 28 </w:t>
      </w:r>
      <w:r>
        <w:rPr>
          <w:sz w:val="18"/>
          <w:szCs w:val="18"/>
        </w:rPr>
        <w:t>février</w:t>
      </w:r>
      <w:r w:rsidRPr="00F43F79">
        <w:rPr>
          <w:sz w:val="18"/>
          <w:szCs w:val="18"/>
        </w:rPr>
        <w:t xml:space="preserve"> 2020.</w:t>
      </w:r>
      <w:r w:rsidRPr="00F43F79">
        <w:rPr>
          <w:sz w:val="18"/>
          <w:szCs w:val="18"/>
        </w:rPr>
        <w:fldChar w:fldCharType="end"/>
      </w:r>
    </w:p>
  </w:footnote>
  <w:footnote w:id="57">
    <w:p w14:paraId="57662E2A" w14:textId="6394EF1A"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{"citationID":"lIEab0Bz","properties":{"formattedCitation":"Shuai Zhan and others, \\uc0\\u8216{}The Monarch Butterfly Genome Yields Insights into Long-Distance Migration\\uc0\\u8217{} (2011) 147 Cell 1171.","plainCitation":"Shuai Zhan and others, ‘The Monarch Butterfly Genome Yields Insights into Long-Distance Migration’ (2011) 147 Cell 1171.","noteIndex":53},"citationItems":[{"id":636,"uris":["http://zotero.org/users/local/dU5rpCrq/items/INZQMG8Q"],"uri":["http://zotero.org/users/local/dU5rpCrq/items/INZQMG8Q"],"itemData":{"id":636,"type":"article-journal","multi":{"main":{},"_keys":{}},"container-title":"Cell","DOI":"10.1016/j.cell.2011.09.052","ISSN":"0092-8674, 1097-4172","issue":"5","journalAbbreviation":"Cell","language":"English","note":"A host of factors contribute to the amazing migration behavior of the monarch butterfly,\nincluding sensory perception, a time-compensated compass mechanism, and seasonally\nregulated gene expression. The full genome sequence of this organism yields tantalizing\nmolecular insights into the processes that likely underlie migration.\nPMID: 22118469","page":"1171-1185","source":"www.cell.com","title":"The Monarch Butterfly Genome Yields Insights into Long-Distance Migration","volume":"147","author":[{"family":"Zhan","given":"Shuai","multi":{"_key":{}}},{"family":"Merlin","given":"Christine","multi":{"_key":{}}},{"family":"Boore","given":"Jeffrey L.","multi":{"_key":{}}},{"family":"Reppert","given":"Steven M.","multi":{"_key":{}}}],"issued":{"date-parts":[["2011",11,23]]},"seeAlso":[]}}],"schema":"https://github.com/citation-style-language/schema/raw/master/csl-citation.json"} </w:instrText>
      </w:r>
      <w:r w:rsidRPr="00F43F79">
        <w:rPr>
          <w:sz w:val="18"/>
          <w:szCs w:val="18"/>
        </w:rPr>
        <w:fldChar w:fldCharType="separate"/>
      </w:r>
      <w:r w:rsidRPr="00F43F79">
        <w:rPr>
          <w:sz w:val="18"/>
          <w:szCs w:val="18"/>
        </w:rPr>
        <w:t>Shuai Zhan</w:t>
      </w:r>
      <w:r>
        <w:rPr>
          <w:sz w:val="18"/>
          <w:szCs w:val="18"/>
        </w:rPr>
        <w:t xml:space="preserve"> et al.</w:t>
      </w:r>
      <w:r w:rsidRPr="00F43F79">
        <w:rPr>
          <w:sz w:val="18"/>
          <w:szCs w:val="18"/>
        </w:rPr>
        <w:t xml:space="preserve">, ‘The </w:t>
      </w:r>
      <w:r>
        <w:rPr>
          <w:sz w:val="18"/>
          <w:szCs w:val="18"/>
        </w:rPr>
        <w:t xml:space="preserve">Monarch Butterfly </w:t>
      </w:r>
      <w:r w:rsidRPr="00F43F79">
        <w:rPr>
          <w:sz w:val="18"/>
          <w:szCs w:val="18"/>
        </w:rPr>
        <w:t>Genome Yields Insights into Long-Distance Migration’ (2011) 147 Cell 1171.</w:t>
      </w:r>
      <w:r w:rsidRPr="00F43F79">
        <w:rPr>
          <w:sz w:val="18"/>
          <w:szCs w:val="18"/>
        </w:rPr>
        <w:fldChar w:fldCharType="end"/>
      </w:r>
    </w:p>
  </w:footnote>
  <w:footnote w:id="58">
    <w:p w14:paraId="14BB93B9" w14:textId="23F99BCB" w:rsidR="008A77A6" w:rsidRPr="002F510F"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2F510F">
        <w:rPr>
          <w:sz w:val="18"/>
          <w:szCs w:val="18"/>
          <w:lang w:val="fr-FR"/>
        </w:rPr>
        <w:t xml:space="preserve"> Une reche</w:t>
      </w:r>
      <w:r>
        <w:rPr>
          <w:sz w:val="18"/>
          <w:szCs w:val="18"/>
          <w:lang w:val="fr-FR"/>
        </w:rPr>
        <w:t>r</w:t>
      </w:r>
      <w:r w:rsidRPr="002F510F">
        <w:rPr>
          <w:sz w:val="18"/>
          <w:szCs w:val="18"/>
          <w:lang w:val="fr-FR"/>
        </w:rPr>
        <w:t xml:space="preserve">che de </w:t>
      </w:r>
      <w:r>
        <w:rPr>
          <w:sz w:val="18"/>
          <w:szCs w:val="18"/>
          <w:lang w:val="fr-FR"/>
        </w:rPr>
        <w:t>brevets sur le site Internet de l’OMPI a généré</w:t>
      </w:r>
      <w:r w:rsidRPr="002F510F">
        <w:rPr>
          <w:sz w:val="18"/>
          <w:szCs w:val="18"/>
          <w:lang w:val="fr-FR"/>
        </w:rPr>
        <w:t xml:space="preserve"> 221 brevets ou demandes de brevet mentionn</w:t>
      </w:r>
      <w:r>
        <w:rPr>
          <w:sz w:val="18"/>
          <w:szCs w:val="18"/>
          <w:lang w:val="fr-FR"/>
        </w:rPr>
        <w:t xml:space="preserve">ant la lignée cellulaire </w:t>
      </w:r>
      <w:proofErr w:type="spellStart"/>
      <w:r w:rsidRPr="002F510F">
        <w:rPr>
          <w:sz w:val="18"/>
          <w:szCs w:val="18"/>
          <w:lang w:val="fr-FR"/>
        </w:rPr>
        <w:t>D</w:t>
      </w:r>
      <w:r>
        <w:rPr>
          <w:sz w:val="18"/>
          <w:szCs w:val="18"/>
          <w:lang w:val="fr-FR"/>
        </w:rPr>
        <w:t>anaus</w:t>
      </w:r>
      <w:proofErr w:type="spellEnd"/>
      <w:r>
        <w:rPr>
          <w:sz w:val="18"/>
          <w:szCs w:val="18"/>
          <w:lang w:val="fr-FR"/>
        </w:rPr>
        <w:t xml:space="preserve"> </w:t>
      </w:r>
      <w:proofErr w:type="spellStart"/>
      <w:r>
        <w:rPr>
          <w:sz w:val="18"/>
          <w:szCs w:val="18"/>
          <w:lang w:val="fr-FR"/>
        </w:rPr>
        <w:t>plexippus</w:t>
      </w:r>
      <w:proofErr w:type="spellEnd"/>
      <w:r>
        <w:rPr>
          <w:sz w:val="18"/>
          <w:szCs w:val="18"/>
          <w:lang w:val="fr-FR"/>
        </w:rPr>
        <w:t xml:space="preserve"> (DpN1),</w:t>
      </w:r>
      <w:r w:rsidRPr="002F510F">
        <w:rPr>
          <w:sz w:val="18"/>
          <w:szCs w:val="18"/>
          <w:lang w:val="fr-FR"/>
        </w:rPr>
        <w:t xml:space="preserve"> </w:t>
      </w:r>
      <w:r>
        <w:rPr>
          <w:sz w:val="18"/>
          <w:szCs w:val="18"/>
          <w:lang w:val="fr-FR"/>
        </w:rPr>
        <w:t xml:space="preserve">décrite par </w:t>
      </w:r>
      <w:r w:rsidRPr="00F43F79">
        <w:rPr>
          <w:sz w:val="18"/>
          <w:szCs w:val="18"/>
        </w:rPr>
        <w:fldChar w:fldCharType="begin"/>
      </w:r>
      <w:r w:rsidRPr="002F510F">
        <w:rPr>
          <w:sz w:val="18"/>
          <w:szCs w:val="18"/>
          <w:lang w:val="fr-FR"/>
        </w:rPr>
        <w:instrText xml:space="preserve"> ADDIN ZOTERO_ITEM CSL_CITATION {"citationID":"ZYLxMjK5","properties":{"formattedCitation":"Laura A Palomares and others, \\uc0\\u8216{}Novel Insect Cell Line Capable of Complex N-Glycosylation and Sialylation of Recombinant Proteins\\uc0\\u8217{} (2003) 19 Biotechnology Progress 185.","plainCitation":"Laura A Palomares and others, ‘Novel Insect Cell Line Capable of Complex N-Glycosylation and Sialylation of Recombinant Proteins’ (2003) 19 Biotechnology Progress 185.","noteIndex":54},"citationItems":[{"id":640,"uris":["http://zotero.org/users/local/dU5rpCrq/items/VDQYNI6M"],"uri":["http://zotero.org/users/local/dU5rpCrq/items/VDQYNI6M"],"itemData":{"id":640,"type":"article-journal","multi":{"main":{},"_keys":{}},"abstract":"Paucimannose or oligomannose structures are usually attached to glycoproteins produced by insect cells, while mammalian glycoproteins usually have complex glycans. The lack of complex glycosylation has limited the use of the insect cell baculovirus expression vector system (BEVS), despite its high productivity and versatility. The availability of cell lines capable of complex glycosylation can overcome such a problem and potentially increase the utility of BEVS. In this work the capability of two novel cell lines, one from Pseudaletia unipuncta (A7S) and one from Danaus plexippus (DpN1), to produce and glycosylate a recombinant protein (secreted human placental alkaline phosphatase, SeAP) was assessed. SeAP produced by Tn5B1–4 cells at a low passage number (&lt;200) was utilized for comparison. The optimal conditions for the production of SeAP by DpN1 cells were defined, and the glycosylation profiles of SeAP produced by the cell lines were quantitatively determined. Both the A7S and the DpN1 cells produced lower concentrations of SeAP than the Tn5B1–4 cells. Less than 5% of the glycans attached to SeAP produced by the Tn5B1–4 cells had complex f</w:instrText>
      </w:r>
      <w:r w:rsidRPr="008A77A6">
        <w:rPr>
          <w:sz w:val="18"/>
          <w:szCs w:val="18"/>
        </w:rPr>
        <w:instrText>orms. Glycans attached to SeAP from A7S cells contained 4% hybrid and 8% complex forms. Galactosylated biantennary structures were identified. Glycans attached to SeAP produced by the DpN1 cell line had 6% hybrid and 26% complex forms. Of the complex forms in SeAP from DpN1, 13% were identified as sialylated glycans. The galactosyltransferase activity of the three cell lines was measured and correlated to their ability to produce complex forms. Even though neither novel cell line produced as much recombinant protein as the Tn5B1–4 cells, the glycosylation of SeAP expressed by both cell lines was more complete. These novel cell lines represent interesting alternatives for the production of complex glycosylated proteins utilizing the BEVS.","container-title":"Biotechnology Progress","DOI":"10.1021/bp025598o","ISSN":"1520-6033","issue":"1","language":"en","page":"185-192","source":"Wiley Online Library","title":"Novel Inse</w:instrText>
      </w:r>
      <w:r w:rsidRPr="007D7761">
        <w:rPr>
          <w:sz w:val="18"/>
          <w:szCs w:val="18"/>
          <w:lang w:val="en-AU"/>
        </w:rPr>
        <w:instrText>ct C</w:instrText>
      </w:r>
      <w:r w:rsidRPr="00A55D17">
        <w:rPr>
          <w:sz w:val="18"/>
          <w:szCs w:val="18"/>
          <w:lang w:val="en-AU"/>
        </w:rPr>
        <w:instrText>el</w:instrText>
      </w:r>
      <w:r w:rsidRPr="002F510F">
        <w:rPr>
          <w:sz w:val="18"/>
          <w:szCs w:val="18"/>
          <w:lang w:val="en-AU"/>
        </w:rPr>
        <w:instrText xml:space="preserve">l Line Capable of Complex N-Glycosylation and Sialylation of Recombinant Proteins","volume":"19","author":[{"family":"Palomares","given":"Laura A.","multi":{"_key":{}}},{"family":"Joosten","given":"Christoph E.","multi":{"_key":{}}},{"family":"Hughes","given":"Patrick R.","multi":{"_key":{}}},{"family":"Granados","given":"Robert R.","multi":{"_key":{}}},{"family":"Shuler","given":"Michael L.","multi":{"_key":{}}}],"issued":{"date-parts":[["2003"]]},"seeAlso":[]}}],"schema":"https://github.com/citation-style-language/schema/raw/master/csl-citation.json"} </w:instrText>
      </w:r>
      <w:r w:rsidRPr="00F43F79">
        <w:rPr>
          <w:sz w:val="18"/>
          <w:szCs w:val="18"/>
        </w:rPr>
        <w:fldChar w:fldCharType="separate"/>
      </w:r>
      <w:r w:rsidRPr="002F510F">
        <w:rPr>
          <w:sz w:val="18"/>
          <w:szCs w:val="18"/>
          <w:lang w:val="en-AU"/>
        </w:rPr>
        <w:t xml:space="preserve">Laura A </w:t>
      </w:r>
      <w:proofErr w:type="spellStart"/>
      <w:r w:rsidRPr="002F510F">
        <w:rPr>
          <w:sz w:val="18"/>
          <w:szCs w:val="18"/>
          <w:lang w:val="en-AU"/>
        </w:rPr>
        <w:t>Palomares</w:t>
      </w:r>
      <w:proofErr w:type="spellEnd"/>
      <w:r w:rsidRPr="002F510F">
        <w:rPr>
          <w:sz w:val="18"/>
          <w:szCs w:val="18"/>
          <w:lang w:val="en-AU"/>
        </w:rPr>
        <w:t xml:space="preserve"> et al., ‘Novel Insect Cell Line Capable of Complex N-Glycosylation and Sialylation of Recombinant Proteins’ (2003) 19 Biotechnology Progress 185.</w:t>
      </w:r>
      <w:r w:rsidRPr="00F43F79">
        <w:rPr>
          <w:sz w:val="18"/>
          <w:szCs w:val="18"/>
        </w:rPr>
        <w:fldChar w:fldCharType="end"/>
      </w:r>
    </w:p>
  </w:footnote>
  <w:footnote w:id="59">
    <w:p w14:paraId="390BCA87" w14:textId="5A0F6AB9"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Pr>
          <w:sz w:val="18"/>
          <w:szCs w:val="18"/>
        </w:rPr>
        <w:t>Voir par exemple</w:t>
      </w:r>
      <w:r w:rsidRPr="00F43F79">
        <w:rPr>
          <w:sz w:val="18"/>
          <w:szCs w:val="18"/>
        </w:rPr>
        <w:t xml:space="preserve"> </w:t>
      </w:r>
      <w:r>
        <w:rPr>
          <w:sz w:val="18"/>
          <w:szCs w:val="18"/>
        </w:rPr>
        <w:t>la Demande de brevet international</w:t>
      </w:r>
      <w:r w:rsidRPr="00F43F79">
        <w:rPr>
          <w:sz w:val="18"/>
          <w:szCs w:val="18"/>
        </w:rPr>
        <w:t xml:space="preserve"> (PCT) No WO2015017721A1</w:t>
      </w:r>
      <w:r w:rsidRPr="00F43F79">
        <w:rPr>
          <w:i/>
          <w:iCs/>
          <w:sz w:val="18"/>
          <w:szCs w:val="18"/>
        </w:rPr>
        <w:t>Preparation of 3-Hydroxypropionic Acid in Recombinant Yeast Expressing an Insect Aspartate-1 Decarboxylase</w:t>
      </w:r>
      <w:r w:rsidRPr="00F43F79">
        <w:rPr>
          <w:sz w:val="18"/>
          <w:szCs w:val="18"/>
        </w:rPr>
        <w:t xml:space="preserve">; </w:t>
      </w:r>
      <w:r>
        <w:rPr>
          <w:sz w:val="18"/>
          <w:szCs w:val="18"/>
        </w:rPr>
        <w:t>le Brevet américain</w:t>
      </w:r>
      <w:r w:rsidRPr="00F43F79">
        <w:rPr>
          <w:sz w:val="18"/>
          <w:szCs w:val="18"/>
        </w:rPr>
        <w:t xml:space="preserve"> US10435516B2</w:t>
      </w:r>
      <w:r>
        <w:rPr>
          <w:sz w:val="18"/>
          <w:szCs w:val="18"/>
        </w:rPr>
        <w:t xml:space="preserve"> </w:t>
      </w:r>
      <w:r w:rsidRPr="00F43F79">
        <w:rPr>
          <w:i/>
          <w:iCs/>
          <w:sz w:val="18"/>
          <w:szCs w:val="18"/>
        </w:rPr>
        <w:t>Methods</w:t>
      </w:r>
      <w:r>
        <w:rPr>
          <w:i/>
          <w:iCs/>
          <w:sz w:val="18"/>
          <w:szCs w:val="18"/>
        </w:rPr>
        <w:t xml:space="preserve"> and </w:t>
      </w:r>
      <w:r w:rsidRPr="00F43F79">
        <w:rPr>
          <w:i/>
          <w:iCs/>
          <w:sz w:val="18"/>
          <w:szCs w:val="18"/>
        </w:rPr>
        <w:t>compositions for synthesizing improved silk fibers</w:t>
      </w:r>
      <w:r w:rsidRPr="00F43F79">
        <w:rPr>
          <w:sz w:val="18"/>
          <w:szCs w:val="18"/>
        </w:rPr>
        <w:t xml:space="preserve">; </w:t>
      </w:r>
      <w:r>
        <w:rPr>
          <w:sz w:val="18"/>
          <w:szCs w:val="18"/>
        </w:rPr>
        <w:t>ou la Demande de brevet américain</w:t>
      </w:r>
      <w:r w:rsidRPr="00F43F79">
        <w:rPr>
          <w:sz w:val="18"/>
          <w:szCs w:val="18"/>
        </w:rPr>
        <w:t xml:space="preserve"> No US20190350960A1</w:t>
      </w:r>
      <w:r w:rsidRPr="00F43F79">
        <w:rPr>
          <w:i/>
          <w:iCs/>
          <w:sz w:val="18"/>
          <w:szCs w:val="18"/>
        </w:rPr>
        <w:t>Modulating nudix homology domain (nhd)</w:t>
      </w:r>
      <w:r>
        <w:rPr>
          <w:i/>
          <w:iCs/>
          <w:sz w:val="18"/>
          <w:szCs w:val="18"/>
        </w:rPr>
        <w:t xml:space="preserve"> with </w:t>
      </w:r>
      <w:r w:rsidRPr="00F43F79">
        <w:rPr>
          <w:i/>
          <w:iCs/>
          <w:sz w:val="18"/>
          <w:szCs w:val="18"/>
        </w:rPr>
        <w:t>nicotinamide mononucleotide analogs</w:t>
      </w:r>
      <w:r>
        <w:rPr>
          <w:i/>
          <w:iCs/>
          <w:sz w:val="18"/>
          <w:szCs w:val="18"/>
        </w:rPr>
        <w:t xml:space="preserve"> and </w:t>
      </w:r>
      <w:r w:rsidRPr="00F43F79">
        <w:rPr>
          <w:i/>
          <w:iCs/>
          <w:sz w:val="18"/>
          <w:szCs w:val="18"/>
        </w:rPr>
        <w:t>derivatives of same</w:t>
      </w:r>
      <w:r w:rsidRPr="00F43F79">
        <w:rPr>
          <w:sz w:val="18"/>
          <w:szCs w:val="18"/>
        </w:rPr>
        <w:t>.</w:t>
      </w:r>
    </w:p>
  </w:footnote>
  <w:footnote w:id="60">
    <w:p w14:paraId="0C8263F4" w14:textId="78F360B4" w:rsidR="008A77A6" w:rsidRPr="00F43F79" w:rsidRDefault="008A77A6" w:rsidP="00F43F79">
      <w:pPr>
        <w:pStyle w:val="FootnoteText"/>
        <w:spacing w:before="20" w:after="20"/>
        <w:ind w:left="284" w:hanging="288"/>
        <w:rPr>
          <w:sz w:val="18"/>
          <w:szCs w:val="18"/>
          <w:lang w:val="es-PE"/>
        </w:rPr>
      </w:pPr>
      <w:r w:rsidRPr="00F43F79">
        <w:rPr>
          <w:rStyle w:val="FootnoteReference"/>
          <w:sz w:val="18"/>
          <w:szCs w:val="18"/>
        </w:rPr>
        <w:footnoteRef/>
      </w:r>
      <w:r w:rsidRPr="00F43F79">
        <w:rPr>
          <w:sz w:val="18"/>
          <w:szCs w:val="18"/>
          <w:lang w:val="es-PE"/>
        </w:rPr>
        <w:t xml:space="preserve"> </w:t>
      </w:r>
      <w:r>
        <w:rPr>
          <w:sz w:val="18"/>
          <w:szCs w:val="18"/>
          <w:lang w:val="es-PE"/>
        </w:rPr>
        <w:t>Demande de brevet brésilien</w:t>
      </w:r>
      <w:r w:rsidRPr="00F43F79">
        <w:rPr>
          <w:sz w:val="18"/>
          <w:szCs w:val="18"/>
          <w:lang w:val="es-PE"/>
        </w:rPr>
        <w:t xml:space="preserve"> No BR102018005066A2</w:t>
      </w:r>
      <w:r>
        <w:rPr>
          <w:sz w:val="18"/>
          <w:szCs w:val="18"/>
          <w:lang w:val="es-PE"/>
        </w:rPr>
        <w:t xml:space="preserve"> </w:t>
      </w:r>
      <w:r w:rsidRPr="00F43F79">
        <w:rPr>
          <w:i/>
          <w:sz w:val="18"/>
          <w:szCs w:val="18"/>
          <w:lang w:val="es-PE"/>
        </w:rPr>
        <w:t>Uso de proteases intestinais de lagartas de danaus plexippus para a hidrólise das proteínas do leite e produção de fórmulas hipoalergênicas</w:t>
      </w:r>
      <w:r w:rsidRPr="00F43F79">
        <w:rPr>
          <w:sz w:val="18"/>
          <w:szCs w:val="18"/>
          <w:lang w:val="es-PE"/>
        </w:rPr>
        <w:t>.</w:t>
      </w:r>
    </w:p>
  </w:footnote>
  <w:footnote w:id="61">
    <w:p w14:paraId="6C3AD1DD" w14:textId="2EEB5D26"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Pr>
          <w:sz w:val="18"/>
          <w:szCs w:val="18"/>
        </w:rPr>
        <w:t>Demande de brevet international</w:t>
      </w:r>
      <w:r w:rsidRPr="00F43F79">
        <w:rPr>
          <w:sz w:val="18"/>
          <w:szCs w:val="18"/>
        </w:rPr>
        <w:t xml:space="preserve"> (PCT) No WO2014076016A1</w:t>
      </w:r>
      <w:r>
        <w:rPr>
          <w:sz w:val="18"/>
          <w:szCs w:val="18"/>
        </w:rPr>
        <w:t xml:space="preserve"> </w:t>
      </w:r>
      <w:r w:rsidRPr="00F43F79">
        <w:rPr>
          <w:i/>
          <w:iCs/>
          <w:sz w:val="18"/>
          <w:szCs w:val="18"/>
        </w:rPr>
        <w:t xml:space="preserve">Methods for the enzymatic </w:t>
      </w:r>
      <w:r>
        <w:rPr>
          <w:i/>
          <w:iCs/>
          <w:sz w:val="18"/>
          <w:szCs w:val="18"/>
        </w:rPr>
        <w:t>production</w:t>
      </w:r>
      <w:r w:rsidRPr="00F43F79">
        <w:rPr>
          <w:i/>
          <w:iCs/>
          <w:sz w:val="18"/>
          <w:szCs w:val="18"/>
        </w:rPr>
        <w:t xml:space="preserve"> of isoprene from isoprenol</w:t>
      </w:r>
      <w:r w:rsidRPr="00F43F79">
        <w:rPr>
          <w:sz w:val="18"/>
          <w:szCs w:val="18"/>
        </w:rPr>
        <w:t xml:space="preserve">; </w:t>
      </w:r>
      <w:r>
        <w:rPr>
          <w:sz w:val="18"/>
          <w:szCs w:val="18"/>
        </w:rPr>
        <w:t>Demande de brevet international (PCT)</w:t>
      </w:r>
      <w:r w:rsidRPr="00F43F79">
        <w:rPr>
          <w:sz w:val="18"/>
          <w:szCs w:val="18"/>
        </w:rPr>
        <w:t xml:space="preserve"> No WO2018213554A1</w:t>
      </w:r>
      <w:r>
        <w:rPr>
          <w:sz w:val="18"/>
          <w:szCs w:val="18"/>
        </w:rPr>
        <w:t xml:space="preserve"> </w:t>
      </w:r>
      <w:r w:rsidRPr="00F43F79">
        <w:rPr>
          <w:i/>
          <w:iCs/>
          <w:sz w:val="18"/>
          <w:szCs w:val="18"/>
        </w:rPr>
        <w:t>Micro</w:t>
      </w:r>
      <w:r>
        <w:rPr>
          <w:i/>
          <w:iCs/>
          <w:sz w:val="18"/>
          <w:szCs w:val="18"/>
        </w:rPr>
        <w:t>organisms</w:t>
      </w:r>
      <w:r w:rsidRPr="00F43F79">
        <w:rPr>
          <w:i/>
          <w:iCs/>
          <w:sz w:val="18"/>
          <w:szCs w:val="18"/>
        </w:rPr>
        <w:t xml:space="preserve"> for the </w:t>
      </w:r>
      <w:r>
        <w:rPr>
          <w:i/>
          <w:iCs/>
          <w:sz w:val="18"/>
          <w:szCs w:val="18"/>
        </w:rPr>
        <w:t>production</w:t>
      </w:r>
      <w:r w:rsidRPr="00F43F79">
        <w:rPr>
          <w:i/>
          <w:iCs/>
          <w:sz w:val="18"/>
          <w:szCs w:val="18"/>
        </w:rPr>
        <w:t xml:space="preserve"> of insect pheromones</w:t>
      </w:r>
      <w:r>
        <w:rPr>
          <w:i/>
          <w:iCs/>
          <w:sz w:val="18"/>
          <w:szCs w:val="18"/>
        </w:rPr>
        <w:t xml:space="preserve"> and </w:t>
      </w:r>
      <w:r w:rsidRPr="00F43F79">
        <w:rPr>
          <w:i/>
          <w:iCs/>
          <w:sz w:val="18"/>
          <w:szCs w:val="18"/>
        </w:rPr>
        <w:t>related compounds</w:t>
      </w:r>
      <w:r w:rsidRPr="00F43F79">
        <w:rPr>
          <w:sz w:val="18"/>
          <w:szCs w:val="18"/>
        </w:rPr>
        <w:t>.</w:t>
      </w:r>
    </w:p>
  </w:footnote>
  <w:footnote w:id="62">
    <w:p w14:paraId="75AADC46" w14:textId="2E1319F6" w:rsidR="008A77A6" w:rsidRPr="002D5480"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2D5480">
        <w:rPr>
          <w:sz w:val="18"/>
          <w:szCs w:val="18"/>
          <w:lang w:val="fr-FR"/>
        </w:rPr>
        <w:t xml:space="preserve"> </w:t>
      </w:r>
      <w:r w:rsidRPr="00F43F79">
        <w:rPr>
          <w:sz w:val="18"/>
          <w:szCs w:val="18"/>
        </w:rPr>
        <w:fldChar w:fldCharType="begin"/>
      </w:r>
      <w:r w:rsidRPr="002D5480">
        <w:rPr>
          <w:sz w:val="18"/>
          <w:szCs w:val="18"/>
          <w:lang w:val="fr-FR"/>
        </w:rPr>
        <w:instrText xml:space="preserve"> ADDIN ZOTERO_ITEM CSL_CITATION {"citationID":"Gg57I8pe","properties":{"formattedCitation":"UNESCO, \\uc0\\u8216{}Monarch Butterfly Biosphere Reserve\\uc0\\u8217{} ({\\i{}World Heritage List}, no date) &lt;https://whc.unesco.org/en/list/1290/&gt; accessed 28 February 2020.","plainCitation":"UNESCO, ‘Monarch Butterfly Biosphere Reserve’ (World Heritage List, no date) &lt;https://whc.unesco.org/en/list/1290/&gt; accessed 28 February 2020.","dontUpdate":true,"noteIndex":58},"citationItems":[{"id":642,"uris":["http://zotero.org/users/local/dU5rpCrq/items/2HM4J68K"],"uri":["http://zotero.org/users/local/dU5rpCrq/items/2HM4J68K"],"itemData":{"id":642,"type":"webpage","multi":{"main":{},"_keys":{}},"container-title":"World Heritage List","title":"Monarch Butterfly Biosphere Reserve","URL":"https://whc.unesco.org/en/list/1290/","author":[{"family":"UNESCO","given":"","literal":"UNESCO","multi":{"_key":{}}}],"accessed":{"date-parts":[["2020",2,28]]},"seeAlso":[]}}],"schema":"https://github.com/citation-style-language/schema/raw/master/csl-citation.json"} </w:instrText>
      </w:r>
      <w:r w:rsidRPr="00F43F79">
        <w:rPr>
          <w:sz w:val="18"/>
          <w:szCs w:val="18"/>
        </w:rPr>
        <w:fldChar w:fldCharType="separate"/>
      </w:r>
      <w:r>
        <w:rPr>
          <w:sz w:val="18"/>
          <w:szCs w:val="18"/>
          <w:lang w:val="fr-FR"/>
        </w:rPr>
        <w:t>UNESCO, ‘Ré</w:t>
      </w:r>
      <w:r w:rsidRPr="002D5480">
        <w:rPr>
          <w:sz w:val="18"/>
          <w:szCs w:val="18"/>
          <w:lang w:val="fr-FR"/>
        </w:rPr>
        <w:t>serve</w:t>
      </w:r>
      <w:r>
        <w:rPr>
          <w:sz w:val="18"/>
          <w:szCs w:val="18"/>
          <w:lang w:val="fr-FR"/>
        </w:rPr>
        <w:t xml:space="preserve"> de la biosphère du Papillon monarque</w:t>
      </w:r>
      <w:r w:rsidRPr="002D5480">
        <w:rPr>
          <w:sz w:val="18"/>
          <w:szCs w:val="18"/>
          <w:lang w:val="fr-FR"/>
        </w:rPr>
        <w:t>’ (</w:t>
      </w:r>
      <w:r w:rsidRPr="002D5480">
        <w:rPr>
          <w:i/>
          <w:iCs/>
          <w:sz w:val="18"/>
          <w:szCs w:val="18"/>
          <w:lang w:val="fr-FR"/>
        </w:rPr>
        <w:t>List</w:t>
      </w:r>
      <w:r>
        <w:rPr>
          <w:i/>
          <w:iCs/>
          <w:sz w:val="18"/>
          <w:szCs w:val="18"/>
          <w:lang w:val="fr-FR"/>
        </w:rPr>
        <w:t>e du patrimoine mondial</w:t>
      </w:r>
      <w:r w:rsidRPr="002D5480">
        <w:rPr>
          <w:sz w:val="18"/>
          <w:szCs w:val="18"/>
          <w:lang w:val="fr-FR"/>
        </w:rPr>
        <w:t xml:space="preserve">, </w:t>
      </w:r>
      <w:r>
        <w:rPr>
          <w:sz w:val="18"/>
          <w:szCs w:val="18"/>
          <w:lang w:val="fr-FR"/>
        </w:rPr>
        <w:t>non daté</w:t>
      </w:r>
      <w:r w:rsidRPr="002D5480">
        <w:rPr>
          <w:sz w:val="18"/>
          <w:szCs w:val="18"/>
          <w:lang w:val="fr-FR"/>
        </w:rPr>
        <w:t>) &lt;https://whc.unesc</w:t>
      </w:r>
      <w:r>
        <w:rPr>
          <w:sz w:val="18"/>
          <w:szCs w:val="18"/>
          <w:lang w:val="fr-FR"/>
        </w:rPr>
        <w:t>o.org/en/list/</w:t>
      </w:r>
      <w:r w:rsidRPr="002D5480">
        <w:rPr>
          <w:sz w:val="18"/>
          <w:szCs w:val="18"/>
          <w:lang w:val="fr-FR"/>
        </w:rPr>
        <w:t>1290/&gt; consulté le 28 février 2020.</w:t>
      </w:r>
      <w:r w:rsidRPr="00F43F79">
        <w:rPr>
          <w:sz w:val="18"/>
          <w:szCs w:val="18"/>
        </w:rPr>
        <w:fldChar w:fldCharType="end"/>
      </w:r>
    </w:p>
  </w:footnote>
  <w:footnote w:id="63">
    <w:p w14:paraId="50C21C73" w14:textId="4299318F" w:rsidR="008A77A6" w:rsidRPr="0002675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02675E">
        <w:rPr>
          <w:sz w:val="18"/>
          <w:szCs w:val="18"/>
          <w:lang w:val="fr-FR"/>
        </w:rPr>
        <w:t xml:space="preserve"> </w:t>
      </w:r>
      <w:r w:rsidRPr="00F43F79">
        <w:rPr>
          <w:sz w:val="18"/>
          <w:szCs w:val="18"/>
        </w:rPr>
        <w:fldChar w:fldCharType="begin"/>
      </w:r>
      <w:r w:rsidRPr="0002675E">
        <w:rPr>
          <w:sz w:val="18"/>
          <w:szCs w:val="18"/>
          <w:lang w:val="fr-FR"/>
        </w:rPr>
        <w:instrText xml:space="preserve"> ADDIN ZOTERO_ITEM CSL_CITATION {"citationID":"86Mw6XUm","properties":{"formattedCitation":"ibid.","plainCitation":"ibid.","noteIndex":59},"citationItems":[{"id":642,"uris":["http://zotero.org/users/local/dU5rpCrq/items/2HM4J68K"],"uri":["http://zotero.org/users/local/dU5rpCrq/items/2HM4J68K"],"itemData":{"id":642,"type":"webpage","multi":{"main":{},"_keys":{}},"container-title":"World Heritage List","title":"Monarch Butterfly Biosphere Reserve","URL":"https://whc.unesco.org/en/list/1290/","author":[{"family":"UNESCO","given":"","literal":"UNESCO","multi":{"_key":{}}}],"accessed":{"date-parts":[["2020",2,28]]},"seeAlso":[]}}],"schema":"https://github.com/citation-style-language/schema/raw/master/csl-citation.json"} </w:instrText>
      </w:r>
      <w:r w:rsidRPr="00F43F79">
        <w:rPr>
          <w:sz w:val="18"/>
          <w:szCs w:val="18"/>
        </w:rPr>
        <w:fldChar w:fldCharType="separate"/>
      </w:r>
      <w:r w:rsidRPr="0002675E">
        <w:rPr>
          <w:sz w:val="18"/>
          <w:szCs w:val="18"/>
          <w:lang w:val="fr-FR"/>
        </w:rPr>
        <w:t>Ibid.</w:t>
      </w:r>
      <w:r w:rsidRPr="00F43F79">
        <w:rPr>
          <w:sz w:val="18"/>
          <w:szCs w:val="18"/>
        </w:rPr>
        <w:fldChar w:fldCharType="end"/>
      </w:r>
    </w:p>
  </w:footnote>
  <w:footnote w:id="64">
    <w:p w14:paraId="6A795DC3" w14:textId="6F575000" w:rsidR="008A77A6" w:rsidRPr="008266FD"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8266FD">
        <w:rPr>
          <w:sz w:val="18"/>
          <w:szCs w:val="18"/>
          <w:lang w:val="fr-FR"/>
        </w:rPr>
        <w:t xml:space="preserve"> Accord sur la conservation </w:t>
      </w:r>
      <w:r>
        <w:rPr>
          <w:sz w:val="18"/>
          <w:szCs w:val="18"/>
          <w:lang w:val="fr-FR"/>
        </w:rPr>
        <w:t>des oiseaux</w:t>
      </w:r>
      <w:r w:rsidRPr="008266FD">
        <w:rPr>
          <w:sz w:val="18"/>
          <w:szCs w:val="18"/>
          <w:lang w:val="fr-FR"/>
        </w:rPr>
        <w:t xml:space="preserve"> d’eau migrateurs d’Afrique</w:t>
      </w:r>
      <w:r>
        <w:rPr>
          <w:sz w:val="18"/>
          <w:szCs w:val="18"/>
          <w:lang w:val="fr-FR"/>
        </w:rPr>
        <w:t>-Eurasie</w:t>
      </w:r>
      <w:r w:rsidRPr="008266FD">
        <w:rPr>
          <w:sz w:val="18"/>
          <w:szCs w:val="18"/>
          <w:lang w:val="fr-FR"/>
        </w:rPr>
        <w:t xml:space="preserve"> (adopté</w:t>
      </w:r>
      <w:r>
        <w:rPr>
          <w:sz w:val="18"/>
          <w:szCs w:val="18"/>
          <w:lang w:val="fr-FR"/>
        </w:rPr>
        <w:t xml:space="preserve"> le 15 août 1996 et</w:t>
      </w:r>
      <w:r w:rsidRPr="008266FD">
        <w:rPr>
          <w:sz w:val="18"/>
          <w:szCs w:val="18"/>
          <w:lang w:val="fr-FR"/>
        </w:rPr>
        <w:t xml:space="preserve"> </w:t>
      </w:r>
      <w:r>
        <w:rPr>
          <w:sz w:val="18"/>
          <w:szCs w:val="18"/>
          <w:lang w:val="fr-FR"/>
        </w:rPr>
        <w:t>entré en vigueur</w:t>
      </w:r>
      <w:r w:rsidRPr="008266FD">
        <w:rPr>
          <w:sz w:val="18"/>
          <w:szCs w:val="18"/>
          <w:lang w:val="fr-FR"/>
        </w:rPr>
        <w:t xml:space="preserve"> </w:t>
      </w:r>
      <w:r>
        <w:rPr>
          <w:sz w:val="18"/>
          <w:szCs w:val="18"/>
          <w:lang w:val="fr-FR"/>
        </w:rPr>
        <w:t xml:space="preserve">le </w:t>
      </w:r>
      <w:r w:rsidRPr="008266FD">
        <w:rPr>
          <w:sz w:val="18"/>
          <w:szCs w:val="18"/>
          <w:lang w:val="fr-FR"/>
        </w:rPr>
        <w:t>1</w:t>
      </w:r>
      <w:r w:rsidRPr="008266FD">
        <w:rPr>
          <w:sz w:val="18"/>
          <w:szCs w:val="18"/>
          <w:vertAlign w:val="superscript"/>
          <w:lang w:val="fr-FR"/>
        </w:rPr>
        <w:t>er</w:t>
      </w:r>
      <w:r>
        <w:rPr>
          <w:sz w:val="18"/>
          <w:szCs w:val="18"/>
          <w:lang w:val="fr-FR"/>
        </w:rPr>
        <w:t> novembre</w:t>
      </w:r>
      <w:r w:rsidRPr="008266FD">
        <w:rPr>
          <w:sz w:val="18"/>
          <w:szCs w:val="18"/>
          <w:lang w:val="fr-FR"/>
        </w:rPr>
        <w:t xml:space="preserve"> 1999) 2365 UNTS 203.</w:t>
      </w:r>
    </w:p>
  </w:footnote>
  <w:footnote w:id="65">
    <w:p w14:paraId="56EBC0C7" w14:textId="713C15DF" w:rsidR="008A77A6" w:rsidRPr="00D05EB8"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D05EB8">
        <w:rPr>
          <w:sz w:val="18"/>
          <w:szCs w:val="18"/>
          <w:lang w:val="fr-FR"/>
        </w:rPr>
        <w:t xml:space="preserve"> </w:t>
      </w:r>
      <w:r w:rsidRPr="00F43F79">
        <w:rPr>
          <w:sz w:val="18"/>
          <w:szCs w:val="18"/>
        </w:rPr>
        <w:fldChar w:fldCharType="begin"/>
      </w:r>
      <w:r w:rsidRPr="00D05EB8">
        <w:rPr>
          <w:sz w:val="18"/>
          <w:szCs w:val="18"/>
          <w:lang w:val="fr-FR"/>
        </w:rPr>
        <w:instrText xml:space="preserve"> ADDIN ZOTERO_ITEM CSL_CITATION {"citationID":"izmlEToq","properties":{"formattedCitation":"AEWA, \\uc0\\u8216{}AEWA\\uc0\\u8217{} (no date) &lt;https://www.unep-aewa.org/en/legalinstrument/aewa&gt; accessed 28 February 2020","plainCitation":"AEWA, ‘AEWA’ (no date) &lt;https://www.unep-aewa.org/en/legalinstrument/aewa&gt; accessed 28 February 2020","noteIndex":61,"suppress-trailing-punctuation":true},"citationItems":[{"id":643,"uris":["http://zotero.org/users/local/dU5rpCrq/items/UUKB3RUB"],"uri":["http://zotero.org/users/local/dU5rpCrq/items/UUKB3RUB"],"itemData":{"id":643,"type":"webpage","multi":{"main":{},"_keys":{}},"title":"AEWA","URL":"https://www.unep-aewa.org/en/legalinstrument/aewa","author":[{"family":"AEWA","given":"","literal":"AEWA","multi":{"_key":{}}}],"accessed":{"date-parts":[["2020",2,28]]},"seeAlso":[]}}],"schema":"https://github.com/citation-style-language/schema/raw/master/csl-citation.json"} </w:instrText>
      </w:r>
      <w:r w:rsidRPr="00F43F79">
        <w:rPr>
          <w:sz w:val="18"/>
          <w:szCs w:val="18"/>
        </w:rPr>
        <w:fldChar w:fldCharType="separate"/>
      </w:r>
      <w:r w:rsidRPr="00D05EB8">
        <w:rPr>
          <w:sz w:val="18"/>
          <w:szCs w:val="18"/>
          <w:lang w:val="fr-FR"/>
        </w:rPr>
        <w:t>AEWA, ‘AEWA’ (</w:t>
      </w:r>
      <w:r>
        <w:rPr>
          <w:sz w:val="18"/>
          <w:szCs w:val="18"/>
          <w:lang w:val="fr-FR"/>
        </w:rPr>
        <w:t>non daté</w:t>
      </w:r>
      <w:r w:rsidRPr="00D05EB8">
        <w:rPr>
          <w:sz w:val="18"/>
          <w:szCs w:val="18"/>
          <w:lang w:val="fr-FR"/>
        </w:rPr>
        <w:t>) &lt;https://www.unep-aewa.org/en/</w:t>
      </w:r>
      <w:r>
        <w:rPr>
          <w:sz w:val="18"/>
          <w:szCs w:val="18"/>
          <w:lang w:val="fr-FR"/>
        </w:rPr>
        <w:t>legal</w:t>
      </w:r>
      <w:r w:rsidRPr="00D05EB8">
        <w:rPr>
          <w:sz w:val="18"/>
          <w:szCs w:val="18"/>
          <w:lang w:val="fr-FR"/>
        </w:rPr>
        <w:t>instrument/aewa&gt; consulté le 28 février 2020</w:t>
      </w:r>
      <w:r w:rsidRPr="00F43F79">
        <w:rPr>
          <w:sz w:val="18"/>
          <w:szCs w:val="18"/>
        </w:rPr>
        <w:fldChar w:fldCharType="end"/>
      </w:r>
      <w:r>
        <w:rPr>
          <w:sz w:val="18"/>
          <w:szCs w:val="18"/>
          <w:lang w:val="fr-FR"/>
        </w:rPr>
        <w:t xml:space="preserve"> et AEWA, ‘Species’ (non daté</w:t>
      </w:r>
      <w:r w:rsidRPr="00D05EB8">
        <w:rPr>
          <w:sz w:val="18"/>
          <w:szCs w:val="18"/>
          <w:lang w:val="fr-FR"/>
        </w:rPr>
        <w:t>) &lt;ht</w:t>
      </w:r>
      <w:r>
        <w:rPr>
          <w:sz w:val="18"/>
          <w:szCs w:val="18"/>
          <w:lang w:val="fr-FR"/>
        </w:rPr>
        <w:t>tps://www.unep-aewa.org/en/speci</w:t>
      </w:r>
      <w:r w:rsidRPr="00D05EB8">
        <w:rPr>
          <w:sz w:val="18"/>
          <w:szCs w:val="18"/>
          <w:lang w:val="fr-FR"/>
        </w:rPr>
        <w:t>es&gt; consulté le 28 février 2020.</w:t>
      </w:r>
    </w:p>
  </w:footnote>
  <w:footnote w:id="66">
    <w:p w14:paraId="5B0D4500" w14:textId="6C01685D" w:rsidR="008A77A6" w:rsidRPr="000A118A"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0A118A">
        <w:rPr>
          <w:sz w:val="18"/>
          <w:szCs w:val="18"/>
          <w:lang w:val="en-AU"/>
        </w:rPr>
        <w:t xml:space="preserve"> Demande de brevet international (PCT) No WO2009004016A1</w:t>
      </w:r>
      <w:r w:rsidRPr="000A118A">
        <w:rPr>
          <w:i/>
          <w:iCs/>
          <w:sz w:val="18"/>
          <w:szCs w:val="18"/>
          <w:lang w:val="en-AU"/>
        </w:rPr>
        <w:t xml:space="preserve"> I</w:t>
      </w:r>
      <w:r>
        <w:rPr>
          <w:i/>
          <w:iCs/>
          <w:sz w:val="18"/>
          <w:szCs w:val="18"/>
          <w:lang w:val="en-AU"/>
        </w:rPr>
        <w:t>mmortalized avian cell lines</w:t>
      </w:r>
      <w:r w:rsidRPr="000A118A">
        <w:rPr>
          <w:sz w:val="18"/>
          <w:szCs w:val="18"/>
          <w:lang w:val="en-AU"/>
        </w:rPr>
        <w:t>.</w:t>
      </w:r>
    </w:p>
  </w:footnote>
  <w:footnote w:id="67">
    <w:p w14:paraId="2ECD408F" w14:textId="492F63E3" w:rsidR="008A77A6" w:rsidRPr="0005750E"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05750E">
        <w:rPr>
          <w:sz w:val="18"/>
          <w:szCs w:val="18"/>
          <w:lang w:val="en-AU"/>
        </w:rPr>
        <w:t xml:space="preserve"> Demande de brevet international (PCT) No WO2007077256A1</w:t>
      </w:r>
      <w:r w:rsidRPr="0005750E">
        <w:rPr>
          <w:i/>
          <w:iCs/>
          <w:sz w:val="18"/>
          <w:szCs w:val="18"/>
          <w:lang w:val="en-AU"/>
        </w:rPr>
        <w:t xml:space="preserve"> Avian telomerase reverse transcriptase</w:t>
      </w:r>
      <w:r w:rsidRPr="0005750E">
        <w:rPr>
          <w:sz w:val="18"/>
          <w:szCs w:val="18"/>
          <w:lang w:val="en-AU"/>
        </w:rPr>
        <w:t>.</w:t>
      </w:r>
    </w:p>
  </w:footnote>
  <w:footnote w:id="68">
    <w:p w14:paraId="7240B5EB" w14:textId="62D3D12B" w:rsidR="008A77A6" w:rsidRPr="000A118A"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0A118A">
        <w:rPr>
          <w:sz w:val="18"/>
          <w:szCs w:val="18"/>
          <w:lang w:val="en-AU"/>
        </w:rPr>
        <w:t xml:space="preserve"> Demande de brevet international (PCT) No WO2009004016A1</w:t>
      </w:r>
      <w:r>
        <w:rPr>
          <w:sz w:val="18"/>
          <w:szCs w:val="18"/>
          <w:lang w:val="en-AU"/>
        </w:rPr>
        <w:t xml:space="preserve"> </w:t>
      </w:r>
      <w:r>
        <w:rPr>
          <w:i/>
          <w:iCs/>
          <w:sz w:val="18"/>
          <w:szCs w:val="18"/>
          <w:lang w:val="en-AU"/>
        </w:rPr>
        <w:t xml:space="preserve">dsRNA </w:t>
      </w:r>
      <w:r w:rsidRPr="000A118A">
        <w:rPr>
          <w:i/>
          <w:iCs/>
          <w:sz w:val="18"/>
          <w:szCs w:val="18"/>
          <w:lang w:val="en-AU"/>
        </w:rPr>
        <w:t>induced specific and non-specific immunity in crustaceans and other</w:t>
      </w:r>
      <w:r>
        <w:rPr>
          <w:i/>
          <w:iCs/>
          <w:sz w:val="18"/>
          <w:szCs w:val="18"/>
          <w:lang w:val="en-AU"/>
        </w:rPr>
        <w:t xml:space="preserve"> invertebrates and </w:t>
      </w:r>
      <w:r w:rsidRPr="000A118A">
        <w:rPr>
          <w:i/>
          <w:iCs/>
          <w:sz w:val="18"/>
          <w:szCs w:val="18"/>
          <w:lang w:val="en-AU"/>
        </w:rPr>
        <w:t>biodel</w:t>
      </w:r>
      <w:r>
        <w:rPr>
          <w:i/>
          <w:iCs/>
          <w:sz w:val="18"/>
          <w:szCs w:val="18"/>
          <w:lang w:val="en-AU"/>
        </w:rPr>
        <w:t xml:space="preserve">ivery vehicles for use </w:t>
      </w:r>
      <w:r w:rsidRPr="000A118A">
        <w:rPr>
          <w:i/>
          <w:iCs/>
          <w:sz w:val="18"/>
          <w:szCs w:val="18"/>
          <w:lang w:val="en-AU"/>
        </w:rPr>
        <w:t>therein</w:t>
      </w:r>
      <w:r w:rsidRPr="000A118A">
        <w:rPr>
          <w:sz w:val="18"/>
          <w:szCs w:val="18"/>
          <w:lang w:val="en-AU"/>
        </w:rPr>
        <w:t>.</w:t>
      </w:r>
    </w:p>
  </w:footnote>
  <w:footnote w:id="69">
    <w:p w14:paraId="305B9156" w14:textId="5454F95B"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Pr>
          <w:sz w:val="18"/>
          <w:szCs w:val="18"/>
        </w:rPr>
        <w:t>Demande de brevet international</w:t>
      </w:r>
      <w:r w:rsidRPr="00F43F79">
        <w:rPr>
          <w:sz w:val="18"/>
          <w:szCs w:val="18"/>
        </w:rPr>
        <w:t xml:space="preserve"> (PCT) No WO2001047545A1</w:t>
      </w:r>
      <w:r w:rsidRPr="000A118A">
        <w:rPr>
          <w:i/>
          <w:iCs/>
          <w:sz w:val="18"/>
          <w:szCs w:val="18"/>
        </w:rPr>
        <w:t xml:space="preserve"> </w:t>
      </w:r>
      <w:r w:rsidRPr="00F43F79">
        <w:rPr>
          <w:i/>
          <w:iCs/>
          <w:sz w:val="18"/>
          <w:szCs w:val="18"/>
        </w:rPr>
        <w:t>Preventives</w:t>
      </w:r>
      <w:r>
        <w:rPr>
          <w:i/>
          <w:iCs/>
          <w:sz w:val="18"/>
          <w:szCs w:val="18"/>
        </w:rPr>
        <w:t xml:space="preserve"> and </w:t>
      </w:r>
      <w:r w:rsidRPr="00F43F79">
        <w:rPr>
          <w:i/>
          <w:iCs/>
          <w:sz w:val="18"/>
          <w:szCs w:val="18"/>
        </w:rPr>
        <w:t>remedies for chronic hepatitis</w:t>
      </w:r>
      <w:r w:rsidRPr="00F43F79">
        <w:rPr>
          <w:sz w:val="18"/>
          <w:szCs w:val="18"/>
        </w:rPr>
        <w:t>.</w:t>
      </w:r>
    </w:p>
  </w:footnote>
  <w:footnote w:id="70">
    <w:p w14:paraId="2C5159A3" w14:textId="3B14C80B"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Pr>
          <w:sz w:val="18"/>
          <w:szCs w:val="18"/>
        </w:rPr>
        <w:t>Demande de brevet international</w:t>
      </w:r>
      <w:r w:rsidRPr="00F43F79">
        <w:rPr>
          <w:sz w:val="18"/>
          <w:szCs w:val="18"/>
        </w:rPr>
        <w:t xml:space="preserve"> (PCT) No WO2014207099A1</w:t>
      </w:r>
      <w:r>
        <w:rPr>
          <w:sz w:val="18"/>
          <w:szCs w:val="18"/>
        </w:rPr>
        <w:t xml:space="preserve"> </w:t>
      </w:r>
      <w:r w:rsidRPr="00F43F79">
        <w:rPr>
          <w:i/>
          <w:iCs/>
          <w:sz w:val="18"/>
          <w:szCs w:val="18"/>
        </w:rPr>
        <w:t xml:space="preserve">Anoxic </w:t>
      </w:r>
      <w:r>
        <w:rPr>
          <w:i/>
          <w:iCs/>
          <w:sz w:val="18"/>
          <w:szCs w:val="18"/>
        </w:rPr>
        <w:t>biological</w:t>
      </w:r>
      <w:r w:rsidRPr="00F43F79">
        <w:rPr>
          <w:i/>
          <w:iCs/>
          <w:sz w:val="18"/>
          <w:szCs w:val="18"/>
        </w:rPr>
        <w:t xml:space="preserve"> </w:t>
      </w:r>
      <w:r>
        <w:rPr>
          <w:i/>
          <w:iCs/>
          <w:sz w:val="18"/>
          <w:szCs w:val="18"/>
        </w:rPr>
        <w:t>production</w:t>
      </w:r>
      <w:r w:rsidRPr="00F43F79">
        <w:rPr>
          <w:i/>
          <w:iCs/>
          <w:sz w:val="18"/>
          <w:szCs w:val="18"/>
        </w:rPr>
        <w:t xml:space="preserve"> of fuels</w:t>
      </w:r>
      <w:r>
        <w:rPr>
          <w:i/>
          <w:iCs/>
          <w:sz w:val="18"/>
          <w:szCs w:val="18"/>
        </w:rPr>
        <w:t xml:space="preserve"> and </w:t>
      </w:r>
      <w:r w:rsidRPr="00F43F79">
        <w:rPr>
          <w:i/>
          <w:iCs/>
          <w:sz w:val="18"/>
          <w:szCs w:val="18"/>
        </w:rPr>
        <w:t>of bulk chemicals from second generation feedstocks</w:t>
      </w:r>
      <w:r w:rsidRPr="00F43F79">
        <w:rPr>
          <w:sz w:val="18"/>
          <w:szCs w:val="18"/>
        </w:rPr>
        <w:t>.</w:t>
      </w:r>
    </w:p>
  </w:footnote>
  <w:footnote w:id="71">
    <w:p w14:paraId="61E76438" w14:textId="5D48A43D" w:rsidR="008A77A6" w:rsidRPr="00651FB0"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Pr>
          <w:sz w:val="18"/>
          <w:szCs w:val="18"/>
          <w:lang w:val="fr-FR"/>
        </w:rPr>
        <w:t xml:space="preserve"> Pour d’autres</w:t>
      </w:r>
      <w:r w:rsidRPr="00651FB0">
        <w:rPr>
          <w:sz w:val="18"/>
          <w:szCs w:val="18"/>
          <w:lang w:val="fr-FR"/>
        </w:rPr>
        <w:t xml:space="preserve"> information</w:t>
      </w:r>
      <w:r>
        <w:rPr>
          <w:sz w:val="18"/>
          <w:szCs w:val="18"/>
          <w:lang w:val="fr-FR"/>
        </w:rPr>
        <w:t>s</w:t>
      </w:r>
      <w:r w:rsidRPr="00651FB0">
        <w:rPr>
          <w:sz w:val="18"/>
          <w:szCs w:val="18"/>
          <w:lang w:val="fr-FR"/>
        </w:rPr>
        <w:t xml:space="preserve">, voir </w:t>
      </w:r>
      <w:r>
        <w:rPr>
          <w:sz w:val="18"/>
          <w:szCs w:val="18"/>
          <w:lang w:val="fr-FR"/>
        </w:rPr>
        <w:t>l’Organisation des Nations Unies, “Conférence i</w:t>
      </w:r>
      <w:r w:rsidRPr="00651FB0">
        <w:rPr>
          <w:sz w:val="18"/>
          <w:szCs w:val="18"/>
          <w:lang w:val="fr-FR"/>
        </w:rPr>
        <w:t>nter</w:t>
      </w:r>
      <w:r>
        <w:rPr>
          <w:sz w:val="18"/>
          <w:szCs w:val="18"/>
          <w:lang w:val="fr-FR"/>
        </w:rPr>
        <w:t>gouvernementale sur la biodiversité marine des z</w:t>
      </w:r>
      <w:r w:rsidRPr="00651FB0">
        <w:rPr>
          <w:sz w:val="18"/>
          <w:szCs w:val="18"/>
          <w:lang w:val="fr-FR"/>
        </w:rPr>
        <w:t xml:space="preserve">ones situées au-delà des limites de la </w:t>
      </w:r>
      <w:r>
        <w:rPr>
          <w:sz w:val="18"/>
          <w:szCs w:val="18"/>
          <w:lang w:val="fr-FR"/>
        </w:rPr>
        <w:t xml:space="preserve">juridiction nationale”, à l’adresse </w:t>
      </w:r>
      <w:r w:rsidRPr="00651FB0">
        <w:rPr>
          <w:sz w:val="18"/>
          <w:szCs w:val="18"/>
          <w:lang w:val="fr-FR"/>
        </w:rPr>
        <w:t>: https://www.un.org/bbnj/.</w:t>
      </w:r>
    </w:p>
  </w:footnote>
  <w:footnote w:id="72">
    <w:p w14:paraId="04FC9183" w14:textId="79686625" w:rsidR="008A77A6" w:rsidRPr="003B40FB"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651FB0">
        <w:rPr>
          <w:sz w:val="18"/>
          <w:szCs w:val="18"/>
          <w:lang w:val="fr-FR"/>
        </w:rPr>
        <w:t xml:space="preserve"> </w:t>
      </w:r>
      <w:r>
        <w:rPr>
          <w:i/>
          <w:sz w:val="18"/>
          <w:szCs w:val="18"/>
          <w:lang w:val="fr-FR"/>
        </w:rPr>
        <w:t>A</w:t>
      </w:r>
      <w:r w:rsidRPr="00651FB0">
        <w:rPr>
          <w:i/>
          <w:sz w:val="18"/>
          <w:szCs w:val="18"/>
          <w:lang w:val="fr-FR"/>
        </w:rPr>
        <w:t xml:space="preserve">vant-projet </w:t>
      </w:r>
      <w:r>
        <w:rPr>
          <w:i/>
          <w:sz w:val="18"/>
          <w:szCs w:val="18"/>
          <w:lang w:val="fr-FR"/>
        </w:rPr>
        <w:t xml:space="preserve">de </w:t>
      </w:r>
      <w:r w:rsidRPr="00651FB0">
        <w:rPr>
          <w:i/>
          <w:sz w:val="18"/>
          <w:szCs w:val="18"/>
          <w:lang w:val="fr-FR"/>
        </w:rPr>
        <w:t>text</w:t>
      </w:r>
      <w:r>
        <w:rPr>
          <w:i/>
          <w:sz w:val="18"/>
          <w:szCs w:val="18"/>
          <w:lang w:val="fr-FR"/>
        </w:rPr>
        <w:t>e</w:t>
      </w:r>
      <w:r w:rsidRPr="00651FB0">
        <w:rPr>
          <w:i/>
          <w:sz w:val="18"/>
          <w:szCs w:val="18"/>
          <w:lang w:val="fr-FR"/>
        </w:rPr>
        <w:t xml:space="preserve"> </w:t>
      </w:r>
      <w:r>
        <w:rPr>
          <w:i/>
          <w:sz w:val="18"/>
          <w:szCs w:val="18"/>
          <w:lang w:val="fr-FR"/>
        </w:rPr>
        <w:t>révisé d’un accord au titre de la Convention des Nations Unies sur</w:t>
      </w:r>
      <w:r w:rsidRPr="00651FB0">
        <w:rPr>
          <w:i/>
          <w:sz w:val="18"/>
          <w:szCs w:val="18"/>
          <w:lang w:val="fr-FR"/>
        </w:rPr>
        <w:t xml:space="preserve"> </w:t>
      </w:r>
      <w:r>
        <w:rPr>
          <w:i/>
          <w:sz w:val="18"/>
          <w:szCs w:val="18"/>
          <w:lang w:val="fr-FR"/>
        </w:rPr>
        <w:t>le droit de la mer portant sur la</w:t>
      </w:r>
      <w:r w:rsidRPr="00651FB0">
        <w:rPr>
          <w:i/>
          <w:sz w:val="18"/>
          <w:szCs w:val="18"/>
          <w:lang w:val="fr-FR"/>
        </w:rPr>
        <w:t xml:space="preserve"> conservation et </w:t>
      </w:r>
      <w:r>
        <w:rPr>
          <w:i/>
          <w:sz w:val="18"/>
          <w:szCs w:val="18"/>
          <w:lang w:val="fr-FR"/>
        </w:rPr>
        <w:t xml:space="preserve">l’utilisation durable de la diversité biologique marine des </w:t>
      </w:r>
      <w:r w:rsidRPr="00651FB0">
        <w:rPr>
          <w:i/>
          <w:sz w:val="18"/>
          <w:szCs w:val="18"/>
          <w:lang w:val="fr-FR"/>
        </w:rPr>
        <w:t>zones situées au-delà des limites de la juridiction nationale</w:t>
      </w:r>
      <w:r w:rsidRPr="00651FB0">
        <w:rPr>
          <w:sz w:val="18"/>
          <w:szCs w:val="18"/>
          <w:lang w:val="fr-FR"/>
        </w:rPr>
        <w:t xml:space="preserve">, UN Doc. </w:t>
      </w:r>
      <w:r w:rsidRPr="00FB2FE9">
        <w:rPr>
          <w:sz w:val="18"/>
          <w:szCs w:val="18"/>
          <w:lang w:val="fr-FR"/>
        </w:rPr>
        <w:t>A/CONF.232/2020/3, Part</w:t>
      </w:r>
      <w:r>
        <w:rPr>
          <w:sz w:val="18"/>
          <w:szCs w:val="18"/>
          <w:lang w:val="fr-FR"/>
        </w:rPr>
        <w:t xml:space="preserve">ie II: </w:t>
      </w:r>
      <w:r w:rsidRPr="00FB2FE9">
        <w:rPr>
          <w:sz w:val="18"/>
          <w:szCs w:val="18"/>
          <w:lang w:val="fr-FR"/>
        </w:rPr>
        <w:t>Ressources génétiques</w:t>
      </w:r>
      <w:r>
        <w:rPr>
          <w:sz w:val="18"/>
          <w:szCs w:val="18"/>
          <w:lang w:val="fr-FR"/>
        </w:rPr>
        <w:t xml:space="preserve"> marines</w:t>
      </w:r>
      <w:r w:rsidRPr="00FB2FE9">
        <w:rPr>
          <w:sz w:val="18"/>
          <w:szCs w:val="18"/>
          <w:lang w:val="fr-FR"/>
        </w:rPr>
        <w:t xml:space="preserve">, </w:t>
      </w:r>
      <w:r>
        <w:rPr>
          <w:sz w:val="18"/>
          <w:szCs w:val="18"/>
          <w:lang w:val="fr-FR"/>
        </w:rPr>
        <w:t>y compris les questions relatives au p</w:t>
      </w:r>
      <w:r w:rsidRPr="00FB2FE9">
        <w:rPr>
          <w:sz w:val="18"/>
          <w:szCs w:val="18"/>
          <w:lang w:val="fr-FR"/>
        </w:rPr>
        <w:t xml:space="preserve">artage des avantages. </w:t>
      </w:r>
      <w:r>
        <w:rPr>
          <w:sz w:val="18"/>
          <w:szCs w:val="18"/>
          <w:lang w:val="fr-FR"/>
        </w:rPr>
        <w:t>La d</w:t>
      </w:r>
      <w:r w:rsidRPr="003B40FB">
        <w:rPr>
          <w:sz w:val="18"/>
          <w:szCs w:val="18"/>
          <w:lang w:val="fr-FR"/>
        </w:rPr>
        <w:t xml:space="preserve">écision 74/543 du 11 mars 2020 a reporté la quatrième session de la </w:t>
      </w:r>
      <w:r>
        <w:rPr>
          <w:sz w:val="18"/>
          <w:szCs w:val="18"/>
          <w:lang w:val="fr-FR"/>
        </w:rPr>
        <w:t>confé</w:t>
      </w:r>
      <w:r w:rsidRPr="003B40FB">
        <w:rPr>
          <w:sz w:val="18"/>
          <w:szCs w:val="18"/>
          <w:lang w:val="fr-FR"/>
        </w:rPr>
        <w:t>rence</w:t>
      </w:r>
      <w:r>
        <w:rPr>
          <w:sz w:val="18"/>
          <w:szCs w:val="18"/>
          <w:lang w:val="fr-FR"/>
        </w:rPr>
        <w:t xml:space="preserve"> à une date ultérieure, le plus tôt possible, qui sera décidée par l’Assemblée générale</w:t>
      </w:r>
      <w:r w:rsidRPr="003B40FB">
        <w:rPr>
          <w:sz w:val="18"/>
          <w:szCs w:val="18"/>
          <w:lang w:val="fr-FR"/>
        </w:rPr>
        <w:t>.</w:t>
      </w:r>
    </w:p>
  </w:footnote>
  <w:footnote w:id="73">
    <w:p w14:paraId="45481E5D" w14:textId="38C312CA" w:rsidR="008A77A6" w:rsidRPr="00460F3E"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460F3E">
        <w:rPr>
          <w:sz w:val="18"/>
          <w:szCs w:val="18"/>
          <w:lang w:val="en-AU"/>
        </w:rPr>
        <w:t xml:space="preserve"> </w:t>
      </w:r>
      <w:r w:rsidRPr="00F43F79">
        <w:rPr>
          <w:sz w:val="18"/>
          <w:szCs w:val="18"/>
        </w:rPr>
        <w:fldChar w:fldCharType="begin"/>
      </w:r>
      <w:r w:rsidRPr="00460F3E">
        <w:rPr>
          <w:sz w:val="18"/>
          <w:szCs w:val="18"/>
          <w:lang w:val="en-AU"/>
        </w:rPr>
        <w:instrText xml:space="preserve"> ADDIN ZOTERO_ITEM CSL_CITATION {"citationID":"5aibsZNO","properties":{"formattedCitation":"Tullio Scovazzi, \\uc0\\u8216{}The Rights to Genetic Resources beyond National Jurisdiction: Challenges for the Ongoing Negotiations at the United Nations\\uc0\\u8217{} (Brill | Nijhoff 2020) 236\\uc0\\u8211{}37.","plainCitation":"Tullio Scovazzi, ‘The Rights to Genetic Resources beyond National Jurisdiction: Challenges for the Ongoing Negotiations at the United Nations’ (Brill | Nijhoff 2020) 236–37.","noteIndex":69},"citationItems":[{"id":742,"uris":["http://zotero.org/users/local/dU5rpCrq/items/79SVYPQH"],"uri":["http://zotero.org/users/local/dU5rpCrq/items/79SVYPQH"],"itemData":{"id":742,"type":"chapter","multi":{"main":{},"_keys":{}},"event-place":"Leiden, The Netherlands","ISBN":"978-90-04-39155-0","publisher":"Brill | Nijhoff","publisher-place":"Leiden, The Netherlands","title":"The Rights to Genetic Resources beyond National Jurisdiction: Challenges for the Ongoing Negotiations at the United Nations","URL":"https://brill.com/view/book/edcoll/9789004391567/BP000024.xml","author":[{"family":"Scovazzi","given":"Tullio","multi":{"_key":{}}}],"issued":{"date-parts":[["2020"]]},"seeAlso":[]},"locator":"236-237"}],"schema":"https://github.com/citation-style-language/schema/raw/master/csl-citation.json"} </w:instrText>
      </w:r>
      <w:r w:rsidRPr="00F43F79">
        <w:rPr>
          <w:sz w:val="18"/>
          <w:szCs w:val="18"/>
        </w:rPr>
        <w:fldChar w:fldCharType="separate"/>
      </w:r>
      <w:r w:rsidRPr="00460F3E">
        <w:rPr>
          <w:sz w:val="18"/>
          <w:szCs w:val="18"/>
          <w:lang w:val="en-AU"/>
        </w:rPr>
        <w:t>Tullio Scovazzi, ‘</w:t>
      </w:r>
      <w:r>
        <w:rPr>
          <w:sz w:val="18"/>
          <w:szCs w:val="18"/>
        </w:rPr>
        <w:t>The Rights to Genetic Resources beyond National Jurisdiction: Challenges for the Ongoing Negotiations at the United Nation</w:t>
      </w:r>
      <w:r w:rsidRPr="00460F3E">
        <w:rPr>
          <w:sz w:val="18"/>
          <w:szCs w:val="18"/>
          <w:lang w:val="en-AU"/>
        </w:rPr>
        <w:t>s’ (Brill | Nijhoff 2020) 236–37.</w:t>
      </w:r>
      <w:r w:rsidRPr="00F43F79">
        <w:rPr>
          <w:sz w:val="18"/>
          <w:szCs w:val="18"/>
        </w:rPr>
        <w:fldChar w:fldCharType="end"/>
      </w:r>
    </w:p>
  </w:footnote>
  <w:footnote w:id="74">
    <w:p w14:paraId="1048BEDA" w14:textId="07772FE1" w:rsidR="008A77A6" w:rsidRPr="003B40FB"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3B40FB">
        <w:rPr>
          <w:sz w:val="18"/>
          <w:szCs w:val="18"/>
          <w:lang w:val="fr-FR"/>
        </w:rPr>
        <w:t xml:space="preserve"> </w:t>
      </w:r>
      <w:r>
        <w:rPr>
          <w:i/>
          <w:iCs/>
          <w:sz w:val="18"/>
          <w:szCs w:val="18"/>
          <w:lang w:val="fr-FR"/>
        </w:rPr>
        <w:t>P</w:t>
      </w:r>
      <w:r w:rsidRPr="003B40FB">
        <w:rPr>
          <w:i/>
          <w:iCs/>
          <w:sz w:val="18"/>
          <w:szCs w:val="18"/>
          <w:lang w:val="fr-FR"/>
        </w:rPr>
        <w:t>ropositions de texte remises par les délégations avant le 20 février 2020, pour examen à la quatrième s</w:t>
      </w:r>
      <w:r>
        <w:rPr>
          <w:i/>
          <w:iCs/>
          <w:sz w:val="18"/>
          <w:szCs w:val="18"/>
          <w:lang w:val="fr-FR"/>
        </w:rPr>
        <w:t>ession de la Conférenc</w:t>
      </w:r>
      <w:r w:rsidRPr="003B40FB">
        <w:rPr>
          <w:i/>
          <w:iCs/>
          <w:sz w:val="18"/>
          <w:szCs w:val="18"/>
          <w:lang w:val="fr-FR"/>
        </w:rPr>
        <w:t>e</w:t>
      </w:r>
      <w:r>
        <w:rPr>
          <w:i/>
          <w:iCs/>
          <w:sz w:val="18"/>
          <w:szCs w:val="18"/>
          <w:lang w:val="fr-FR"/>
        </w:rPr>
        <w:t xml:space="preserve"> i</w:t>
      </w:r>
      <w:r w:rsidRPr="003B40FB">
        <w:rPr>
          <w:i/>
          <w:iCs/>
          <w:sz w:val="18"/>
          <w:szCs w:val="18"/>
          <w:lang w:val="fr-FR"/>
        </w:rPr>
        <w:t>ntergouvernemental</w:t>
      </w:r>
      <w:r>
        <w:rPr>
          <w:i/>
          <w:iCs/>
          <w:sz w:val="18"/>
          <w:szCs w:val="18"/>
          <w:lang w:val="fr-FR"/>
        </w:rPr>
        <w:t>e sur un instrument international juridiquement contraignant au titre de la Convention des Nations Unies sur le droit de la mer portant sur la</w:t>
      </w:r>
      <w:r w:rsidRPr="003B40FB">
        <w:rPr>
          <w:i/>
          <w:iCs/>
          <w:sz w:val="18"/>
          <w:szCs w:val="18"/>
          <w:lang w:val="fr-FR"/>
        </w:rPr>
        <w:t xml:space="preserve"> conservation et l’u</w:t>
      </w:r>
      <w:r>
        <w:rPr>
          <w:i/>
          <w:iCs/>
          <w:sz w:val="18"/>
          <w:szCs w:val="18"/>
          <w:lang w:val="fr-FR"/>
        </w:rPr>
        <w:t xml:space="preserve">tilisation durable de la </w:t>
      </w:r>
      <w:r w:rsidRPr="003B40FB">
        <w:rPr>
          <w:i/>
          <w:iCs/>
          <w:sz w:val="18"/>
          <w:szCs w:val="18"/>
          <w:lang w:val="fr-FR"/>
        </w:rPr>
        <w:t>divers</w:t>
      </w:r>
      <w:r>
        <w:rPr>
          <w:i/>
          <w:iCs/>
          <w:sz w:val="18"/>
          <w:szCs w:val="18"/>
          <w:lang w:val="fr-FR"/>
        </w:rPr>
        <w:t xml:space="preserve">ité biologique marine des </w:t>
      </w:r>
      <w:r w:rsidRPr="003B40FB">
        <w:rPr>
          <w:i/>
          <w:iCs/>
          <w:sz w:val="18"/>
          <w:szCs w:val="18"/>
          <w:lang w:val="fr-FR"/>
        </w:rPr>
        <w:t>zones situées au-delà des limites d</w:t>
      </w:r>
      <w:r>
        <w:rPr>
          <w:i/>
          <w:iCs/>
          <w:sz w:val="18"/>
          <w:szCs w:val="18"/>
          <w:lang w:val="fr-FR"/>
        </w:rPr>
        <w:t>e la juridiction nationale (ci-après la Conférence), en réponse à l’invitation faite par la pré</w:t>
      </w:r>
      <w:r w:rsidRPr="003B40FB">
        <w:rPr>
          <w:i/>
          <w:iCs/>
          <w:sz w:val="18"/>
          <w:szCs w:val="18"/>
          <w:lang w:val="fr-FR"/>
        </w:rPr>
        <w:t>sident</w:t>
      </w:r>
      <w:r>
        <w:rPr>
          <w:i/>
          <w:iCs/>
          <w:sz w:val="18"/>
          <w:szCs w:val="18"/>
          <w:lang w:val="fr-FR"/>
        </w:rPr>
        <w:t xml:space="preserve">e de la Conférence dans sa note du </w:t>
      </w:r>
      <w:r w:rsidRPr="003B40FB">
        <w:rPr>
          <w:i/>
          <w:iCs/>
          <w:sz w:val="18"/>
          <w:szCs w:val="18"/>
          <w:lang w:val="fr-FR"/>
        </w:rPr>
        <w:t xml:space="preserve">18 novembre 2019 (A/CONF.232/2020/3): </w:t>
      </w:r>
      <w:r>
        <w:rPr>
          <w:i/>
          <w:iCs/>
          <w:sz w:val="18"/>
          <w:szCs w:val="18"/>
          <w:lang w:val="fr-FR"/>
        </w:rPr>
        <w:t xml:space="preserve">une compilation article par </w:t>
      </w:r>
      <w:r w:rsidRPr="003B40FB">
        <w:rPr>
          <w:i/>
          <w:iCs/>
          <w:sz w:val="18"/>
          <w:szCs w:val="18"/>
          <w:lang w:val="fr-FR"/>
        </w:rPr>
        <w:t xml:space="preserve">article </w:t>
      </w:r>
      <w:r>
        <w:rPr>
          <w:i/>
          <w:iCs/>
          <w:sz w:val="18"/>
          <w:szCs w:val="18"/>
          <w:lang w:val="fr-FR"/>
        </w:rPr>
        <w:t xml:space="preserve">des propositions de texte, pour examen à la quatrième </w:t>
      </w:r>
      <w:r w:rsidRPr="003B40FB">
        <w:rPr>
          <w:i/>
          <w:iCs/>
          <w:sz w:val="18"/>
          <w:szCs w:val="18"/>
          <w:lang w:val="fr-FR"/>
        </w:rPr>
        <w:t>session</w:t>
      </w:r>
      <w:r>
        <w:rPr>
          <w:i/>
          <w:iCs/>
          <w:sz w:val="18"/>
          <w:szCs w:val="18"/>
          <w:lang w:val="fr-FR"/>
        </w:rPr>
        <w:t>,</w:t>
      </w:r>
      <w:r w:rsidRPr="003B40FB">
        <w:rPr>
          <w:i/>
          <w:iCs/>
          <w:sz w:val="18"/>
          <w:szCs w:val="18"/>
          <w:lang w:val="fr-FR"/>
        </w:rPr>
        <w:t xml:space="preserve"> </w:t>
      </w:r>
      <w:r>
        <w:rPr>
          <w:i/>
          <w:iCs/>
          <w:sz w:val="18"/>
          <w:szCs w:val="18"/>
          <w:lang w:val="fr-FR"/>
        </w:rPr>
        <w:t>au 15 av</w:t>
      </w:r>
      <w:r w:rsidRPr="003B40FB">
        <w:rPr>
          <w:i/>
          <w:iCs/>
          <w:sz w:val="18"/>
          <w:szCs w:val="18"/>
          <w:lang w:val="fr-FR"/>
        </w:rPr>
        <w:t>ril 2020</w:t>
      </w:r>
      <w:r w:rsidRPr="003B40FB">
        <w:rPr>
          <w:sz w:val="18"/>
          <w:szCs w:val="18"/>
          <w:lang w:val="fr-FR"/>
        </w:rPr>
        <w:t xml:space="preserve">, </w:t>
      </w:r>
      <w:r>
        <w:rPr>
          <w:sz w:val="18"/>
          <w:szCs w:val="18"/>
          <w:lang w:val="fr-FR"/>
        </w:rPr>
        <w:t>propositions de l’</w:t>
      </w:r>
      <w:r w:rsidRPr="003B40FB">
        <w:rPr>
          <w:sz w:val="18"/>
          <w:szCs w:val="18"/>
          <w:lang w:val="fr-FR"/>
        </w:rPr>
        <w:t xml:space="preserve">Union européenne et </w:t>
      </w:r>
      <w:r>
        <w:rPr>
          <w:sz w:val="18"/>
          <w:szCs w:val="18"/>
          <w:lang w:val="fr-FR"/>
        </w:rPr>
        <w:t>de l’Indonésie sur l’article 10.5</w:t>
      </w:r>
      <w:r w:rsidRPr="003B40FB">
        <w:rPr>
          <w:sz w:val="18"/>
          <w:szCs w:val="18"/>
          <w:lang w:val="fr-FR"/>
        </w:rPr>
        <w:t>.</w:t>
      </w:r>
    </w:p>
  </w:footnote>
  <w:footnote w:id="75">
    <w:p w14:paraId="56BB0BBE" w14:textId="1AB43FA7" w:rsidR="008A77A6" w:rsidRPr="003B40FB" w:rsidRDefault="008A77A6" w:rsidP="00A2063C">
      <w:pPr>
        <w:pStyle w:val="FootnoteText"/>
        <w:spacing w:before="20" w:after="20"/>
        <w:ind w:left="284" w:hanging="284"/>
        <w:rPr>
          <w:sz w:val="18"/>
          <w:szCs w:val="18"/>
          <w:lang w:val="fr-FR"/>
        </w:rPr>
      </w:pPr>
      <w:r w:rsidRPr="00F43F79">
        <w:rPr>
          <w:rStyle w:val="FootnoteReference"/>
          <w:sz w:val="18"/>
          <w:szCs w:val="18"/>
        </w:rPr>
        <w:footnoteRef/>
      </w:r>
      <w:r w:rsidRPr="003B40FB">
        <w:rPr>
          <w:sz w:val="18"/>
          <w:szCs w:val="18"/>
          <w:lang w:val="fr-FR"/>
        </w:rPr>
        <w:t xml:space="preserve"> I</w:t>
      </w:r>
      <w:r>
        <w:rPr>
          <w:sz w:val="18"/>
          <w:szCs w:val="18"/>
          <w:lang w:val="fr-FR"/>
        </w:rPr>
        <w:t>l convient de noter que les conditions</w:t>
      </w:r>
      <w:r w:rsidRPr="003B40FB">
        <w:rPr>
          <w:sz w:val="18"/>
          <w:szCs w:val="18"/>
          <w:lang w:val="fr-FR"/>
        </w:rPr>
        <w:t xml:space="preserve"> d’</w:t>
      </w:r>
      <w:r>
        <w:rPr>
          <w:sz w:val="18"/>
          <w:szCs w:val="18"/>
          <w:lang w:val="fr-FR"/>
        </w:rPr>
        <w:t xml:space="preserve">obtention de </w:t>
      </w:r>
      <w:r w:rsidRPr="003B40FB">
        <w:rPr>
          <w:sz w:val="18"/>
          <w:szCs w:val="18"/>
          <w:lang w:val="fr-FR"/>
        </w:rPr>
        <w:t xml:space="preserve">spécimens </w:t>
      </w:r>
      <w:r>
        <w:rPr>
          <w:sz w:val="18"/>
          <w:szCs w:val="18"/>
          <w:lang w:val="fr-FR"/>
        </w:rPr>
        <w:t xml:space="preserve">peuvent restreindre leur </w:t>
      </w:r>
      <w:r w:rsidRPr="003B40FB">
        <w:rPr>
          <w:sz w:val="18"/>
          <w:szCs w:val="18"/>
          <w:lang w:val="fr-FR"/>
        </w:rPr>
        <w:t xml:space="preserve">utilisation </w:t>
      </w:r>
      <w:r>
        <w:rPr>
          <w:sz w:val="18"/>
          <w:szCs w:val="18"/>
          <w:lang w:val="fr-FR"/>
        </w:rPr>
        <w:t xml:space="preserve">à des fins non </w:t>
      </w:r>
      <w:r w:rsidRPr="003B40FB">
        <w:rPr>
          <w:sz w:val="18"/>
          <w:szCs w:val="18"/>
          <w:lang w:val="fr-FR"/>
        </w:rPr>
        <w:t>commerciale</w:t>
      </w:r>
      <w:r>
        <w:rPr>
          <w:sz w:val="18"/>
          <w:szCs w:val="18"/>
          <w:lang w:val="fr-FR"/>
        </w:rPr>
        <w:t>s uniquement.</w:t>
      </w:r>
      <w:r w:rsidRPr="003B40FB">
        <w:rPr>
          <w:sz w:val="18"/>
          <w:szCs w:val="18"/>
          <w:lang w:val="fr-FR"/>
        </w:rPr>
        <w:t xml:space="preserve"> </w:t>
      </w:r>
      <w:r w:rsidRPr="001B188D">
        <w:rPr>
          <w:sz w:val="18"/>
          <w:szCs w:val="18"/>
          <w:lang w:val="fr-FR"/>
        </w:rPr>
        <w:t xml:space="preserve">Cependant, </w:t>
      </w:r>
      <w:r>
        <w:rPr>
          <w:sz w:val="18"/>
          <w:szCs w:val="18"/>
          <w:lang w:val="fr-FR"/>
        </w:rPr>
        <w:t xml:space="preserve">il existe </w:t>
      </w:r>
      <w:r w:rsidRPr="001B188D">
        <w:rPr>
          <w:sz w:val="18"/>
          <w:szCs w:val="18"/>
          <w:lang w:val="fr-FR"/>
        </w:rPr>
        <w:t xml:space="preserve">aussi </w:t>
      </w:r>
      <w:r>
        <w:rPr>
          <w:sz w:val="18"/>
          <w:szCs w:val="18"/>
          <w:lang w:val="fr-FR"/>
        </w:rPr>
        <w:t xml:space="preserve">des </w:t>
      </w:r>
      <w:r w:rsidRPr="001B188D">
        <w:rPr>
          <w:sz w:val="18"/>
          <w:szCs w:val="18"/>
          <w:lang w:val="fr-FR"/>
        </w:rPr>
        <w:t xml:space="preserve">collections privées </w:t>
      </w:r>
      <w:r>
        <w:rPr>
          <w:sz w:val="18"/>
          <w:szCs w:val="18"/>
          <w:lang w:val="fr-FR"/>
        </w:rPr>
        <w:t xml:space="preserve">ayant une finalité commerciale. Un domaine d’utilisation des collections </w:t>
      </w:r>
      <w:r w:rsidRPr="00A55D17">
        <w:rPr>
          <w:i/>
          <w:sz w:val="18"/>
          <w:szCs w:val="18"/>
          <w:lang w:val="fr-FR"/>
        </w:rPr>
        <w:t>ex situ</w:t>
      </w:r>
      <w:r w:rsidRPr="0032658E">
        <w:rPr>
          <w:sz w:val="18"/>
          <w:szCs w:val="18"/>
          <w:lang w:val="fr-FR"/>
        </w:rPr>
        <w:t xml:space="preserve"> </w:t>
      </w:r>
      <w:r>
        <w:rPr>
          <w:sz w:val="18"/>
          <w:szCs w:val="18"/>
          <w:lang w:val="fr-FR"/>
        </w:rPr>
        <w:t>est la compilation de collections ou bibliothèques de produits naturels, qui seront</w:t>
      </w:r>
      <w:r w:rsidRPr="0032658E">
        <w:rPr>
          <w:sz w:val="18"/>
          <w:szCs w:val="18"/>
          <w:lang w:val="fr-FR"/>
        </w:rPr>
        <w:t xml:space="preserve"> utilisé</w:t>
      </w:r>
      <w:r>
        <w:rPr>
          <w:sz w:val="18"/>
          <w:szCs w:val="18"/>
          <w:lang w:val="fr-FR"/>
        </w:rPr>
        <w:t xml:space="preserve">s pour sélectionner des </w:t>
      </w:r>
      <w:r w:rsidRPr="0032658E">
        <w:rPr>
          <w:sz w:val="18"/>
          <w:szCs w:val="18"/>
          <w:lang w:val="fr-FR"/>
        </w:rPr>
        <w:t>caractéristiques</w:t>
      </w:r>
      <w:r>
        <w:rPr>
          <w:sz w:val="18"/>
          <w:szCs w:val="18"/>
          <w:lang w:val="fr-FR"/>
        </w:rPr>
        <w:t xml:space="preserve"> souhaitées</w:t>
      </w:r>
      <w:r w:rsidRPr="0032658E">
        <w:rPr>
          <w:sz w:val="18"/>
          <w:szCs w:val="18"/>
          <w:lang w:val="fr-FR"/>
        </w:rPr>
        <w:t xml:space="preserve">. </w:t>
      </w:r>
      <w:r>
        <w:rPr>
          <w:sz w:val="18"/>
          <w:szCs w:val="18"/>
          <w:lang w:val="fr-FR"/>
        </w:rPr>
        <w:t xml:space="preserve">Une bibliothèque de ce type est la </w:t>
      </w:r>
      <w:r w:rsidRPr="003B40FB">
        <w:rPr>
          <w:sz w:val="18"/>
          <w:szCs w:val="18"/>
          <w:lang w:val="fr-FR"/>
        </w:rPr>
        <w:t xml:space="preserve">TimTec Natural </w:t>
      </w:r>
      <w:r>
        <w:rPr>
          <w:sz w:val="18"/>
          <w:szCs w:val="18"/>
          <w:lang w:val="fr-FR"/>
        </w:rPr>
        <w:t>Produc</w:t>
      </w:r>
      <w:r w:rsidRPr="003B40FB">
        <w:rPr>
          <w:sz w:val="18"/>
          <w:szCs w:val="18"/>
          <w:lang w:val="fr-FR"/>
        </w:rPr>
        <w:t xml:space="preserve">t Library, </w:t>
      </w:r>
      <w:r>
        <w:rPr>
          <w:sz w:val="18"/>
          <w:szCs w:val="18"/>
          <w:lang w:val="fr-FR"/>
        </w:rPr>
        <w:t>dont les informations sont disponibles à des fins commerciales, et qui contie</w:t>
      </w:r>
      <w:r w:rsidRPr="003B40FB">
        <w:rPr>
          <w:sz w:val="18"/>
          <w:szCs w:val="18"/>
          <w:lang w:val="fr-FR"/>
        </w:rPr>
        <w:t xml:space="preserve">nt 800 </w:t>
      </w:r>
      <w:r>
        <w:rPr>
          <w:sz w:val="18"/>
          <w:szCs w:val="18"/>
          <w:lang w:val="fr-FR"/>
        </w:rPr>
        <w:t>composés naturels purs</w:t>
      </w:r>
      <w:r w:rsidRPr="003B40FB">
        <w:rPr>
          <w:sz w:val="18"/>
          <w:szCs w:val="18"/>
          <w:lang w:val="fr-FR"/>
        </w:rPr>
        <w:t xml:space="preserve">. </w:t>
      </w:r>
      <w:r>
        <w:rPr>
          <w:sz w:val="18"/>
          <w:szCs w:val="18"/>
          <w:lang w:val="fr-FR"/>
        </w:rPr>
        <w:t>Cette bibliothèque</w:t>
      </w:r>
      <w:r w:rsidRPr="003B40FB">
        <w:rPr>
          <w:sz w:val="18"/>
          <w:szCs w:val="18"/>
          <w:lang w:val="fr-FR"/>
        </w:rPr>
        <w:t xml:space="preserve"> contient </w:t>
      </w:r>
      <w:r>
        <w:rPr>
          <w:sz w:val="18"/>
          <w:szCs w:val="18"/>
          <w:lang w:val="fr-FR"/>
        </w:rPr>
        <w:t xml:space="preserve">un large éventail de matières et de composés naturels, dérivés principalement de végétaux, bien qu’on trouve aussi des </w:t>
      </w:r>
      <w:r w:rsidRPr="003B40FB">
        <w:rPr>
          <w:sz w:val="18"/>
          <w:szCs w:val="18"/>
          <w:lang w:val="fr-FR"/>
        </w:rPr>
        <w:t xml:space="preserve">échantillons </w:t>
      </w:r>
      <w:r>
        <w:rPr>
          <w:sz w:val="18"/>
          <w:szCs w:val="18"/>
          <w:lang w:val="fr-FR"/>
        </w:rPr>
        <w:t>provenant de bactéries, champignons</w:t>
      </w:r>
      <w:r w:rsidRPr="003B40FB">
        <w:rPr>
          <w:sz w:val="18"/>
          <w:szCs w:val="18"/>
          <w:lang w:val="fr-FR"/>
        </w:rPr>
        <w:t>, et sources</w:t>
      </w:r>
      <w:r>
        <w:rPr>
          <w:sz w:val="18"/>
          <w:szCs w:val="18"/>
          <w:lang w:val="fr-FR"/>
        </w:rPr>
        <w:t xml:space="preserve"> animales</w:t>
      </w:r>
      <w:r w:rsidRPr="003B40FB">
        <w:rPr>
          <w:sz w:val="18"/>
          <w:szCs w:val="18"/>
          <w:lang w:val="fr-FR"/>
        </w:rPr>
        <w:t xml:space="preserve">. </w:t>
      </w:r>
    </w:p>
    <w:p w14:paraId="0B5167BC" w14:textId="79846A8A" w:rsidR="008A77A6" w:rsidRPr="00BA760E" w:rsidRDefault="008A77A6" w:rsidP="00F43F79">
      <w:pPr>
        <w:pStyle w:val="FootnoteText"/>
        <w:spacing w:before="20" w:after="20"/>
        <w:ind w:left="284" w:hanging="284"/>
        <w:rPr>
          <w:sz w:val="18"/>
          <w:szCs w:val="18"/>
          <w:lang w:val="en-AU"/>
        </w:rPr>
      </w:pPr>
      <w:r w:rsidRPr="003B40FB">
        <w:rPr>
          <w:sz w:val="18"/>
          <w:szCs w:val="18"/>
          <w:lang w:val="fr-FR"/>
        </w:rPr>
        <w:t xml:space="preserve">     Même si TimTec note que “les sources naturelles habituelles et les données de référence sont disponibles </w:t>
      </w:r>
      <w:r>
        <w:rPr>
          <w:sz w:val="18"/>
          <w:szCs w:val="18"/>
          <w:lang w:val="fr-FR"/>
        </w:rPr>
        <w:t xml:space="preserve">pour la plupart des </w:t>
      </w:r>
      <w:r w:rsidRPr="003B40FB">
        <w:rPr>
          <w:sz w:val="18"/>
          <w:szCs w:val="18"/>
          <w:lang w:val="fr-FR"/>
        </w:rPr>
        <w:t>échantillons</w:t>
      </w:r>
      <w:r>
        <w:rPr>
          <w:sz w:val="18"/>
          <w:szCs w:val="18"/>
          <w:lang w:val="fr-FR"/>
        </w:rPr>
        <w:t xml:space="preserve">,” on ne sait pas toujours quelles données de référence sont </w:t>
      </w:r>
      <w:r w:rsidRPr="003B40FB">
        <w:rPr>
          <w:sz w:val="18"/>
          <w:szCs w:val="18"/>
          <w:lang w:val="fr-FR"/>
        </w:rPr>
        <w:t xml:space="preserve">disponibles </w:t>
      </w:r>
      <w:r>
        <w:rPr>
          <w:sz w:val="18"/>
          <w:szCs w:val="18"/>
          <w:lang w:val="fr-FR"/>
        </w:rPr>
        <w:t>dans la bibliothèque, et si les scientifiques qui utilisent la bibliothèque ont accès au matériel de référence, car il existe de nombreuses sources et zones géographiques différents</w:t>
      </w:r>
      <w:r w:rsidRPr="003B40FB">
        <w:rPr>
          <w:sz w:val="18"/>
          <w:szCs w:val="18"/>
          <w:lang w:val="fr-FR"/>
        </w:rPr>
        <w:t xml:space="preserve">. Plusieurs inventions brevetées ont utilisé </w:t>
      </w:r>
      <w:r>
        <w:rPr>
          <w:sz w:val="18"/>
          <w:szCs w:val="18"/>
          <w:lang w:val="fr-FR"/>
        </w:rPr>
        <w:t>la</w:t>
      </w:r>
      <w:r w:rsidRPr="003B40FB">
        <w:rPr>
          <w:sz w:val="18"/>
          <w:szCs w:val="18"/>
          <w:lang w:val="fr-FR"/>
        </w:rPr>
        <w:t xml:space="preserve"> TimTec Natural </w:t>
      </w:r>
      <w:r>
        <w:rPr>
          <w:sz w:val="18"/>
          <w:szCs w:val="18"/>
          <w:lang w:val="fr-FR"/>
        </w:rPr>
        <w:t>Produc</w:t>
      </w:r>
      <w:r w:rsidRPr="003B40FB">
        <w:rPr>
          <w:sz w:val="18"/>
          <w:szCs w:val="18"/>
          <w:lang w:val="fr-FR"/>
        </w:rPr>
        <w:t xml:space="preserve">t Library. </w:t>
      </w:r>
      <w:r w:rsidRPr="00BA760E">
        <w:rPr>
          <w:sz w:val="18"/>
          <w:szCs w:val="18"/>
          <w:lang w:val="en-AU"/>
        </w:rPr>
        <w:t>Voir ‘TimTec Compound Libraries for Screening, Chemical Building Blocks’ (non daté) &lt;https://www.timtec.net/&gt; consulté le 10 juin 2020.</w:t>
      </w:r>
    </w:p>
  </w:footnote>
  <w:footnote w:id="76">
    <w:p w14:paraId="06FF4BAE" w14:textId="24EB19BF" w:rsidR="008A77A6" w:rsidRPr="00E11B20"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E11B20">
        <w:rPr>
          <w:sz w:val="18"/>
          <w:szCs w:val="18"/>
          <w:lang w:val="en-AU"/>
        </w:rPr>
        <w:t xml:space="preserve"> </w:t>
      </w:r>
      <w:r w:rsidRPr="00F43F79">
        <w:rPr>
          <w:sz w:val="18"/>
          <w:szCs w:val="18"/>
        </w:rPr>
        <w:fldChar w:fldCharType="begin"/>
      </w:r>
      <w:r w:rsidRPr="00E11B20">
        <w:rPr>
          <w:sz w:val="18"/>
          <w:szCs w:val="18"/>
          <w:lang w:val="en-AU"/>
        </w:rPr>
        <w:instrText xml:space="preserve"> ADDIN ZOTERO_ITEM CSL_CITATION {"citationID":"9cac2kWm","properties":{"formattedCitation":"Society for the Preservation of Natural History Collections, \\uc0\\u8216{}Threatened and Orphaned Collections\\uc0\\u8217{} (29 March 2017) &lt;https://spnhc.biowikifarm.net/wiki/Threatened_and_Orphaned_Collections&gt; accessed 28 February 2020; Kevin McCluskey, \\uc0\\u8216{}Orphaned and Endangered Collections the Topic at Fort Collins Meeting\\uc0\\u8217{} ({\\i{}ISBER News}, 8 December 2015) &lt;http://news.isber.org/orphaned-and-endangered-collections-the-topic-at-fort-collins-meeting/&gt; accessed 28 February 2020; OECD, {\\i{}Biological Resource Centres: Underpinning the Future of Life Sciences and Biotechnology} (OECD 2001) 23\\uc0\\u8211{}24.","plainCitation":"Society for the Preservation of Natural History Collections, ‘Threatened and Orphaned Collections’ (29 March 2017) &lt;https://spnhc.biowikifarm.net/wiki/Threatened_and_Orphaned_Collections&gt; accessed 28 February 2020; Kevin McCluskey, ‘Orphaned and Endangered Collections the Topic at Fort Collins Meeting’ (ISBER News, 8 December 2015) &lt;http://news.isber.org/orphaned-and-endangered-collections-the-topic-at-fort-collins-meeting/&gt; accessed 28 February 2020; OECD, Biological Resource Centres: Underpinning the Future of Life Sciences and Biotechnology (OECD 2001) 23–24.","noteIndex":72},"citationItems":[{"id":646,"uris":["http://zotero.org/users/local/dU5rpCrq/items/LDANNNNR"],"uri":["http://zotero.org/users/local/dU5rpCrq/items/LDANNNNR"],"itemData":{"id":646,"type":"webpage","multi":{"main":{},"_keys":{}},"title":"Threatened and Orphaned Collections","URL":"https://spnhc.biowikifarm.net/wiki/Threatened_and_Orphaned_Collections","author":[{"family":"Society for the Preservation of Natural History Collections","given":"","literal":"Society for the Preservation of Natural History Collections","multi":{"_key":{}}}],"accessed":{"date-parts":[["2020",2,28]]},"issued":{"date-parts":[["2017",3,29]]},"seeAlso":[]}},{"id":645,"uris":["http://zotero.org/users/local/dU5rpCrq/items/8T8S3676"],"uri":["http://zotero.org/users/local/dU5rpCrq/items/8T8S3676"],"itemData":{"id":645,"type":"post-weblog","multi":{"main":{},"_keys":{}},"container-title":"ISBER News","title":"Orphaned and Endangered Collections the Topic at Fort Collins Meeting","URL":"http://news.isber.org/orphaned-and-endangered-collections-the-topic-at-fort-collins-meeting/","author":[{"family":"McCluskey","given":"Kevin","multi":{"_key":{}}}],"accessed":{"date-parts":[["2020",2,28]]},"issued":{"date-parts":[["2015",12,8]]},"seeAlso":[]}},{"id":647,"uris":["http://zotero.org/users/local/dU5rpCrq/items/SJPLNWBE"],"uri":["http://zotero.org/users/local/dU5rpCrq/items/SJPLNWBE"],"itemData":{"id":647,"type":"book","multi":{"main":{},"_keys":{}},"publisher":"OECD","title":"Biological Resource Centres: Underpinning the Future of Life Sciences and Biotechnology","author":[{"family":"OECD","given":"","literal":"OECD","multi":{"_key":{}}}],"issued":{"date-parts":[["2001"]]},"seeAlso":[]},"locator":"23-24"}],"schema":"https://github.com/citation-style-language/schema/raw/master/csl-citation.json"} </w:instrText>
      </w:r>
      <w:r w:rsidRPr="00F43F79">
        <w:rPr>
          <w:sz w:val="18"/>
          <w:szCs w:val="18"/>
        </w:rPr>
        <w:fldChar w:fldCharType="separate"/>
      </w:r>
      <w:r w:rsidRPr="00E11B20">
        <w:rPr>
          <w:sz w:val="18"/>
          <w:szCs w:val="18"/>
          <w:lang w:val="en-AU"/>
        </w:rPr>
        <w:t>Society for the Preservation of Natural History Collections, ‘Threatened and Orphaned Collections’ (29 mars 2017) &lt;https://spnhc.biowikifarm.net/wiki/Threatened_and_Orphaned_Collections&gt; consulté le 28 février 2020; Kevin McCluskey, ‘Orphaned and Endangered Collections, the Topic at Fort Collins Meeting’ (</w:t>
      </w:r>
      <w:r w:rsidRPr="00E11B20">
        <w:rPr>
          <w:i/>
          <w:iCs/>
          <w:sz w:val="18"/>
          <w:szCs w:val="18"/>
          <w:lang w:val="en-AU"/>
        </w:rPr>
        <w:t>ISBER News</w:t>
      </w:r>
      <w:r w:rsidRPr="00E11B20">
        <w:rPr>
          <w:sz w:val="18"/>
          <w:szCs w:val="18"/>
          <w:lang w:val="en-AU"/>
        </w:rPr>
        <w:t xml:space="preserve">, 8 décembre 2015) &lt;http://news.isber.org/orphaned-and-endangered-collections-the-topic-at-fort-collins-meeting/&gt; consulté le 28 février 2020; OECD, </w:t>
      </w:r>
      <w:r w:rsidRPr="00E11B20">
        <w:rPr>
          <w:i/>
          <w:iCs/>
          <w:sz w:val="18"/>
          <w:szCs w:val="18"/>
          <w:lang w:val="en-AU"/>
        </w:rPr>
        <w:t>Biological Resource Centres: Underpinning the Future of Life Sciences and Biotechnology</w:t>
      </w:r>
      <w:r w:rsidRPr="00E11B20">
        <w:rPr>
          <w:sz w:val="18"/>
          <w:szCs w:val="18"/>
          <w:lang w:val="en-AU"/>
        </w:rPr>
        <w:t xml:space="preserve"> (OECD 2001) 23–24.</w:t>
      </w:r>
      <w:r w:rsidRPr="00F43F79">
        <w:rPr>
          <w:sz w:val="18"/>
          <w:szCs w:val="18"/>
        </w:rPr>
        <w:fldChar w:fldCharType="end"/>
      </w:r>
    </w:p>
  </w:footnote>
  <w:footnote w:id="77">
    <w:p w14:paraId="0B0716B3" w14:textId="19B246E3" w:rsidR="008A77A6" w:rsidRPr="009620A7"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sidRPr="009620A7">
        <w:rPr>
          <w:sz w:val="18"/>
          <w:szCs w:val="18"/>
          <w:lang w:val="fr-FR"/>
        </w:rPr>
        <w:t xml:space="preserve"> Voir </w:t>
      </w:r>
      <w:r>
        <w:rPr>
          <w:sz w:val="18"/>
          <w:szCs w:val="18"/>
          <w:lang w:val="fr-FR"/>
        </w:rPr>
        <w:t>le Règlement</w:t>
      </w:r>
      <w:r w:rsidRPr="009620A7">
        <w:rPr>
          <w:sz w:val="18"/>
          <w:szCs w:val="18"/>
          <w:lang w:val="fr-FR"/>
        </w:rPr>
        <w:t xml:space="preserve"> (</w:t>
      </w:r>
      <w:r>
        <w:rPr>
          <w:sz w:val="18"/>
          <w:szCs w:val="18"/>
          <w:lang w:val="fr-FR"/>
        </w:rPr>
        <w:t>EU) No. 511/2014 du Parlement européen et du Conse</w:t>
      </w:r>
      <w:r w:rsidRPr="009620A7">
        <w:rPr>
          <w:sz w:val="18"/>
          <w:szCs w:val="18"/>
          <w:lang w:val="fr-FR"/>
        </w:rPr>
        <w:t>il</w:t>
      </w:r>
      <w:r>
        <w:rPr>
          <w:sz w:val="18"/>
          <w:szCs w:val="18"/>
          <w:lang w:val="fr-FR"/>
        </w:rPr>
        <w:t xml:space="preserve"> européen sur les mesures d’application pour les utilisateurs du Protocole de Nagoya sur l’accès aux r</w:t>
      </w:r>
      <w:r w:rsidRPr="009620A7">
        <w:rPr>
          <w:sz w:val="18"/>
          <w:szCs w:val="18"/>
          <w:lang w:val="fr-FR"/>
        </w:rPr>
        <w:t xml:space="preserve">essources génétiques et </w:t>
      </w:r>
      <w:r>
        <w:rPr>
          <w:sz w:val="18"/>
          <w:szCs w:val="18"/>
          <w:lang w:val="fr-FR"/>
        </w:rPr>
        <w:t>le</w:t>
      </w:r>
      <w:r w:rsidRPr="009620A7">
        <w:rPr>
          <w:sz w:val="18"/>
          <w:szCs w:val="18"/>
          <w:lang w:val="fr-FR"/>
        </w:rPr>
        <w:t xml:space="preserve"> partage ju</w:t>
      </w:r>
      <w:r>
        <w:rPr>
          <w:sz w:val="18"/>
          <w:szCs w:val="18"/>
          <w:lang w:val="fr-FR"/>
        </w:rPr>
        <w:t>ste et équitable des avantages résultant de leur utilisation dans l’</w:t>
      </w:r>
      <w:r w:rsidRPr="009620A7">
        <w:rPr>
          <w:sz w:val="18"/>
          <w:szCs w:val="18"/>
          <w:lang w:val="fr-FR"/>
        </w:rPr>
        <w:t>Union</w:t>
      </w:r>
      <w:r>
        <w:rPr>
          <w:sz w:val="18"/>
          <w:szCs w:val="18"/>
          <w:lang w:val="fr-FR"/>
        </w:rPr>
        <w:t xml:space="preserve"> européenne, Article 2.1</w:t>
      </w:r>
      <w:r w:rsidRPr="009620A7">
        <w:rPr>
          <w:sz w:val="18"/>
          <w:szCs w:val="18"/>
          <w:lang w:val="fr-FR"/>
        </w:rPr>
        <w:t xml:space="preserve"> [2014] </w:t>
      </w:r>
      <w:r w:rsidRPr="009620A7">
        <w:rPr>
          <w:rStyle w:val="Emphasis"/>
          <w:rFonts w:eastAsiaTheme="majorEastAsia"/>
          <w:i w:val="0"/>
          <w:iCs w:val="0"/>
          <w:sz w:val="18"/>
          <w:szCs w:val="18"/>
          <w:lang w:val="fr-FR"/>
        </w:rPr>
        <w:t>OJ L150/59</w:t>
      </w:r>
      <w:r w:rsidRPr="009620A7">
        <w:rPr>
          <w:sz w:val="18"/>
          <w:szCs w:val="18"/>
          <w:lang w:val="fr-FR"/>
        </w:rPr>
        <w:t>.</w:t>
      </w:r>
    </w:p>
  </w:footnote>
  <w:footnote w:id="78">
    <w:p w14:paraId="29FE8541" w14:textId="07E4691C" w:rsidR="008A77A6" w:rsidRPr="000C3696"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sidRPr="000C3696">
        <w:rPr>
          <w:sz w:val="18"/>
          <w:szCs w:val="18"/>
          <w:lang w:val="fr-FR"/>
        </w:rPr>
        <w:t xml:space="preserve"> Voir </w:t>
      </w:r>
      <w:r>
        <w:rPr>
          <w:sz w:val="18"/>
          <w:szCs w:val="18"/>
          <w:lang w:val="fr-FR"/>
        </w:rPr>
        <w:t>la Loi sur la biodiversité du Brésil, Article</w:t>
      </w:r>
      <w:r w:rsidRPr="000C3696">
        <w:rPr>
          <w:sz w:val="18"/>
          <w:szCs w:val="18"/>
          <w:lang w:val="fr-FR"/>
        </w:rPr>
        <w:t xml:space="preserve"> 2(V</w:t>
      </w:r>
      <w:r>
        <w:rPr>
          <w:sz w:val="18"/>
          <w:szCs w:val="18"/>
          <w:lang w:val="fr-FR"/>
        </w:rPr>
        <w:t>III), Article 37, Loi No. 13,123/2015</w:t>
      </w:r>
      <w:r w:rsidRPr="000C3696">
        <w:rPr>
          <w:sz w:val="18"/>
          <w:szCs w:val="18"/>
          <w:lang w:val="fr-FR"/>
        </w:rPr>
        <w:t xml:space="preserve">; </w:t>
      </w:r>
      <w:r>
        <w:rPr>
          <w:sz w:val="18"/>
          <w:szCs w:val="18"/>
          <w:lang w:val="fr-FR"/>
        </w:rPr>
        <w:t xml:space="preserve">voir aussi Colombie, Résolution 1348 [2014] et la </w:t>
      </w:r>
      <w:r w:rsidRPr="000C3696">
        <w:rPr>
          <w:sz w:val="18"/>
          <w:szCs w:val="18"/>
          <w:lang w:val="fr-FR"/>
        </w:rPr>
        <w:t>Décision</w:t>
      </w:r>
      <w:r>
        <w:rPr>
          <w:sz w:val="18"/>
          <w:szCs w:val="18"/>
          <w:lang w:val="fr-FR"/>
        </w:rPr>
        <w:t xml:space="preserve"> andine 391, Article 1, (1996); ou encore,</w:t>
      </w:r>
      <w:r w:rsidRPr="000C3696">
        <w:rPr>
          <w:sz w:val="18"/>
          <w:szCs w:val="18"/>
          <w:lang w:val="fr-FR"/>
        </w:rPr>
        <w:t xml:space="preserve"> Afrique du Sud, </w:t>
      </w:r>
      <w:r>
        <w:rPr>
          <w:sz w:val="18"/>
          <w:szCs w:val="18"/>
          <w:lang w:val="fr-FR"/>
        </w:rPr>
        <w:t>Loi sur la biodiversité : gestion environnementale na</w:t>
      </w:r>
      <w:r w:rsidRPr="000C3696">
        <w:rPr>
          <w:sz w:val="18"/>
          <w:szCs w:val="18"/>
          <w:lang w:val="fr-FR"/>
        </w:rPr>
        <w:t>tional</w:t>
      </w:r>
      <w:r>
        <w:rPr>
          <w:sz w:val="18"/>
          <w:szCs w:val="18"/>
          <w:lang w:val="fr-FR"/>
        </w:rPr>
        <w:t>e, Article 80, 2004 (Loi No. 10 de 2004) (et amendements de 2013</w:t>
      </w:r>
      <w:r w:rsidRPr="000C3696">
        <w:rPr>
          <w:sz w:val="18"/>
          <w:szCs w:val="18"/>
          <w:lang w:val="fr-FR"/>
        </w:rPr>
        <w:t>).</w:t>
      </w:r>
    </w:p>
  </w:footnote>
  <w:footnote w:id="79">
    <w:p w14:paraId="4C25049F" w14:textId="37F6283E"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{"citationID":"2ZGmvQSr","properties":{"formattedCitation":"WFCC and others, \\uc0\\u8216{}Submission Of The World Federation For Culture Collection (WFCC), World Data Centre For Microorganisms (WDCM) &amp; Transparent User-Friendly System Of Transfer Programme (TRUST) For Notification SCBD/ABS/VN/KG/Jh/86849\\uc0\\u8217{} (2017).","plainCitation":"WFCC and others, ‘Submission Of The World Federation For Culture Collection (WFCC), World Data Centre For Microorganisms (WDCM) &amp; Transparent User-Friendly System Of Transfer Programme (TRUST) For Notification SCBD/ABS/VN/KG/Jh/86849’ (2017).","noteIndex":75},"citationItems":[{"id":670,"uris":["http://zotero.org/users/local/dU5rpCrq/items/X8BIZL77"],"uri":["http://zotero.org/users/local/dU5rpCrq/items/X8BIZL77"],"itemData":{"id":670,"type":"article","multi":{"main":{},"_keys":{}},"title":"Submission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F43F79">
        <w:rPr>
          <w:sz w:val="18"/>
          <w:szCs w:val="18"/>
        </w:rPr>
        <w:fldChar w:fldCharType="separate"/>
      </w:r>
      <w:r w:rsidRPr="00F43F79">
        <w:rPr>
          <w:sz w:val="18"/>
          <w:szCs w:val="18"/>
        </w:rPr>
        <w:t>WFCC</w:t>
      </w:r>
      <w:r>
        <w:rPr>
          <w:sz w:val="18"/>
          <w:szCs w:val="18"/>
        </w:rPr>
        <w:t xml:space="preserve"> et al.</w:t>
      </w:r>
      <w:r w:rsidRPr="00F43F79">
        <w:rPr>
          <w:sz w:val="18"/>
          <w:szCs w:val="18"/>
        </w:rPr>
        <w:t>, ‘</w:t>
      </w:r>
      <w:r>
        <w:rPr>
          <w:sz w:val="18"/>
          <w:szCs w:val="18"/>
        </w:rPr>
        <w:t>Communication</w:t>
      </w:r>
      <w:r w:rsidRPr="00F43F79">
        <w:rPr>
          <w:sz w:val="18"/>
          <w:szCs w:val="18"/>
        </w:rPr>
        <w:t xml:space="preserve"> Of The World Federation For </w:t>
      </w:r>
      <w:r>
        <w:rPr>
          <w:sz w:val="18"/>
          <w:szCs w:val="18"/>
        </w:rPr>
        <w:t>Culture Collection</w:t>
      </w:r>
      <w:r w:rsidRPr="00F43F79">
        <w:rPr>
          <w:sz w:val="18"/>
          <w:szCs w:val="18"/>
        </w:rPr>
        <w:t xml:space="preserve"> (WFCC), World Data Centre For Microorganisms (WDCM) &amp; Transparent User-Friendly System Of Transfer Pr</w:t>
      </w:r>
      <w:r>
        <w:rPr>
          <w:sz w:val="18"/>
          <w:szCs w:val="18"/>
        </w:rPr>
        <w:t>ogramme (TRUST) for Notification</w:t>
      </w:r>
      <w:r w:rsidRPr="00F43F79">
        <w:rPr>
          <w:sz w:val="18"/>
          <w:szCs w:val="18"/>
        </w:rPr>
        <w:t xml:space="preserve"> SCBD/ABS/VN/KG/Jh/86849’ (2017).</w:t>
      </w:r>
      <w:r w:rsidRPr="00F43F79">
        <w:rPr>
          <w:sz w:val="18"/>
          <w:szCs w:val="18"/>
        </w:rPr>
        <w:fldChar w:fldCharType="end"/>
      </w:r>
      <w:r w:rsidRPr="00F43F79">
        <w:rPr>
          <w:sz w:val="18"/>
          <w:szCs w:val="18"/>
        </w:rPr>
        <w:t xml:space="preserve"> </w:t>
      </w:r>
      <w:r>
        <w:rPr>
          <w:sz w:val="18"/>
          <w:szCs w:val="18"/>
        </w:rPr>
        <w:t>Voir aussi</w:t>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{"citationID":"7JJGRdBV","properties":{"formattedCitation":"Kate Davis and others, \\uc0\\u8216{}Ex Situ Collections and the Nagoya Protocol: A Briefing on the Exchange of Specimens between European and Brazilian Ex Situ Collections, and the State of the Art of Relevant ABS Practices\\uc0\\u8217{} (International Workshop on The Role to be Played by Biological Collections Under the Nagoya Protocol, Brasilia, Brazil, 2013) 16\\uc0\\u8211{}17.","plainCitation":"Kate Davis and others, ‘Ex Situ Collections and the Nagoya Protocol: A Briefing on the Exchange of Specimens between European and Brazilian Ex Situ Collections, and the State of the Art of Relevant ABS Practices’ (International Workshop on The Role to be Played by Biological Collections Under the Nagoya Protocol, Brasilia, Brazil, 2013) 16–17.","noteIndex":75},"citationItems":[{"id":588,"uris":["http://zotero.org/users/local/dU5rpCrq/items/T8BRS95Y"],"uri":["http://zotero.org/users/local/dU5rpCrq/items/T8BRS95Y"],"itemData":{"id":588,"type":"paper-conference","multi":{"main":{},"_keys":{}},"event":"International Workshop on The Role to be Played by Biological Collections Under the Nagoya Protocol","event-place":"Brasilia, Brazil","publisher-place":"Brasilia, Brazil","title":"Ex situ collections and the Nagoya Protocol: A briefing on the exchange of specimens between European and Brazilian ex situ collections, and the state of the art of relevant ABS practices","author":[{"family":"Davis","given":"Kate","multi":{"_key":{}}},{"family":"Fontes","given":"Eliana","multi":{"_key":{}}},{"family":"Marinoni","given":"Luciane","multi":{"_key":{}}}],"issued":{"date-parts":[["2013"]]},"event-date":{"date-parts":[["2013",6,18],[2013,6,20]]},"seeAlso":[]},"locator":"16-17"}],"schema":"https://github.com/citation-style-language/schema/raw/master/csl-citation.json"} </w:instrText>
      </w:r>
      <w:r w:rsidRPr="00F43F79">
        <w:rPr>
          <w:sz w:val="18"/>
          <w:szCs w:val="18"/>
        </w:rPr>
        <w:fldChar w:fldCharType="separate"/>
      </w:r>
      <w:r w:rsidRPr="00F43F79">
        <w:rPr>
          <w:sz w:val="18"/>
          <w:szCs w:val="18"/>
        </w:rPr>
        <w:t>Kate Davis</w:t>
      </w:r>
      <w:r>
        <w:rPr>
          <w:sz w:val="18"/>
          <w:szCs w:val="18"/>
        </w:rPr>
        <w:t xml:space="preserve"> et al.</w:t>
      </w:r>
      <w:r w:rsidRPr="00F43F79">
        <w:rPr>
          <w:sz w:val="18"/>
          <w:szCs w:val="18"/>
        </w:rPr>
        <w:t>, ‘Ex Situ Collections and the Nagoya Protocol: A Briefing on the Exchange of Specimens between European and Brazilian Ex Situ Collections, and the State of the Art of Relevant ABS Practices</w:t>
      </w:r>
      <w:r>
        <w:rPr>
          <w:sz w:val="18"/>
          <w:szCs w:val="18"/>
        </w:rPr>
        <w:t>’ (Atelier international sur le rôle à accomplir par les collections biologiques au titre du Protocole de Nagoya</w:t>
      </w:r>
      <w:r w:rsidRPr="00F43F79">
        <w:rPr>
          <w:sz w:val="18"/>
          <w:szCs w:val="18"/>
        </w:rPr>
        <w:t xml:space="preserve">, Brasilia, </w:t>
      </w:r>
      <w:r>
        <w:rPr>
          <w:sz w:val="18"/>
          <w:szCs w:val="18"/>
        </w:rPr>
        <w:t>Brésil</w:t>
      </w:r>
      <w:r w:rsidRPr="00F43F79">
        <w:rPr>
          <w:sz w:val="18"/>
          <w:szCs w:val="18"/>
        </w:rPr>
        <w:t>, 2013) 16–17.</w:t>
      </w:r>
      <w:r w:rsidRPr="00F43F79">
        <w:rPr>
          <w:sz w:val="18"/>
          <w:szCs w:val="18"/>
        </w:rPr>
        <w:fldChar w:fldCharType="end"/>
      </w:r>
    </w:p>
  </w:footnote>
  <w:footnote w:id="80">
    <w:p w14:paraId="432F20ED" w14:textId="047A5F7A" w:rsidR="008A77A6" w:rsidRPr="00C95529"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535643">
        <w:rPr>
          <w:sz w:val="18"/>
          <w:szCs w:val="18"/>
          <w:lang w:val="fr-FR"/>
        </w:rPr>
        <w:t xml:space="preserve"> </w:t>
      </w:r>
      <w:r w:rsidRPr="00F43F79">
        <w:rPr>
          <w:sz w:val="18"/>
          <w:szCs w:val="18"/>
        </w:rPr>
        <w:fldChar w:fldCharType="begin"/>
      </w:r>
      <w:r w:rsidRPr="00535643">
        <w:rPr>
          <w:sz w:val="18"/>
          <w:szCs w:val="18"/>
          <w:lang w:val="fr-FR"/>
        </w:rPr>
        <w:instrText xml:space="preserve"> ADDIN ZOTERO_ITEM CSL_CITATION {"citationID":"P5tmQFOb","properties":{"formattedCitation":"WFCC and others (n 75).","plainCitation":"WFCC and others (n 75).","noteIndex":76},"citationItems":[{"id":670,"uris":["http://zotero.org/users/local/dU5rpCrq/items/X8BIZL77"],"uri":["http://zotero.org/users/local/dU5rpCrq/items/X8BIZL77"],"itemData":{"id":670,"type":"article","multi":{"main":{},"_keys":{}},"title":"Submission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F43F79">
        <w:rPr>
          <w:sz w:val="18"/>
          <w:szCs w:val="18"/>
        </w:rPr>
        <w:fldChar w:fldCharType="separate"/>
      </w:r>
      <w:r w:rsidRPr="00535643">
        <w:rPr>
          <w:sz w:val="18"/>
          <w:szCs w:val="18"/>
          <w:lang w:val="fr-FR"/>
        </w:rPr>
        <w:t>WFCC et al. (n 75).</w:t>
      </w:r>
      <w:r w:rsidRPr="00F43F79">
        <w:rPr>
          <w:sz w:val="18"/>
          <w:szCs w:val="18"/>
        </w:rPr>
        <w:fldChar w:fldCharType="end"/>
      </w:r>
      <w:r w:rsidRPr="00F43F79">
        <w:rPr>
          <w:sz w:val="18"/>
          <w:szCs w:val="18"/>
        </w:rPr>
        <w:fldChar w:fldCharType="begin"/>
      </w:r>
      <w:r w:rsidRPr="00535643">
        <w:rPr>
          <w:sz w:val="18"/>
          <w:szCs w:val="18"/>
          <w:lang w:val="fr-FR"/>
        </w:rPr>
        <w:instrText xml:space="preserve"> ADDIN ZOTERO_ITEM CSL_CITATION {"citationID":"P5tmQFOb","properties":{"formattedCitation":"WFCC and others (n 75).","plainCitation":"WFCC and others (n 75).","noteIndex":76},"citationItems":[{"id":670,"uris":["http://zotero.org/users/local/dU5rpCrq/items/X8BIZL77"],"uri":["http://zotero.org/users/local/dU5rpCrq/items/X8BIZL77"],"itemData":{"id":670,"type":"article","multi":{"main":{},"_keys":{}},"title":"Submission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w:instrText>
      </w:r>
      <w:r w:rsidRPr="008266FD">
        <w:rPr>
          <w:sz w:val="18"/>
          <w:szCs w:val="18"/>
          <w:lang w:val="fr-FR"/>
        </w:rPr>
        <w:instrText xml:space="preserve">:"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F43F79">
        <w:rPr>
          <w:sz w:val="18"/>
          <w:szCs w:val="18"/>
        </w:rPr>
        <w:fldChar w:fldCharType="end"/>
      </w:r>
      <w:r w:rsidRPr="008266FD">
        <w:rPr>
          <w:sz w:val="18"/>
          <w:szCs w:val="18"/>
          <w:lang w:val="fr-FR"/>
        </w:rPr>
        <w:t xml:space="preserve"> </w:t>
      </w:r>
      <w:r w:rsidRPr="001B188D">
        <w:rPr>
          <w:sz w:val="18"/>
          <w:szCs w:val="18"/>
          <w:lang w:val="fr-FR"/>
        </w:rPr>
        <w:t xml:space="preserve">Voir aussi </w:t>
      </w:r>
      <w:r w:rsidRPr="00F43F79">
        <w:rPr>
          <w:sz w:val="18"/>
          <w:szCs w:val="18"/>
        </w:rPr>
        <w:fldChar w:fldCharType="begin"/>
      </w:r>
      <w:r w:rsidRPr="001B188D">
        <w:rPr>
          <w:sz w:val="18"/>
          <w:szCs w:val="18"/>
          <w:lang w:val="fr-FR"/>
        </w:rPr>
        <w:instrText xml:space="preserve"> ADDIN ZOTERO_ITEM CSL_CITATION {"citationID":"WVqgjuEY","properties":{"formattedCitation":"\\uc0\\u8216{}WFCC Members\\uc0\\u8217{} ({\\i{}World Federation for Culture Collections}, no date) &lt;http://www.wfcc.info/index.php/membership/&gt; accessed 28 February 2020.","plainCitation":"‘WFCC Members’ (World Federation for Culture Collections, no date) &lt;http://www.wfcc.info/index.php/membership/&gt; accessed 28 February 2020.","dontUpdate":true,"noteIndex":76},"citationItems":[{"id":671,"uris":["http://zotero.org/users/local/dU5rpCrq/items/YDHLDI6A"],"uri":["http://zotero.org/users/local/dU5rpCrq/items/YDHLDI6A"],"itemData":{"id":671,"type":"webpage","multi":{"main":{},"_keys":{}},"container-title":"World Federation for Culture Collections","title":"WFCC Members","URL":"http://www.wfcc.info/index.php/membership/","accessed":{"date-parts":[["2020",2,28]]},"seeAlso":[]}}],"schema":"https://github.com/citation-style-language/schema/raw/master/csl-citation.json"} </w:instrText>
      </w:r>
      <w:r w:rsidRPr="00F43F79">
        <w:rPr>
          <w:sz w:val="18"/>
          <w:szCs w:val="18"/>
        </w:rPr>
        <w:fldChar w:fldCharType="separate"/>
      </w:r>
      <w:r w:rsidRPr="001B188D">
        <w:rPr>
          <w:sz w:val="18"/>
          <w:szCs w:val="18"/>
          <w:lang w:val="fr-FR"/>
        </w:rPr>
        <w:t>‘</w:t>
      </w:r>
      <w:r>
        <w:rPr>
          <w:sz w:val="18"/>
          <w:szCs w:val="18"/>
          <w:lang w:val="fr-FR"/>
        </w:rPr>
        <w:t>Membres du WFCC</w:t>
      </w:r>
      <w:r w:rsidRPr="001B188D">
        <w:rPr>
          <w:sz w:val="18"/>
          <w:szCs w:val="18"/>
          <w:lang w:val="fr-FR"/>
        </w:rPr>
        <w:t>’ (</w:t>
      </w:r>
      <w:r w:rsidRPr="001B188D">
        <w:rPr>
          <w:i/>
          <w:iCs/>
          <w:sz w:val="18"/>
          <w:szCs w:val="18"/>
          <w:lang w:val="fr-FR"/>
        </w:rPr>
        <w:t>Fédération mondiale des collections de cultures</w:t>
      </w:r>
      <w:r w:rsidRPr="001B188D">
        <w:rPr>
          <w:sz w:val="18"/>
          <w:szCs w:val="18"/>
          <w:lang w:val="fr-FR"/>
        </w:rPr>
        <w:t xml:space="preserve">, </w:t>
      </w:r>
      <w:r>
        <w:rPr>
          <w:sz w:val="18"/>
          <w:szCs w:val="18"/>
          <w:lang w:val="fr-FR"/>
        </w:rPr>
        <w:t>non daté</w:t>
      </w:r>
      <w:r w:rsidRPr="001B188D">
        <w:rPr>
          <w:sz w:val="18"/>
          <w:szCs w:val="18"/>
          <w:lang w:val="fr-FR"/>
        </w:rPr>
        <w:t>) &lt;http:</w:t>
      </w:r>
      <w:r>
        <w:rPr>
          <w:sz w:val="18"/>
          <w:szCs w:val="18"/>
          <w:lang w:val="fr-FR"/>
        </w:rPr>
        <w:t>//www.wfcc.info/index.php/memb</w:t>
      </w:r>
      <w:r w:rsidRPr="001B188D">
        <w:rPr>
          <w:sz w:val="18"/>
          <w:szCs w:val="18"/>
          <w:lang w:val="fr-FR"/>
        </w:rPr>
        <w:t>e</w:t>
      </w:r>
      <w:r>
        <w:rPr>
          <w:sz w:val="18"/>
          <w:szCs w:val="18"/>
          <w:lang w:val="fr-FR"/>
        </w:rPr>
        <w:t>r</w:t>
      </w:r>
      <w:r w:rsidRPr="001B188D">
        <w:rPr>
          <w:sz w:val="18"/>
          <w:szCs w:val="18"/>
          <w:lang w:val="fr-FR"/>
        </w:rPr>
        <w:t>ship/&gt; consulté le 28 février 2020.</w:t>
      </w:r>
      <w:r w:rsidRPr="00F43F79">
        <w:rPr>
          <w:sz w:val="18"/>
          <w:szCs w:val="18"/>
        </w:rPr>
        <w:fldChar w:fldCharType="end"/>
      </w:r>
      <w:r w:rsidRPr="001B188D">
        <w:rPr>
          <w:sz w:val="18"/>
          <w:szCs w:val="18"/>
          <w:lang w:val="fr-FR"/>
        </w:rPr>
        <w:t xml:space="preserve"> </w:t>
      </w:r>
      <w:r w:rsidRPr="00C95529">
        <w:rPr>
          <w:sz w:val="18"/>
          <w:szCs w:val="18"/>
          <w:lang w:val="fr-FR"/>
        </w:rPr>
        <w:t xml:space="preserve">(“768 collections de cultures </w:t>
      </w:r>
      <w:r>
        <w:rPr>
          <w:sz w:val="18"/>
          <w:szCs w:val="18"/>
          <w:lang w:val="fr-FR"/>
        </w:rPr>
        <w:t>provenant de 76 </w:t>
      </w:r>
      <w:r w:rsidRPr="00C95529">
        <w:rPr>
          <w:sz w:val="18"/>
          <w:szCs w:val="18"/>
          <w:lang w:val="fr-FR"/>
        </w:rPr>
        <w:t xml:space="preserve">pays </w:t>
      </w:r>
      <w:r>
        <w:rPr>
          <w:sz w:val="18"/>
          <w:szCs w:val="18"/>
          <w:lang w:val="fr-FR"/>
        </w:rPr>
        <w:t>ont été enregistrées auprès du</w:t>
      </w:r>
      <w:r w:rsidRPr="00C95529">
        <w:rPr>
          <w:sz w:val="18"/>
          <w:szCs w:val="18"/>
          <w:lang w:val="fr-FR"/>
        </w:rPr>
        <w:t xml:space="preserve"> WDCM-CCINFO</w:t>
      </w:r>
      <w:r>
        <w:rPr>
          <w:sz w:val="18"/>
          <w:szCs w:val="18"/>
          <w:lang w:val="fr-FR"/>
        </w:rPr>
        <w:t xml:space="preserve">, dont </w:t>
      </w:r>
      <w:r w:rsidRPr="00C95529">
        <w:rPr>
          <w:sz w:val="18"/>
          <w:szCs w:val="18"/>
          <w:lang w:val="fr-FR"/>
        </w:rPr>
        <w:t xml:space="preserve">131 </w:t>
      </w:r>
      <w:r>
        <w:rPr>
          <w:sz w:val="18"/>
          <w:szCs w:val="18"/>
          <w:lang w:val="fr-FR"/>
        </w:rPr>
        <w:t>d’entre elles ont été enregistrées auprès du WFCC par des</w:t>
      </w:r>
      <w:r w:rsidRPr="00C95529">
        <w:rPr>
          <w:sz w:val="18"/>
          <w:szCs w:val="18"/>
          <w:lang w:val="fr-FR"/>
        </w:rPr>
        <w:t xml:space="preserve"> membres</w:t>
      </w:r>
      <w:r>
        <w:rPr>
          <w:sz w:val="18"/>
          <w:szCs w:val="18"/>
          <w:lang w:val="fr-FR"/>
        </w:rPr>
        <w:t xml:space="preserve"> affiliés venant de</w:t>
      </w:r>
      <w:r w:rsidRPr="00C95529">
        <w:rPr>
          <w:sz w:val="18"/>
          <w:szCs w:val="18"/>
          <w:lang w:val="fr-FR"/>
        </w:rPr>
        <w:t xml:space="preserve"> 49 pays</w:t>
      </w:r>
      <w:r>
        <w:rPr>
          <w:sz w:val="18"/>
          <w:szCs w:val="18"/>
          <w:lang w:val="fr-FR"/>
        </w:rPr>
        <w:t xml:space="preserve">, comprenant un </w:t>
      </w:r>
      <w:r w:rsidRPr="00C95529">
        <w:rPr>
          <w:sz w:val="18"/>
          <w:szCs w:val="18"/>
          <w:lang w:val="fr-FR"/>
        </w:rPr>
        <w:t xml:space="preserve">total </w:t>
      </w:r>
      <w:r>
        <w:rPr>
          <w:sz w:val="18"/>
          <w:szCs w:val="18"/>
          <w:lang w:val="fr-FR"/>
        </w:rPr>
        <w:t xml:space="preserve">de </w:t>
      </w:r>
      <w:r w:rsidRPr="00C95529">
        <w:rPr>
          <w:sz w:val="18"/>
          <w:szCs w:val="18"/>
          <w:lang w:val="fr-FR"/>
        </w:rPr>
        <w:t xml:space="preserve">966 </w:t>
      </w:r>
      <w:r>
        <w:rPr>
          <w:sz w:val="18"/>
          <w:szCs w:val="18"/>
          <w:lang w:val="fr-FR"/>
        </w:rPr>
        <w:t>utilisateurs inscrits</w:t>
      </w:r>
      <w:r w:rsidRPr="00C95529">
        <w:rPr>
          <w:sz w:val="18"/>
          <w:szCs w:val="18"/>
          <w:lang w:val="fr-FR"/>
        </w:rPr>
        <w:t>”).</w:t>
      </w:r>
    </w:p>
  </w:footnote>
  <w:footnote w:id="81">
    <w:p w14:paraId="020F03C9" w14:textId="224A6E64"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{"citationID":"1sUzYrM3","properties":{"formattedCitation":"WFCC, {\\i{}Guidelines for the Establishment and Operation of Collections of Cultures of Microorganisms} (3rd edn, WFCC 2010) para 17.6.","plainCitation":"WFCC, Guidelines for the Establishment and Operation of Collections of Cultures of Microorganisms (3rd edn, WFCC 2010) para 17.6.","noteIndex":77},"citationItems":[{"id":587,"uris":["http://zotero.org/users/local/dU5rpCrq/items/PT33UM9D"],"uri":["http://zotero.org/users/local/dU5rpCrq/items/PT33UM9D"],"itemData":{"id":587,"type":"book","multi":{"main":{},"_keys":{}},"edition":"3","publisher":"WFCC","title":"Guidelines for the Establishment and Operation of Collections of Cultures of Microorganisms","author":[{"family":"WFCC","given":"","literal":"WFCC","multi":{"_key":{}}}],"issued":{"date-parts":[["2010"]]},"seeAlso":[]},"locator":"17.6","label":"paragraph"}],"schema":"https://github.com/citation-style-language/schema/raw/master/csl-citation.json"} </w:instrText>
      </w:r>
      <w:r w:rsidRPr="00F43F79">
        <w:rPr>
          <w:sz w:val="18"/>
          <w:szCs w:val="18"/>
        </w:rPr>
        <w:fldChar w:fldCharType="separate"/>
      </w:r>
      <w:r w:rsidRPr="00F43F79">
        <w:rPr>
          <w:sz w:val="18"/>
          <w:szCs w:val="18"/>
        </w:rPr>
        <w:t xml:space="preserve">WFCC, </w:t>
      </w:r>
      <w:r w:rsidRPr="00F43F79">
        <w:rPr>
          <w:i/>
          <w:iCs/>
          <w:sz w:val="18"/>
          <w:szCs w:val="18"/>
        </w:rPr>
        <w:t>Guidelines for the Establishment</w:t>
      </w:r>
      <w:r>
        <w:rPr>
          <w:i/>
          <w:iCs/>
          <w:sz w:val="18"/>
          <w:szCs w:val="18"/>
        </w:rPr>
        <w:t xml:space="preserve"> and </w:t>
      </w:r>
      <w:r w:rsidRPr="00F43F79">
        <w:rPr>
          <w:i/>
          <w:iCs/>
          <w:sz w:val="18"/>
          <w:szCs w:val="18"/>
        </w:rPr>
        <w:t>Operation of Collections of Cultures of Micro</w:t>
      </w:r>
      <w:r>
        <w:rPr>
          <w:i/>
          <w:iCs/>
          <w:sz w:val="18"/>
          <w:szCs w:val="18"/>
        </w:rPr>
        <w:t>organisms</w:t>
      </w:r>
      <w:r w:rsidRPr="00F43F79">
        <w:rPr>
          <w:sz w:val="18"/>
          <w:szCs w:val="18"/>
        </w:rPr>
        <w:t xml:space="preserve"> (3rd edn, WFCC 2010) para 17.6.</w:t>
      </w:r>
      <w:r w:rsidRPr="00F43F79">
        <w:rPr>
          <w:sz w:val="18"/>
          <w:szCs w:val="18"/>
        </w:rPr>
        <w:fldChar w:fldCharType="end"/>
      </w:r>
    </w:p>
  </w:footnote>
  <w:footnote w:id="82">
    <w:p w14:paraId="1510E7C6" w14:textId="0D3A9A1A"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{"citationID":"W4Mw7osg","properties":{"formattedCitation":"Jerome H Reichman and others, {\\i{}Governing Digitally Integrated Genetic Resources, Data, and Literature: Global Intellectual Property Strategies for a Redesigned Microbial Research Commons} (Cambridge University Press 2016) 169.","plainCitation":"Jerome H Reichman and others, Governing Digitally Integrated Genetic Resources, Data, and Literature: Global Intellectual Property Strategies for a Redesigned Microbial Research Commons (Cambridge University Press 2016) 169.","noteIndex":78},"citationItems":[{"id":585,"uris":["http://zotero.org/users/local/dU5rpCrq/items/2326D6KA"],"uri":["http://zotero.org/users/local/dU5rpCrq/items/2326D6KA"],"itemData":{"id":585,"type":"book","multi":{"main":{},"_keys":{}},"language":"en","note":"Cambridge Core - Intellectual Property - Governing Digitally Integrated Genetic Resources, Data, and Literature -  by Jerome H. Reichman\nDOI: 10.1017/CBO9781139128957","publisher":"Cambridge University Press","title":"Governing Digitally Integrated Genetic Resources, Data, and Literature: Global Intellectual Property Strategies for a Redesigned Microbial Research Commons","title-short":"Governing Digitally Integrated Genetic Resources, Data, and Literature","author":[{"family":"Reichman","given":"Jerome H.","multi":{"_key":{}}},{"family":"Uhlir","given":"Paul F.","multi":{"_key":{}}},{"family":"Dedeurwaerdere","given":"Tom","multi":{"_key":{}}}],"accessed":{"date-parts":[["2020",2,28]]},"issued":{"date-parts":[["2016"]]},"seeAlso":[]},"locator":"169"}],"schema":"https://github.com/citation-style-language/schema/raw/master/csl-citation.json"} </w:instrText>
      </w:r>
      <w:r w:rsidRPr="00F43F79">
        <w:rPr>
          <w:sz w:val="18"/>
          <w:szCs w:val="18"/>
        </w:rPr>
        <w:fldChar w:fldCharType="separate"/>
      </w:r>
      <w:r w:rsidRPr="00F43F79">
        <w:rPr>
          <w:sz w:val="18"/>
          <w:szCs w:val="18"/>
        </w:rPr>
        <w:t>Jerome H Reichman</w:t>
      </w:r>
      <w:r>
        <w:rPr>
          <w:sz w:val="18"/>
          <w:szCs w:val="18"/>
        </w:rPr>
        <w:t xml:space="preserve"> et al.</w:t>
      </w:r>
      <w:r w:rsidRPr="00F43F79">
        <w:rPr>
          <w:sz w:val="18"/>
          <w:szCs w:val="18"/>
        </w:rPr>
        <w:t xml:space="preserve">, </w:t>
      </w:r>
      <w:r>
        <w:rPr>
          <w:i/>
          <w:iCs/>
          <w:sz w:val="18"/>
          <w:szCs w:val="18"/>
        </w:rPr>
        <w:t>Governing Digitally Integrated Genetic Resources, Data, and Literature: Global Intellectual Property Strategies for a Redesigned Microbial Research Commons</w:t>
      </w:r>
      <w:r w:rsidRPr="00F43F79">
        <w:rPr>
          <w:sz w:val="18"/>
          <w:szCs w:val="18"/>
        </w:rPr>
        <w:t xml:space="preserve"> (Cambridge University Press 2016) 169.</w:t>
      </w:r>
      <w:r w:rsidRPr="00F43F79">
        <w:rPr>
          <w:sz w:val="18"/>
          <w:szCs w:val="18"/>
        </w:rPr>
        <w:fldChar w:fldCharType="end"/>
      </w:r>
    </w:p>
  </w:footnote>
  <w:footnote w:id="83">
    <w:p w14:paraId="449861C9" w14:textId="0F0366C1" w:rsidR="008A77A6" w:rsidRPr="008C7343"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9E5D4F">
        <w:rPr>
          <w:sz w:val="18"/>
          <w:szCs w:val="18"/>
          <w:lang w:val="en-AU"/>
        </w:rPr>
        <w:t xml:space="preserve"> </w:t>
      </w:r>
      <w:r w:rsidRPr="00F43F79">
        <w:rPr>
          <w:sz w:val="18"/>
          <w:szCs w:val="18"/>
        </w:rPr>
        <w:fldChar w:fldCharType="begin"/>
      </w:r>
      <w:r w:rsidRPr="009E5D4F">
        <w:rPr>
          <w:sz w:val="18"/>
          <w:szCs w:val="18"/>
          <w:lang w:val="en-AU"/>
        </w:rPr>
        <w:instrText xml:space="preserve"> ADDIN ZOTERO_ITEM CSL_CITATION {"citationID":"qeapGjqU","properties":{"formattedCitation":"ibid.","plainCitation":"ibid.","noteIndex":79},"citationItems":[{"id":585,"uris":["http://zotero.org/users/local/dU5rpCrq/items/2326D6KA"],"uri":["http://zotero.org/users/local/dU5rpCrq/items/2326D6KA"],"itemData":{"id":585,"type":"book","multi":{"main":{},"_keys":{}},"language":"en","note":"Cambridge Core - Intellectual Property - Governing Digitally Integrated Genetic Resources, Data, and Literature -  by Jerome H. Reichman\nDOI: 10.1017/CBO9781139128957","publisher":"Cambridge University Press","title":"Governing Digitally Integrated Genetic Resources, Data, and Literature: Global Intellectual Property Strategies for a Redesigned Microbial Research Commons","title-short":"Governing Digitally Integrated Genetic Resources, Data, and Literature","author":[{"family":"Reichman","given":"Jerome H.","multi":{"_key":{}}},{"family":"Uhlir","given":"Paul F.","multi":{"_key":{}}},{"family":"Dedeurwaerdere","given":"Tom","multi":{"_key":{}}}],"accessed":{"date-parts":[["2020",2,28]]},"issued":{"date-parts":[["2016"]]},"seeAlso":[]},"locator":"169"}],"schema":"https://github.com/citation-style-language/schema/raw/master/csl-citation.json"} </w:instrText>
      </w:r>
      <w:r w:rsidRPr="00F43F79">
        <w:rPr>
          <w:sz w:val="18"/>
          <w:szCs w:val="18"/>
        </w:rPr>
        <w:fldChar w:fldCharType="separate"/>
      </w:r>
      <w:r w:rsidRPr="009E5D4F">
        <w:rPr>
          <w:sz w:val="18"/>
          <w:szCs w:val="18"/>
          <w:lang w:val="en-AU"/>
        </w:rPr>
        <w:t>Ibid.</w:t>
      </w:r>
      <w:r w:rsidRPr="00F43F79">
        <w:rPr>
          <w:sz w:val="18"/>
          <w:szCs w:val="18"/>
        </w:rPr>
        <w:fldChar w:fldCharType="end"/>
      </w:r>
      <w:r w:rsidRPr="009E5D4F">
        <w:rPr>
          <w:sz w:val="18"/>
          <w:szCs w:val="18"/>
          <w:lang w:val="en-AU"/>
        </w:rPr>
        <w:t xml:space="preserve"> </w:t>
      </w:r>
      <w:r w:rsidRPr="008C7343">
        <w:rPr>
          <w:sz w:val="18"/>
          <w:szCs w:val="18"/>
          <w:lang w:val="en-AU"/>
        </w:rPr>
        <w:t xml:space="preserve">Voir aussi, Gerard Verkley et al., ‘New ECCO model documents for Material Deposit and Transfer Agreements in compliance with the Nagoya Protocol’, FEMS Microbiology Letters (2020)  367(5) </w:t>
      </w:r>
      <w:hyperlink r:id="rId3" w:history="1">
        <w:r w:rsidRPr="008C7343">
          <w:rPr>
            <w:rStyle w:val="Hyperlink"/>
            <w:color w:val="auto"/>
            <w:sz w:val="18"/>
            <w:szCs w:val="18"/>
            <w:lang w:val="en-AU"/>
          </w:rPr>
          <w:t>https://doi.org/10.1093/femsle/fnaa044</w:t>
        </w:r>
      </w:hyperlink>
      <w:r w:rsidRPr="008C7343">
        <w:rPr>
          <w:sz w:val="18"/>
          <w:szCs w:val="18"/>
          <w:lang w:val="en-AU"/>
        </w:rPr>
        <w:t>.</w:t>
      </w:r>
    </w:p>
  </w:footnote>
  <w:footnote w:id="84">
    <w:p w14:paraId="464E178C" w14:textId="1BC66B34" w:rsidR="008A77A6"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05750E">
        <w:rPr>
          <w:sz w:val="18"/>
          <w:szCs w:val="18"/>
          <w:lang w:val="fr-FR"/>
        </w:rPr>
        <w:t xml:space="preserve"> </w:t>
      </w:r>
      <w:r w:rsidRPr="00F43F79">
        <w:rPr>
          <w:sz w:val="18"/>
          <w:szCs w:val="18"/>
        </w:rPr>
        <w:fldChar w:fldCharType="begin"/>
      </w:r>
      <w:r w:rsidRPr="0005750E">
        <w:rPr>
          <w:sz w:val="18"/>
          <w:szCs w:val="18"/>
          <w:lang w:val="fr-FR"/>
        </w:rPr>
        <w:instrText xml:space="preserve"> ADDIN ZOTERO_ITEM CSL_CITATION {"citationID":"AjViKBwc","properties":{"formattedCitation":"WFCC and others (n 75).","plainCitation":"WFCC and others (n 75).","noteIndex":80},"citationItems":[{"id":670,"uris":["http://zotero.org/users/local/dU5rpCrq/items/X8BIZL77"],"uri":["http://zotero.org/users/local/dU5rpCrq/items/X8BIZL77"],"itemData":{"id":670,"type":"article","multi":{"main":{},"_keys":{}},"title":"Submission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F43F79">
        <w:rPr>
          <w:sz w:val="18"/>
          <w:szCs w:val="18"/>
        </w:rPr>
        <w:fldChar w:fldCharType="separate"/>
      </w:r>
      <w:r w:rsidRPr="0005750E">
        <w:rPr>
          <w:sz w:val="18"/>
          <w:szCs w:val="18"/>
          <w:lang w:val="fr-FR"/>
        </w:rPr>
        <w:t>WFCC et al. (n 75).</w:t>
      </w:r>
      <w:r w:rsidRPr="00F43F79">
        <w:rPr>
          <w:sz w:val="18"/>
          <w:szCs w:val="18"/>
        </w:rPr>
        <w:fldChar w:fldCharType="end"/>
      </w:r>
      <w:r w:rsidRPr="0005750E">
        <w:rPr>
          <w:sz w:val="18"/>
          <w:szCs w:val="18"/>
          <w:lang w:val="fr-FR"/>
        </w:rPr>
        <w:t xml:space="preserve">  </w:t>
      </w:r>
      <w:r>
        <w:rPr>
          <w:sz w:val="18"/>
          <w:szCs w:val="18"/>
          <w:lang w:val="fr-FR"/>
        </w:rPr>
        <w:t>En effet, dans le cadre du processus suivi pour devenir une c</w:t>
      </w:r>
      <w:r w:rsidRPr="00C95529">
        <w:rPr>
          <w:sz w:val="18"/>
          <w:szCs w:val="18"/>
          <w:lang w:val="fr-FR"/>
        </w:rPr>
        <w:t>ollection e</w:t>
      </w:r>
      <w:r>
        <w:rPr>
          <w:sz w:val="18"/>
          <w:szCs w:val="18"/>
          <w:lang w:val="fr-FR"/>
        </w:rPr>
        <w:t xml:space="preserve">nregistrée, en vertu </w:t>
      </w:r>
      <w:r w:rsidRPr="00C95529">
        <w:rPr>
          <w:sz w:val="18"/>
          <w:szCs w:val="18"/>
          <w:lang w:val="fr-FR"/>
        </w:rPr>
        <w:t xml:space="preserve">du Règlement UE 511/2014, </w:t>
      </w:r>
      <w:r>
        <w:rPr>
          <w:sz w:val="18"/>
          <w:szCs w:val="18"/>
          <w:lang w:val="fr-FR"/>
        </w:rPr>
        <w:t>le DSMZ de l’Institut L</w:t>
      </w:r>
      <w:r w:rsidRPr="00C95529">
        <w:rPr>
          <w:sz w:val="18"/>
          <w:szCs w:val="18"/>
          <w:lang w:val="fr-FR"/>
        </w:rPr>
        <w:t>e</w:t>
      </w:r>
      <w:r>
        <w:rPr>
          <w:sz w:val="18"/>
          <w:szCs w:val="18"/>
          <w:lang w:val="fr-FR"/>
        </w:rPr>
        <w:t>ibniz</w:t>
      </w:r>
      <w:r w:rsidRPr="00C95529">
        <w:rPr>
          <w:sz w:val="18"/>
          <w:szCs w:val="18"/>
          <w:lang w:val="fr-FR"/>
        </w:rPr>
        <w:t xml:space="preserve"> </w:t>
      </w:r>
      <w:r>
        <w:rPr>
          <w:sz w:val="18"/>
          <w:szCs w:val="18"/>
          <w:lang w:val="fr-FR"/>
        </w:rPr>
        <w:t xml:space="preserve">procède à des vérifications strictes concernant les dépositaires, avant d’accepter des nouveaux dépôts. On a ainsi observé une réduction de </w:t>
      </w:r>
      <w:r w:rsidRPr="00C95529">
        <w:rPr>
          <w:sz w:val="18"/>
          <w:szCs w:val="18"/>
          <w:lang w:val="fr-FR"/>
        </w:rPr>
        <w:t>20% des dép</w:t>
      </w:r>
      <w:r>
        <w:rPr>
          <w:sz w:val="18"/>
          <w:szCs w:val="18"/>
          <w:lang w:val="fr-FR"/>
        </w:rPr>
        <w:t>ôts de spécimens</w:t>
      </w:r>
      <w:r w:rsidRPr="00C95529">
        <w:rPr>
          <w:sz w:val="18"/>
          <w:szCs w:val="18"/>
          <w:lang w:val="fr-FR"/>
        </w:rPr>
        <w:t>. E</w:t>
      </w:r>
      <w:r>
        <w:rPr>
          <w:sz w:val="18"/>
          <w:szCs w:val="18"/>
          <w:lang w:val="fr-FR"/>
        </w:rPr>
        <w:t>n conséquence</w:t>
      </w:r>
      <w:r w:rsidRPr="00C95529">
        <w:rPr>
          <w:sz w:val="18"/>
          <w:szCs w:val="18"/>
          <w:lang w:val="fr-FR"/>
        </w:rPr>
        <w:t xml:space="preserve">, </w:t>
      </w:r>
      <w:r>
        <w:rPr>
          <w:sz w:val="18"/>
          <w:szCs w:val="18"/>
          <w:lang w:val="fr-FR"/>
        </w:rPr>
        <w:t xml:space="preserve">les </w:t>
      </w:r>
      <w:r w:rsidRPr="00C95529">
        <w:rPr>
          <w:sz w:val="18"/>
          <w:szCs w:val="18"/>
          <w:lang w:val="fr-FR"/>
        </w:rPr>
        <w:t>collections de cultures</w:t>
      </w:r>
      <w:r>
        <w:rPr>
          <w:sz w:val="18"/>
          <w:szCs w:val="18"/>
          <w:lang w:val="fr-FR"/>
        </w:rPr>
        <w:t xml:space="preserve"> qui souhaitent appliquer rigoureusement les principes consacrés dans le </w:t>
      </w:r>
      <w:r w:rsidRPr="00C95529">
        <w:rPr>
          <w:sz w:val="18"/>
          <w:szCs w:val="18"/>
          <w:lang w:val="fr-FR"/>
        </w:rPr>
        <w:t xml:space="preserve">Protocole de Nagoya </w:t>
      </w:r>
      <w:r>
        <w:rPr>
          <w:sz w:val="18"/>
          <w:szCs w:val="18"/>
          <w:lang w:val="fr-FR"/>
        </w:rPr>
        <w:t>font face à un dilemme, ayant à choisir entre la poursuite d’une collecte scientifique de nouveaux composants de la biodiversité, et le respect de dispositions juridiquement contraignantes du Protocole de Nagoya</w:t>
      </w:r>
      <w:r w:rsidRPr="00C95529">
        <w:rPr>
          <w:sz w:val="18"/>
          <w:szCs w:val="18"/>
          <w:lang w:val="fr-FR"/>
        </w:rPr>
        <w:t xml:space="preserve">. </w:t>
      </w:r>
      <w:r w:rsidRPr="00FB033A">
        <w:rPr>
          <w:sz w:val="18"/>
          <w:szCs w:val="18"/>
          <w:lang w:val="fr-FR"/>
        </w:rPr>
        <w:t>Voir</w:t>
      </w:r>
      <w:r>
        <w:rPr>
          <w:sz w:val="18"/>
          <w:szCs w:val="18"/>
          <w:lang w:val="fr-FR"/>
        </w:rPr>
        <w:t> :</w:t>
      </w:r>
    </w:p>
    <w:p w14:paraId="24EC381C" w14:textId="3CEA2330" w:rsidR="008A77A6" w:rsidRPr="00FB033A" w:rsidRDefault="008A77A6" w:rsidP="00F43F79">
      <w:pPr>
        <w:pStyle w:val="FootnoteText"/>
        <w:spacing w:before="20" w:after="20"/>
        <w:ind w:left="284" w:hanging="288"/>
        <w:rPr>
          <w:sz w:val="18"/>
          <w:szCs w:val="18"/>
          <w:lang w:val="fr-FR"/>
        </w:rPr>
      </w:pPr>
      <w:r w:rsidRPr="00FB033A">
        <w:rPr>
          <w:sz w:val="18"/>
          <w:szCs w:val="18"/>
          <w:lang w:val="fr-FR"/>
        </w:rPr>
        <w:t xml:space="preserve"> </w:t>
      </w:r>
      <w:hyperlink r:id="rId4" w:history="1">
        <w:r w:rsidRPr="007C329B">
          <w:rPr>
            <w:rStyle w:val="Hyperlink"/>
            <w:sz w:val="18"/>
            <w:szCs w:val="18"/>
            <w:lang w:val="fr-FR"/>
          </w:rPr>
          <w:t>https://ec.europa.eu/environment/nature/biodiversity/international/abs/pdf/Register-of-Collections.pdf</w:t>
        </w:r>
      </w:hyperlink>
      <w:r w:rsidRPr="00FB033A">
        <w:rPr>
          <w:sz w:val="18"/>
          <w:szCs w:val="18"/>
          <w:lang w:val="fr-FR"/>
        </w:rPr>
        <w:t>.</w:t>
      </w:r>
    </w:p>
  </w:footnote>
  <w:footnote w:id="85">
    <w:p w14:paraId="244AD93E" w14:textId="30699541" w:rsidR="008A77A6" w:rsidRPr="00D05EB8"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D05EB8">
        <w:rPr>
          <w:sz w:val="18"/>
          <w:szCs w:val="18"/>
          <w:lang w:val="fr-FR"/>
        </w:rPr>
        <w:t xml:space="preserve"> Voir </w:t>
      </w:r>
      <w:r w:rsidRPr="00F43F79">
        <w:rPr>
          <w:sz w:val="18"/>
          <w:szCs w:val="18"/>
        </w:rPr>
        <w:fldChar w:fldCharType="begin"/>
      </w:r>
      <w:r w:rsidRPr="00D05EB8">
        <w:rPr>
          <w:sz w:val="18"/>
          <w:szCs w:val="18"/>
          <w:lang w:val="fr-FR"/>
        </w:rPr>
        <w:instrText xml:space="preserve"> ADDIN ZOTERO_ITEM CSL_CITATION {"citationID":"ygPPxzJO","properties":{"formattedCitation":"Botanic Gardens Conservation International, \\uc0\\u8216{}GardenSearch\\uc0\\u8217{} (no date) &lt;https://tools.bgci.org/garden_search.php&gt; accessed 28 February 2020","plainCitation":"Botanic Gardens Conservation International, ‘GardenSearch’ (no date) &lt;https://tools.bgci.org/garden_search.php&gt; accessed 28 February 2020","noteIndex":81,"suppress-trailing-punctuation":true},"citationItems":[{"id":672,"uris":["http://zotero.org/users/local/dU5rpCrq/items/85Y6ZTQP"],"uri":["http://zotero.org/users/local/dU5rpCrq/items/85Y6ZTQP"],"itemData":{"id":672,"type":"webpage","multi":{"main":{},"_keys":{}},"title":"GardenSearch","URL":"https://tools.bgci.org/garden_search.php","author":[{"family":"Botanic Gardens Conservation International","given":"","literal":"Botanic Gardens Conservation International","multi":{"_key":{}}}],"accessed":{"date-parts":[["2020",2,28]]},"seeAlso":[]}}],"schema":"https://github.com/citation-style-language/schema/raw/master/csl-citation.json"} </w:instrText>
      </w:r>
      <w:r w:rsidRPr="00F43F79">
        <w:rPr>
          <w:sz w:val="18"/>
          <w:szCs w:val="18"/>
        </w:rPr>
        <w:fldChar w:fldCharType="separate"/>
      </w:r>
      <w:r>
        <w:rPr>
          <w:sz w:val="18"/>
          <w:szCs w:val="18"/>
          <w:lang w:val="fr-FR"/>
        </w:rPr>
        <w:t>Botanic Gardens</w:t>
      </w:r>
      <w:r w:rsidRPr="00D05EB8">
        <w:rPr>
          <w:sz w:val="18"/>
          <w:szCs w:val="18"/>
          <w:lang w:val="fr-FR"/>
        </w:rPr>
        <w:t xml:space="preserve"> Conservation International, ‘GardenSearch’ (</w:t>
      </w:r>
      <w:r>
        <w:rPr>
          <w:sz w:val="18"/>
          <w:szCs w:val="18"/>
          <w:lang w:val="fr-FR"/>
        </w:rPr>
        <w:t>non daté</w:t>
      </w:r>
      <w:r w:rsidRPr="00D05EB8">
        <w:rPr>
          <w:sz w:val="18"/>
          <w:szCs w:val="18"/>
          <w:lang w:val="fr-FR"/>
        </w:rPr>
        <w:t>) &lt;https://</w:t>
      </w:r>
      <w:r>
        <w:rPr>
          <w:sz w:val="18"/>
          <w:szCs w:val="18"/>
          <w:lang w:val="fr-FR"/>
        </w:rPr>
        <w:t>tools</w:t>
      </w:r>
      <w:r w:rsidRPr="00D05EB8">
        <w:rPr>
          <w:sz w:val="18"/>
          <w:szCs w:val="18"/>
          <w:lang w:val="fr-FR"/>
        </w:rPr>
        <w:t>.bgci.org/garden_search.php&gt; consulté le 28 février 2020</w:t>
      </w:r>
      <w:r w:rsidRPr="00F43F79">
        <w:rPr>
          <w:sz w:val="18"/>
          <w:szCs w:val="18"/>
        </w:rPr>
        <w:fldChar w:fldCharType="end"/>
      </w:r>
      <w:r>
        <w:rPr>
          <w:sz w:val="18"/>
          <w:szCs w:val="18"/>
          <w:lang w:val="fr-FR"/>
        </w:rPr>
        <w:t xml:space="preserve"> (cité dans</w:t>
      </w:r>
      <w:r w:rsidRPr="00D05EB8">
        <w:rPr>
          <w:sz w:val="18"/>
          <w:szCs w:val="18"/>
          <w:lang w:val="fr-FR"/>
        </w:rPr>
        <w:t xml:space="preserve"> </w:t>
      </w:r>
      <w:r w:rsidRPr="00F43F79">
        <w:rPr>
          <w:sz w:val="18"/>
          <w:szCs w:val="18"/>
        </w:rPr>
        <w:fldChar w:fldCharType="begin"/>
      </w:r>
      <w:r w:rsidRPr="00D05EB8">
        <w:rPr>
          <w:sz w:val="18"/>
          <w:szCs w:val="18"/>
          <w:lang w:val="fr-FR"/>
        </w:rPr>
        <w:instrText xml:space="preserve"> ADDIN ZOTERO_ITEM CSL_CITATION {"citationID":"A0x6QEH8","properties":{"formattedCitation":"Davis and others (n 75) 14.","plainCitation":"Davis and others (n 75) 14.","noteIndex":81},"citationItems":[{"id":588,"uris":["http://zotero.org/users/local/dU5rpCrq/items/T8BRS95Y"],"uri":["http://zotero.org/users/local/dU5rpCrq/items/T8BRS95Y"],"itemData":{"id":588,"type":"paper-conference","multi":{"main":{},"_keys":{}},"event":"International Workshop on The Role to be Played by Biological Collections Under the Nagoya Protocol","event-place":"Brasilia, Brazil","publisher-place":"Brasilia, Brazil","title":"Ex situ collections and the Nagoya Protocol: A briefing on the exchange of specimens between European and Brazilian ex situ collections, and the state of the art of relevant ABS practices","author":[{"family":"Davis","given":"Kate","multi":{"_key":{}}},{"family":"Fontes","given":"Eliana","multi":{"_key":{}}},{"family":"Marinoni","given":"Luciane","multi":{"_key":{}}}],"issued":{"date-parts":[["2013"]]},"event-date":{"date-parts":[["2013",6,18],[2013,6,20]]},"seeAlso":[]},"locator":"14"}],"schema":"https://github.com/citation-style-language/schema/raw/master/csl-citation.json"} </w:instrText>
      </w:r>
      <w:r w:rsidRPr="00F43F79">
        <w:rPr>
          <w:sz w:val="18"/>
          <w:szCs w:val="18"/>
        </w:rPr>
        <w:fldChar w:fldCharType="separate"/>
      </w:r>
      <w:r w:rsidRPr="00D05EB8">
        <w:rPr>
          <w:sz w:val="18"/>
          <w:szCs w:val="18"/>
          <w:lang w:val="fr-FR"/>
        </w:rPr>
        <w:t xml:space="preserve">Davis </w:t>
      </w:r>
      <w:r>
        <w:rPr>
          <w:sz w:val="18"/>
          <w:szCs w:val="18"/>
          <w:lang w:val="fr-FR"/>
        </w:rPr>
        <w:t>et al.</w:t>
      </w:r>
      <w:r w:rsidRPr="00D05EB8">
        <w:rPr>
          <w:sz w:val="18"/>
          <w:szCs w:val="18"/>
          <w:lang w:val="fr-FR"/>
        </w:rPr>
        <w:t xml:space="preserve"> (n 75) 14).</w:t>
      </w:r>
      <w:r w:rsidRPr="00F43F79">
        <w:rPr>
          <w:sz w:val="18"/>
          <w:szCs w:val="18"/>
        </w:rPr>
        <w:fldChar w:fldCharType="end"/>
      </w:r>
    </w:p>
  </w:footnote>
  <w:footnote w:id="86">
    <w:p w14:paraId="667CF610" w14:textId="01524767" w:rsidR="008A77A6" w:rsidRPr="0002675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02675E">
        <w:rPr>
          <w:sz w:val="18"/>
          <w:szCs w:val="18"/>
          <w:lang w:val="fr-FR"/>
        </w:rPr>
        <w:t xml:space="preserve"> Ibid. </w:t>
      </w:r>
    </w:p>
  </w:footnote>
  <w:footnote w:id="87">
    <w:p w14:paraId="43AF1BF8" w14:textId="1B99D8E5" w:rsidR="008A77A6" w:rsidRPr="006A6E74" w:rsidRDefault="008A77A6" w:rsidP="00F43F79">
      <w:pPr>
        <w:pStyle w:val="FootnoteText"/>
        <w:spacing w:before="20" w:after="20"/>
        <w:ind w:left="284" w:hanging="284"/>
        <w:rPr>
          <w:sz w:val="18"/>
          <w:szCs w:val="18"/>
          <w:lang w:val="fr-FR"/>
        </w:rPr>
      </w:pPr>
      <w:r w:rsidRPr="00F43F79">
        <w:rPr>
          <w:rStyle w:val="FootnoteReference"/>
          <w:sz w:val="18"/>
          <w:szCs w:val="18"/>
        </w:rPr>
        <w:footnoteRef/>
      </w:r>
      <w:r w:rsidRPr="008266FD">
        <w:rPr>
          <w:sz w:val="18"/>
          <w:szCs w:val="18"/>
          <w:lang w:val="fr-FR"/>
        </w:rPr>
        <w:t xml:space="preserve"> Il convient de noter que 98,5% des membres de l’</w:t>
      </w:r>
      <w:r>
        <w:rPr>
          <w:sz w:val="18"/>
          <w:szCs w:val="18"/>
          <w:lang w:val="fr-FR"/>
        </w:rPr>
        <w:t>IPEN se situent dans l’hémisphère nord, et que</w:t>
      </w:r>
      <w:r w:rsidRPr="008266FD">
        <w:rPr>
          <w:sz w:val="18"/>
          <w:szCs w:val="18"/>
          <w:lang w:val="fr-FR"/>
        </w:rPr>
        <w:t xml:space="preserve"> 97% de ses membres</w:t>
      </w:r>
      <w:r>
        <w:rPr>
          <w:sz w:val="18"/>
          <w:szCs w:val="18"/>
          <w:lang w:val="fr-FR"/>
        </w:rPr>
        <w:t xml:space="preserve"> se trouvent en Europe occidentale, centrale ou orientale</w:t>
      </w:r>
      <w:r w:rsidRPr="008266FD">
        <w:rPr>
          <w:sz w:val="18"/>
          <w:szCs w:val="18"/>
          <w:lang w:val="fr-FR"/>
        </w:rPr>
        <w:t xml:space="preserve">. </w:t>
      </w:r>
      <w:r w:rsidRPr="006A6E74">
        <w:rPr>
          <w:sz w:val="18"/>
          <w:szCs w:val="18"/>
          <w:lang w:val="fr-FR"/>
        </w:rPr>
        <w:t>Voir</w:t>
      </w:r>
      <w:r>
        <w:rPr>
          <w:sz w:val="18"/>
          <w:szCs w:val="18"/>
          <w:lang w:val="fr-FR"/>
        </w:rPr>
        <w:t xml:space="preserve"> la</w:t>
      </w:r>
      <w:r w:rsidRPr="006A6E74">
        <w:rPr>
          <w:sz w:val="18"/>
          <w:szCs w:val="18"/>
          <w:lang w:val="fr-FR"/>
        </w:rPr>
        <w:t xml:space="preserve"> ‘List</w:t>
      </w:r>
      <w:r>
        <w:rPr>
          <w:sz w:val="18"/>
          <w:szCs w:val="18"/>
          <w:lang w:val="fr-FR"/>
        </w:rPr>
        <w:t xml:space="preserve">e des jardins botaniques enregistrés </w:t>
      </w:r>
      <w:r w:rsidRPr="006A6E74">
        <w:rPr>
          <w:sz w:val="18"/>
          <w:szCs w:val="18"/>
          <w:lang w:val="fr-FR"/>
        </w:rPr>
        <w:t>(IPE</w:t>
      </w:r>
      <w:r>
        <w:rPr>
          <w:sz w:val="18"/>
          <w:szCs w:val="18"/>
          <w:lang w:val="fr-FR"/>
        </w:rPr>
        <w:t>N)</w:t>
      </w:r>
      <w:r w:rsidRPr="006A6E74">
        <w:rPr>
          <w:sz w:val="18"/>
          <w:szCs w:val="18"/>
          <w:lang w:val="fr-FR"/>
        </w:rPr>
        <w:t>’ (</w:t>
      </w:r>
      <w:r w:rsidRPr="006A6E74">
        <w:rPr>
          <w:i/>
          <w:iCs/>
          <w:sz w:val="18"/>
          <w:szCs w:val="18"/>
          <w:lang w:val="fr-FR"/>
        </w:rPr>
        <w:t>IPEN</w:t>
      </w:r>
      <w:r w:rsidRPr="006A6E74">
        <w:rPr>
          <w:sz w:val="18"/>
          <w:szCs w:val="18"/>
          <w:lang w:val="fr-FR"/>
        </w:rPr>
        <w:t>, 4 février 2020) &lt;https://botu07.bio.uu.nl/</w:t>
      </w:r>
      <w:r>
        <w:rPr>
          <w:sz w:val="18"/>
          <w:szCs w:val="18"/>
          <w:lang w:val="fr-FR"/>
        </w:rPr>
        <w:t>data</w:t>
      </w:r>
      <w:r w:rsidRPr="006A6E74">
        <w:rPr>
          <w:sz w:val="18"/>
          <w:szCs w:val="18"/>
          <w:lang w:val="fr-FR"/>
        </w:rPr>
        <w:t>/ipenList.php&gt;</w:t>
      </w:r>
      <w:r>
        <w:rPr>
          <w:sz w:val="18"/>
          <w:szCs w:val="18"/>
          <w:lang w:val="fr-FR"/>
        </w:rPr>
        <w:t xml:space="preserve"> consulté le 10 juin</w:t>
      </w:r>
      <w:r w:rsidRPr="006A6E74">
        <w:rPr>
          <w:sz w:val="18"/>
          <w:szCs w:val="18"/>
          <w:lang w:val="fr-FR"/>
        </w:rPr>
        <w:t xml:space="preserve"> 2020.</w:t>
      </w:r>
    </w:p>
  </w:footnote>
  <w:footnote w:id="88">
    <w:p w14:paraId="62F8BC25" w14:textId="26A5BDB9" w:rsidR="008A77A6" w:rsidRPr="006A6E74"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sidRPr="006A6E74">
        <w:rPr>
          <w:sz w:val="18"/>
          <w:szCs w:val="18"/>
          <w:lang w:val="fr-FR"/>
        </w:rPr>
        <w:t xml:space="preserve"> </w:t>
      </w:r>
      <w:r w:rsidRPr="00F43F79">
        <w:rPr>
          <w:sz w:val="18"/>
          <w:szCs w:val="18"/>
        </w:rPr>
        <w:fldChar w:fldCharType="begin"/>
      </w:r>
      <w:r w:rsidRPr="006A6E74">
        <w:rPr>
          <w:sz w:val="18"/>
          <w:szCs w:val="18"/>
          <w:lang w:val="fr-FR"/>
        </w:rPr>
        <w:instrText xml:space="preserve"> ADDIN ZOTERO_ITEM CSL_CITATION {"citationID":"0xkroTW8","properties":{"formattedCitation":"Botanic Gardens Conservation International, \\uc0\\u8216{}International Plant Exchange Network Resources\\uc0\\u8217{} (no date) &lt;https://www.bgci.org/resources/bgci-tools-and-resources/international-plant-exchange-network-resources/&gt; accessed 28 February 2020.","plainCitation":"Botanic Gardens Conservation International, ‘International Plant Exchange Network Resources’ (no date) &lt;https://www.bgci.org/resources/bgci-tools-and-resources/international-plant-exchange-network-resources/&gt; accessed 28 February 2020.","noteIndex":84},"citationItems":[{"id":654,"uris":["http://zotero.org/users/local/dU5rpCrq/items/3X97AK2X"],"uri":["http://zotero.org/users/local/dU5rpCrq/items/3X97AK2X"],"itemData":{"id":654,"type":"webpage","multi":{"main":{},"_keys":{}},"title":"International Plant Exchange Network Resources","URL":"https://www.bgci.org/resources/bgci-tools-and-resources/international-plant-exchange-network-resources/","author":[{"family":"Botanic Gardens Conservation International","given":"","literal":"Botanic Gardens Conservation International","multi":{"_key":{}}}],"accessed":{"date-parts":[["2020",2,28]]},"seeAlso":[]}}],"schema":"https://github.com/citation-style-language/schema/raw/master/csl-citation.json"} </w:instrText>
      </w:r>
      <w:r w:rsidRPr="00F43F79">
        <w:rPr>
          <w:sz w:val="18"/>
          <w:szCs w:val="18"/>
        </w:rPr>
        <w:fldChar w:fldCharType="separate"/>
      </w:r>
      <w:r>
        <w:rPr>
          <w:sz w:val="18"/>
          <w:szCs w:val="18"/>
          <w:lang w:val="fr-FR"/>
        </w:rPr>
        <w:t>Botanic Gardens</w:t>
      </w:r>
      <w:r w:rsidRPr="006A6E74">
        <w:rPr>
          <w:sz w:val="18"/>
          <w:szCs w:val="18"/>
          <w:lang w:val="fr-FR"/>
        </w:rPr>
        <w:t xml:space="preserve"> Conservation International, ‘Internati</w:t>
      </w:r>
      <w:r>
        <w:rPr>
          <w:sz w:val="18"/>
          <w:szCs w:val="18"/>
          <w:lang w:val="fr-FR"/>
        </w:rPr>
        <w:t>onal Plant Exchange Network Res</w:t>
      </w:r>
      <w:r w:rsidRPr="006A6E74">
        <w:rPr>
          <w:sz w:val="18"/>
          <w:szCs w:val="18"/>
          <w:lang w:val="fr-FR"/>
        </w:rPr>
        <w:t>ources’ (</w:t>
      </w:r>
      <w:r>
        <w:rPr>
          <w:sz w:val="18"/>
          <w:szCs w:val="18"/>
          <w:lang w:val="fr-FR"/>
        </w:rPr>
        <w:t>non daté) &lt;https://www.bgci.org/res</w:t>
      </w:r>
      <w:r w:rsidRPr="006A6E74">
        <w:rPr>
          <w:sz w:val="18"/>
          <w:szCs w:val="18"/>
          <w:lang w:val="fr-FR"/>
        </w:rPr>
        <w:t>ources/bgci-</w:t>
      </w:r>
      <w:r>
        <w:rPr>
          <w:sz w:val="18"/>
          <w:szCs w:val="18"/>
          <w:lang w:val="fr-FR"/>
        </w:rPr>
        <w:t>tools-and-re</w:t>
      </w:r>
      <w:r w:rsidRPr="006A6E74">
        <w:rPr>
          <w:sz w:val="18"/>
          <w:szCs w:val="18"/>
          <w:lang w:val="fr-FR"/>
        </w:rPr>
        <w:t>sources/international</w:t>
      </w:r>
      <w:r>
        <w:rPr>
          <w:sz w:val="18"/>
          <w:szCs w:val="18"/>
          <w:lang w:val="fr-FR"/>
        </w:rPr>
        <w:t>-plant-exchange-network-res</w:t>
      </w:r>
      <w:r w:rsidRPr="006A6E74">
        <w:rPr>
          <w:sz w:val="18"/>
          <w:szCs w:val="18"/>
          <w:lang w:val="fr-FR"/>
        </w:rPr>
        <w:t>ources/&gt; consulté le 28 février 2020.</w:t>
      </w:r>
      <w:r w:rsidRPr="00F43F79">
        <w:rPr>
          <w:sz w:val="18"/>
          <w:szCs w:val="18"/>
        </w:rPr>
        <w:fldChar w:fldCharType="end"/>
      </w:r>
    </w:p>
  </w:footnote>
  <w:footnote w:id="89">
    <w:p w14:paraId="7B56CCB3" w14:textId="0392277A" w:rsidR="008A77A6" w:rsidRPr="00C025FD"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411844">
        <w:rPr>
          <w:sz w:val="18"/>
          <w:szCs w:val="18"/>
          <w:lang w:val="fr-FR"/>
        </w:rPr>
        <w:t xml:space="preserve"> Lui perm</w:t>
      </w:r>
      <w:r>
        <w:rPr>
          <w:sz w:val="18"/>
          <w:szCs w:val="18"/>
          <w:lang w:val="fr-FR"/>
        </w:rPr>
        <w:t>ettant de se proclamer</w:t>
      </w:r>
      <w:r w:rsidRPr="00411844">
        <w:rPr>
          <w:sz w:val="18"/>
          <w:szCs w:val="18"/>
          <w:lang w:val="fr-FR"/>
        </w:rPr>
        <w:t xml:space="preserve"> “</w:t>
      </w:r>
      <w:r>
        <w:rPr>
          <w:sz w:val="18"/>
          <w:szCs w:val="18"/>
          <w:lang w:val="fr-FR"/>
        </w:rPr>
        <w:t>l’endroit le plus riche du monde en biodiversité</w:t>
      </w:r>
      <w:r w:rsidRPr="00411844">
        <w:rPr>
          <w:sz w:val="18"/>
          <w:szCs w:val="18"/>
          <w:lang w:val="fr-FR"/>
        </w:rPr>
        <w:t xml:space="preserve">.”  </w:t>
      </w:r>
      <w:r w:rsidRPr="00C025FD">
        <w:rPr>
          <w:sz w:val="18"/>
          <w:szCs w:val="18"/>
          <w:lang w:val="fr-FR"/>
        </w:rPr>
        <w:t>Royal Botanic Gardens, Kew, ‘Welcome to The Royal Botanic Gardens, Kew’ (non daté) &lt;https://www.kew.org/&gt;, consulté le 28 février 2020.</w:t>
      </w:r>
    </w:p>
  </w:footnote>
  <w:footnote w:id="90">
    <w:p w14:paraId="07B838E7" w14:textId="5BADF41E" w:rsidR="008A77A6" w:rsidRPr="00CD239D" w:rsidRDefault="008A77A6" w:rsidP="00F43F79">
      <w:pPr>
        <w:pStyle w:val="FootnoteText"/>
        <w:spacing w:before="20" w:after="20"/>
        <w:ind w:left="284" w:hanging="284"/>
        <w:rPr>
          <w:sz w:val="18"/>
          <w:szCs w:val="18"/>
          <w:lang w:val="en-AU"/>
        </w:rPr>
      </w:pPr>
      <w:r w:rsidRPr="00F43F79">
        <w:rPr>
          <w:rStyle w:val="FootnoteReference"/>
          <w:sz w:val="18"/>
          <w:szCs w:val="18"/>
        </w:rPr>
        <w:footnoteRef/>
      </w:r>
      <w:r w:rsidRPr="00CD239D">
        <w:rPr>
          <w:sz w:val="18"/>
          <w:szCs w:val="18"/>
          <w:lang w:val="en-AU"/>
        </w:rPr>
        <w:t xml:space="preserve"> Royal Botanic Gardens, Kew ‘Policy on Access to Genetic Resources and Benefit-Sharing’ &lt;https://www.kew.org/about-us/reports-and-policies/conservation-and-sustainable-use&gt; consulté le 10 June 2020, s 3.1.</w:t>
      </w:r>
    </w:p>
  </w:footnote>
  <w:footnote w:id="91">
    <w:p w14:paraId="10FEB2D1" w14:textId="4C89E0DB" w:rsidR="008A77A6" w:rsidRPr="009E5D4F" w:rsidRDefault="008A77A6" w:rsidP="00F43F79">
      <w:pPr>
        <w:pStyle w:val="FootnoteText"/>
        <w:spacing w:before="20" w:after="20"/>
        <w:rPr>
          <w:sz w:val="18"/>
          <w:szCs w:val="18"/>
          <w:lang w:val="en-AU"/>
        </w:rPr>
      </w:pPr>
      <w:r w:rsidRPr="00F43F79">
        <w:rPr>
          <w:rStyle w:val="FootnoteReference"/>
          <w:sz w:val="18"/>
          <w:szCs w:val="18"/>
        </w:rPr>
        <w:footnoteRef/>
      </w:r>
      <w:r w:rsidRPr="009E5D4F">
        <w:rPr>
          <w:sz w:val="18"/>
          <w:szCs w:val="18"/>
          <w:lang w:val="en-AU"/>
        </w:rPr>
        <w:t xml:space="preserve"> Ibid. s 4.3. </w:t>
      </w:r>
    </w:p>
  </w:footnote>
  <w:footnote w:id="92">
    <w:p w14:paraId="4BF7F97F" w14:textId="4B5B4DC3" w:rsidR="008A77A6" w:rsidRPr="009E5D4F"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9E5D4F">
        <w:rPr>
          <w:sz w:val="18"/>
          <w:szCs w:val="18"/>
          <w:lang w:val="en-AU"/>
        </w:rPr>
        <w:t xml:space="preserve"> </w:t>
      </w:r>
      <w:r w:rsidRPr="00F43F79">
        <w:rPr>
          <w:sz w:val="18"/>
          <w:szCs w:val="18"/>
        </w:rPr>
        <w:fldChar w:fldCharType="begin"/>
      </w:r>
      <w:r w:rsidRPr="009E5D4F">
        <w:rPr>
          <w:sz w:val="18"/>
          <w:szCs w:val="18"/>
          <w:lang w:val="en-AU"/>
        </w:rPr>
        <w:instrText xml:space="preserve"> ADDIN ZOTERO_ITEM CSL_CITATION {"citationID":"Bg3GvEvb","properties":{"formattedCitation":"Royal Botanic Gardens, Kew, \\uc0\\u8216{}Kew Economic Botany Database\\uc0\\u8217{} (no date) &lt;https://ecbot.science.kew.org/index.php&gt; accessed 28 February 2020.","plainCitation":"Royal Botanic Gardens, Kew, ‘Kew Economic Botany Database’ (no date) &lt;https://ecbot.science.kew.org/index.php&gt; accessed 28 February 2020.","noteIndex":88},"citationItems":[{"id":669,"uris":["http://zotero.org/users/local/dU5rpCrq/items/MVIAWQ5F"],"uri":["http://zotero.org/users/local/dU5rpCrq/items/MVIAWQ5F"],"itemData":{"id":669,"type":"webpage","multi":{"main":{},"_keys":{}},"title":"Kew Economic Botany Database","URL":"https://ecbot.science.kew.org/index.php","author":[{"family":"Royal Botanic Gardens, Kew","given":"","literal":"Royal Botanic Gardens, Kew","multi":{"_key":{}}}],"accessed":{"date-parts":[["2020",2,28]]},"seeAlso":[]}}],"schema":"https://github.com/citation-style-language/schema/raw/master/csl-citation.json"} </w:instrText>
      </w:r>
      <w:r w:rsidRPr="00F43F79">
        <w:rPr>
          <w:sz w:val="18"/>
          <w:szCs w:val="18"/>
        </w:rPr>
        <w:fldChar w:fldCharType="separate"/>
      </w:r>
      <w:r w:rsidRPr="009E5D4F">
        <w:rPr>
          <w:sz w:val="18"/>
          <w:szCs w:val="18"/>
          <w:lang w:val="en-AU"/>
        </w:rPr>
        <w:t>Royal Botanic Gardens, Kew, ‘Kew Economic Botany Database’ (non daté) &lt;https://ecbot.science.kew.org/index.php&gt; consulté le 28 février 2020.</w:t>
      </w:r>
      <w:r w:rsidRPr="00F43F79">
        <w:rPr>
          <w:sz w:val="18"/>
          <w:szCs w:val="18"/>
        </w:rPr>
        <w:fldChar w:fldCharType="end"/>
      </w:r>
    </w:p>
  </w:footnote>
  <w:footnote w:id="93">
    <w:p w14:paraId="032B4A64" w14:textId="6DA0B1D6"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1171F">
        <w:rPr>
          <w:sz w:val="18"/>
          <w:szCs w:val="18"/>
          <w:lang w:val="fr-FR"/>
        </w:rPr>
        <w:t xml:space="preserve"> Nous prenons note du fait que, comme souligné dans la communication de 2015 de l’UICN, “il existe une réelle différence entre ‘les spécimens dont on ne connaît pas la provenance’ et ‘</w:t>
      </w:r>
      <w:r>
        <w:rPr>
          <w:sz w:val="18"/>
          <w:szCs w:val="18"/>
          <w:lang w:val="fr-FR"/>
        </w:rPr>
        <w:t xml:space="preserve">les </w:t>
      </w:r>
      <w:r w:rsidRPr="00F1171F">
        <w:rPr>
          <w:sz w:val="18"/>
          <w:szCs w:val="18"/>
          <w:lang w:val="fr-FR"/>
        </w:rPr>
        <w:t>spécimen</w:t>
      </w:r>
      <w:r>
        <w:rPr>
          <w:sz w:val="18"/>
          <w:szCs w:val="18"/>
          <w:lang w:val="fr-FR"/>
        </w:rPr>
        <w:t xml:space="preserve">s dont la </w:t>
      </w:r>
      <w:r w:rsidRPr="00F1171F">
        <w:rPr>
          <w:sz w:val="18"/>
          <w:szCs w:val="18"/>
          <w:lang w:val="fr-FR"/>
        </w:rPr>
        <w:t xml:space="preserve">provenance </w:t>
      </w:r>
      <w:r>
        <w:rPr>
          <w:sz w:val="18"/>
          <w:szCs w:val="18"/>
          <w:lang w:val="fr-FR"/>
        </w:rPr>
        <w:t>n’a pas été divulguée</w:t>
      </w:r>
      <w:r w:rsidRPr="00F1171F">
        <w:rPr>
          <w:sz w:val="18"/>
          <w:szCs w:val="18"/>
          <w:lang w:val="fr-FR"/>
        </w:rPr>
        <w:t>’</w:t>
      </w:r>
      <w:r>
        <w:rPr>
          <w:sz w:val="18"/>
          <w:szCs w:val="18"/>
          <w:lang w:val="fr-FR"/>
        </w:rPr>
        <w:t> ; la</w:t>
      </w:r>
      <w:r w:rsidRPr="00F1171F">
        <w:rPr>
          <w:sz w:val="18"/>
          <w:szCs w:val="18"/>
          <w:lang w:val="fr-FR"/>
        </w:rPr>
        <w:t xml:space="preserve"> GMBSM </w:t>
      </w:r>
      <w:r>
        <w:rPr>
          <w:sz w:val="18"/>
          <w:szCs w:val="18"/>
          <w:lang w:val="fr-FR"/>
        </w:rPr>
        <w:t xml:space="preserve">ne devrait pas devenir un outil au moyen duquel des </w:t>
      </w:r>
      <w:r w:rsidRPr="00F1171F">
        <w:rPr>
          <w:sz w:val="18"/>
          <w:szCs w:val="18"/>
          <w:lang w:val="fr-FR"/>
        </w:rPr>
        <w:t xml:space="preserve">utilisateurs ou </w:t>
      </w:r>
      <w:r>
        <w:rPr>
          <w:sz w:val="18"/>
          <w:szCs w:val="18"/>
          <w:lang w:val="fr-FR"/>
        </w:rPr>
        <w:t>collecteu</w:t>
      </w:r>
      <w:r w:rsidRPr="00F1171F">
        <w:rPr>
          <w:sz w:val="18"/>
          <w:szCs w:val="18"/>
          <w:lang w:val="fr-FR"/>
        </w:rPr>
        <w:t>rs</w:t>
      </w:r>
      <w:r>
        <w:rPr>
          <w:sz w:val="18"/>
          <w:szCs w:val="18"/>
          <w:lang w:val="fr-FR"/>
        </w:rPr>
        <w:t xml:space="preserve"> particuliers pourraient ou souhaiteraient éviter de respecter les obligations nationales en matière d’</w:t>
      </w:r>
      <w:r w:rsidRPr="00F1171F">
        <w:rPr>
          <w:sz w:val="18"/>
          <w:szCs w:val="18"/>
          <w:lang w:val="fr-FR"/>
        </w:rPr>
        <w:t xml:space="preserve">accès et </w:t>
      </w:r>
      <w:r>
        <w:rPr>
          <w:sz w:val="18"/>
          <w:szCs w:val="18"/>
          <w:lang w:val="fr-FR"/>
        </w:rPr>
        <w:t xml:space="preserve">de </w:t>
      </w:r>
      <w:r w:rsidRPr="00F1171F">
        <w:rPr>
          <w:sz w:val="18"/>
          <w:szCs w:val="18"/>
          <w:lang w:val="fr-FR"/>
        </w:rPr>
        <w:t>partage</w:t>
      </w:r>
      <w:r>
        <w:rPr>
          <w:sz w:val="18"/>
          <w:szCs w:val="18"/>
          <w:lang w:val="fr-FR"/>
        </w:rPr>
        <w:t xml:space="preserve"> des avantages, simplement en indiquant qu’ils ne savent pas à quel endroit les</w:t>
      </w:r>
      <w:r w:rsidRPr="00F1171F">
        <w:rPr>
          <w:sz w:val="18"/>
          <w:szCs w:val="18"/>
          <w:lang w:val="fr-FR"/>
        </w:rPr>
        <w:t xml:space="preserve"> ressources</w:t>
      </w:r>
      <w:r>
        <w:rPr>
          <w:sz w:val="18"/>
          <w:szCs w:val="18"/>
          <w:lang w:val="fr-FR"/>
        </w:rPr>
        <w:t xml:space="preserve"> ont été obtenues</w:t>
      </w:r>
      <w:r w:rsidRPr="00F1171F">
        <w:rPr>
          <w:sz w:val="18"/>
          <w:szCs w:val="18"/>
          <w:lang w:val="fr-FR"/>
        </w:rPr>
        <w:t xml:space="preserve">.” </w:t>
      </w:r>
      <w:r w:rsidRPr="00F43F79">
        <w:rPr>
          <w:sz w:val="18"/>
          <w:szCs w:val="18"/>
        </w:rPr>
        <w:fldChar w:fldCharType="begin"/>
      </w:r>
      <w:r w:rsidRPr="00F1171F">
        <w:rPr>
          <w:sz w:val="18"/>
          <w:szCs w:val="18"/>
          <w:lang w:val="fr-FR"/>
        </w:rPr>
        <w:instrText xml:space="preserve"> ADDIN ZOTERO_ITEM CSL_CITATION {"citationID":"oHu7qqbf","properties":{"formattedCitation":"IUCN Joint SSC-WCEL Global Specialist Group on ABS, Genetic Resources and Related Issues (n 23).","plainCitation":"IUCN Joint SSC-WCEL Global Specialist Group on ABS, Genetic Resources and Related Issues (n 23).","noteIndex":89},"citationItems":[{"id":635,"uris":["http://zotero.org/users/local/dU5rpCrq/items/SP39NCY3"],"uri":["http://zotero.org/users/local/dU5rpCrq/items/SP39NCY3"],"itemData":{"id":635,"type":"article","multi":{"main":{},"_keys":{}},"title":"Submission of views in preparation for the Expert Meeting on the need for and modalities of a Global Multilateral Benefit-sharing Mechanism of the Nagoya Protocol","URL":"https://www.cbd.int/abs/submissions/Art10/IUCN-submissionArt10.doc","author":[{"family":"IUCN Joint SSC-WCEL Global Specialist Group on ABS, Genetic Resources and Related Issues","given":"","literal":"IUCN Joint SSC-WCEL Global Specialist Group on ABS, Genetic Resources and Related Issues","multi":{"_key":{}}}],"accessed":{"date-parts":[["2020",2,28]]},"issued":{"date-parts":[["2015",9,22]]},"seeAlso":[]}}],"schema":"https://github.com/citation-style-language/schema/raw/master/csl-citation.json"} </w:instrText>
      </w:r>
      <w:r w:rsidRPr="00F43F79">
        <w:rPr>
          <w:sz w:val="18"/>
          <w:szCs w:val="18"/>
        </w:rPr>
        <w:fldChar w:fldCharType="separate"/>
      </w:r>
      <w:r>
        <w:rPr>
          <w:sz w:val="18"/>
          <w:szCs w:val="18"/>
          <w:lang w:val="fr-FR"/>
        </w:rPr>
        <w:t>UICN Groupe de spécialistes mondial conjoint</w:t>
      </w:r>
      <w:r w:rsidRPr="00A70F9B">
        <w:rPr>
          <w:sz w:val="18"/>
          <w:szCs w:val="18"/>
          <w:lang w:val="fr-FR"/>
        </w:rPr>
        <w:t xml:space="preserve"> SSC-WCEL</w:t>
      </w:r>
      <w:r>
        <w:rPr>
          <w:sz w:val="18"/>
          <w:szCs w:val="18"/>
          <w:lang w:val="fr-FR"/>
        </w:rPr>
        <w:t xml:space="preserve"> sur l'accès et le partage des avantages, les ressources génétiques et les question</w:t>
      </w:r>
      <w:r w:rsidRPr="00A70F9B">
        <w:rPr>
          <w:sz w:val="18"/>
          <w:szCs w:val="18"/>
          <w:lang w:val="fr-FR"/>
        </w:rPr>
        <w:t>s</w:t>
      </w:r>
      <w:r>
        <w:rPr>
          <w:sz w:val="18"/>
          <w:szCs w:val="18"/>
          <w:lang w:val="fr-FR"/>
        </w:rPr>
        <w:t xml:space="preserve"> connexes</w:t>
      </w:r>
      <w:r w:rsidRPr="00A70F9B">
        <w:rPr>
          <w:sz w:val="18"/>
          <w:szCs w:val="18"/>
          <w:lang w:val="fr-FR"/>
        </w:rPr>
        <w:t xml:space="preserve"> (n 25).</w:t>
      </w:r>
      <w:r w:rsidRPr="00F43F79">
        <w:rPr>
          <w:sz w:val="18"/>
          <w:szCs w:val="18"/>
        </w:rPr>
        <w:fldChar w:fldCharType="end"/>
      </w:r>
      <w:r w:rsidRPr="00A70F9B">
        <w:rPr>
          <w:sz w:val="18"/>
          <w:szCs w:val="18"/>
          <w:lang w:val="fr-FR"/>
        </w:rPr>
        <w:t xml:space="preserve"> </w:t>
      </w:r>
      <w:r w:rsidRPr="00F1171F">
        <w:rPr>
          <w:sz w:val="18"/>
          <w:szCs w:val="18"/>
          <w:lang w:val="fr-FR"/>
        </w:rPr>
        <w:t>Nous ne sommes pas en mesure d’établir, sans aut</w:t>
      </w:r>
      <w:r>
        <w:rPr>
          <w:sz w:val="18"/>
          <w:szCs w:val="18"/>
          <w:lang w:val="fr-FR"/>
        </w:rPr>
        <w:t>re information, lesquelles de ces classifications sont exactes pour les exemples de collections</w:t>
      </w:r>
      <w:r w:rsidRPr="00F1171F">
        <w:rPr>
          <w:sz w:val="18"/>
          <w:szCs w:val="18"/>
          <w:lang w:val="fr-FR"/>
        </w:rPr>
        <w:t xml:space="preserve"> </w:t>
      </w:r>
      <w:r w:rsidRPr="00F1171F">
        <w:rPr>
          <w:i/>
          <w:iCs/>
          <w:sz w:val="18"/>
          <w:szCs w:val="18"/>
          <w:lang w:val="fr-FR"/>
        </w:rPr>
        <w:t>ex situ</w:t>
      </w:r>
      <w:r>
        <w:rPr>
          <w:sz w:val="18"/>
          <w:szCs w:val="18"/>
          <w:lang w:val="fr-FR"/>
        </w:rPr>
        <w:t xml:space="preserve"> cités ou </w:t>
      </w:r>
      <w:r w:rsidRPr="00F1171F">
        <w:rPr>
          <w:sz w:val="18"/>
          <w:szCs w:val="18"/>
          <w:lang w:val="fr-FR"/>
        </w:rPr>
        <w:t>identifi</w:t>
      </w:r>
      <w:r>
        <w:rPr>
          <w:sz w:val="18"/>
          <w:szCs w:val="18"/>
          <w:lang w:val="fr-FR"/>
        </w:rPr>
        <w:t xml:space="preserve">és dans le cadre de la présente étude. </w:t>
      </w:r>
      <w:r w:rsidRPr="00F1171F">
        <w:rPr>
          <w:sz w:val="18"/>
          <w:szCs w:val="18"/>
          <w:lang w:val="fr-FR"/>
        </w:rPr>
        <w:t xml:space="preserve">Nous prenons note également </w:t>
      </w:r>
      <w:r>
        <w:rPr>
          <w:sz w:val="18"/>
          <w:szCs w:val="18"/>
          <w:lang w:val="fr-FR"/>
        </w:rPr>
        <w:t xml:space="preserve">du fait </w:t>
      </w:r>
      <w:r w:rsidRPr="00F1171F">
        <w:rPr>
          <w:sz w:val="18"/>
          <w:szCs w:val="18"/>
          <w:lang w:val="fr-FR"/>
        </w:rPr>
        <w:t>que dans le cas de spécimens</w:t>
      </w:r>
      <w:r w:rsidRPr="00F1171F">
        <w:rPr>
          <w:bCs/>
          <w:sz w:val="18"/>
          <w:szCs w:val="18"/>
          <w:lang w:val="fr-FR"/>
        </w:rPr>
        <w:t xml:space="preserve"> </w:t>
      </w:r>
      <w:r>
        <w:rPr>
          <w:bCs/>
          <w:sz w:val="18"/>
          <w:szCs w:val="18"/>
          <w:lang w:val="fr-FR"/>
        </w:rPr>
        <w:t>anciens, pour lesquels on dispose d’</w:t>
      </w:r>
      <w:r w:rsidRPr="00F1171F">
        <w:rPr>
          <w:sz w:val="18"/>
          <w:szCs w:val="18"/>
          <w:lang w:val="fr-FR"/>
        </w:rPr>
        <w:t>information</w:t>
      </w:r>
      <w:r>
        <w:rPr>
          <w:sz w:val="18"/>
          <w:szCs w:val="18"/>
          <w:lang w:val="fr-FR"/>
        </w:rPr>
        <w:t xml:space="preserve">s incomplètes, il peut être </w:t>
      </w:r>
      <w:r w:rsidRPr="00F1171F">
        <w:rPr>
          <w:sz w:val="18"/>
          <w:szCs w:val="18"/>
          <w:lang w:val="fr-FR"/>
        </w:rPr>
        <w:t xml:space="preserve">possible </w:t>
      </w:r>
      <w:r>
        <w:rPr>
          <w:sz w:val="18"/>
          <w:szCs w:val="18"/>
          <w:lang w:val="fr-FR"/>
        </w:rPr>
        <w:t>de trouver des</w:t>
      </w:r>
      <w:r w:rsidRPr="00F1171F">
        <w:rPr>
          <w:sz w:val="18"/>
          <w:szCs w:val="18"/>
          <w:lang w:val="fr-FR"/>
        </w:rPr>
        <w:t xml:space="preserve"> information</w:t>
      </w:r>
      <w:r>
        <w:rPr>
          <w:sz w:val="18"/>
          <w:szCs w:val="18"/>
          <w:lang w:val="fr-FR"/>
        </w:rPr>
        <w:t>s sur leur origine</w:t>
      </w:r>
      <w:r w:rsidRPr="00F1171F">
        <w:rPr>
          <w:sz w:val="18"/>
          <w:szCs w:val="18"/>
          <w:lang w:val="fr-FR"/>
        </w:rPr>
        <w:t xml:space="preserve">, </w:t>
      </w:r>
      <w:r w:rsidRPr="00F1171F">
        <w:rPr>
          <w:i/>
          <w:sz w:val="18"/>
          <w:szCs w:val="18"/>
          <w:lang w:val="fr-FR"/>
        </w:rPr>
        <w:t>inter alia</w:t>
      </w:r>
      <w:r w:rsidRPr="00F1171F">
        <w:rPr>
          <w:sz w:val="18"/>
          <w:szCs w:val="18"/>
          <w:lang w:val="fr-FR"/>
        </w:rPr>
        <w:t xml:space="preserve">, </w:t>
      </w:r>
      <w:r>
        <w:rPr>
          <w:sz w:val="18"/>
          <w:szCs w:val="18"/>
          <w:lang w:val="fr-FR"/>
        </w:rPr>
        <w:t xml:space="preserve">en les comparant aux </w:t>
      </w:r>
      <w:r w:rsidRPr="00F1171F">
        <w:rPr>
          <w:sz w:val="18"/>
          <w:szCs w:val="18"/>
          <w:lang w:val="fr-FR"/>
        </w:rPr>
        <w:t xml:space="preserve">plantes </w:t>
      </w:r>
      <w:r>
        <w:rPr>
          <w:sz w:val="18"/>
          <w:szCs w:val="18"/>
          <w:lang w:val="fr-FR"/>
        </w:rPr>
        <w:t xml:space="preserve">contenues dans </w:t>
      </w:r>
      <w:r w:rsidRPr="00F1171F">
        <w:rPr>
          <w:sz w:val="18"/>
          <w:szCs w:val="18"/>
          <w:lang w:val="fr-FR"/>
        </w:rPr>
        <w:t>d’autres collections</w:t>
      </w:r>
      <w:r>
        <w:rPr>
          <w:sz w:val="18"/>
          <w:szCs w:val="18"/>
          <w:lang w:val="fr-FR"/>
        </w:rPr>
        <w:t xml:space="preserve"> numériques</w:t>
      </w:r>
      <w:r w:rsidRPr="00F1171F">
        <w:rPr>
          <w:sz w:val="18"/>
          <w:szCs w:val="18"/>
          <w:lang w:val="fr-FR"/>
        </w:rPr>
        <w:t xml:space="preserve">, </w:t>
      </w:r>
      <w:r>
        <w:rPr>
          <w:sz w:val="18"/>
          <w:szCs w:val="18"/>
          <w:lang w:val="fr-FR"/>
        </w:rPr>
        <w:t xml:space="preserve">ou en mettant à jour les noms et en consultant des </w:t>
      </w:r>
      <w:r w:rsidRPr="00F1171F">
        <w:rPr>
          <w:sz w:val="18"/>
          <w:szCs w:val="18"/>
          <w:lang w:val="fr-FR"/>
        </w:rPr>
        <w:t xml:space="preserve">experts. </w:t>
      </w:r>
      <w:r>
        <w:rPr>
          <w:sz w:val="18"/>
          <w:szCs w:val="18"/>
        </w:rPr>
        <w:t xml:space="preserve">Voir </w:t>
      </w:r>
      <w:r w:rsidRPr="00F43F79">
        <w:rPr>
          <w:sz w:val="18"/>
          <w:szCs w:val="18"/>
        </w:rPr>
        <w:t>Emma De Haas</w:t>
      </w:r>
      <w:r>
        <w:rPr>
          <w:sz w:val="18"/>
          <w:szCs w:val="18"/>
        </w:rPr>
        <w:t xml:space="preserve"> et al.</w:t>
      </w:r>
      <w:r w:rsidRPr="00F43F79">
        <w:rPr>
          <w:sz w:val="18"/>
          <w:szCs w:val="18"/>
        </w:rPr>
        <w:t xml:space="preserve">, ‘The Zierikzee </w:t>
      </w:r>
      <w:r>
        <w:rPr>
          <w:sz w:val="18"/>
          <w:szCs w:val="18"/>
        </w:rPr>
        <w:t>herbarium</w:t>
      </w:r>
      <w:r w:rsidRPr="00F43F79">
        <w:rPr>
          <w:sz w:val="18"/>
          <w:szCs w:val="18"/>
        </w:rPr>
        <w:t xml:space="preserve">: An analysis of the </w:t>
      </w:r>
      <w:r>
        <w:rPr>
          <w:sz w:val="18"/>
          <w:szCs w:val="18"/>
        </w:rPr>
        <w:t>specimen</w:t>
      </w:r>
      <w:r w:rsidRPr="00F43F79">
        <w:rPr>
          <w:sz w:val="18"/>
          <w:szCs w:val="18"/>
        </w:rPr>
        <w:t>s</w:t>
      </w:r>
      <w:r>
        <w:rPr>
          <w:sz w:val="18"/>
          <w:szCs w:val="18"/>
        </w:rPr>
        <w:t xml:space="preserve"> and origins of an enigmatic herbarium</w:t>
      </w:r>
      <w:r w:rsidRPr="00F43F79">
        <w:rPr>
          <w:sz w:val="18"/>
          <w:szCs w:val="18"/>
        </w:rPr>
        <w:t xml:space="preserve">’ (2019), </w:t>
      </w:r>
      <w:hyperlink r:id="rId5" w:history="1">
        <w:r w:rsidRPr="007C329B">
          <w:rPr>
            <w:rStyle w:val="Hyperlink"/>
            <w:sz w:val="18"/>
            <w:szCs w:val="18"/>
          </w:rPr>
          <w:t>https://www.researchgate.net/publication/334415495</w:t>
        </w:r>
      </w:hyperlink>
      <w:r w:rsidRPr="00F43F79">
        <w:rPr>
          <w:sz w:val="18"/>
          <w:szCs w:val="18"/>
        </w:rPr>
        <w:t>.</w:t>
      </w:r>
    </w:p>
  </w:footnote>
  <w:footnote w:id="94">
    <w:p w14:paraId="2AF240EB" w14:textId="68870E35" w:rsidR="008A77A6" w:rsidRPr="00F43F79" w:rsidRDefault="008A77A6" w:rsidP="00F43F79">
      <w:pPr>
        <w:pStyle w:val="FootnoteText"/>
        <w:spacing w:before="20" w:after="20"/>
        <w:ind w:left="284" w:hanging="284"/>
        <w:rPr>
          <w:sz w:val="18"/>
          <w:szCs w:val="18"/>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{"citationID":"xJOvkAZI","properties":{"formattedCitation":"Barbara M Thiers, \\uc0\\u8216{}The World\\uc0\\u8217{}s Herbaria 2019: A Summary Report Based on Data from Index Herbariorum\\uc0\\u8217{} (New York Botanical Garden 2020) 1.","plainCitation":"Barbara M Thiers, ‘The World’s Herbaria 2019: A Summary Report Based on Data from Index Herbariorum’ (New York Botanical Garden 2020) 1.","noteIndex":90},"citationItems":[{"id":666,"uris":["http://zotero.org/users/local/dU5rpCrq/items/BMR9G4R3"],"uri":["http://zotero.org/users/local/dU5rpCrq/items/BMR9G4R3"],"itemData":{"id":666,"type":"article","multi":{"main":{},"_keys":{}},"publisher":"New York Botanical Garden","title":"The World’s Herbaria 2019: A Summary Report Based on Data from Index Herbariorum","URL":"http://sweetgum.nybg.org/science/ih/annual-report/","author":[{"family":"Thiers","given":"Barbara M","multi":{"_key":{}}}],"accessed":{"date-parts":[["2020",6,10]]},"issued":{"date-parts":[["2020"]]},"seeAlso":[]},"locator":"1"}],"schema":"https://github.com/citation-style-language/schema/raw/master/csl-citation.json"} </w:instrText>
      </w:r>
      <w:r w:rsidRPr="00F43F79">
        <w:rPr>
          <w:sz w:val="18"/>
          <w:szCs w:val="18"/>
        </w:rPr>
        <w:fldChar w:fldCharType="separate"/>
      </w:r>
      <w:r w:rsidRPr="00F43F79">
        <w:rPr>
          <w:sz w:val="18"/>
          <w:szCs w:val="18"/>
        </w:rPr>
        <w:t>Barbara M Thiers, ‘</w:t>
      </w:r>
      <w:r>
        <w:rPr>
          <w:sz w:val="18"/>
          <w:szCs w:val="18"/>
        </w:rPr>
        <w:t>The World’s Herbaria 2019: A Summary Report Based on Data from Index Herbariorum</w:t>
      </w:r>
      <w:r w:rsidRPr="00F43F79">
        <w:rPr>
          <w:sz w:val="18"/>
          <w:szCs w:val="18"/>
        </w:rPr>
        <w:t>’ (New York Botanical Garden 2020) 1.</w:t>
      </w:r>
      <w:r w:rsidRPr="00F43F79">
        <w:rPr>
          <w:sz w:val="18"/>
          <w:szCs w:val="18"/>
        </w:rPr>
        <w:fldChar w:fldCharType="end"/>
      </w:r>
    </w:p>
  </w:footnote>
  <w:footnote w:id="95">
    <w:p w14:paraId="2AB1356A" w14:textId="35026A35" w:rsidR="008A77A6" w:rsidRPr="009729EB" w:rsidRDefault="008A77A6" w:rsidP="00F43F79">
      <w:pPr>
        <w:pStyle w:val="FootnoteText"/>
        <w:spacing w:before="20" w:after="20"/>
        <w:rPr>
          <w:sz w:val="18"/>
          <w:szCs w:val="18"/>
          <w:lang w:val="fr-FR"/>
        </w:rPr>
      </w:pPr>
      <w:r w:rsidRPr="00F43F79">
        <w:rPr>
          <w:rStyle w:val="FootnoteReference"/>
          <w:sz w:val="18"/>
          <w:szCs w:val="18"/>
        </w:rPr>
        <w:footnoteRef/>
      </w:r>
      <w:r w:rsidRPr="009729EB">
        <w:rPr>
          <w:sz w:val="18"/>
          <w:szCs w:val="18"/>
          <w:lang w:val="fr-FR"/>
        </w:rPr>
        <w:t xml:space="preserve"> </w:t>
      </w:r>
      <w:r w:rsidRPr="00F43F79">
        <w:rPr>
          <w:sz w:val="18"/>
          <w:szCs w:val="18"/>
        </w:rPr>
        <w:fldChar w:fldCharType="begin"/>
      </w:r>
      <w:r w:rsidRPr="009729EB">
        <w:rPr>
          <w:sz w:val="18"/>
          <w:szCs w:val="18"/>
          <w:lang w:val="fr-FR"/>
        </w:rPr>
        <w:instrText xml:space="preserve"> ADDIN ZOTERO_ITEM CSL_CITATION {"citationID":"bezUTHW3","properties":{"formattedCitation":"See list of 100 largest herbaria in ibid 8\\uc0\\u8211{}13.","plainCitation":"See list of 100 largest herbaria in ibid 8–13.","noteIndex":91},"citationItems":[{"id":666,"uris":["http://zotero.org/users/local/dU5rpCrq/items/BMR9G4R3"],"uri":["http://zotero.org/users/local/dU5rpCrq/items/BMR9G4R3"],"itemData":{"id":666,"type":"article","multi":{"main":{},"_keys":{}},"publisher":"New York Botanical Garden","title":"The World’s Herbaria 2019: A Summary Report Based on Data from Index Herbariorum","URL":"http://sweetgum.nybg.org/science/ih/annual-report/","author":[{"family":"Thiers","given":"Barbara M","multi":{"_key":{}}}],"accessed":{"date-parts":[["2020",6,10]]},"issued":{"date-parts":[["2020"]]},"seeAlso":[]},"locator":"8-13","prefix":"See list of 100 largest herbaria in"}],"schema":"https://github.com/citation-style-language/schema/raw/master/csl-citation.json"} </w:instrText>
      </w:r>
      <w:r w:rsidRPr="00F43F79">
        <w:rPr>
          <w:sz w:val="18"/>
          <w:szCs w:val="18"/>
        </w:rPr>
        <w:fldChar w:fldCharType="separate"/>
      </w:r>
      <w:r w:rsidRPr="009729EB">
        <w:rPr>
          <w:sz w:val="18"/>
          <w:szCs w:val="18"/>
          <w:lang w:val="fr-FR"/>
        </w:rPr>
        <w:t>Voir la liste des 100 plus grands herbiers, ibid 8–13.</w:t>
      </w:r>
      <w:r w:rsidRPr="00F43F79">
        <w:rPr>
          <w:sz w:val="18"/>
          <w:szCs w:val="18"/>
        </w:rPr>
        <w:fldChar w:fldCharType="end"/>
      </w:r>
    </w:p>
  </w:footnote>
  <w:footnote w:id="96">
    <w:p w14:paraId="078AB712" w14:textId="57F3F3AF" w:rsidR="008A77A6" w:rsidRPr="00733234" w:rsidRDefault="008A77A6" w:rsidP="00F43F79">
      <w:pPr>
        <w:pStyle w:val="FootnoteText"/>
        <w:spacing w:before="20" w:after="20"/>
        <w:ind w:left="288" w:hanging="288"/>
        <w:rPr>
          <w:sz w:val="18"/>
          <w:szCs w:val="18"/>
          <w:lang w:val="fr-FR"/>
        </w:rPr>
      </w:pPr>
      <w:r w:rsidRPr="00F43F79">
        <w:rPr>
          <w:rStyle w:val="FootnoteReference"/>
          <w:sz w:val="18"/>
          <w:szCs w:val="18"/>
        </w:rPr>
        <w:footnoteRef/>
      </w:r>
      <w:r w:rsidRPr="00D6232E">
        <w:rPr>
          <w:sz w:val="18"/>
          <w:szCs w:val="18"/>
          <w:lang w:val="fr-FR"/>
        </w:rPr>
        <w:t xml:space="preserve"> </w:t>
      </w:r>
      <w:r>
        <w:rPr>
          <w:sz w:val="18"/>
          <w:szCs w:val="18"/>
          <w:lang w:val="fr-FR"/>
        </w:rPr>
        <w:t xml:space="preserve">Entretiens anonymes au sein de FPW et MB, </w:t>
      </w:r>
      <w:r w:rsidRPr="00D6232E">
        <w:rPr>
          <w:sz w:val="18"/>
          <w:szCs w:val="18"/>
          <w:lang w:val="fr-FR"/>
        </w:rPr>
        <w:t xml:space="preserve">avec </w:t>
      </w:r>
      <w:r>
        <w:rPr>
          <w:sz w:val="18"/>
          <w:szCs w:val="18"/>
          <w:lang w:val="fr-FR"/>
        </w:rPr>
        <w:t xml:space="preserve">des membres du personnel de collections </w:t>
      </w:r>
      <w:r w:rsidRPr="00D6232E">
        <w:rPr>
          <w:i/>
          <w:sz w:val="18"/>
          <w:szCs w:val="18"/>
          <w:lang w:val="fr-FR"/>
        </w:rPr>
        <w:t>ex situ</w:t>
      </w:r>
      <w:r>
        <w:rPr>
          <w:sz w:val="18"/>
          <w:szCs w:val="18"/>
          <w:lang w:val="fr-FR"/>
        </w:rPr>
        <w:t xml:space="preserve"> </w:t>
      </w:r>
      <w:r w:rsidRPr="00D6232E">
        <w:rPr>
          <w:sz w:val="18"/>
          <w:szCs w:val="18"/>
          <w:lang w:val="fr-FR"/>
        </w:rPr>
        <w:t xml:space="preserve">(2020). </w:t>
      </w:r>
      <w:r>
        <w:rPr>
          <w:sz w:val="18"/>
          <w:szCs w:val="18"/>
        </w:rPr>
        <w:t>Voir aussi</w:t>
      </w:r>
      <w:r w:rsidRPr="00F43F79">
        <w:rPr>
          <w:sz w:val="18"/>
          <w:szCs w:val="18"/>
        </w:rPr>
        <w:t xml:space="preserve"> Soejarto D. D., Kinghorn A. D., Farnsworth N. R. Potential Sweetening agent of plant origin. III: “Organoleptic evaluation of Stevia leaf </w:t>
      </w:r>
      <w:r>
        <w:rPr>
          <w:sz w:val="18"/>
          <w:szCs w:val="18"/>
        </w:rPr>
        <w:t>herbarium samples</w:t>
      </w:r>
      <w:r w:rsidRPr="00F43F79">
        <w:rPr>
          <w:sz w:val="18"/>
          <w:szCs w:val="18"/>
        </w:rPr>
        <w:t xml:space="preserve"> for sweetness”. </w:t>
      </w:r>
      <w:r w:rsidRPr="00C46B68">
        <w:rPr>
          <w:sz w:val="18"/>
          <w:szCs w:val="18"/>
          <w:lang w:val="fr-FR"/>
        </w:rPr>
        <w:t xml:space="preserve">J. Nat. </w:t>
      </w:r>
      <w:r w:rsidRPr="00733234">
        <w:rPr>
          <w:sz w:val="18"/>
          <w:szCs w:val="18"/>
          <w:lang w:val="fr-FR"/>
        </w:rPr>
        <w:t>P</w:t>
      </w:r>
      <w:r>
        <w:rPr>
          <w:sz w:val="18"/>
          <w:szCs w:val="18"/>
          <w:lang w:val="fr-FR"/>
        </w:rPr>
        <w:t>rod. 45, p. 590-598, (1983) cité dans le Brevet américain No. 9636</w:t>
      </w:r>
      <w:r w:rsidRPr="00733234">
        <w:rPr>
          <w:sz w:val="18"/>
          <w:szCs w:val="18"/>
          <w:lang w:val="fr-FR"/>
        </w:rPr>
        <w:t>314.</w:t>
      </w:r>
    </w:p>
  </w:footnote>
  <w:footnote w:id="97">
    <w:p w14:paraId="5CE3360A" w14:textId="309862A7" w:rsidR="008A77A6" w:rsidRPr="00733234"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733234">
        <w:rPr>
          <w:sz w:val="18"/>
          <w:szCs w:val="18"/>
          <w:lang w:val="fr-FR"/>
        </w:rPr>
        <w:t xml:space="preserve"> </w:t>
      </w:r>
      <w:r w:rsidRPr="00F43F79">
        <w:rPr>
          <w:sz w:val="18"/>
          <w:szCs w:val="18"/>
        </w:rPr>
        <w:fldChar w:fldCharType="begin"/>
      </w:r>
      <w:r w:rsidRPr="00733234">
        <w:rPr>
          <w:sz w:val="18"/>
          <w:szCs w:val="18"/>
          <w:lang w:val="fr-FR"/>
        </w:rPr>
        <w:instrText xml:space="preserve"> ADDIN ZOTERO_ITEM CSL_CITATION {"citationID":"VHk6Xl1C","properties":{"formattedCitation":"Freek T Bakker, \\uc0\\u8216{}Herbarium Genomics: Plant Archival DNA Explored\\uc0\\u8217{} in Charlotte Lindqvist and Om P Rajora (eds), {\\i{}Paleogenomics: Genome-Scale Analysis of Ancient DNA} (Springer International Publishing 2019) mentions the successful analysis of a sample 146 years old.","plainCitation":"Freek T Bakker, ‘Herbarium Genomics: Plant Archival DNA Explored’ in Charlotte Lindqvist and Om P Rajora (eds), Paleogenomics: Genome-Scale Analysis of Ancient DNA (Springer International Publishing 2019) mentions the successful analysis of a sample 146 years old.","noteIndex":93},"citationItems":[{"id":584,"uris":["http://zotero.org/users/local/dU5rpCrq/items/MJBW9N4W"],"uri":["http://zotero.org/users/local/dU5rpCrq/items/MJBW9N4W"],"itemData":{"id":584,"type":"chapter","multi":{"main":{},"_keys":{}},"abstract":"Herbarium genomics, allowing testing of historic biological hypotheses in plant science, is a promising field mainly driven by recent advances in next-generation sequencing (NGS) technology. Herbarium collections represent an enormous botanical repository of both specimens and of phenotypic observations and locality data, of sometimes long-extinct taxa. Herbarium specimens, a large part of which stem from the nineteenth and eighteenth century, are mostly pressed and mounted and were usually heat-treated and poisoned for preservation. Whereas the presence of post-mortem damage in herbarium DNA has been found to consist of mainly genome fragmentation (single- and double-stranded breaks), damage-derived miscoding lesions appear to be highly limited or even negligible. For organelle genomes and other repetitive genomic compartments, genome skimming appears effective in retrieving sequence data from plant herbarium specimens, whereas studies addressing herbarium nuclear-encoded genes and particularly whole genomes are still in minority. High levels of herbarium genomic fragmentation possibly lead to insert sizes being smaller than Illumina read lengths applied. Using a series of 93 herbarium DNA samples, representing 10 angiosperm families, near-complete plastomes were assembled for 80% of the specimens, some of which are 146 years old. Overlapping read pairs were found to occur in roughly 80% of all read pairs obtained. After merging such overlapping pairs, the resulting fragments and their distribution can be considered to reflect the ongoing process of genome fragmentation up to the moment of DNA extraction. Fragment length distributions appear to fit gamma distributions with either many small fragments present or an increasing number of longer fragments having accumulated. These distributions appear to differ from usually observed first-order genomic degradation kinetics, possibly due to the nonrepresentative nature of genome skimming samples.","container-title":"Paleogenomics: Genome-Scale Analysis of Ancient DNA","event-place":"Cham","ISBN":"978-3-030-04753-5","language":"en","note":"DOI: 10.1007/13836_2018_40","page":"205-224","publisher":"Springer International Publishing","publisher-place":"Cham","source":"Springer Link","title":"Herbarium Genomics: Plant Archival DNA Explored","title-short":"Herbarium Genomics","URL":"https://doi.org/10.1007/13836_2018_40","author":[{"family":"Bakker","given":"Freek T.","multi":{"_key":{}}}],"editor":[{"family":"Lindqvist","given":"Charlotte","multi":{"_key":{}}},{"family":"Rajora","given":"Om P.","multi":{"_key":{}}}],"accessed":{"date-parts":[["2020",2,28]]},"issued":{"date-parts":[["2019"]]},"seeAlso":[]},"suffix":"mentions the successful analysis of a sample 146 years old."}],"schema":"https://github.com/citation-style-language/schema/raw/master/csl-citation.json"} </w:instrText>
      </w:r>
      <w:r w:rsidRPr="00F43F79">
        <w:rPr>
          <w:sz w:val="18"/>
          <w:szCs w:val="18"/>
        </w:rPr>
        <w:fldChar w:fldCharType="separate"/>
      </w:r>
      <w:r w:rsidRPr="00733234">
        <w:rPr>
          <w:sz w:val="18"/>
          <w:szCs w:val="18"/>
          <w:lang w:val="fr-FR"/>
        </w:rPr>
        <w:t xml:space="preserve">Freek T Bakker, ‘Herbarium Genomics: Plant Archival </w:t>
      </w:r>
      <w:r>
        <w:rPr>
          <w:sz w:val="18"/>
          <w:szCs w:val="18"/>
          <w:lang w:val="fr-FR"/>
        </w:rPr>
        <w:t>ADN</w:t>
      </w:r>
      <w:r w:rsidRPr="00733234">
        <w:rPr>
          <w:sz w:val="18"/>
          <w:szCs w:val="18"/>
          <w:lang w:val="fr-FR"/>
        </w:rPr>
        <w:t xml:space="preserve"> Explored’ in Charlotte Lindqvist and Om P Rajora (eds), </w:t>
      </w:r>
      <w:r w:rsidRPr="00733234">
        <w:rPr>
          <w:i/>
          <w:iCs/>
          <w:sz w:val="18"/>
          <w:szCs w:val="18"/>
          <w:lang w:val="fr-FR"/>
        </w:rPr>
        <w:t xml:space="preserve">Paleogenomics: Genome-Scale Analysis of Ancient </w:t>
      </w:r>
      <w:r>
        <w:rPr>
          <w:i/>
          <w:iCs/>
          <w:sz w:val="18"/>
          <w:szCs w:val="18"/>
          <w:lang w:val="fr-FR"/>
        </w:rPr>
        <w:t>ADN</w:t>
      </w:r>
      <w:r w:rsidRPr="00733234">
        <w:rPr>
          <w:sz w:val="18"/>
          <w:szCs w:val="18"/>
          <w:lang w:val="fr-FR"/>
        </w:rPr>
        <w:t xml:space="preserve"> (Springer International Publishing 2019), </w:t>
      </w:r>
      <w:r>
        <w:rPr>
          <w:sz w:val="18"/>
          <w:szCs w:val="18"/>
          <w:lang w:val="fr-FR"/>
        </w:rPr>
        <w:t xml:space="preserve">qui mentionne le succès de l'analyse </w:t>
      </w:r>
      <w:r w:rsidRPr="00733234">
        <w:rPr>
          <w:sz w:val="18"/>
          <w:szCs w:val="18"/>
          <w:lang w:val="fr-FR"/>
        </w:rPr>
        <w:t>d'un</w:t>
      </w:r>
      <w:r>
        <w:rPr>
          <w:sz w:val="18"/>
          <w:szCs w:val="18"/>
          <w:lang w:val="fr-FR"/>
        </w:rPr>
        <w:t xml:space="preserve"> </w:t>
      </w:r>
      <w:r w:rsidRPr="00733234">
        <w:rPr>
          <w:sz w:val="18"/>
          <w:szCs w:val="18"/>
          <w:lang w:val="fr-FR"/>
        </w:rPr>
        <w:t xml:space="preserve">échantillon </w:t>
      </w:r>
      <w:r>
        <w:rPr>
          <w:sz w:val="18"/>
          <w:szCs w:val="18"/>
          <w:lang w:val="fr-FR"/>
        </w:rPr>
        <w:t>âgé de 146 ans</w:t>
      </w:r>
      <w:r w:rsidRPr="00733234">
        <w:rPr>
          <w:sz w:val="18"/>
          <w:szCs w:val="18"/>
          <w:lang w:val="fr-FR"/>
        </w:rPr>
        <w:t>.</w:t>
      </w:r>
      <w:r w:rsidRPr="00F43F79">
        <w:rPr>
          <w:sz w:val="18"/>
          <w:szCs w:val="18"/>
        </w:rPr>
        <w:fldChar w:fldCharType="end"/>
      </w:r>
      <w:r w:rsidRPr="00733234">
        <w:rPr>
          <w:sz w:val="18"/>
          <w:szCs w:val="18"/>
          <w:lang w:val="fr-FR"/>
        </w:rPr>
        <w:t xml:space="preserve"> Voir </w:t>
      </w:r>
      <w:r w:rsidRPr="00F43F79">
        <w:rPr>
          <w:sz w:val="18"/>
          <w:szCs w:val="18"/>
        </w:rPr>
        <w:fldChar w:fldCharType="begin"/>
      </w:r>
      <w:r w:rsidRPr="00733234">
        <w:rPr>
          <w:sz w:val="18"/>
          <w:szCs w:val="18"/>
          <w:lang w:val="fr-FR"/>
        </w:rPr>
        <w:instrText xml:space="preserve"> ADDIN ZOTERO_ITEM CSL_CITATION {"citationID":"EpIQ8Wjp","properties":{"formattedCitation":"Vanessa C Bieker and Michael D Martin, \\uc0\\u8216{}Implications and Future Prospects for Evolutionary Analyses of DNA in Historical Herbarium Collections\\uc0\\u8217{} (2018) 165 Botany Letters 409 for the prospects of such utilization.","plainCitation":"Vanessa C Bieker and Michael D Martin, ‘Implications and Future Prospects for Evolutionary Analyses of DNA in Historical Herbarium Collections’ (2018) 165 Botany Letters 409 for the prospects of such utilization.","noteIndex":93},"citationItems":[{"id":790,"uris":["http://zotero.org/users/local/dU5rpCrq/items/NV4VJLHM"],"uri":["http://zotero.org/users/local/dU5rpCrq/items/NV4VJLHM"],"itemData":{"id":790,"type":"article-journal","multi":{"main":{},"_keys":{}},"container-title":"Botany Letters","DOI":"10.1080/23818107.2018.1458651","issue":"3-4","note":"publisher: Taylor &amp; Francis\n_eprint: https://doi.org/10.1080/23818107.2018.1458651","page":"409-418","title":"Implications and future prospects for evolutionary analyses of DNA in historical herbarium collections","volume":"165","author":[{"family":"Bieker","given":"Vanessa C.","multi":{"_key":{}}},{"family":"Martin","given":"Michael D.","multi":{"_key":{}}}],"issued":{"date-parts":[["2018"]]},"seeAlso":[]},"suffix":"for the prospects of such utilization."}],"schema":"https://github.com/citation-style-language/schema/raw/master/csl-citation.json"} </w:instrText>
      </w:r>
      <w:r w:rsidRPr="00F43F79">
        <w:rPr>
          <w:sz w:val="18"/>
          <w:szCs w:val="18"/>
        </w:rPr>
        <w:fldChar w:fldCharType="separate"/>
      </w:r>
      <w:r w:rsidRPr="00733234">
        <w:rPr>
          <w:sz w:val="18"/>
          <w:szCs w:val="18"/>
          <w:lang w:val="fr-FR"/>
        </w:rPr>
        <w:t xml:space="preserve">Vanessa C Bieker and Michael D Martin, ‘Implications and Future Prospects for Evolutionary Analysis of </w:t>
      </w:r>
      <w:r>
        <w:rPr>
          <w:sz w:val="18"/>
          <w:szCs w:val="18"/>
          <w:lang w:val="fr-FR"/>
        </w:rPr>
        <w:t>ADN</w:t>
      </w:r>
      <w:r w:rsidRPr="00733234">
        <w:rPr>
          <w:sz w:val="18"/>
          <w:szCs w:val="18"/>
          <w:lang w:val="fr-FR"/>
        </w:rPr>
        <w:t xml:space="preserve"> in Historical Herbarium Collections’ (2018) 165 Botany Letters 409, sur le potentiel offert par une telle utilisation.</w:t>
      </w:r>
      <w:r w:rsidRPr="00F43F79">
        <w:rPr>
          <w:sz w:val="18"/>
          <w:szCs w:val="18"/>
        </w:rPr>
        <w:fldChar w:fldCharType="end"/>
      </w:r>
    </w:p>
  </w:footnote>
  <w:footnote w:id="98">
    <w:p w14:paraId="777DC944" w14:textId="5DA01935" w:rsidR="008A77A6" w:rsidRPr="00D66423" w:rsidRDefault="008A77A6" w:rsidP="00F43F79">
      <w:pPr>
        <w:pStyle w:val="FootnoteText"/>
        <w:spacing w:before="20" w:after="20"/>
        <w:rPr>
          <w:sz w:val="18"/>
          <w:szCs w:val="18"/>
          <w:lang w:val="fr-FR"/>
        </w:rPr>
      </w:pPr>
      <w:r w:rsidRPr="00F43F79">
        <w:rPr>
          <w:rStyle w:val="FootnoteReference"/>
          <w:sz w:val="18"/>
          <w:szCs w:val="18"/>
        </w:rPr>
        <w:footnoteRef/>
      </w:r>
      <w:r>
        <w:rPr>
          <w:sz w:val="18"/>
          <w:szCs w:val="18"/>
          <w:lang w:val="fr-FR"/>
        </w:rPr>
        <w:t xml:space="preserve"> MB, entretien avec un conservateur d’herbier anonyme </w:t>
      </w:r>
      <w:r w:rsidRPr="00D66423">
        <w:rPr>
          <w:sz w:val="18"/>
          <w:szCs w:val="18"/>
          <w:lang w:val="fr-FR"/>
        </w:rPr>
        <w:t>(2020).</w:t>
      </w:r>
    </w:p>
  </w:footnote>
  <w:footnote w:id="99">
    <w:p w14:paraId="55E4BD6C" w14:textId="51C35615" w:rsidR="008A77A6" w:rsidRPr="00C050EB"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Pr>
          <w:sz w:val="18"/>
          <w:szCs w:val="18"/>
          <w:lang w:val="fr-FR"/>
        </w:rPr>
        <w:t xml:space="preserve"> </w:t>
      </w:r>
      <w:r w:rsidRPr="00C050EB">
        <w:rPr>
          <w:sz w:val="18"/>
          <w:szCs w:val="18"/>
          <w:lang w:val="fr-FR"/>
        </w:rPr>
        <w:t xml:space="preserve">Décision </w:t>
      </w:r>
      <w:r>
        <w:rPr>
          <w:sz w:val="18"/>
          <w:szCs w:val="18"/>
          <w:lang w:val="fr-FR"/>
        </w:rPr>
        <w:t xml:space="preserve">de la Commission du </w:t>
      </w:r>
      <w:r w:rsidRPr="00C050EB">
        <w:rPr>
          <w:sz w:val="18"/>
          <w:szCs w:val="18"/>
          <w:lang w:val="fr-FR"/>
        </w:rPr>
        <w:t>1</w:t>
      </w:r>
      <w:r>
        <w:rPr>
          <w:sz w:val="18"/>
          <w:szCs w:val="18"/>
          <w:lang w:val="fr-FR"/>
        </w:rPr>
        <w:t>0 mai 2019, reconnaissant le Code de conduite et les bonnes pratiques pour l’accès et le partage des avantages applicables au sein du</w:t>
      </w:r>
      <w:r w:rsidRPr="00C050EB">
        <w:rPr>
          <w:sz w:val="18"/>
          <w:szCs w:val="18"/>
          <w:lang w:val="fr-FR"/>
        </w:rPr>
        <w:t xml:space="preserve"> </w:t>
      </w:r>
      <w:r>
        <w:rPr>
          <w:sz w:val="18"/>
          <w:szCs w:val="18"/>
          <w:lang w:val="fr-FR"/>
        </w:rPr>
        <w:t>Consortium des institutions</w:t>
      </w:r>
      <w:r w:rsidRPr="00C050EB">
        <w:rPr>
          <w:sz w:val="18"/>
          <w:szCs w:val="18"/>
          <w:lang w:val="fr-FR"/>
        </w:rPr>
        <w:t xml:space="preserve"> taxonomiques européennes</w:t>
      </w:r>
      <w:r>
        <w:rPr>
          <w:sz w:val="18"/>
          <w:szCs w:val="18"/>
          <w:lang w:val="fr-FR"/>
        </w:rPr>
        <w:t>, en tant que bonnes pratiques au titre du</w:t>
      </w:r>
      <w:r w:rsidRPr="00C050EB">
        <w:rPr>
          <w:sz w:val="18"/>
          <w:szCs w:val="18"/>
          <w:lang w:val="fr-FR"/>
        </w:rPr>
        <w:t xml:space="preserve"> Rè</w:t>
      </w:r>
      <w:r>
        <w:rPr>
          <w:sz w:val="18"/>
          <w:szCs w:val="18"/>
          <w:lang w:val="fr-FR"/>
        </w:rPr>
        <w:t>glement (EU) No 511/2014 du Parlement européen et Conseil européen</w:t>
      </w:r>
      <w:r w:rsidRPr="00C050EB">
        <w:rPr>
          <w:sz w:val="18"/>
          <w:szCs w:val="18"/>
          <w:lang w:val="fr-FR"/>
        </w:rPr>
        <w:t>, C (2019) 3380 final.</w:t>
      </w:r>
    </w:p>
  </w:footnote>
  <w:footnote w:id="100">
    <w:p w14:paraId="08E861F5" w14:textId="5C0BFF49" w:rsidR="008A77A6" w:rsidRPr="00C36AB3"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C36AB3">
        <w:rPr>
          <w:sz w:val="18"/>
          <w:szCs w:val="18"/>
          <w:lang w:val="fr-FR"/>
        </w:rPr>
        <w:t xml:space="preserve"> </w:t>
      </w:r>
      <w:r w:rsidRPr="00F43F79">
        <w:rPr>
          <w:sz w:val="18"/>
          <w:szCs w:val="18"/>
        </w:rPr>
        <w:fldChar w:fldCharType="begin"/>
      </w:r>
      <w:r w:rsidRPr="00C36AB3">
        <w:rPr>
          <w:sz w:val="18"/>
          <w:szCs w:val="18"/>
          <w:lang w:val="fr-FR"/>
        </w:rPr>
        <w:instrText xml:space="preserve"> ADDIN ZOTERO_ITEM CSL_CITATION {"citationID":"gRFE8BFC","properties":{"formattedCitation":"Consortium of European Taxonomic Facilities (CETAF), \\uc0\\u8216{}Code of Conduct and Best Practice for Access and Benefit-Sharing\\uc0\\u8217{} (CETAF 2018) 4.","plainCitation":"Consortium of European Taxonomic Facilities (CETAF), ‘Code of Conduct and Best Practice for Access and Benefit-Sharing’ (CETAF 2018) 4.","noteIndex":96},"citationItems":[{"id":788,"uris":["http://zotero.org/users/local/dU5rpCrq/items/YGMBK4L8"],"uri":["http://zotero.org/users/local/dU5rpCrq/items/YGMBK4L8"],"itemData":{"id":788,"type":"article","multi":{"main":{},"_keys":{}},"publisher":"CETAF","title":"Code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(CETAF)","multi":{"_key":{}}}],"issued":{"date-parts":[["2018"]]},"seeAlso":[]},"locator":"4"}],"schema":"https://github.com/citation-style-language/schema/raw/master/csl-citation.json"} </w:instrText>
      </w:r>
      <w:r w:rsidRPr="00F43F79">
        <w:rPr>
          <w:sz w:val="18"/>
          <w:szCs w:val="18"/>
        </w:rPr>
        <w:fldChar w:fldCharType="separate"/>
      </w:r>
      <w:r>
        <w:rPr>
          <w:sz w:val="18"/>
          <w:szCs w:val="18"/>
          <w:lang w:val="fr-FR"/>
        </w:rPr>
        <w:t>Consortium des institutions taxonomiques européennes</w:t>
      </w:r>
      <w:r w:rsidRPr="00C36AB3">
        <w:rPr>
          <w:sz w:val="18"/>
          <w:szCs w:val="18"/>
          <w:lang w:val="fr-FR"/>
        </w:rPr>
        <w:t xml:space="preserve"> (CETAF), ‘Code de conduite et </w:t>
      </w:r>
      <w:r>
        <w:rPr>
          <w:sz w:val="18"/>
          <w:szCs w:val="18"/>
          <w:lang w:val="fr-FR"/>
        </w:rPr>
        <w:t>bonnes pratiques pour l</w:t>
      </w:r>
      <w:r w:rsidRPr="00C36AB3">
        <w:rPr>
          <w:sz w:val="18"/>
          <w:szCs w:val="18"/>
          <w:lang w:val="fr-FR"/>
        </w:rPr>
        <w:t>’accès et le partage des avantages’ (CETAF 2018) 4.</w:t>
      </w:r>
      <w:r w:rsidRPr="00F43F79">
        <w:rPr>
          <w:sz w:val="18"/>
          <w:szCs w:val="18"/>
        </w:rPr>
        <w:fldChar w:fldCharType="end"/>
      </w:r>
    </w:p>
  </w:footnote>
  <w:footnote w:id="101">
    <w:p w14:paraId="5684A37C" w14:textId="37D5078D" w:rsidR="008A77A6" w:rsidRPr="00D66423" w:rsidRDefault="008A77A6" w:rsidP="00F43F79">
      <w:pPr>
        <w:pStyle w:val="FootnoteText"/>
        <w:spacing w:before="20" w:after="20"/>
        <w:rPr>
          <w:sz w:val="18"/>
          <w:szCs w:val="18"/>
          <w:lang w:val="fr-FR"/>
        </w:rPr>
      </w:pPr>
      <w:r w:rsidRPr="00F43F79">
        <w:rPr>
          <w:rStyle w:val="FootnoteReference"/>
          <w:sz w:val="18"/>
          <w:szCs w:val="18"/>
        </w:rPr>
        <w:footnoteRef/>
      </w:r>
      <w:r w:rsidRPr="00D66423">
        <w:rPr>
          <w:sz w:val="18"/>
          <w:szCs w:val="18"/>
          <w:lang w:val="fr-FR"/>
        </w:rPr>
        <w:t xml:space="preserve"> Voir le Règlement UE 511/2014.</w:t>
      </w:r>
    </w:p>
  </w:footnote>
  <w:footnote w:id="102">
    <w:p w14:paraId="5602B929" w14:textId="5E7A1C4C" w:rsidR="008A77A6" w:rsidRPr="00C050EB"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C050EB">
        <w:rPr>
          <w:sz w:val="18"/>
          <w:szCs w:val="18"/>
          <w:lang w:val="fr-FR"/>
        </w:rPr>
        <w:t xml:space="preserve"> </w:t>
      </w:r>
      <w:r w:rsidRPr="00F43F79">
        <w:rPr>
          <w:sz w:val="18"/>
          <w:szCs w:val="18"/>
        </w:rPr>
        <w:fldChar w:fldCharType="begin"/>
      </w:r>
      <w:r w:rsidRPr="00C050EB">
        <w:rPr>
          <w:sz w:val="18"/>
          <w:szCs w:val="18"/>
          <w:lang w:val="fr-FR"/>
        </w:rPr>
        <w:instrText xml:space="preserve"> ADDIN ZOTERO_ITEM CSL_CITATION {"citationID":"WZC4KH48","properties":{"formattedCitation":"Consortium of European Taxonomic Facilities (CETAF) (n 96) 5.","plainCitation":"Consortium of European Taxonomic Facilities (CETAF) (n 96) 5.","noteIndex":98},"citationItems":[{"id":788,"uris":["http://zotero.org/users/local/dU5rpCrq/items/YGMBK4L8"],"uri":["http://zotero.org/users/local/dU5rpCrq/items/YGMBK4L8"],"itemData":{"id":788,"type":"article","multi":{"main":{},"_keys":{}},"publisher":"CETAF","title":"Code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(CETAF)","multi":{"_key":{}}}],"issued":{"date-parts":[["2018"]]},"seeAlso":[]},"locator":"5"}],"schema":"https://github.com/citation-style-language/schema/raw/master/csl-citation.json"} </w:instrText>
      </w:r>
      <w:r w:rsidRPr="00F43F79">
        <w:rPr>
          <w:sz w:val="18"/>
          <w:szCs w:val="18"/>
        </w:rPr>
        <w:fldChar w:fldCharType="separate"/>
      </w:r>
      <w:r>
        <w:rPr>
          <w:sz w:val="18"/>
          <w:szCs w:val="18"/>
          <w:lang w:val="fr-FR"/>
        </w:rPr>
        <w:t>Consortium des institutions</w:t>
      </w:r>
      <w:r w:rsidRPr="00C050EB">
        <w:rPr>
          <w:sz w:val="18"/>
          <w:szCs w:val="18"/>
          <w:lang w:val="fr-FR"/>
        </w:rPr>
        <w:t xml:space="preserve"> taxonomiques européennes (CETAF) (n 96) 5.</w:t>
      </w:r>
      <w:r w:rsidRPr="00F43F79">
        <w:rPr>
          <w:sz w:val="18"/>
          <w:szCs w:val="18"/>
        </w:rPr>
        <w:fldChar w:fldCharType="end"/>
      </w:r>
    </w:p>
  </w:footnote>
  <w:footnote w:id="103">
    <w:p w14:paraId="41864CD6" w14:textId="45C1792A" w:rsidR="008A77A6" w:rsidRPr="00AA4253"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AA4253">
        <w:rPr>
          <w:sz w:val="18"/>
          <w:szCs w:val="18"/>
          <w:lang w:val="fr-FR"/>
        </w:rPr>
        <w:t xml:space="preserve"> </w:t>
      </w:r>
      <w:r w:rsidRPr="00F43F79">
        <w:rPr>
          <w:sz w:val="18"/>
          <w:szCs w:val="18"/>
        </w:rPr>
        <w:fldChar w:fldCharType="begin"/>
      </w:r>
      <w:r w:rsidRPr="00AA4253">
        <w:rPr>
          <w:sz w:val="18"/>
          <w:szCs w:val="18"/>
          <w:lang w:val="fr-FR"/>
        </w:rPr>
        <w:instrText xml:space="preserve"> ADDIN ZOTERO_ITEM CSL_CITATION {"citationID":"BGDF3Bvs","properties":{"formattedCitation":"ibid.","plainCitation":"ibid.","noteIndex":99},"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(CETAF)","multi":{"_key":{}}}],"issued":{"date-parts":[["2018"]]},"seeAlso":[]},"locator":"5"}],"schema":"https://github.com/citation-style-language/schema/raw/master/csl-citation.json"} </w:instrText>
      </w:r>
      <w:r w:rsidRPr="00F43F79">
        <w:rPr>
          <w:sz w:val="18"/>
          <w:szCs w:val="18"/>
        </w:rPr>
        <w:fldChar w:fldCharType="separate"/>
      </w:r>
      <w:r w:rsidRPr="00AA4253">
        <w:rPr>
          <w:sz w:val="18"/>
          <w:szCs w:val="18"/>
          <w:lang w:val="fr-FR"/>
        </w:rPr>
        <w:t>Ibid.</w:t>
      </w:r>
      <w:r w:rsidRPr="00F43F79">
        <w:rPr>
          <w:sz w:val="18"/>
          <w:szCs w:val="18"/>
        </w:rPr>
        <w:fldChar w:fldCharType="end"/>
      </w:r>
    </w:p>
  </w:footnote>
  <w:footnote w:id="104">
    <w:p w14:paraId="583E79A5" w14:textId="2A521202" w:rsidR="008A77A6" w:rsidRPr="00AA4253"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AA4253">
        <w:rPr>
          <w:sz w:val="18"/>
          <w:szCs w:val="18"/>
          <w:lang w:val="fr-FR"/>
        </w:rPr>
        <w:t xml:space="preserve"> </w:t>
      </w:r>
      <w:r w:rsidRPr="00F43F79">
        <w:rPr>
          <w:sz w:val="18"/>
          <w:szCs w:val="18"/>
        </w:rPr>
        <w:fldChar w:fldCharType="begin"/>
      </w:r>
      <w:r w:rsidRPr="00AA4253">
        <w:rPr>
          <w:sz w:val="18"/>
          <w:szCs w:val="18"/>
          <w:lang w:val="fr-FR"/>
        </w:rPr>
        <w:instrText xml:space="preserve"> ADDIN ZOTERO_ITEM CSL_CITATION {"citationID":"XDKLRVCn","properties":{"formattedCitation":"ibid 6.","plainCitation":"ibid 6.","noteIndex":100},"citationItems":[{"id":788,"uris":["http://zotero.org/users/local/dU5rpCrq/items/YGMBK4L8"],"uri":["http://zotero.org/users/local/dU5rpCrq/items/YGMBK4L8"],"itemData":{"id":788,"type":"article","multi":{"main":{},"_keys":{}},"publisher":"CETAF","title":"Code of Conduct and Best Practice for Access and Benefit-Sharing","URL":"https://cetaf.org/services/natural-science-collections-and-access-and-benefit-sharing","author":[{"family":"Consortium of European Taxonomic Facilities (CETAF)","given":"","literal":"Consortium of European Taxonomic Facilities (CETAF)","multi":{"_key":{}}}],"issued":{"date-parts":[["2018"]]},"seeAlso":[]},"locator":"6"}],"schema":"https://github.com/citation-style-language/schema/raw/master/csl-citation.json"} </w:instrText>
      </w:r>
      <w:r w:rsidRPr="00F43F79">
        <w:rPr>
          <w:sz w:val="18"/>
          <w:szCs w:val="18"/>
        </w:rPr>
        <w:fldChar w:fldCharType="separate"/>
      </w:r>
      <w:r w:rsidRPr="00AA4253">
        <w:rPr>
          <w:sz w:val="18"/>
          <w:szCs w:val="18"/>
          <w:lang w:val="fr-FR"/>
        </w:rPr>
        <w:t>Ibid 6.</w:t>
      </w:r>
      <w:r w:rsidRPr="00F43F79">
        <w:rPr>
          <w:sz w:val="18"/>
          <w:szCs w:val="18"/>
        </w:rPr>
        <w:fldChar w:fldCharType="end"/>
      </w:r>
    </w:p>
  </w:footnote>
  <w:footnote w:id="105">
    <w:p w14:paraId="6FCD88DA" w14:textId="71FF4768" w:rsidR="008A77A6" w:rsidRPr="00F43F79" w:rsidRDefault="008A77A6" w:rsidP="00F43F79">
      <w:pPr>
        <w:pStyle w:val="FootnoteText"/>
        <w:spacing w:before="20" w:after="20"/>
        <w:ind w:left="284" w:hanging="288"/>
        <w:rPr>
          <w:sz w:val="18"/>
          <w:szCs w:val="18"/>
          <w:lang w:val="fr-CH"/>
        </w:rPr>
      </w:pPr>
      <w:r w:rsidRPr="00F43F79">
        <w:rPr>
          <w:rStyle w:val="FootnoteReference"/>
          <w:sz w:val="18"/>
          <w:szCs w:val="18"/>
        </w:rPr>
        <w:footnoteRef/>
      </w:r>
      <w:r w:rsidRPr="00F43F79">
        <w:rPr>
          <w:sz w:val="18"/>
          <w:szCs w:val="18"/>
          <w:lang w:val="fr-CH"/>
        </w:rPr>
        <w:t xml:space="preserve"> Loi n° 2016-1087 du 8 août 2016 pour la reconquête de la biodiversité, de la nature et des paysages, JORF n°0184 du 9 août 2016, L. 412-6 : « Dans le cas de collections de ressources génétiques ou de connai</w:t>
      </w:r>
      <w:r>
        <w:rPr>
          <w:sz w:val="18"/>
          <w:szCs w:val="18"/>
          <w:lang w:val="fr-CH"/>
        </w:rPr>
        <w:t>ssances traditionnelles connexe</w:t>
      </w:r>
      <w:r w:rsidRPr="00F43F79">
        <w:rPr>
          <w:sz w:val="18"/>
          <w:szCs w:val="18"/>
          <w:lang w:val="fr-CH"/>
        </w:rPr>
        <w:t xml:space="preserve">s constituées avant la publication de la loi n° 2016-1087 du 8 août 2016 pour la reconquête de la biodiversité, de la nature et des paysages, les procédures d'accès et de partage des avantages sur les ressources génétiques </w:t>
      </w:r>
      <w:r>
        <w:rPr>
          <w:sz w:val="18"/>
          <w:szCs w:val="18"/>
          <w:lang w:val="fr-CH"/>
        </w:rPr>
        <w:t>qui relèven</w:t>
      </w:r>
      <w:r w:rsidRPr="00F43F79">
        <w:rPr>
          <w:sz w:val="18"/>
          <w:szCs w:val="18"/>
          <w:lang w:val="fr-CH"/>
        </w:rPr>
        <w:t>t de la souveraineté de l'Etat et les connaissances traditionnelles associées à ces resso</w:t>
      </w:r>
      <w:r>
        <w:rPr>
          <w:sz w:val="18"/>
          <w:szCs w:val="18"/>
          <w:lang w:val="fr-CH"/>
        </w:rPr>
        <w:t>urces génétiques s'appliquent… à</w:t>
      </w:r>
      <w:r w:rsidRPr="00F43F79">
        <w:rPr>
          <w:sz w:val="18"/>
          <w:szCs w:val="18"/>
          <w:lang w:val="fr-CH"/>
        </w:rPr>
        <w:t xml:space="preserve"> tou</w:t>
      </w:r>
      <w:r>
        <w:rPr>
          <w:sz w:val="18"/>
          <w:szCs w:val="18"/>
          <w:lang w:val="fr-CH"/>
        </w:rPr>
        <w:t>te nouvelle utilisation à d’</w:t>
      </w:r>
      <w:r w:rsidRPr="00F43F79">
        <w:rPr>
          <w:sz w:val="18"/>
          <w:szCs w:val="18"/>
          <w:lang w:val="fr-CH"/>
        </w:rPr>
        <w:t>autres fins. Une nouvelle utilisation est définie comme to</w:t>
      </w:r>
      <w:r>
        <w:rPr>
          <w:sz w:val="18"/>
          <w:szCs w:val="18"/>
          <w:lang w:val="fr-CH"/>
        </w:rPr>
        <w:t>ute activité de recherche et développement dont l’objectif explicite est le</w:t>
      </w:r>
      <w:r w:rsidRPr="00F43F79">
        <w:rPr>
          <w:sz w:val="18"/>
          <w:szCs w:val="18"/>
          <w:lang w:val="fr-CH"/>
        </w:rPr>
        <w:t xml:space="preserve"> développement commercial et dont le domaine d'activité se distingue de c</w:t>
      </w:r>
      <w:r>
        <w:rPr>
          <w:sz w:val="18"/>
          <w:szCs w:val="18"/>
          <w:lang w:val="fr-CH"/>
        </w:rPr>
        <w:t>elui précédemment couvert par un</w:t>
      </w:r>
      <w:r w:rsidRPr="00F43F79">
        <w:rPr>
          <w:sz w:val="18"/>
          <w:szCs w:val="18"/>
          <w:lang w:val="fr-CH"/>
        </w:rPr>
        <w:t xml:space="preserve"> même utilisateur</w:t>
      </w:r>
      <w:r>
        <w:rPr>
          <w:sz w:val="18"/>
          <w:szCs w:val="18"/>
          <w:lang w:val="fr-CH"/>
        </w:rPr>
        <w:t>,</w:t>
      </w:r>
      <w:r w:rsidRPr="00F43F79">
        <w:rPr>
          <w:sz w:val="18"/>
          <w:szCs w:val="18"/>
          <w:lang w:val="fr-CH"/>
        </w:rPr>
        <w:t xml:space="preserve"> avec la même ressource génétique ou conn</w:t>
      </w:r>
      <w:r>
        <w:rPr>
          <w:sz w:val="18"/>
          <w:szCs w:val="18"/>
          <w:lang w:val="fr-CH"/>
        </w:rPr>
        <w:t>aissance traditionnelle connexe</w:t>
      </w:r>
      <w:r w:rsidRPr="00F43F79">
        <w:rPr>
          <w:sz w:val="18"/>
          <w:szCs w:val="18"/>
          <w:lang w:val="fr-CH"/>
        </w:rPr>
        <w:t> ».</w:t>
      </w:r>
    </w:p>
  </w:footnote>
  <w:footnote w:id="106">
    <w:p w14:paraId="3B081233" w14:textId="23A67FA4" w:rsidR="008A77A6" w:rsidRPr="00F43F79" w:rsidRDefault="008A77A6" w:rsidP="00F43F79">
      <w:pPr>
        <w:pStyle w:val="FootnoteText"/>
        <w:spacing w:before="20" w:after="20"/>
        <w:ind w:left="284" w:hanging="288"/>
        <w:rPr>
          <w:sz w:val="18"/>
          <w:szCs w:val="18"/>
          <w:lang w:val="fr-CH"/>
        </w:rPr>
      </w:pPr>
      <w:r w:rsidRPr="00F43F79">
        <w:rPr>
          <w:rStyle w:val="FootnoteReference"/>
          <w:sz w:val="18"/>
          <w:szCs w:val="18"/>
        </w:rPr>
        <w:footnoteRef/>
      </w:r>
      <w:r w:rsidRPr="00F43F79">
        <w:rPr>
          <w:sz w:val="18"/>
          <w:szCs w:val="18"/>
          <w:lang w:val="fr-CH"/>
        </w:rPr>
        <w:t xml:space="preserve"> </w:t>
      </w:r>
      <w:r w:rsidRPr="00F43F79">
        <w:rPr>
          <w:sz w:val="18"/>
          <w:szCs w:val="18"/>
        </w:rPr>
        <w:fldChar w:fldCharType="begin"/>
      </w:r>
      <w:r w:rsidRPr="00F43F79">
        <w:rPr>
          <w:sz w:val="18"/>
          <w:szCs w:val="18"/>
          <w:lang w:val="fr-CH"/>
        </w:rPr>
        <w:instrText xml:space="preserve"> ADDIN ZOTERO_ITEM CSL_CITATION {"citationID":"jUbau9hi","properties":{"formattedCitation":"Catherine Aubertin and Anne Nivart, \\uc0\\u8216{}Mus\\uc0\\u233{}e et Collections Sous Le Protocole de Nagoya\\uc0\\u8217{} in Fran\\uc0\\u231{}ois Mairesse (ed), {\\i{}D\\uc0\\u233{}finir le mus\\uc0\\u233{}e du XXIe si\\uc0\\u232{}cle: Mat\\uc0\\u233{}riaux pour une discussion} (ICOFOM 2017).","plainCitation":"Catherine Aubertin and Anne Nivart, ‘Musée et Collections Sous Le Protocole de Nagoya’ in François Mairesse (ed), Définir le musée du XXIe siècle: Matériaux pour une discussion (ICOFOM 2017).","noteIndex":102},"citationItems":[{"id":603,"uris":["http://zotero.org/users/local/dU5rpCrq/items/6MWIRS8T"],"uri":["http://zotero.org/users/local/dU5rpCrq/items/6MWIRS8T"],"itemData":{"id":603,"type":"chapter","multi":{"main":{},"_keys":{}},"container-title":"Définir le musée du XXIe siècle: Matériaux pour une discussion","publisher":"ICOFOM","title":"Musée et collections sous le protocole de Nagoya","editor":[{"family":"Mairesse","given":"François","multi":{"_key":{}}}],"author":[{"family":"Aubertin","given":"Catherine","multi":{"_key":{}}},{"family":"Nivart","given":"Anne","multi":{"_key":{}}}],"issued":{"date-parts":[["2017"]]},"seeAlso":[]}}],"schema":"https://github.com/citation-style-language/schema/raw/master/csl-citation.json"} </w:instrText>
      </w:r>
      <w:r w:rsidRPr="00F43F79">
        <w:rPr>
          <w:sz w:val="18"/>
          <w:szCs w:val="18"/>
        </w:rPr>
        <w:fldChar w:fldCharType="separate"/>
      </w:r>
      <w:r w:rsidRPr="00F43F79">
        <w:rPr>
          <w:sz w:val="18"/>
          <w:szCs w:val="18"/>
          <w:lang w:val="fr-CH"/>
        </w:rPr>
        <w:t>Catherine Aubertin</w:t>
      </w:r>
      <w:r>
        <w:rPr>
          <w:sz w:val="18"/>
          <w:szCs w:val="18"/>
          <w:lang w:val="fr-CH"/>
        </w:rPr>
        <w:t xml:space="preserve"> et </w:t>
      </w:r>
      <w:r w:rsidRPr="00F43F79">
        <w:rPr>
          <w:sz w:val="18"/>
          <w:szCs w:val="18"/>
          <w:lang w:val="fr-CH"/>
        </w:rPr>
        <w:t>Anne Nivart, ‘Musée et Collections</w:t>
      </w:r>
      <w:r>
        <w:rPr>
          <w:sz w:val="18"/>
          <w:szCs w:val="18"/>
          <w:lang w:val="fr-CH"/>
        </w:rPr>
        <w:t xml:space="preserve"> Sous Le Protocole de Nagoya’ dans</w:t>
      </w:r>
      <w:r w:rsidRPr="00F43F79">
        <w:rPr>
          <w:sz w:val="18"/>
          <w:szCs w:val="18"/>
          <w:lang w:val="fr-CH"/>
        </w:rPr>
        <w:t xml:space="preserve"> François Mairesse (ed), </w:t>
      </w:r>
      <w:r w:rsidRPr="00F43F79">
        <w:rPr>
          <w:i/>
          <w:iCs/>
          <w:sz w:val="18"/>
          <w:szCs w:val="18"/>
          <w:lang w:val="fr-CH"/>
        </w:rPr>
        <w:t>Définir le musée du XXIe siècle: Matériaux pour une discussion</w:t>
      </w:r>
      <w:r w:rsidRPr="00F43F79">
        <w:rPr>
          <w:sz w:val="18"/>
          <w:szCs w:val="18"/>
          <w:lang w:val="fr-CH"/>
        </w:rPr>
        <w:t xml:space="preserve"> (ICOFOM 2017).</w:t>
      </w:r>
      <w:r w:rsidRPr="00F43F79">
        <w:rPr>
          <w:sz w:val="18"/>
          <w:szCs w:val="18"/>
        </w:rPr>
        <w:fldChar w:fldCharType="end"/>
      </w:r>
    </w:p>
  </w:footnote>
  <w:footnote w:id="107">
    <w:p w14:paraId="3FAF03DF" w14:textId="49036C7C" w:rsidR="008A77A6" w:rsidRPr="008A5BE1" w:rsidRDefault="008A77A6" w:rsidP="00F43F79">
      <w:pPr>
        <w:pStyle w:val="FootnoteText"/>
        <w:spacing w:before="20" w:after="20"/>
        <w:ind w:left="284" w:hanging="288"/>
        <w:rPr>
          <w:sz w:val="18"/>
          <w:szCs w:val="18"/>
          <w:lang w:val="fr-CH"/>
        </w:rPr>
      </w:pPr>
      <w:r w:rsidRPr="00F43F79">
        <w:rPr>
          <w:rStyle w:val="FootnoteReference"/>
          <w:sz w:val="18"/>
          <w:szCs w:val="18"/>
        </w:rPr>
        <w:footnoteRef/>
      </w:r>
      <w:r>
        <w:rPr>
          <w:sz w:val="18"/>
          <w:szCs w:val="18"/>
          <w:lang w:val="fr-CH"/>
        </w:rPr>
        <w:t xml:space="preserve"> Au moins u</w:t>
      </w:r>
      <w:r w:rsidRPr="001A200E">
        <w:rPr>
          <w:sz w:val="18"/>
          <w:szCs w:val="18"/>
          <w:lang w:val="fr-CH"/>
        </w:rPr>
        <w:t xml:space="preserve">ne Partie au Protocole de Nagoya, </w:t>
      </w:r>
      <w:r>
        <w:rPr>
          <w:sz w:val="18"/>
          <w:szCs w:val="18"/>
          <w:lang w:val="fr-CH"/>
        </w:rPr>
        <w:t>à savoir le Mexique, n’impose aucune procédure en matière d’accès et de partage des avantages pour les semences agricoles. V</w:t>
      </w:r>
      <w:r w:rsidRPr="001A200E">
        <w:rPr>
          <w:sz w:val="18"/>
          <w:szCs w:val="18"/>
          <w:lang w:val="fr-CH"/>
        </w:rPr>
        <w:t xml:space="preserve">oir </w:t>
      </w:r>
      <w:r>
        <w:rPr>
          <w:sz w:val="18"/>
          <w:szCs w:val="18"/>
          <w:lang w:val="fr-CH"/>
        </w:rPr>
        <w:t>par exemple</w:t>
      </w:r>
      <w:r w:rsidRPr="001A200E">
        <w:rPr>
          <w:sz w:val="18"/>
          <w:szCs w:val="18"/>
          <w:lang w:val="fr-CH"/>
        </w:rPr>
        <w:t xml:space="preserve"> ABSCH-IRCC-MX-241563-1, ABSCH-IRCC-MX-208823-1 et ABSCH-IRCC-MX-207343-3. </w:t>
      </w:r>
      <w:r>
        <w:rPr>
          <w:sz w:val="18"/>
          <w:szCs w:val="18"/>
          <w:lang w:val="fr-CH"/>
        </w:rPr>
        <w:t>D’autre part</w:t>
      </w:r>
      <w:r w:rsidRPr="008A5BE1">
        <w:rPr>
          <w:sz w:val="18"/>
          <w:szCs w:val="18"/>
          <w:lang w:val="fr-CH"/>
        </w:rPr>
        <w:t xml:space="preserve">, </w:t>
      </w:r>
      <w:r>
        <w:rPr>
          <w:sz w:val="18"/>
          <w:szCs w:val="18"/>
          <w:lang w:val="fr-CH"/>
        </w:rPr>
        <w:t>les graines de soja ne sont pas inscrites à l’</w:t>
      </w:r>
      <w:r w:rsidRPr="008A5BE1">
        <w:rPr>
          <w:sz w:val="18"/>
          <w:szCs w:val="18"/>
          <w:lang w:val="fr-CH"/>
        </w:rPr>
        <w:t>Annex</w:t>
      </w:r>
      <w:r>
        <w:rPr>
          <w:sz w:val="18"/>
          <w:szCs w:val="18"/>
          <w:lang w:val="fr-CH"/>
        </w:rPr>
        <w:t>e</w:t>
      </w:r>
      <w:r w:rsidRPr="008A5BE1">
        <w:rPr>
          <w:sz w:val="18"/>
          <w:szCs w:val="18"/>
          <w:lang w:val="fr-CH"/>
        </w:rPr>
        <w:t xml:space="preserve"> 1</w:t>
      </w:r>
      <w:r>
        <w:rPr>
          <w:sz w:val="18"/>
          <w:szCs w:val="18"/>
          <w:lang w:val="fr-CH"/>
        </w:rPr>
        <w:t xml:space="preserve"> du Traité i</w:t>
      </w:r>
      <w:r w:rsidRPr="008A5BE1">
        <w:rPr>
          <w:sz w:val="18"/>
          <w:szCs w:val="18"/>
          <w:lang w:val="fr-CH"/>
        </w:rPr>
        <w:t xml:space="preserve">nternational </w:t>
      </w:r>
      <w:r>
        <w:rPr>
          <w:sz w:val="18"/>
          <w:szCs w:val="18"/>
          <w:lang w:val="fr-CH"/>
        </w:rPr>
        <w:t>sur les r</w:t>
      </w:r>
      <w:r w:rsidRPr="008A5BE1">
        <w:rPr>
          <w:sz w:val="18"/>
          <w:szCs w:val="18"/>
          <w:lang w:val="fr-CH"/>
        </w:rPr>
        <w:t xml:space="preserve">essources </w:t>
      </w:r>
      <w:r>
        <w:rPr>
          <w:sz w:val="18"/>
          <w:szCs w:val="18"/>
          <w:lang w:val="fr-CH"/>
        </w:rPr>
        <w:t>phytogénétiques pour l’alimentation et l’a</w:t>
      </w:r>
      <w:r w:rsidRPr="008A5BE1">
        <w:rPr>
          <w:sz w:val="18"/>
          <w:szCs w:val="18"/>
          <w:lang w:val="fr-CH"/>
        </w:rPr>
        <w:t>griculture.</w:t>
      </w:r>
    </w:p>
  </w:footnote>
  <w:footnote w:id="108">
    <w:p w14:paraId="38345795" w14:textId="0947A2E0" w:rsidR="008A77A6" w:rsidRPr="00C025FD" w:rsidRDefault="008A77A6" w:rsidP="00F43F79">
      <w:pPr>
        <w:pStyle w:val="FootnoteText"/>
        <w:spacing w:before="20" w:after="20"/>
        <w:ind w:left="284" w:hanging="288"/>
        <w:rPr>
          <w:sz w:val="18"/>
          <w:szCs w:val="18"/>
          <w:lang w:val="en-AU"/>
        </w:rPr>
      </w:pPr>
      <w:r w:rsidRPr="00F43F79">
        <w:rPr>
          <w:rStyle w:val="FootnoteReference"/>
          <w:rFonts w:eastAsiaTheme="majorEastAsia"/>
          <w:sz w:val="18"/>
          <w:szCs w:val="18"/>
        </w:rPr>
        <w:footnoteRef/>
      </w:r>
      <w:r w:rsidRPr="00C025FD">
        <w:rPr>
          <w:sz w:val="18"/>
          <w:szCs w:val="18"/>
          <w:lang w:val="fr-FR"/>
        </w:rPr>
        <w:t xml:space="preserve"> La coalition inclut la Déclaration de </w:t>
      </w:r>
      <w:r>
        <w:rPr>
          <w:sz w:val="18"/>
          <w:szCs w:val="18"/>
          <w:lang w:val="fr-FR"/>
        </w:rPr>
        <w:t>Berne</w:t>
      </w:r>
      <w:r w:rsidRPr="00C025FD">
        <w:rPr>
          <w:sz w:val="18"/>
          <w:szCs w:val="18"/>
          <w:lang w:val="fr-FR"/>
        </w:rPr>
        <w:t>, Greenpeace,</w:t>
      </w:r>
      <w:r>
        <w:rPr>
          <w:sz w:val="18"/>
          <w:szCs w:val="18"/>
          <w:lang w:val="fr-FR"/>
        </w:rPr>
        <w:t xml:space="preserve"> avec le soutien de plus de 300 ONG et agriculteur</w:t>
      </w:r>
      <w:r w:rsidRPr="00C025FD">
        <w:rPr>
          <w:sz w:val="18"/>
          <w:szCs w:val="18"/>
          <w:lang w:val="fr-FR"/>
        </w:rPr>
        <w:t xml:space="preserve">s. </w:t>
      </w:r>
      <w:r w:rsidRPr="00C025FD">
        <w:rPr>
          <w:sz w:val="18"/>
          <w:szCs w:val="18"/>
          <w:lang w:val="en-AU"/>
        </w:rPr>
        <w:t xml:space="preserve">Voir </w:t>
      </w:r>
      <w:r w:rsidRPr="00F43F79">
        <w:rPr>
          <w:sz w:val="18"/>
          <w:szCs w:val="18"/>
        </w:rPr>
        <w:fldChar w:fldCharType="begin"/>
      </w:r>
      <w:r w:rsidRPr="00C025FD">
        <w:rPr>
          <w:sz w:val="18"/>
          <w:szCs w:val="18"/>
          <w:lang w:val="en-AU"/>
        </w:rPr>
        <w:instrText xml:space="preserve"> ADDIN ZOTERO_ITEM CSL_CITATION {"citationID":"KsFwsMOW","properties":{"formattedCitation":"Emanuela Gambini, \\uc0\\u8216{}No Patents on Seeds Files an Opposition against Monsanto\\uc0\\u8217{}s Patent EP 2 134 870 B1 Covering the Selection of Soybean Plants and Seeds\\uc0\\u8217{} (2015) 6 European Journal of Risk Regulation 134.","plainCitation":"Emanuela Gambini, ‘No Patents on Seeds Files an Opposition against Monsanto’s Patent EP 2 134 870 B1 Covering the Selection of Soybean Plants and Seeds’ (2015) 6 European Journal of Risk Regulation 134.","noteIndex":104},"citationItems":[{"id":539,"uris":["http://zotero.org/users/local/dU5rpCrq/items/8LX3SZW4"],"uri":["http://zotero.org/users/local/dU5rpCrq/items/8LX3SZW4"],"itemData":{"id":539,"type":"article-journal","multi":{"main":{},"_keys":{}},"abstract":"On 25th November, 2014, the coalition “No Patents on Seeds” filed an opposition against the European patent EP 2 134 870 B1, held by the U.S. Company Monsanto Technology. The patent, granted on 26th February, 2014, by the European Patent Office, covers “utility of SNP [single nucleotide polimorfism] markers associated with major soybean plant maturity and growth habit genomic regions” and includes “methods for screening plants and seeds from the genus Glycine withmarkers associated with genomic regions that are related to the plant maturity and growth habit of Glycine plants”.\n“No Patents on Seeds” claims that the patent should be completely revoked, as it falls within the exclusion of essentially biological processes for the production of plants from patentability under art. 53(b) of the European Patent Convention (EPC2000) and is not a patentable invention according to art. 52(2)(a) EPC. This case note gives an overview of the opposition and discusses its implications.","container-title":"European Journal of Risk Regulation","DOI":"10.1017/S1867299X00004360","ISSN":"1867-299X, 2190-8249","issue":"1","language":"en","note":"No Patents on Seeds Files an Opposition against Monsanto's Patent EP 2 134 870 B1 Covering the Selection of Soybean Plants and Seeds - Volume 6 Issue 1 - Emanuela Gambini","page":"134-140","source":"Cambridge Core","title":"No Patents on Seeds Files an Opposition against Monsanto's Patent EP 2 134 870 B1 Covering the Selection of Soybean Plants and Seeds","volume":"6","author":[{"family":"Gambini","given":"Emanuela","multi":{"_key":{}}}],"issued":{"date-parts":[["2015",3]]},"seeAlso":[]}}],"schema":"https://github.com/citation-style-language/schema/raw/master/csl-citation.json"} </w:instrText>
      </w:r>
      <w:r w:rsidRPr="00F43F79">
        <w:rPr>
          <w:sz w:val="18"/>
          <w:szCs w:val="18"/>
        </w:rPr>
        <w:fldChar w:fldCharType="separate"/>
      </w:r>
      <w:r w:rsidRPr="00C025FD">
        <w:rPr>
          <w:sz w:val="18"/>
          <w:szCs w:val="18"/>
          <w:lang w:val="en-AU"/>
        </w:rPr>
        <w:t xml:space="preserve">Emanuela Gambini, ‘No Patents on Seeds Files an Opposition against Monsanto’s </w:t>
      </w:r>
      <w:r>
        <w:rPr>
          <w:sz w:val="18"/>
          <w:szCs w:val="18"/>
          <w:lang w:val="en-AU"/>
        </w:rPr>
        <w:t>Patent</w:t>
      </w:r>
      <w:r w:rsidRPr="00C025FD">
        <w:rPr>
          <w:sz w:val="18"/>
          <w:szCs w:val="18"/>
          <w:lang w:val="en-AU"/>
        </w:rPr>
        <w:t xml:space="preserve"> EP 2 134 870 B1 Covering the Selection of Soybean </w:t>
      </w:r>
      <w:r>
        <w:rPr>
          <w:sz w:val="18"/>
          <w:szCs w:val="18"/>
          <w:lang w:val="en-AU"/>
        </w:rPr>
        <w:t>Plantes et Seed</w:t>
      </w:r>
      <w:r w:rsidRPr="00C025FD">
        <w:rPr>
          <w:sz w:val="18"/>
          <w:szCs w:val="18"/>
          <w:lang w:val="en-AU"/>
        </w:rPr>
        <w:t xml:space="preserve">s’ (2015) 6 European Journal of Risk </w:t>
      </w:r>
      <w:r>
        <w:rPr>
          <w:sz w:val="18"/>
          <w:szCs w:val="18"/>
          <w:lang w:val="en-AU"/>
        </w:rPr>
        <w:t>Regulation</w:t>
      </w:r>
      <w:r w:rsidRPr="00C025FD">
        <w:rPr>
          <w:sz w:val="18"/>
          <w:szCs w:val="18"/>
          <w:lang w:val="en-AU"/>
        </w:rPr>
        <w:t xml:space="preserve"> 134.</w:t>
      </w:r>
      <w:r w:rsidRPr="00F43F79">
        <w:rPr>
          <w:sz w:val="18"/>
          <w:szCs w:val="18"/>
        </w:rPr>
        <w:fldChar w:fldCharType="end"/>
      </w:r>
    </w:p>
  </w:footnote>
  <w:footnote w:id="109">
    <w:p w14:paraId="4B10B33D" w14:textId="64743A1C" w:rsidR="008A77A6" w:rsidRPr="00003B53"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sidRPr="00C050EB">
        <w:rPr>
          <w:sz w:val="18"/>
          <w:szCs w:val="18"/>
          <w:lang w:val="fr-FR"/>
        </w:rPr>
        <w:t xml:space="preserve"> Brevet européen (EPO) EP2134870 B1.  </w:t>
      </w:r>
      <w:r w:rsidRPr="00003B53">
        <w:rPr>
          <w:sz w:val="18"/>
          <w:szCs w:val="18"/>
          <w:lang w:val="fr-FR"/>
        </w:rPr>
        <w:t>La demande indique que l’invention peut être appliquée à u</w:t>
      </w:r>
      <w:r>
        <w:rPr>
          <w:sz w:val="18"/>
          <w:szCs w:val="18"/>
          <w:lang w:val="fr-FR"/>
        </w:rPr>
        <w:t xml:space="preserve">ne </w:t>
      </w:r>
      <w:r w:rsidRPr="00003B53">
        <w:rPr>
          <w:sz w:val="18"/>
          <w:szCs w:val="18"/>
          <w:lang w:val="fr-FR"/>
        </w:rPr>
        <w:t>plant</w:t>
      </w:r>
      <w:r>
        <w:rPr>
          <w:sz w:val="18"/>
          <w:szCs w:val="18"/>
          <w:lang w:val="fr-FR"/>
        </w:rPr>
        <w:t>e</w:t>
      </w:r>
      <w:r w:rsidRPr="00003B53">
        <w:rPr>
          <w:sz w:val="18"/>
          <w:szCs w:val="18"/>
          <w:lang w:val="fr-FR"/>
        </w:rPr>
        <w:t xml:space="preserve"> “</w:t>
      </w:r>
      <w:r>
        <w:rPr>
          <w:sz w:val="18"/>
          <w:szCs w:val="18"/>
          <w:lang w:val="fr-FR"/>
        </w:rPr>
        <w:t xml:space="preserve">issue du groupe composé des </w:t>
      </w:r>
      <w:r w:rsidRPr="00003B53">
        <w:rPr>
          <w:sz w:val="18"/>
          <w:szCs w:val="18"/>
          <w:lang w:val="fr-FR"/>
        </w:rPr>
        <w:t>membre</w:t>
      </w:r>
      <w:r>
        <w:rPr>
          <w:sz w:val="18"/>
          <w:szCs w:val="18"/>
          <w:lang w:val="fr-FR"/>
        </w:rPr>
        <w:t>s du</w:t>
      </w:r>
      <w:r w:rsidRPr="00003B53">
        <w:rPr>
          <w:sz w:val="18"/>
          <w:szCs w:val="18"/>
          <w:lang w:val="fr-FR"/>
        </w:rPr>
        <w:t xml:space="preserve"> genre Glycine, </w:t>
      </w:r>
      <w:r>
        <w:rPr>
          <w:sz w:val="18"/>
          <w:szCs w:val="18"/>
          <w:lang w:val="fr-FR"/>
        </w:rPr>
        <w:t>et plus spécifiquement issue du groupe composé de :</w:t>
      </w:r>
      <w:r w:rsidRPr="00003B53">
        <w:rPr>
          <w:sz w:val="18"/>
          <w:szCs w:val="18"/>
          <w:lang w:val="fr-FR"/>
        </w:rPr>
        <w:t xml:space="preserve"> </w:t>
      </w:r>
      <w:r w:rsidRPr="004B791E">
        <w:rPr>
          <w:i/>
          <w:sz w:val="18"/>
          <w:szCs w:val="18"/>
          <w:lang w:val="fr-FR"/>
        </w:rPr>
        <w:t>Glycine arenaria, Glycine argyrea, Glycine canescens, Glycine clandestine, Glycine curvata, Glycine cyrtoloba, Glycine falcate, Glycine latifolia, Glycine latrobeana, Glycine max, Glycine microphylla, Glycine pescadrensis, Glycine pindanica, Glycine rubiginosa, Glycine soja, Glycine sp., Glycine stenophita, Glycine tabacina, et Glycine tomentella</w:t>
      </w:r>
      <w:r w:rsidRPr="00003B53">
        <w:rPr>
          <w:sz w:val="18"/>
          <w:szCs w:val="18"/>
          <w:lang w:val="fr-FR"/>
        </w:rPr>
        <w:t>.”</w:t>
      </w:r>
    </w:p>
  </w:footnote>
  <w:footnote w:id="110">
    <w:p w14:paraId="5AB90945" w14:textId="77777777" w:rsidR="008A77A6" w:rsidRPr="00F43F79" w:rsidRDefault="008A77A6" w:rsidP="00F43F79">
      <w:pPr>
        <w:pStyle w:val="FootnoteText"/>
        <w:spacing w:before="20" w:after="20"/>
        <w:ind w:left="284" w:hanging="288"/>
        <w:rPr>
          <w:sz w:val="18"/>
          <w:szCs w:val="18"/>
          <w:lang w:val="es-PE"/>
        </w:rPr>
      </w:pPr>
      <w:r w:rsidRPr="00F43F79">
        <w:rPr>
          <w:rStyle w:val="FootnoteReference"/>
          <w:sz w:val="18"/>
          <w:szCs w:val="18"/>
        </w:rPr>
        <w:footnoteRef/>
      </w:r>
      <w:r w:rsidRPr="00F43F79">
        <w:rPr>
          <w:sz w:val="18"/>
          <w:szCs w:val="18"/>
          <w:lang w:val="es-PE"/>
        </w:rPr>
        <w:t xml:space="preserve"> Ibid.</w:t>
      </w:r>
    </w:p>
  </w:footnote>
  <w:footnote w:id="111">
    <w:p w14:paraId="07A57B4E" w14:textId="05649032" w:rsidR="008A77A6" w:rsidRPr="00E11B20"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Pr>
          <w:sz w:val="18"/>
          <w:szCs w:val="18"/>
          <w:lang w:val="es-PE"/>
        </w:rPr>
        <w:t xml:space="preserve"> Brevet européen</w:t>
      </w:r>
      <w:r w:rsidRPr="00F43F79">
        <w:rPr>
          <w:sz w:val="18"/>
          <w:szCs w:val="18"/>
          <w:lang w:val="es-PE"/>
        </w:rPr>
        <w:t xml:space="preserve"> (EPO) EP 2134870 B1, para. </w:t>
      </w:r>
      <w:r w:rsidRPr="00E11B20">
        <w:rPr>
          <w:sz w:val="18"/>
          <w:szCs w:val="18"/>
          <w:lang w:val="fr-FR"/>
        </w:rPr>
        <w:t>3.</w:t>
      </w:r>
    </w:p>
  </w:footnote>
  <w:footnote w:id="112">
    <w:p w14:paraId="72780DA4" w14:textId="4FE6D345" w:rsidR="008A77A6" w:rsidRPr="00367430"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E11B20">
        <w:rPr>
          <w:sz w:val="18"/>
          <w:szCs w:val="18"/>
          <w:lang w:val="fr-FR"/>
        </w:rPr>
        <w:t xml:space="preserve"> Ibid, para. </w:t>
      </w:r>
      <w:r w:rsidRPr="004B791E">
        <w:rPr>
          <w:sz w:val="18"/>
          <w:szCs w:val="18"/>
          <w:lang w:val="fr-FR"/>
        </w:rPr>
        <w:t>114. Dans la demande de brevet, le terme “lignée” est défini comme</w:t>
      </w:r>
      <w:r>
        <w:rPr>
          <w:sz w:val="18"/>
          <w:szCs w:val="18"/>
          <w:lang w:val="fr-FR"/>
        </w:rPr>
        <w:t xml:space="preserve"> “un</w:t>
      </w:r>
      <w:r w:rsidRPr="004B791E">
        <w:rPr>
          <w:sz w:val="18"/>
          <w:szCs w:val="18"/>
          <w:lang w:val="fr-FR"/>
        </w:rPr>
        <w:t xml:space="preserve"> group</w:t>
      </w:r>
      <w:r>
        <w:rPr>
          <w:sz w:val="18"/>
          <w:szCs w:val="18"/>
          <w:lang w:val="fr-FR"/>
        </w:rPr>
        <w:t xml:space="preserve">e de plantes </w:t>
      </w:r>
      <w:r w:rsidRPr="004B791E">
        <w:rPr>
          <w:sz w:val="18"/>
          <w:szCs w:val="18"/>
          <w:lang w:val="fr-FR"/>
        </w:rPr>
        <w:t>individu</w:t>
      </w:r>
      <w:r>
        <w:rPr>
          <w:sz w:val="18"/>
          <w:szCs w:val="18"/>
          <w:lang w:val="fr-FR"/>
        </w:rPr>
        <w:t>elles ayant une même parenté, avec des caractéristiques semblables</w:t>
      </w:r>
      <w:r w:rsidRPr="004B791E">
        <w:rPr>
          <w:sz w:val="18"/>
          <w:szCs w:val="18"/>
          <w:lang w:val="fr-FR"/>
        </w:rPr>
        <w:t xml:space="preserve">.” </w:t>
      </w:r>
      <w:r w:rsidRPr="00367430">
        <w:rPr>
          <w:sz w:val="18"/>
          <w:szCs w:val="18"/>
          <w:lang w:val="fr-FR"/>
        </w:rPr>
        <w:t>Para. 18.</w:t>
      </w:r>
    </w:p>
  </w:footnote>
  <w:footnote w:id="113">
    <w:p w14:paraId="61291218" w14:textId="5889B4CD" w:rsidR="008A77A6" w:rsidRPr="00B46D70"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B46D70">
        <w:rPr>
          <w:sz w:val="18"/>
          <w:szCs w:val="18"/>
          <w:lang w:val="fr-FR"/>
        </w:rPr>
        <w:t xml:space="preserve"> Secrétariat </w:t>
      </w:r>
      <w:r>
        <w:rPr>
          <w:sz w:val="18"/>
          <w:szCs w:val="18"/>
          <w:lang w:val="fr-FR"/>
        </w:rPr>
        <w:t>de la Convention</w:t>
      </w:r>
      <w:r w:rsidRPr="00B46D70">
        <w:rPr>
          <w:sz w:val="18"/>
          <w:szCs w:val="18"/>
          <w:lang w:val="fr-FR"/>
        </w:rPr>
        <w:t xml:space="preserve"> sur la diversité biologique, ‘</w:t>
      </w:r>
      <w:r>
        <w:rPr>
          <w:sz w:val="18"/>
          <w:szCs w:val="18"/>
          <w:lang w:val="fr-FR"/>
        </w:rPr>
        <w:t xml:space="preserve">Rapport du </w:t>
      </w:r>
      <w:r w:rsidRPr="00B46D70">
        <w:rPr>
          <w:sz w:val="18"/>
          <w:szCs w:val="18"/>
          <w:lang w:val="fr-FR"/>
        </w:rPr>
        <w:t xml:space="preserve">Groupe </w:t>
      </w:r>
      <w:r>
        <w:rPr>
          <w:sz w:val="18"/>
          <w:szCs w:val="18"/>
          <w:lang w:val="fr-FR"/>
        </w:rPr>
        <w:t>spécial d’experts techniques sur l’information de séquençage numérique concernant les r</w:t>
      </w:r>
      <w:r w:rsidRPr="00B46D70">
        <w:rPr>
          <w:sz w:val="18"/>
          <w:szCs w:val="18"/>
          <w:lang w:val="fr-FR"/>
        </w:rPr>
        <w:t>essources génétiques,’ CBD/DSI/</w:t>
      </w:r>
      <w:r>
        <w:rPr>
          <w:sz w:val="18"/>
          <w:szCs w:val="18"/>
          <w:lang w:val="fr-FR"/>
        </w:rPr>
        <w:t>AHTEG/2020/1/7 (consulté le 20 mars</w:t>
      </w:r>
      <w:r w:rsidRPr="00B46D70">
        <w:rPr>
          <w:sz w:val="18"/>
          <w:szCs w:val="18"/>
          <w:lang w:val="fr-FR"/>
        </w:rPr>
        <w:t xml:space="preserve"> 2020).</w:t>
      </w:r>
    </w:p>
  </w:footnote>
  <w:footnote w:id="114">
    <w:p w14:paraId="255FD1E8" w14:textId="1D81D350" w:rsidR="008A77A6" w:rsidRPr="0002675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02675E">
        <w:rPr>
          <w:sz w:val="18"/>
          <w:szCs w:val="18"/>
          <w:lang w:val="fr-FR"/>
        </w:rPr>
        <w:t xml:space="preserve"> Ibid, para 30.</w:t>
      </w:r>
    </w:p>
  </w:footnote>
  <w:footnote w:id="115">
    <w:p w14:paraId="0D2DB88B" w14:textId="2198A7DC" w:rsidR="008A77A6" w:rsidRPr="0002675E"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sidRPr="0002675E">
        <w:rPr>
          <w:sz w:val="18"/>
          <w:szCs w:val="18"/>
          <w:lang w:val="fr-FR"/>
        </w:rPr>
        <w:t xml:space="preserve"> </w:t>
      </w:r>
      <w:r w:rsidRPr="00F43F79">
        <w:rPr>
          <w:sz w:val="18"/>
          <w:szCs w:val="18"/>
        </w:rPr>
        <w:fldChar w:fldCharType="begin"/>
      </w:r>
      <w:r w:rsidRPr="0002675E">
        <w:rPr>
          <w:sz w:val="18"/>
          <w:szCs w:val="18"/>
          <w:lang w:val="fr-FR"/>
        </w:rPr>
        <w:instrText xml:space="preserve"> ADDIN ZOTERO_ITEM CSL_CITATION {"citationID":"koYktQto","properties":{"formattedCitation":"Bagley and others (n 28).","plainCitation":"Bagley and others (n 28).","noteIndex":111},"citationItems":[{"id":648,"uris":["http://zotero.org/users/local/dU5rpCrq/items/PD5M6V67"],"uri":["http://zotero.org/users/local/dU5rpCrq/items/PD5M6V67"],"itemData":{"id":648,"type":"article","multi":{"main":{},"_keys":{}},"publisher":"Secretariat of the Convention on Biological Diversity","title":"Fact-finding Study on How Domestic Measures Address Benefit-sharing Arising from Commercial and Non-commercial Use of Digital Sequence Information on Genetic Resources and Address the Use of Digital Sequence Information on Genetic Resources for Research and Development","URL":"https://www.cbd.int/meetings/DSI-AHTEG-2020-01","author":[{"family":"Bagley","given":"Margo A","multi":{"_key":{}}},{"family":"Karger","given":"Elizabeth","multi":{"_key":{}}},{"family":"Ruiz Muller","given":"Manuel","multi":{"_key":{}}},{"family":"Perron-Welch","given":"Frederic","multi":{"_key":{}}},{"family":"Thambisetty","given":"Siva","multi":{"_key":{}}}],"accessed":{"date-parts":[["2020",2,28]]},"issued":{"date-parts":[["2020",1,29]]},"seeAlso":[]}}],"schema":"https://github.com/citation-style-language/schema/raw/master/csl-citation.json"} </w:instrText>
      </w:r>
      <w:r w:rsidRPr="00F43F79">
        <w:rPr>
          <w:sz w:val="18"/>
          <w:szCs w:val="18"/>
        </w:rPr>
        <w:fldChar w:fldCharType="separate"/>
      </w:r>
      <w:r w:rsidRPr="0002675E">
        <w:rPr>
          <w:sz w:val="18"/>
          <w:szCs w:val="18"/>
          <w:lang w:val="fr-FR"/>
        </w:rPr>
        <w:t>Bagley et al. (n 30).</w:t>
      </w:r>
      <w:r w:rsidRPr="00F43F79">
        <w:rPr>
          <w:sz w:val="18"/>
          <w:szCs w:val="18"/>
        </w:rPr>
        <w:fldChar w:fldCharType="end"/>
      </w:r>
    </w:p>
  </w:footnote>
  <w:footnote w:id="116">
    <w:p w14:paraId="100099C2" w14:textId="605B0ADD" w:rsidR="008A77A6" w:rsidRPr="004A33E2"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7A0B5B">
        <w:rPr>
          <w:sz w:val="18"/>
          <w:szCs w:val="18"/>
          <w:lang w:val="fr-FR"/>
        </w:rPr>
        <w:t xml:space="preserve"> </w:t>
      </w:r>
      <w:r w:rsidRPr="00F43F79">
        <w:rPr>
          <w:sz w:val="18"/>
          <w:szCs w:val="18"/>
        </w:rPr>
        <w:fldChar w:fldCharType="begin"/>
      </w:r>
      <w:r w:rsidRPr="007A0B5B">
        <w:rPr>
          <w:sz w:val="18"/>
          <w:szCs w:val="18"/>
          <w:lang w:val="fr-FR"/>
        </w:rPr>
        <w:instrText xml:space="preserve"> ADDIN ZOTERO_ITEM CSL_CITATION {"citationID":"iZ2vL0hd","properties":{"formattedCitation":"Fabian Rohden and others, \\uc0\\u8216{}Combined Study On Digital Sequence Information In Public And Private Databases And Traceability\\uc0\\u8217{} (Secretariat of the Convention on Biological Diversity 29 January 2020) 16.","plainCitation":"Fabian Rohden and others, ‘Combined Study On Digital Sequence Information In Public And Private Databases And Traceability’ (Secretariat of the Convention on Biological Diversity 29 January 2020) 16.","noteIndex":112},"citationItems":[{"id":661,"uris":["http://zotero.org/users/local/dU5rpCrq/items/UQH2C6GN"],"uri":["http://zotero.org/users/local/dU5rpCrq/items/UQH2C6GN"],"itemData":{"id":661,"type":"article","multi":{"main":{},"_keys":{}},"publisher":"Secretariat of the Convention on Biological Diversity","title":"Combined Study On Digital Sequence Information In Public And Private Databases And Traceability","author":[{"family":"Rohden","given":"Fabian","multi":{"_key":{}}},{"family":"Huang","given":"Sixing","multi":{"_key":{}}},{"family":"Dröge","given":"Gabriele","multi":{"_key":{}}},{"family":"Hartman Scholz","given":"Amber","multi":{"_key":{}}}],"issued":{"date-parts":[["2020",1,29]]},"seeAlso":[]},"locator":"16"}],"schema":"https://github.com/citation-style-language/schema/raw/master/csl-citation.json"} </w:instrText>
      </w:r>
      <w:r w:rsidRPr="00F43F79">
        <w:rPr>
          <w:sz w:val="18"/>
          <w:szCs w:val="18"/>
        </w:rPr>
        <w:fldChar w:fldCharType="separate"/>
      </w:r>
      <w:r w:rsidRPr="007A0B5B">
        <w:rPr>
          <w:sz w:val="18"/>
          <w:szCs w:val="18"/>
          <w:lang w:val="fr-FR"/>
        </w:rPr>
        <w:t xml:space="preserve">Fabian Rohden </w:t>
      </w:r>
      <w:r>
        <w:rPr>
          <w:sz w:val="18"/>
          <w:szCs w:val="18"/>
          <w:lang w:val="fr-FR"/>
        </w:rPr>
        <w:t>et al.</w:t>
      </w:r>
      <w:r w:rsidRPr="007A0B5B">
        <w:rPr>
          <w:sz w:val="18"/>
          <w:szCs w:val="18"/>
          <w:lang w:val="fr-FR"/>
        </w:rPr>
        <w:t>, ‘</w:t>
      </w:r>
      <w:r w:rsidRPr="00614793">
        <w:rPr>
          <w:sz w:val="18"/>
          <w:szCs w:val="18"/>
          <w:lang w:val="fr-FR"/>
        </w:rPr>
        <w:t>Combined Study On Digital Sequence Information In Public And Private Databases And Traceability</w:t>
      </w:r>
      <w:r w:rsidRPr="007A0B5B">
        <w:rPr>
          <w:sz w:val="18"/>
          <w:szCs w:val="18"/>
          <w:lang w:val="fr-FR"/>
        </w:rPr>
        <w:t xml:space="preserve">’ (Secrétariat </w:t>
      </w:r>
      <w:r>
        <w:rPr>
          <w:sz w:val="18"/>
          <w:szCs w:val="18"/>
          <w:lang w:val="fr-FR"/>
        </w:rPr>
        <w:t>de la Convention</w:t>
      </w:r>
      <w:r w:rsidRPr="007A0B5B">
        <w:rPr>
          <w:sz w:val="18"/>
          <w:szCs w:val="18"/>
          <w:lang w:val="fr-FR"/>
        </w:rPr>
        <w:t xml:space="preserve"> sur la</w:t>
      </w:r>
      <w:r>
        <w:rPr>
          <w:sz w:val="18"/>
          <w:szCs w:val="18"/>
          <w:lang w:val="fr-FR"/>
        </w:rPr>
        <w:t xml:space="preserve"> diversité biologique 29 janvier</w:t>
      </w:r>
      <w:r w:rsidRPr="007A0B5B">
        <w:rPr>
          <w:sz w:val="18"/>
          <w:szCs w:val="18"/>
          <w:lang w:val="fr-FR"/>
        </w:rPr>
        <w:t xml:space="preserve"> 2020) 16.</w:t>
      </w:r>
      <w:r w:rsidRPr="00F43F79">
        <w:rPr>
          <w:sz w:val="18"/>
          <w:szCs w:val="18"/>
        </w:rPr>
        <w:fldChar w:fldCharType="end"/>
      </w:r>
      <w:r w:rsidRPr="007A0B5B">
        <w:rPr>
          <w:sz w:val="18"/>
          <w:szCs w:val="18"/>
          <w:lang w:val="fr-FR"/>
        </w:rPr>
        <w:t xml:space="preserve"> </w:t>
      </w:r>
      <w:r>
        <w:rPr>
          <w:sz w:val="18"/>
          <w:szCs w:val="18"/>
          <w:lang w:val="fr-FR"/>
        </w:rPr>
        <w:t>Disponible à l’adresse</w:t>
      </w:r>
      <w:r w:rsidRPr="004A33E2">
        <w:rPr>
          <w:sz w:val="18"/>
          <w:szCs w:val="18"/>
          <w:lang w:val="fr-FR"/>
        </w:rPr>
        <w:t> : https://www.cbd.int/doc/c/1f8f/d793/57cb114ca40cb6468f479584/dsi-ahteg-2020-01-04-en.pdf.</w:t>
      </w:r>
    </w:p>
  </w:footnote>
  <w:footnote w:id="117">
    <w:p w14:paraId="20A769C9" w14:textId="65A0833C" w:rsidR="008A77A6" w:rsidRPr="00696FDA"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B65233">
        <w:rPr>
          <w:sz w:val="18"/>
          <w:szCs w:val="18"/>
          <w:lang w:val="fr-FR"/>
        </w:rPr>
        <w:t xml:space="preserve"> Voir </w:t>
      </w:r>
      <w:r w:rsidRPr="00F43F79">
        <w:rPr>
          <w:sz w:val="18"/>
          <w:szCs w:val="18"/>
        </w:rPr>
        <w:fldChar w:fldCharType="begin"/>
      </w:r>
      <w:r w:rsidRPr="00B65233">
        <w:rPr>
          <w:sz w:val="18"/>
          <w:szCs w:val="18"/>
          <w:lang w:val="fr-FR"/>
        </w:rPr>
        <w:instrText xml:space="preserve"> ADDIN ZOTERO_ITEM CSL_CITATION {"citationID":"pMexDH2l","properties":{"formattedCitation":"\\uc0\\u8216{}Response from International Nucleotide Sequence Database Collaboration (INSDC) to CBD Call for Views and Information on Digital Sequence Information on Genetic Resources\\uc0\\u8217{} (1 June 2019).","plainCitation":"‘Response from International Nucleotide Sequence Database Collaboration (INSDC) to CBD Call for Views and Information on Digital Sequence Information on Genetic Resources’ (1 June 2019).","noteIndex":113},"citationItems":[{"id":673,"uris":["http://zotero.org/users/local/dU5rpCrq/items/5YEQX5Q8"],"uri":["http://zotero.org/users/local/dU5rpCrq/items/5YEQX5Q8"],"itemData":{"id":673,"type":"article","multi":{"main":{},"_keys":{}},"title":"Response from International Nucleotide Sequence Database Collaboration (INSDC) to CBD call for views and information on Digital Sequence Information on Genetic Resources","issued":{"date-parts":[["2019",6,1]]},"seeAlso":[]}}],"schema":"https://github.com/citation-style-language/schema/raw/master/csl-citation.json"} </w:instrText>
      </w:r>
      <w:r w:rsidRPr="00F43F79">
        <w:rPr>
          <w:sz w:val="18"/>
          <w:szCs w:val="18"/>
        </w:rPr>
        <w:fldChar w:fldCharType="separate"/>
      </w:r>
      <w:r w:rsidRPr="00B65233">
        <w:rPr>
          <w:sz w:val="18"/>
          <w:szCs w:val="18"/>
          <w:lang w:val="fr-FR"/>
        </w:rPr>
        <w:t xml:space="preserve">‘Response from International Nucleotide </w:t>
      </w:r>
      <w:r>
        <w:rPr>
          <w:sz w:val="18"/>
          <w:szCs w:val="18"/>
          <w:lang w:val="fr-FR"/>
        </w:rPr>
        <w:t>Sequence</w:t>
      </w:r>
      <w:r w:rsidRPr="00B65233">
        <w:rPr>
          <w:sz w:val="18"/>
          <w:szCs w:val="18"/>
          <w:lang w:val="fr-FR"/>
        </w:rPr>
        <w:t xml:space="preserve"> </w:t>
      </w:r>
      <w:r>
        <w:rPr>
          <w:sz w:val="18"/>
          <w:szCs w:val="18"/>
          <w:lang w:val="fr-FR"/>
        </w:rPr>
        <w:t xml:space="preserve">Database Collaboration (INSDC), en réponse à la demande de la </w:t>
      </w:r>
      <w:r w:rsidRPr="00B65233">
        <w:rPr>
          <w:sz w:val="18"/>
          <w:szCs w:val="18"/>
          <w:lang w:val="fr-FR"/>
        </w:rPr>
        <w:t xml:space="preserve">CBD </w:t>
      </w:r>
      <w:r>
        <w:rPr>
          <w:sz w:val="18"/>
          <w:szCs w:val="18"/>
          <w:lang w:val="fr-FR"/>
        </w:rPr>
        <w:t>de fournir des points de vue et des i</w:t>
      </w:r>
      <w:r w:rsidRPr="00B65233">
        <w:rPr>
          <w:sz w:val="18"/>
          <w:szCs w:val="18"/>
          <w:lang w:val="fr-FR"/>
        </w:rPr>
        <w:t>nformation</w:t>
      </w:r>
      <w:r>
        <w:rPr>
          <w:sz w:val="18"/>
          <w:szCs w:val="18"/>
          <w:lang w:val="fr-FR"/>
        </w:rPr>
        <w:t>s sur l’information de séquençage numérique concernant les r</w:t>
      </w:r>
      <w:r w:rsidRPr="00B65233">
        <w:rPr>
          <w:sz w:val="18"/>
          <w:szCs w:val="18"/>
          <w:lang w:val="fr-FR"/>
        </w:rPr>
        <w:t>essources généti</w:t>
      </w:r>
      <w:r>
        <w:rPr>
          <w:sz w:val="18"/>
          <w:szCs w:val="18"/>
          <w:lang w:val="fr-FR"/>
        </w:rPr>
        <w:t>ques’ (1</w:t>
      </w:r>
      <w:r w:rsidRPr="00003B53">
        <w:rPr>
          <w:sz w:val="18"/>
          <w:szCs w:val="18"/>
          <w:vertAlign w:val="superscript"/>
          <w:lang w:val="fr-FR"/>
        </w:rPr>
        <w:t>er</w:t>
      </w:r>
      <w:r>
        <w:rPr>
          <w:sz w:val="18"/>
          <w:szCs w:val="18"/>
          <w:lang w:val="fr-FR"/>
        </w:rPr>
        <w:t xml:space="preserve"> juin </w:t>
      </w:r>
      <w:r w:rsidRPr="00B65233">
        <w:rPr>
          <w:sz w:val="18"/>
          <w:szCs w:val="18"/>
          <w:lang w:val="fr-FR"/>
        </w:rPr>
        <w:t>2019).</w:t>
      </w:r>
      <w:r w:rsidRPr="00F43F79">
        <w:rPr>
          <w:sz w:val="18"/>
          <w:szCs w:val="18"/>
        </w:rPr>
        <w:fldChar w:fldCharType="end"/>
      </w:r>
      <w:r w:rsidRPr="00B65233">
        <w:rPr>
          <w:sz w:val="18"/>
          <w:szCs w:val="18"/>
          <w:lang w:val="fr-FR"/>
        </w:rPr>
        <w:t xml:space="preserve"> </w:t>
      </w:r>
      <w:r w:rsidRPr="00696FDA">
        <w:rPr>
          <w:sz w:val="18"/>
          <w:szCs w:val="18"/>
          <w:lang w:val="fr-FR"/>
        </w:rPr>
        <w:t xml:space="preserve">Voir aussi </w:t>
      </w:r>
      <w:r w:rsidRPr="00F43F79">
        <w:rPr>
          <w:sz w:val="18"/>
          <w:szCs w:val="18"/>
        </w:rPr>
        <w:fldChar w:fldCharType="begin"/>
      </w:r>
      <w:r w:rsidRPr="00696FDA">
        <w:rPr>
          <w:sz w:val="18"/>
          <w:szCs w:val="18"/>
          <w:lang w:val="fr-FR"/>
        </w:rPr>
        <w:instrText xml:space="preserve"> ADDIN ZOTERO_ITEM CSL_CITATION {"citationID":"kPHWxCKt","properties":{"formattedCitation":"Rohden and others (n 112).","plainCitation":"Rohden and others (n 112).","noteIndex":113},"citationItems":[{"id":661,"uris":["http://zotero.org/users/local/dU5rpCrq/items/UQH2C6GN"],"uri":["http://zotero.org/users/local/dU5rpCrq/items/UQH2C6GN"],"itemData":{"id":661,"type":"article","multi":{"main":{},"_keys":{}},"publisher":"Secretariat of the Convention on Biological Diversity","title":"Combined Study On Digital Sequence Information In Public And Private Databases And Traceability","author":[{"family":"Rohden","given":"Fabian","multi":{"_key":{}}},{"family":"Huang","given":"Sixing","multi":{"_key":{}}},{"family":"Dröge","given":"Gabriele","multi":{"_key":{}}},{"family":"Hartman Scholz","given":"Amber","multi":{"_key":{}}}],"issued":{"date-parts":[["2020",1,29]]},"seeAlso":[]}}],"schema":"https://github.com/citation-style-language/schema/raw/master/csl-citation.json"} </w:instrText>
      </w:r>
      <w:r w:rsidRPr="00F43F79">
        <w:rPr>
          <w:sz w:val="18"/>
          <w:szCs w:val="18"/>
        </w:rPr>
        <w:fldChar w:fldCharType="separate"/>
      </w:r>
      <w:r w:rsidRPr="00696FDA">
        <w:rPr>
          <w:sz w:val="18"/>
          <w:szCs w:val="18"/>
          <w:lang w:val="fr-FR"/>
        </w:rPr>
        <w:t>Rohden et al. (n 112).</w:t>
      </w:r>
      <w:r w:rsidRPr="00F43F79">
        <w:rPr>
          <w:sz w:val="18"/>
          <w:szCs w:val="18"/>
        </w:rPr>
        <w:fldChar w:fldCharType="end"/>
      </w:r>
    </w:p>
  </w:footnote>
  <w:footnote w:id="118">
    <w:p w14:paraId="0A81CB26" w14:textId="0C11B48F" w:rsidR="008A77A6" w:rsidRPr="00C46B68"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sidRPr="00696FDA">
        <w:rPr>
          <w:sz w:val="18"/>
          <w:szCs w:val="18"/>
          <w:lang w:val="fr-FR"/>
        </w:rPr>
        <w:t xml:space="preserve"> </w:t>
      </w:r>
      <w:hyperlink r:id="rId6" w:history="1">
        <w:r w:rsidRPr="00696FDA">
          <w:rPr>
            <w:rStyle w:val="Hyperlink"/>
            <w:color w:val="auto"/>
            <w:sz w:val="18"/>
            <w:szCs w:val="18"/>
            <w:lang w:val="fr-FR"/>
          </w:rPr>
          <w:t>https://www.ncbi.nlm.nih.gov/genbank/statistics/</w:t>
        </w:r>
      </w:hyperlink>
      <w:r w:rsidRPr="00696FDA">
        <w:rPr>
          <w:sz w:val="18"/>
          <w:szCs w:val="18"/>
          <w:lang w:val="fr-FR"/>
        </w:rPr>
        <w:t xml:space="preserve">. </w:t>
      </w:r>
      <w:r w:rsidRPr="00C46B68">
        <w:rPr>
          <w:sz w:val="18"/>
          <w:szCs w:val="18"/>
          <w:lang w:val="fr-FR"/>
        </w:rPr>
        <w:t>Les bases sont les nucléotides représentés par les</w:t>
      </w:r>
      <w:r>
        <w:rPr>
          <w:sz w:val="18"/>
          <w:szCs w:val="18"/>
          <w:lang w:val="fr-FR"/>
        </w:rPr>
        <w:t xml:space="preserve"> lett</w:t>
      </w:r>
      <w:r w:rsidRPr="00C46B68">
        <w:rPr>
          <w:sz w:val="18"/>
          <w:szCs w:val="18"/>
          <w:lang w:val="fr-FR"/>
        </w:rPr>
        <w:t>r</w:t>
      </w:r>
      <w:r>
        <w:rPr>
          <w:sz w:val="18"/>
          <w:szCs w:val="18"/>
          <w:lang w:val="fr-FR"/>
        </w:rPr>
        <w:t>e</w:t>
      </w:r>
      <w:r w:rsidRPr="00C46B68">
        <w:rPr>
          <w:sz w:val="18"/>
          <w:szCs w:val="18"/>
          <w:lang w:val="fr-FR"/>
        </w:rPr>
        <w:t xml:space="preserve">s A, C, G, et </w:t>
      </w:r>
      <w:r>
        <w:rPr>
          <w:sz w:val="18"/>
          <w:szCs w:val="18"/>
          <w:lang w:val="fr-FR"/>
        </w:rPr>
        <w:t>T pour l’ADN. Il convient de noter</w:t>
      </w:r>
      <w:r w:rsidRPr="00C46B68">
        <w:rPr>
          <w:sz w:val="18"/>
          <w:szCs w:val="18"/>
          <w:lang w:val="fr-FR"/>
        </w:rPr>
        <w:t xml:space="preserve"> qu’une</w:t>
      </w:r>
      <w:r>
        <w:rPr>
          <w:sz w:val="18"/>
          <w:szCs w:val="18"/>
          <w:lang w:val="fr-FR"/>
        </w:rPr>
        <w:t xml:space="preserve"> grande partie du contenu de l’INDSC concerne de l’ADN humain</w:t>
      </w:r>
      <w:r w:rsidRPr="00C46B68">
        <w:rPr>
          <w:sz w:val="18"/>
          <w:szCs w:val="18"/>
          <w:lang w:val="fr-FR"/>
        </w:rPr>
        <w:t xml:space="preserve">, ou </w:t>
      </w:r>
      <w:r>
        <w:rPr>
          <w:sz w:val="18"/>
          <w:szCs w:val="18"/>
          <w:lang w:val="fr-FR"/>
        </w:rPr>
        <w:t>provient de pays qui n’exigent pas un consentement préalable donné en connaissance de cause</w:t>
      </w:r>
      <w:r w:rsidRPr="00C46B68">
        <w:rPr>
          <w:sz w:val="18"/>
          <w:szCs w:val="18"/>
          <w:lang w:val="fr-FR"/>
        </w:rPr>
        <w:t>.</w:t>
      </w:r>
    </w:p>
  </w:footnote>
  <w:footnote w:id="119">
    <w:p w14:paraId="026677C4" w14:textId="0E99D778" w:rsidR="008A77A6" w:rsidRPr="0002675E" w:rsidRDefault="008A77A6" w:rsidP="00F43F79">
      <w:pPr>
        <w:pStyle w:val="FootnoteText"/>
        <w:spacing w:before="20" w:after="20"/>
        <w:ind w:left="284" w:hanging="288"/>
        <w:rPr>
          <w:sz w:val="18"/>
          <w:szCs w:val="18"/>
          <w:lang w:val="en-AU"/>
        </w:rPr>
      </w:pPr>
      <w:r w:rsidRPr="00F43F79">
        <w:rPr>
          <w:rStyle w:val="FootnoteReference"/>
          <w:rFonts w:eastAsiaTheme="majorEastAsia"/>
          <w:sz w:val="18"/>
          <w:szCs w:val="18"/>
        </w:rPr>
        <w:footnoteRef/>
      </w:r>
      <w:r w:rsidRPr="0002675E">
        <w:rPr>
          <w:sz w:val="18"/>
          <w:szCs w:val="18"/>
          <w:lang w:val="fr-FR"/>
        </w:rPr>
        <w:t xml:space="preserve"> </w:t>
      </w:r>
      <w:hyperlink r:id="rId7" w:history="1">
        <w:r w:rsidRPr="0002675E">
          <w:rPr>
            <w:rStyle w:val="Hyperlink"/>
            <w:rFonts w:eastAsiaTheme="majorEastAsia"/>
            <w:color w:val="auto"/>
            <w:sz w:val="18"/>
            <w:szCs w:val="18"/>
            <w:lang w:val="fr-FR"/>
          </w:rPr>
          <w:t>https://www.earthbiogenome.org/</w:t>
        </w:r>
      </w:hyperlink>
      <w:r w:rsidRPr="0002675E">
        <w:rPr>
          <w:rStyle w:val="Hyperlink"/>
          <w:rFonts w:eastAsiaTheme="majorEastAsia"/>
          <w:color w:val="auto"/>
          <w:sz w:val="18"/>
          <w:szCs w:val="18"/>
          <w:lang w:val="fr-FR"/>
        </w:rPr>
        <w:t>.</w:t>
      </w:r>
      <w:r w:rsidRPr="0002675E">
        <w:rPr>
          <w:rStyle w:val="Hyperlink"/>
          <w:rFonts w:eastAsiaTheme="majorEastAsia"/>
          <w:sz w:val="18"/>
          <w:szCs w:val="18"/>
          <w:lang w:val="fr-FR"/>
        </w:rPr>
        <w:t xml:space="preserve"> </w:t>
      </w:r>
      <w:r w:rsidRPr="001B188D">
        <w:rPr>
          <w:rStyle w:val="Hyperlink"/>
          <w:rFonts w:eastAsiaTheme="majorEastAsia"/>
          <w:color w:val="000000" w:themeColor="text1"/>
          <w:sz w:val="18"/>
          <w:szCs w:val="18"/>
          <w:u w:val="none"/>
          <w:lang w:val="fr-FR"/>
        </w:rPr>
        <w:t xml:space="preserve">Voir aussi </w:t>
      </w:r>
      <w:r w:rsidRPr="00F43F79">
        <w:rPr>
          <w:rStyle w:val="Hyperlink"/>
          <w:rFonts w:eastAsiaTheme="majorEastAsia"/>
          <w:color w:val="000000" w:themeColor="text1"/>
          <w:sz w:val="18"/>
          <w:szCs w:val="18"/>
          <w:u w:val="none"/>
        </w:rPr>
        <w:fldChar w:fldCharType="begin"/>
      </w:r>
      <w:r w:rsidRPr="001B188D">
        <w:rPr>
          <w:rStyle w:val="Hyperlink"/>
          <w:rFonts w:eastAsiaTheme="majorEastAsia"/>
          <w:color w:val="000000" w:themeColor="text1"/>
          <w:sz w:val="18"/>
          <w:szCs w:val="18"/>
          <w:u w:val="none"/>
          <w:lang w:val="fr-FR"/>
        </w:rPr>
        <w:instrText xml:space="preserve"> ADDIN ZOTERO_ITEM CSL_CITATION {"citationID":"28tY3NhS","properties":{"formattedCitation":"Harris A Lewin and others, \\uc0\\u8216{}Earth BioGenome Project: Sequencing Life for the Future of Life\\uc0\\u8217{} (2018) 115 Proceedings of the National Academy of Sciences of the United States of America 4325.","plainCitation":"Harris A Lewin and others, ‘Earth BioGenome Project: Sequencing Life for the Future of Life’ (2018) 115 Proceedings of the National Academy of Sciences of the United States of America 4325.","noteIndex":115},"citationItems":[{"id":541,"uris":["http://zotero.org/users/local/dU5rpCrq/items/A6PC3NEM"],"uri":["http://zotero.org/users/local/dU5rpCrq/items/A6PC3NEM"],"itemData":{"id":541,"type":"article-journal","multi":{"main":{},"_keys":{}},"abstract":"Increasing our understanding of Earth's biodiversity and responsibly stewarding its resources are among the most crucial scientific and social challenges of the new millennium. These challenges require fundamental new knowledge of the organization, evolution, functions, and interactions among millions of the planet's organisms. Herein, we present a perspective on the Earth BioGenome Project (EBP), a moonshot for biology that aims to sequence, catalog, and characterize the genomes of all of Earth's eukaryotic biodiversity over a period of 10 years. The outcomes of the EBP will inform a broad range of major issues facing humanity, such as the impact of climate change on biodiversity, the conservation of endangered species and ecosystems, and the preservation and enhancement of ecosystem services. We describe hurdles that the project faces, including data-sharing policies that ensure a permanent, freely available resource for future scientific discovery while respecting access and benefit sharing guidelines of the Nagoya Protocol. We also describe scientific and organizational challenges in executing such an ambitious project, and the structure proposed to achieve the project's goals. The far-reaching potential benefits of creating an open digital repository of genomic information for life on Earth can be realized only by a coordinated international effort.","container-title":"Proceedings of the National Academy of Sciences of the United States of America","DOI":"10.1073/pnas.1720115115","ISSN":"1091-6490","issue":"17","language":"eng","note":"PMID: 29686065\nPMCID: PMC5924910","page":"4325-4333","source":"PubMed","title":"Earth BioGenome Project: Sequencing life for the future of life","title-short":"Earth BioGenome Project","volume":"115","author":[{"family":"Lewin","given":"Harris A.","multi":{"_key":{}}},{"family":"Robinson","given":"Gene E.","multi":{"_key":{</w:instrText>
      </w:r>
      <w:r w:rsidRPr="008A77A6">
        <w:rPr>
          <w:rStyle w:val="Hyperlink"/>
          <w:rFonts w:eastAsiaTheme="majorEastAsia"/>
          <w:color w:val="000000" w:themeColor="text1"/>
          <w:sz w:val="18"/>
          <w:szCs w:val="18"/>
          <w:u w:val="none"/>
        </w:rPr>
        <w:instrText>}}},{"family":"Kress","given":"W. John","multi":{"_key":{}}},{"family":"Baker","given":"William J.","multi":{"_key":{}}},{"family":"Coddington","given":"Jonathan","multi":{"_key":{}}},{"family":"Crandall","given":"Keith A.","multi":{</w:instrText>
      </w:r>
      <w:r w:rsidRPr="0002675E">
        <w:rPr>
          <w:rStyle w:val="Hyperlink"/>
          <w:rFonts w:eastAsiaTheme="majorEastAsia"/>
          <w:color w:val="000000" w:themeColor="text1"/>
          <w:sz w:val="18"/>
          <w:szCs w:val="18"/>
          <w:u w:val="none"/>
          <w:lang w:val="en-AU"/>
        </w:rPr>
        <w:instrText xml:space="preserve">"_key":{}}},{"family":"Durbin","given":"Richard","multi":{"_key":{}}},{"family":"Edwards","given":"Scott V.","multi":{"_key":{}}},{"family":"Forest","given":"Félix","multi":{"_key":{}}},{"family":"Gilbert","given":"M. Thomas P.","multi":{"_key":{}}},{"family":"Goldstein","given":"Melissa M.","multi":{"_key":{}}},{"family":"Grigoriev","given":"Igor V.","multi":{"_key":{}}},{"family":"Hackett","given":"Kevin J.","multi":{"_key":{}}},{"family":"Haussler","given":"David","multi":{"_key":{}}},{"family":"Jarvis","given":"Erich D.","multi":{"_key":{}}},{"family":"Johnson","given":"Warren E.","multi":{"_key":{}}},{"family":"Patrinos","given":"Aristides","multi":{"_key":{}}},{"family":"Richards","given":"Stephen","multi":{"_key":{}}},{"family":"Castilla-Rubio","given":"Juan Carlos","multi":{"_key":{}}},{"family":"Sluys","given":"Marie-Anne","non-dropping-particle":"van","multi":{"_key":{}}},{"family":"Soltis","given":"Pamela S.","multi":{"_key":{}}},{"family":"Xu","given":"Xun","multi":{"_key":{}}},{"family":"Yang","given":"Huanming","multi":{"_key":{}}},{"family":"Zhang","given":"Guojie","multi":{"_key":{}}}],"issued":{"date-parts":[["2018",4,24]]},"seeAlso":[]}}],"schema":"https://github.com/citation-style-language/schema/raw/master/csl-citation.json"} </w:instrText>
      </w:r>
      <w:r w:rsidRPr="00F43F79">
        <w:rPr>
          <w:rStyle w:val="Hyperlink"/>
          <w:rFonts w:eastAsiaTheme="majorEastAsia"/>
          <w:color w:val="000000" w:themeColor="text1"/>
          <w:sz w:val="18"/>
          <w:szCs w:val="18"/>
          <w:u w:val="none"/>
        </w:rPr>
        <w:fldChar w:fldCharType="separate"/>
      </w:r>
      <w:r w:rsidRPr="0002675E">
        <w:rPr>
          <w:sz w:val="18"/>
          <w:szCs w:val="18"/>
          <w:lang w:val="en-AU"/>
        </w:rPr>
        <w:t>Harris A Lewin et al., ‘Earth BioGenome Proje</w:t>
      </w:r>
      <w:r>
        <w:rPr>
          <w:sz w:val="18"/>
          <w:szCs w:val="18"/>
          <w:lang w:val="en-AU"/>
        </w:rPr>
        <w:t>ct: Sequencing</w:t>
      </w:r>
      <w:r w:rsidRPr="0002675E">
        <w:rPr>
          <w:sz w:val="18"/>
          <w:szCs w:val="18"/>
          <w:lang w:val="en-AU"/>
        </w:rPr>
        <w:t xml:space="preserve"> Life for the Future of Life’ (2018) 115 Proceedings of the National Acade</w:t>
      </w:r>
      <w:r>
        <w:rPr>
          <w:sz w:val="18"/>
          <w:szCs w:val="18"/>
          <w:lang w:val="en-AU"/>
        </w:rPr>
        <w:t>my of Sciences of the United States</w:t>
      </w:r>
      <w:r w:rsidRPr="0002675E">
        <w:rPr>
          <w:sz w:val="18"/>
          <w:szCs w:val="18"/>
          <w:lang w:val="en-AU"/>
        </w:rPr>
        <w:t xml:space="preserve"> of America 4325.</w:t>
      </w:r>
      <w:r w:rsidRPr="00F43F79">
        <w:rPr>
          <w:rStyle w:val="Hyperlink"/>
          <w:rFonts w:eastAsiaTheme="majorEastAsia"/>
          <w:color w:val="000000" w:themeColor="text1"/>
          <w:sz w:val="18"/>
          <w:szCs w:val="18"/>
          <w:u w:val="none"/>
        </w:rPr>
        <w:fldChar w:fldCharType="end"/>
      </w:r>
    </w:p>
  </w:footnote>
  <w:footnote w:id="120">
    <w:p w14:paraId="798CA544" w14:textId="0A567E1E" w:rsidR="008A77A6" w:rsidRPr="00C46B68"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696FDA">
        <w:rPr>
          <w:sz w:val="18"/>
          <w:szCs w:val="18"/>
          <w:lang w:val="fr-FR"/>
        </w:rPr>
        <w:t xml:space="preserve"> </w:t>
      </w:r>
      <w:r w:rsidRPr="00F43F79">
        <w:rPr>
          <w:sz w:val="18"/>
          <w:szCs w:val="18"/>
        </w:rPr>
        <w:fldChar w:fldCharType="begin"/>
      </w:r>
      <w:r w:rsidRPr="00696FDA">
        <w:rPr>
          <w:sz w:val="18"/>
          <w:szCs w:val="18"/>
          <w:lang w:val="fr-FR"/>
        </w:rPr>
        <w:instrText xml:space="preserve"> ADDIN ZOTERO_ITEM CSL_CITATION {"citationID":"jV1v5FVq","properties":{"formattedCitation":"Rohden and others (n 112).","plainCitation":"Rohden and others (n 112).","noteIndex":116},"citationItems":[{"id":661,"uris":["http://zotero.org/users/local/dU5rpCrq/items/UQH2C6GN"],"uri":["http://zotero.org/users/local/dU5rpCrq/items/UQH2C6GN"],"itemData":{"id":661,"type":"article","multi":{"main":{},"_keys":{}},"publisher":"Secretariat of the Convention on Biological Diversity","title":"Combined Study On Digital Sequence Information In Public And Private Databases And Traceability","author":[{"family":"Rohden","given":"Fabian","multi":{"_key":{}}},{"family":"Huang","given":"Sixing","multi":{"_key":{}}},{"family":"Dröge","given":"Gabriele","multi":{"_key":{}}},{"family":"Hartman Scholz","given":"Amber","multi":{"_key":{}}}],"issued":{"date-parts":[["2020",1,29]]},"seeAlso":[]}}],"schema":"https://github.com/citation-style-language/schema/raw/master/csl-citation.json"} </w:instrText>
      </w:r>
      <w:r w:rsidRPr="00F43F79">
        <w:rPr>
          <w:sz w:val="18"/>
          <w:szCs w:val="18"/>
        </w:rPr>
        <w:fldChar w:fldCharType="separate"/>
      </w:r>
      <w:r w:rsidRPr="00696FDA">
        <w:rPr>
          <w:sz w:val="18"/>
          <w:szCs w:val="18"/>
          <w:lang w:val="fr-FR"/>
        </w:rPr>
        <w:t>Rohden et al. (n 112).</w:t>
      </w:r>
      <w:r w:rsidRPr="00F43F79">
        <w:rPr>
          <w:sz w:val="18"/>
          <w:szCs w:val="18"/>
        </w:rPr>
        <w:fldChar w:fldCharType="end"/>
      </w:r>
      <w:r w:rsidRPr="00696FDA">
        <w:rPr>
          <w:sz w:val="18"/>
          <w:szCs w:val="18"/>
          <w:lang w:val="fr-FR"/>
        </w:rPr>
        <w:t xml:space="preserve"> </w:t>
      </w:r>
      <w:r>
        <w:rPr>
          <w:sz w:val="18"/>
          <w:szCs w:val="18"/>
          <w:lang w:val="fr-FR"/>
        </w:rPr>
        <w:t>La mention du pays fournisseur dans l’</w:t>
      </w:r>
      <w:r w:rsidRPr="00C46B68">
        <w:rPr>
          <w:sz w:val="18"/>
          <w:szCs w:val="18"/>
          <w:lang w:val="fr-FR"/>
        </w:rPr>
        <w:t>INDSC est devenue obligatoire pour les échantillons</w:t>
      </w:r>
      <w:r>
        <w:rPr>
          <w:sz w:val="18"/>
          <w:szCs w:val="18"/>
          <w:lang w:val="fr-FR"/>
        </w:rPr>
        <w:t xml:space="preserve"> obtenus sur le terrain, depuis</w:t>
      </w:r>
      <w:r w:rsidRPr="00C46B68">
        <w:rPr>
          <w:sz w:val="18"/>
          <w:szCs w:val="18"/>
          <w:lang w:val="fr-FR"/>
        </w:rPr>
        <w:t xml:space="preserve"> 2011. </w:t>
      </w:r>
      <w:r w:rsidRPr="00C46B68">
        <w:rPr>
          <w:i/>
          <w:iCs/>
          <w:sz w:val="18"/>
          <w:szCs w:val="18"/>
          <w:lang w:val="fr-FR"/>
        </w:rPr>
        <w:t xml:space="preserve"> </w:t>
      </w:r>
    </w:p>
  </w:footnote>
  <w:footnote w:id="121">
    <w:p w14:paraId="512A1FE3" w14:textId="4775053E" w:rsidR="008A77A6" w:rsidRPr="00696FDA"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C46B68">
        <w:rPr>
          <w:sz w:val="18"/>
          <w:szCs w:val="18"/>
          <w:lang w:val="fr-FR"/>
        </w:rPr>
        <w:t xml:space="preserve"> “BLAST trouve les régions</w:t>
      </w:r>
      <w:r>
        <w:rPr>
          <w:sz w:val="18"/>
          <w:szCs w:val="18"/>
          <w:lang w:val="fr-FR"/>
        </w:rPr>
        <w:t xml:space="preserve"> homologues</w:t>
      </w:r>
      <w:r w:rsidRPr="00C46B68">
        <w:rPr>
          <w:sz w:val="18"/>
          <w:szCs w:val="18"/>
          <w:lang w:val="fr-FR"/>
        </w:rPr>
        <w:t xml:space="preserve"> entre </w:t>
      </w:r>
      <w:r>
        <w:rPr>
          <w:sz w:val="18"/>
          <w:szCs w:val="18"/>
          <w:lang w:val="fr-FR"/>
        </w:rPr>
        <w:t xml:space="preserve">les </w:t>
      </w:r>
      <w:r w:rsidRPr="00C46B68">
        <w:rPr>
          <w:sz w:val="18"/>
          <w:szCs w:val="18"/>
          <w:lang w:val="fr-FR"/>
        </w:rPr>
        <w:t>séquences</w:t>
      </w:r>
      <w:r>
        <w:rPr>
          <w:sz w:val="18"/>
          <w:szCs w:val="18"/>
          <w:lang w:val="fr-FR"/>
        </w:rPr>
        <w:t xml:space="preserve"> biologiques</w:t>
      </w:r>
      <w:r w:rsidRPr="00C46B68">
        <w:rPr>
          <w:sz w:val="18"/>
          <w:szCs w:val="18"/>
          <w:lang w:val="fr-FR"/>
        </w:rPr>
        <w:t xml:space="preserve">. </w:t>
      </w:r>
      <w:r>
        <w:rPr>
          <w:sz w:val="18"/>
          <w:szCs w:val="18"/>
          <w:lang w:val="fr-FR"/>
        </w:rPr>
        <w:t>L</w:t>
      </w:r>
      <w:r w:rsidRPr="007D440B">
        <w:rPr>
          <w:sz w:val="18"/>
          <w:szCs w:val="18"/>
          <w:lang w:val="fr-FR"/>
        </w:rPr>
        <w:t>e program</w:t>
      </w:r>
      <w:r>
        <w:rPr>
          <w:sz w:val="18"/>
          <w:szCs w:val="18"/>
          <w:lang w:val="fr-FR"/>
        </w:rPr>
        <w:t>me compare les nuclé</w:t>
      </w:r>
      <w:r w:rsidRPr="007D440B">
        <w:rPr>
          <w:sz w:val="18"/>
          <w:szCs w:val="18"/>
          <w:lang w:val="fr-FR"/>
        </w:rPr>
        <w:t>otide</w:t>
      </w:r>
      <w:r>
        <w:rPr>
          <w:sz w:val="18"/>
          <w:szCs w:val="18"/>
          <w:lang w:val="fr-FR"/>
        </w:rPr>
        <w:t xml:space="preserve">s ou les </w:t>
      </w:r>
      <w:r w:rsidRPr="007D440B">
        <w:rPr>
          <w:sz w:val="18"/>
          <w:szCs w:val="18"/>
          <w:lang w:val="fr-FR"/>
        </w:rPr>
        <w:t>séquences</w:t>
      </w:r>
      <w:r>
        <w:rPr>
          <w:sz w:val="18"/>
          <w:szCs w:val="18"/>
          <w:lang w:val="fr-FR"/>
        </w:rPr>
        <w:t xml:space="preserve"> de protéines avec les </w:t>
      </w:r>
      <w:r w:rsidRPr="007D440B">
        <w:rPr>
          <w:sz w:val="18"/>
          <w:szCs w:val="18"/>
          <w:lang w:val="fr-FR"/>
        </w:rPr>
        <w:t>bases de données</w:t>
      </w:r>
      <w:r>
        <w:rPr>
          <w:sz w:val="18"/>
          <w:szCs w:val="18"/>
          <w:lang w:val="fr-FR"/>
        </w:rPr>
        <w:t xml:space="preserve"> sur les séquences, et calcule l’importance statistiqu</w:t>
      </w:r>
      <w:r w:rsidRPr="007D440B">
        <w:rPr>
          <w:sz w:val="18"/>
          <w:szCs w:val="18"/>
          <w:lang w:val="fr-FR"/>
        </w:rPr>
        <w:t xml:space="preserve">e.” </w:t>
      </w:r>
      <w:hyperlink r:id="rId8" w:history="1">
        <w:r w:rsidRPr="00696FDA">
          <w:rPr>
            <w:rStyle w:val="Hyperlink"/>
            <w:color w:val="auto"/>
            <w:sz w:val="18"/>
            <w:szCs w:val="18"/>
            <w:lang w:val="en-AU"/>
          </w:rPr>
          <w:t>https</w:t>
        </w:r>
      </w:hyperlink>
      <w:hyperlink r:id="rId9" w:history="1">
        <w:r w:rsidRPr="00696FDA">
          <w:rPr>
            <w:rStyle w:val="Hyperlink"/>
            <w:color w:val="auto"/>
            <w:sz w:val="18"/>
            <w:szCs w:val="18"/>
            <w:lang w:val="en-AU"/>
          </w:rPr>
          <w:t>://blast.ncbi.nlm.nih.gov/Blast.cgi</w:t>
        </w:r>
      </w:hyperlink>
      <w:r w:rsidRPr="00696FDA">
        <w:rPr>
          <w:sz w:val="18"/>
          <w:szCs w:val="18"/>
          <w:lang w:val="en-AU"/>
        </w:rPr>
        <w:t>.</w:t>
      </w:r>
    </w:p>
  </w:footnote>
  <w:footnote w:id="122">
    <w:p w14:paraId="6510DD5B" w14:textId="2E3F1A67" w:rsidR="008A77A6" w:rsidRPr="00FB033A"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{"citationID":"4BCExRlP","properties":{"formattedCitation":"Shafeeq Rahman and others, \\uc0\\u8216{}Transcriptome-Based Reconstruction of Gibberellic Acid Biosynthetic Pathway in Coconut (Cocos Nucifera L.)\\uc0\\u8217{} (2015) 10 Research journal of biotechnology 56, 63.","plainCitation":"Shafeeq Rahman and others, ‘Transcriptome-Based Reconstruction of Gibberellic Acid Biosynthetic Pathway in Coconut (Cocos Nucifera L.)’ (2015) 10 Research journal of biotechnology 56, 63.","noteIndex":118},"citationItems":[{"id":544,"uris":["http://zotero.org/users/local/dU5rpCrq/items/34PEDHSB"],"uri":["http://zotero.org/users/local/dU5rpCrq/items/34PEDHSB"],"itemData":{"id":544,"type":"article-journal","multi":{"main":{},"_keys":{}},"abstract":"Gibberellins are tetracyclic diterpenoid compounds which function as plant growth regulators and play an important role in many aspects of plant growth and development like stem elongation, seed germination and flower and fruit development. In the present study, we have carried out reconstruction of GA biosynthetic pathway in coconut from the transcriptome data. Information about the reference genes involved in gibberellic acid biosynthesis was identified from KEGG pathway database. A total of seven such genes were identified in other model plants and corresponding sequences (gene/protein) were retrieved from Uniprot and NCBI-GenBank databases. Based on these reference protein models, we have annotated all the seven GA biosynthesis genes (37 transcripts) in coconut leaf transcriptome using standalone Blast program. These transcripts were subjected to Gene Ontology (GO) search. Based on the results of the comparative analysis, GA biosynthetic pathway in coconut was reconstructed. The results of the present study can be used for further validation and isolation of full-length genes involved in gibberellic acid biosynthetic pathway in coconut.","container-title":"Research journal of biotechnology","journalAbbreviation":"Research journal of biotechnology","page":"56","source":"ResearchGate","title":"Transcriptome-based reconstruction of gibberellic acid biosynthetic pathway in coconut (Cocos nucifera L.)","volume":"10","author":[{"family":"Rahman","given":"Shafeeq","multi":{"_key":{}}},{"family":"K P","given":"Gangaraj","multi":{"_key":{}}},{"family":"Sudalaimuthu","given":"Naganeeswaran","multi":{"_key":{}}},{"family":"M.K.","given":"Rajesh","multi":{"_key":{}}}],"issued":{"date-parts":[["2015",10,1]]},"seeAlso":[]},"locator":"63"}],"schema":"https://github.com/citation-style-language/schema/raw/master/csl-citation.json"} </w:instrText>
      </w:r>
      <w:r w:rsidRPr="00F43F79">
        <w:rPr>
          <w:sz w:val="18"/>
          <w:szCs w:val="18"/>
        </w:rPr>
        <w:fldChar w:fldCharType="separate"/>
      </w:r>
      <w:r w:rsidRPr="00F43F79">
        <w:rPr>
          <w:sz w:val="18"/>
          <w:szCs w:val="18"/>
        </w:rPr>
        <w:t>Shafeeq Rahman</w:t>
      </w:r>
      <w:r>
        <w:rPr>
          <w:sz w:val="18"/>
          <w:szCs w:val="18"/>
        </w:rPr>
        <w:t xml:space="preserve"> et al.</w:t>
      </w:r>
      <w:r w:rsidRPr="00F43F79">
        <w:rPr>
          <w:sz w:val="18"/>
          <w:szCs w:val="18"/>
        </w:rPr>
        <w:t xml:space="preserve">, ‘Transcriptome-Based Reconstruction of Gibberellic Acid Shafeeq Rahman and others, ‘Transcriptome-Based Reconstruction of Gibberellic Acid Biosynthetic Pathway in Coconut (Cocos Nucifera L.)’ </w:t>
      </w:r>
      <w:r w:rsidRPr="00696FDA">
        <w:rPr>
          <w:sz w:val="18"/>
          <w:szCs w:val="18"/>
          <w:lang w:val="fr-FR"/>
        </w:rPr>
        <w:t>(2015) 10 Research journal of biotechnology 56, 63.</w:t>
      </w:r>
      <w:r w:rsidRPr="00F43F79">
        <w:rPr>
          <w:sz w:val="18"/>
          <w:szCs w:val="18"/>
        </w:rPr>
        <w:fldChar w:fldCharType="end"/>
      </w:r>
      <w:r w:rsidRPr="00696FDA">
        <w:rPr>
          <w:sz w:val="18"/>
          <w:szCs w:val="18"/>
          <w:lang w:val="fr-FR"/>
        </w:rPr>
        <w:t xml:space="preserve">  </w:t>
      </w:r>
      <w:r>
        <w:rPr>
          <w:sz w:val="18"/>
          <w:szCs w:val="18"/>
          <w:lang w:val="fr-FR"/>
        </w:rPr>
        <w:t>Plusieurs étapes intermédiaires et d’autres</w:t>
      </w:r>
      <w:r w:rsidRPr="00BD7BF3">
        <w:rPr>
          <w:sz w:val="18"/>
          <w:szCs w:val="18"/>
          <w:lang w:val="fr-FR"/>
        </w:rPr>
        <w:t xml:space="preserve"> bases de données ont </w:t>
      </w:r>
      <w:r>
        <w:rPr>
          <w:sz w:val="18"/>
          <w:szCs w:val="18"/>
          <w:lang w:val="fr-FR"/>
        </w:rPr>
        <w:t xml:space="preserve">été </w:t>
      </w:r>
      <w:r w:rsidRPr="00BD7BF3">
        <w:rPr>
          <w:sz w:val="18"/>
          <w:szCs w:val="18"/>
          <w:lang w:val="fr-FR"/>
        </w:rPr>
        <w:t>utilisé</w:t>
      </w:r>
      <w:r>
        <w:rPr>
          <w:sz w:val="18"/>
          <w:szCs w:val="18"/>
          <w:lang w:val="fr-FR"/>
        </w:rPr>
        <w:t>es pour ce</w:t>
      </w:r>
      <w:r w:rsidRPr="00BD7BF3">
        <w:rPr>
          <w:sz w:val="18"/>
          <w:szCs w:val="18"/>
          <w:lang w:val="fr-FR"/>
        </w:rPr>
        <w:t xml:space="preserve"> process</w:t>
      </w:r>
      <w:r>
        <w:rPr>
          <w:sz w:val="18"/>
          <w:szCs w:val="18"/>
          <w:lang w:val="fr-FR"/>
        </w:rPr>
        <w:t>us</w:t>
      </w:r>
      <w:r w:rsidRPr="00BD7BF3">
        <w:rPr>
          <w:sz w:val="18"/>
          <w:szCs w:val="18"/>
          <w:lang w:val="fr-FR"/>
        </w:rPr>
        <w:t xml:space="preserve">. </w:t>
      </w:r>
      <w:r w:rsidRPr="0005750E">
        <w:rPr>
          <w:sz w:val="18"/>
          <w:szCs w:val="18"/>
          <w:lang w:val="fr-FR"/>
        </w:rPr>
        <w:t>Il semble que les</w:t>
      </w:r>
      <w:r>
        <w:rPr>
          <w:sz w:val="18"/>
          <w:szCs w:val="18"/>
          <w:lang w:val="fr-FR"/>
        </w:rPr>
        <w:t xml:space="preserve"> </w:t>
      </w:r>
      <w:r w:rsidRPr="0005750E">
        <w:rPr>
          <w:sz w:val="18"/>
          <w:szCs w:val="18"/>
          <w:lang w:val="fr-FR"/>
        </w:rPr>
        <w:t xml:space="preserve">auteurs </w:t>
      </w:r>
      <w:r>
        <w:rPr>
          <w:sz w:val="18"/>
          <w:szCs w:val="18"/>
          <w:lang w:val="fr-FR"/>
        </w:rPr>
        <w:t xml:space="preserve">aient effectué la séquence des enzymes </w:t>
      </w:r>
      <w:r w:rsidRPr="0005750E">
        <w:rPr>
          <w:sz w:val="18"/>
          <w:szCs w:val="18"/>
          <w:lang w:val="fr-FR"/>
        </w:rPr>
        <w:t>AG3</w:t>
      </w:r>
      <w:r>
        <w:rPr>
          <w:sz w:val="18"/>
          <w:szCs w:val="18"/>
          <w:lang w:val="fr-FR"/>
        </w:rPr>
        <w:t xml:space="preserve">, puis procédé à un </w:t>
      </w:r>
      <w:r w:rsidRPr="0005750E">
        <w:rPr>
          <w:sz w:val="18"/>
          <w:szCs w:val="18"/>
          <w:lang w:val="fr-FR"/>
        </w:rPr>
        <w:t>align</w:t>
      </w:r>
      <w:r>
        <w:rPr>
          <w:sz w:val="18"/>
          <w:szCs w:val="18"/>
          <w:lang w:val="fr-FR"/>
        </w:rPr>
        <w:t>e</w:t>
      </w:r>
      <w:r w:rsidRPr="0005750E">
        <w:rPr>
          <w:sz w:val="18"/>
          <w:szCs w:val="18"/>
          <w:lang w:val="fr-FR"/>
        </w:rPr>
        <w:t xml:space="preserve">ment en utilisant </w:t>
      </w:r>
      <w:r>
        <w:rPr>
          <w:sz w:val="18"/>
          <w:szCs w:val="18"/>
          <w:lang w:val="fr-FR"/>
        </w:rPr>
        <w:t>« </w:t>
      </w:r>
      <w:r w:rsidRPr="0005750E">
        <w:rPr>
          <w:sz w:val="18"/>
          <w:szCs w:val="18"/>
          <w:lang w:val="fr-FR"/>
        </w:rPr>
        <w:t>tblastn</w:t>
      </w:r>
      <w:r>
        <w:rPr>
          <w:sz w:val="18"/>
          <w:szCs w:val="18"/>
          <w:lang w:val="fr-FR"/>
        </w:rPr>
        <w:t> »</w:t>
      </w:r>
      <w:r w:rsidRPr="0005750E">
        <w:rPr>
          <w:sz w:val="18"/>
          <w:szCs w:val="18"/>
          <w:lang w:val="fr-FR"/>
        </w:rPr>
        <w:t xml:space="preserve">, </w:t>
      </w:r>
      <w:r>
        <w:rPr>
          <w:sz w:val="18"/>
          <w:szCs w:val="18"/>
          <w:lang w:val="fr-FR"/>
        </w:rPr>
        <w:t>une fo</w:t>
      </w:r>
      <w:r w:rsidRPr="0005750E">
        <w:rPr>
          <w:sz w:val="18"/>
          <w:szCs w:val="18"/>
          <w:lang w:val="fr-FR"/>
        </w:rPr>
        <w:t>nc</w:t>
      </w:r>
      <w:r>
        <w:rPr>
          <w:sz w:val="18"/>
          <w:szCs w:val="18"/>
          <w:lang w:val="fr-FR"/>
        </w:rPr>
        <w:t xml:space="preserve">tion au sein de BLAST permettant d’identifier les séquences qui </w:t>
      </w:r>
      <w:r w:rsidRPr="0005750E">
        <w:rPr>
          <w:sz w:val="18"/>
          <w:szCs w:val="18"/>
          <w:lang w:val="fr-FR"/>
        </w:rPr>
        <w:t>encode</w:t>
      </w:r>
      <w:r>
        <w:rPr>
          <w:sz w:val="18"/>
          <w:szCs w:val="18"/>
          <w:lang w:val="fr-FR"/>
        </w:rPr>
        <w:t>nt les proté</w:t>
      </w:r>
      <w:r w:rsidRPr="0005750E">
        <w:rPr>
          <w:sz w:val="18"/>
          <w:szCs w:val="18"/>
          <w:lang w:val="fr-FR"/>
        </w:rPr>
        <w:t>in</w:t>
      </w:r>
      <w:r>
        <w:rPr>
          <w:sz w:val="18"/>
          <w:szCs w:val="18"/>
          <w:lang w:val="fr-FR"/>
        </w:rPr>
        <w:t>e</w:t>
      </w:r>
      <w:r w:rsidRPr="0005750E">
        <w:rPr>
          <w:sz w:val="18"/>
          <w:szCs w:val="18"/>
          <w:lang w:val="fr-FR"/>
        </w:rPr>
        <w:t xml:space="preserve">s </w:t>
      </w:r>
      <w:r>
        <w:rPr>
          <w:sz w:val="18"/>
          <w:szCs w:val="18"/>
          <w:lang w:val="fr-FR"/>
        </w:rPr>
        <w:t>semblables à la proté</w:t>
      </w:r>
      <w:r w:rsidRPr="0005750E">
        <w:rPr>
          <w:sz w:val="18"/>
          <w:szCs w:val="18"/>
          <w:lang w:val="fr-FR"/>
        </w:rPr>
        <w:t>in</w:t>
      </w:r>
      <w:r>
        <w:rPr>
          <w:sz w:val="18"/>
          <w:szCs w:val="18"/>
          <w:lang w:val="fr-FR"/>
        </w:rPr>
        <w:t>e</w:t>
      </w:r>
      <w:r w:rsidRPr="0005750E">
        <w:rPr>
          <w:sz w:val="18"/>
          <w:szCs w:val="18"/>
          <w:lang w:val="fr-FR"/>
        </w:rPr>
        <w:t xml:space="preserve"> </w:t>
      </w:r>
      <w:r>
        <w:rPr>
          <w:sz w:val="18"/>
          <w:szCs w:val="18"/>
          <w:lang w:val="fr-FR"/>
        </w:rPr>
        <w:t>recherchée</w:t>
      </w:r>
      <w:r w:rsidRPr="0005750E">
        <w:rPr>
          <w:sz w:val="18"/>
          <w:szCs w:val="18"/>
          <w:lang w:val="fr-FR"/>
        </w:rPr>
        <w:t xml:space="preserve">. </w:t>
      </w:r>
      <w:r>
        <w:rPr>
          <w:sz w:val="18"/>
          <w:szCs w:val="18"/>
          <w:lang w:val="fr-FR"/>
        </w:rPr>
        <w:t>Ils ont aussi</w:t>
      </w:r>
      <w:r w:rsidRPr="00935EE2">
        <w:rPr>
          <w:sz w:val="18"/>
          <w:szCs w:val="18"/>
          <w:lang w:val="fr-FR"/>
        </w:rPr>
        <w:t xml:space="preserve"> utilisé HMMER, </w:t>
      </w:r>
      <w:r>
        <w:rPr>
          <w:sz w:val="18"/>
          <w:szCs w:val="18"/>
          <w:lang w:val="fr-FR"/>
        </w:rPr>
        <w:t xml:space="preserve">qui est semblable à BLAST, pour effectuer cet </w:t>
      </w:r>
      <w:r w:rsidRPr="00935EE2">
        <w:rPr>
          <w:sz w:val="18"/>
          <w:szCs w:val="18"/>
          <w:lang w:val="fr-FR"/>
        </w:rPr>
        <w:t>align</w:t>
      </w:r>
      <w:r>
        <w:rPr>
          <w:sz w:val="18"/>
          <w:szCs w:val="18"/>
          <w:lang w:val="fr-FR"/>
        </w:rPr>
        <w:t>e</w:t>
      </w:r>
      <w:r w:rsidRPr="00935EE2">
        <w:rPr>
          <w:sz w:val="18"/>
          <w:szCs w:val="18"/>
          <w:lang w:val="fr-FR"/>
        </w:rPr>
        <w:t>ment. I</w:t>
      </w:r>
      <w:r>
        <w:rPr>
          <w:sz w:val="18"/>
          <w:szCs w:val="18"/>
          <w:lang w:val="fr-FR"/>
        </w:rPr>
        <w:t>ls ont utilisé l’</w:t>
      </w:r>
      <w:r w:rsidRPr="00935EE2">
        <w:rPr>
          <w:sz w:val="18"/>
          <w:szCs w:val="18"/>
          <w:lang w:val="fr-FR"/>
        </w:rPr>
        <w:t>align</w:t>
      </w:r>
      <w:r>
        <w:rPr>
          <w:sz w:val="18"/>
          <w:szCs w:val="18"/>
          <w:lang w:val="fr-FR"/>
        </w:rPr>
        <w:t xml:space="preserve">ement pour </w:t>
      </w:r>
      <w:r w:rsidRPr="00935EE2">
        <w:rPr>
          <w:sz w:val="18"/>
          <w:szCs w:val="18"/>
          <w:lang w:val="fr-FR"/>
        </w:rPr>
        <w:t xml:space="preserve">identifier 37 </w:t>
      </w:r>
      <w:r>
        <w:rPr>
          <w:sz w:val="18"/>
          <w:szCs w:val="18"/>
          <w:lang w:val="fr-FR"/>
        </w:rPr>
        <w:t xml:space="preserve">gènes ayant des similitudes avec la </w:t>
      </w:r>
      <w:r w:rsidRPr="00935EE2">
        <w:rPr>
          <w:sz w:val="18"/>
          <w:szCs w:val="18"/>
          <w:lang w:val="fr-FR"/>
        </w:rPr>
        <w:t xml:space="preserve"> voie de synthèse biologique </w:t>
      </w:r>
      <w:r>
        <w:rPr>
          <w:sz w:val="18"/>
          <w:szCs w:val="18"/>
          <w:lang w:val="fr-FR"/>
        </w:rPr>
        <w:t>AG3, puis ils ont eu recours à la base de connaissances sur l’ontologie du gène au moyen de Blast2GO, qui utilise</w:t>
      </w:r>
      <w:r w:rsidRPr="00935EE2">
        <w:rPr>
          <w:sz w:val="18"/>
          <w:szCs w:val="18"/>
          <w:lang w:val="fr-FR"/>
        </w:rPr>
        <w:t xml:space="preserve"> </w:t>
      </w:r>
      <w:r>
        <w:rPr>
          <w:sz w:val="18"/>
          <w:szCs w:val="18"/>
          <w:lang w:val="fr-FR"/>
        </w:rPr>
        <w:t xml:space="preserve">BLAST pour annoter les fonctions des </w:t>
      </w:r>
      <w:r w:rsidRPr="00935EE2">
        <w:rPr>
          <w:sz w:val="18"/>
          <w:szCs w:val="18"/>
          <w:lang w:val="fr-FR"/>
        </w:rPr>
        <w:t>gènes</w:t>
      </w:r>
      <w:r>
        <w:rPr>
          <w:sz w:val="18"/>
          <w:szCs w:val="18"/>
          <w:lang w:val="fr-FR"/>
        </w:rPr>
        <w:t xml:space="preserve"> identifiés à partir de </w:t>
      </w:r>
      <w:r w:rsidRPr="00935EE2">
        <w:rPr>
          <w:sz w:val="18"/>
          <w:szCs w:val="18"/>
          <w:lang w:val="fr-FR"/>
        </w:rPr>
        <w:t>données</w:t>
      </w:r>
      <w:r>
        <w:rPr>
          <w:sz w:val="18"/>
          <w:szCs w:val="18"/>
          <w:lang w:val="fr-FR"/>
        </w:rPr>
        <w:t xml:space="preserve"> existantes</w:t>
      </w:r>
      <w:r w:rsidRPr="00935EE2">
        <w:rPr>
          <w:sz w:val="18"/>
          <w:szCs w:val="18"/>
          <w:lang w:val="fr-FR"/>
        </w:rPr>
        <w:t xml:space="preserve">. Enfin, ils ont </w:t>
      </w:r>
      <w:r>
        <w:rPr>
          <w:sz w:val="18"/>
          <w:szCs w:val="18"/>
          <w:lang w:val="fr-FR"/>
        </w:rPr>
        <w:t>comparé</w:t>
      </w:r>
      <w:r w:rsidRPr="00935EE2">
        <w:rPr>
          <w:sz w:val="18"/>
          <w:szCs w:val="18"/>
          <w:lang w:val="fr-FR"/>
        </w:rPr>
        <w:t xml:space="preserve"> les</w:t>
      </w:r>
      <w:r>
        <w:rPr>
          <w:sz w:val="18"/>
          <w:szCs w:val="18"/>
          <w:lang w:val="fr-FR"/>
        </w:rPr>
        <w:t xml:space="preserve"> </w:t>
      </w:r>
      <w:r w:rsidRPr="00935EE2">
        <w:rPr>
          <w:sz w:val="18"/>
          <w:szCs w:val="18"/>
          <w:lang w:val="fr-FR"/>
        </w:rPr>
        <w:t>gènes</w:t>
      </w:r>
      <w:r>
        <w:rPr>
          <w:sz w:val="18"/>
          <w:szCs w:val="18"/>
          <w:lang w:val="fr-FR"/>
        </w:rPr>
        <w:t xml:space="preserve"> annotés,</w:t>
      </w:r>
      <w:r w:rsidRPr="00935EE2">
        <w:rPr>
          <w:sz w:val="18"/>
          <w:szCs w:val="18"/>
          <w:lang w:val="fr-FR"/>
        </w:rPr>
        <w:t xml:space="preserve"> obtenu</w:t>
      </w:r>
      <w:r>
        <w:rPr>
          <w:sz w:val="18"/>
          <w:szCs w:val="18"/>
          <w:lang w:val="fr-FR"/>
        </w:rPr>
        <w:t>s par l’ontologie</w:t>
      </w:r>
      <w:r w:rsidRPr="00935EE2">
        <w:rPr>
          <w:sz w:val="18"/>
          <w:szCs w:val="18"/>
          <w:lang w:val="fr-FR"/>
        </w:rPr>
        <w:t xml:space="preserve"> </w:t>
      </w:r>
      <w:r>
        <w:rPr>
          <w:sz w:val="18"/>
          <w:szCs w:val="18"/>
          <w:lang w:val="fr-FR"/>
        </w:rPr>
        <w:t xml:space="preserve">du </w:t>
      </w:r>
      <w:r w:rsidRPr="00935EE2">
        <w:rPr>
          <w:sz w:val="18"/>
          <w:szCs w:val="18"/>
          <w:lang w:val="fr-FR"/>
        </w:rPr>
        <w:t>gène</w:t>
      </w:r>
      <w:r>
        <w:rPr>
          <w:sz w:val="18"/>
          <w:szCs w:val="18"/>
          <w:lang w:val="fr-FR"/>
        </w:rPr>
        <w:t>, aux voies de synthèse biologique dans la base de données KEGG</w:t>
      </w:r>
      <w:r w:rsidRPr="00935EE2">
        <w:rPr>
          <w:sz w:val="18"/>
          <w:szCs w:val="18"/>
          <w:lang w:val="fr-FR"/>
        </w:rPr>
        <w:t xml:space="preserve">, </w:t>
      </w:r>
      <w:r>
        <w:rPr>
          <w:sz w:val="18"/>
          <w:szCs w:val="18"/>
          <w:lang w:val="fr-FR"/>
        </w:rPr>
        <w:t xml:space="preserve">qui fournit une cartographie des interactions moléculaires dans les voies de synthèse métaboliques, y compris la </w:t>
      </w:r>
      <w:r w:rsidRPr="00935EE2">
        <w:rPr>
          <w:sz w:val="18"/>
          <w:szCs w:val="18"/>
          <w:lang w:val="fr-FR"/>
        </w:rPr>
        <w:t xml:space="preserve">biosynthèse. </w:t>
      </w:r>
      <w:r w:rsidRPr="00441EF9">
        <w:rPr>
          <w:sz w:val="18"/>
          <w:szCs w:val="18"/>
          <w:lang w:val="fr-FR"/>
        </w:rPr>
        <w:t>En comparant les 37</w:t>
      </w:r>
      <w:r>
        <w:rPr>
          <w:sz w:val="18"/>
          <w:szCs w:val="18"/>
          <w:lang w:val="fr-FR"/>
        </w:rPr>
        <w:t xml:space="preserve"> gènes ayant des similitudes avec</w:t>
      </w:r>
      <w:r w:rsidRPr="00441EF9">
        <w:rPr>
          <w:sz w:val="18"/>
          <w:szCs w:val="18"/>
          <w:lang w:val="fr-FR"/>
        </w:rPr>
        <w:t xml:space="preserve"> la voie de synthèse de référence dans KEGG, ils ont pu identifier les sept principaux gènes impliqués dans la voie de synthèse AG3.  </w:t>
      </w:r>
      <w:r w:rsidRPr="00FB033A">
        <w:rPr>
          <w:sz w:val="18"/>
          <w:szCs w:val="18"/>
          <w:lang w:val="fr-FR"/>
        </w:rPr>
        <w:t xml:space="preserve">Voir </w:t>
      </w:r>
      <w:hyperlink r:id="rId10">
        <w:r w:rsidRPr="00FB033A">
          <w:rPr>
            <w:rStyle w:val="Hyperlink"/>
            <w:color w:val="auto"/>
            <w:sz w:val="18"/>
            <w:szCs w:val="18"/>
            <w:lang w:val="fr-FR"/>
          </w:rPr>
          <w:t>https://www.genome.jp/kegg/pathway.html</w:t>
        </w:r>
      </w:hyperlink>
      <w:r w:rsidRPr="00FB033A">
        <w:rPr>
          <w:sz w:val="18"/>
          <w:szCs w:val="18"/>
          <w:lang w:val="fr-FR"/>
        </w:rPr>
        <w:t xml:space="preserve">; </w:t>
      </w:r>
      <w:hyperlink r:id="rId11">
        <w:r w:rsidRPr="00FB033A">
          <w:rPr>
            <w:sz w:val="18"/>
            <w:szCs w:val="18"/>
            <w:u w:val="single"/>
            <w:lang w:val="fr-FR"/>
          </w:rPr>
          <w:t>https://www.nature.com/articles/nrg3174</w:t>
        </w:r>
      </w:hyperlink>
      <w:r w:rsidRPr="00FB033A">
        <w:rPr>
          <w:sz w:val="18"/>
          <w:szCs w:val="18"/>
          <w:u w:val="single"/>
          <w:lang w:val="fr-FR"/>
        </w:rPr>
        <w:t xml:space="preserve">; et </w:t>
      </w:r>
      <w:hyperlink r:id="rId12" w:history="1">
        <w:r w:rsidRPr="00FB033A">
          <w:rPr>
            <w:rStyle w:val="Hyperlink"/>
            <w:color w:val="auto"/>
            <w:sz w:val="18"/>
            <w:szCs w:val="18"/>
            <w:lang w:val="fr-FR"/>
          </w:rPr>
          <w:t>http://geneontology.org/</w:t>
        </w:r>
      </w:hyperlink>
      <w:r w:rsidRPr="00FB033A">
        <w:rPr>
          <w:color w:val="0000FF"/>
          <w:sz w:val="18"/>
          <w:szCs w:val="18"/>
          <w:u w:val="single"/>
          <w:lang w:val="fr-FR"/>
        </w:rPr>
        <w:t>.</w:t>
      </w:r>
    </w:p>
  </w:footnote>
  <w:footnote w:id="123">
    <w:p w14:paraId="77E5202D" w14:textId="5F85BAFB" w:rsidR="008A77A6" w:rsidRPr="00A73525" w:rsidRDefault="008A77A6" w:rsidP="00A73525">
      <w:pPr>
        <w:pStyle w:val="FootnoteText"/>
        <w:spacing w:before="20" w:after="20"/>
        <w:ind w:left="284" w:hanging="288"/>
        <w:rPr>
          <w:sz w:val="18"/>
          <w:szCs w:val="18"/>
          <w:lang w:val="fr-FR"/>
        </w:rPr>
      </w:pPr>
      <w:r w:rsidRPr="00F43F79">
        <w:rPr>
          <w:rStyle w:val="FootnoteReference"/>
          <w:sz w:val="18"/>
          <w:szCs w:val="18"/>
        </w:rPr>
        <w:footnoteRef/>
      </w:r>
      <w:r>
        <w:rPr>
          <w:sz w:val="18"/>
          <w:szCs w:val="18"/>
          <w:lang w:val="fr-FR"/>
        </w:rPr>
        <w:t xml:space="preserve"> Dans ses observations, soumises à un comité de lecture,</w:t>
      </w:r>
      <w:r w:rsidRPr="00A73525">
        <w:rPr>
          <w:sz w:val="18"/>
          <w:szCs w:val="18"/>
          <w:lang w:val="fr-FR"/>
        </w:rPr>
        <w:t xml:space="preserve"> </w:t>
      </w:r>
      <w:r>
        <w:rPr>
          <w:sz w:val="18"/>
          <w:szCs w:val="18"/>
          <w:lang w:val="fr-FR"/>
        </w:rPr>
        <w:t>portant sur une étude combinée de l’information de séquençage numérique</w:t>
      </w:r>
      <w:r w:rsidRPr="00A73525">
        <w:rPr>
          <w:sz w:val="18"/>
          <w:szCs w:val="18"/>
          <w:lang w:val="fr-FR"/>
        </w:rPr>
        <w:t xml:space="preserve"> </w:t>
      </w:r>
      <w:r>
        <w:rPr>
          <w:sz w:val="18"/>
          <w:szCs w:val="18"/>
          <w:lang w:val="fr-FR"/>
        </w:rPr>
        <w:t xml:space="preserve">dans des </w:t>
      </w:r>
      <w:r w:rsidRPr="00A73525">
        <w:rPr>
          <w:sz w:val="18"/>
          <w:szCs w:val="18"/>
          <w:lang w:val="fr-FR"/>
        </w:rPr>
        <w:t>bases de données</w:t>
      </w:r>
      <w:r>
        <w:rPr>
          <w:sz w:val="18"/>
          <w:szCs w:val="18"/>
          <w:lang w:val="fr-FR"/>
        </w:rPr>
        <w:t xml:space="preserve"> publiques et privées,</w:t>
      </w:r>
      <w:r w:rsidRPr="00A73525">
        <w:rPr>
          <w:sz w:val="18"/>
          <w:szCs w:val="18"/>
          <w:lang w:val="fr-FR"/>
        </w:rPr>
        <w:t xml:space="preserve"> et </w:t>
      </w:r>
      <w:r>
        <w:rPr>
          <w:sz w:val="18"/>
          <w:szCs w:val="18"/>
          <w:lang w:val="fr-FR"/>
        </w:rPr>
        <w:t>sur la traçabilité de l’information de séquençage numérique, l’</w:t>
      </w:r>
      <w:r w:rsidRPr="00A73525">
        <w:rPr>
          <w:sz w:val="18"/>
          <w:szCs w:val="18"/>
          <w:lang w:val="fr-FR"/>
        </w:rPr>
        <w:t>Intern</w:t>
      </w:r>
      <w:r>
        <w:rPr>
          <w:sz w:val="18"/>
          <w:szCs w:val="18"/>
          <w:lang w:val="fr-FR"/>
        </w:rPr>
        <w:t>ational Nucleotide Sequence Database Collaboration (INSDC) a fait observer que “de nombreuses utilisations de</w:t>
      </w:r>
      <w:r w:rsidRPr="00A73525">
        <w:rPr>
          <w:sz w:val="18"/>
          <w:szCs w:val="18"/>
          <w:lang w:val="fr-FR"/>
        </w:rPr>
        <w:t xml:space="preserve"> [</w:t>
      </w:r>
      <w:r>
        <w:rPr>
          <w:sz w:val="18"/>
          <w:szCs w:val="18"/>
          <w:lang w:val="fr-FR"/>
        </w:rPr>
        <w:t>données de séquences nucléotidiques</w:t>
      </w:r>
      <w:r w:rsidRPr="00A73525">
        <w:rPr>
          <w:sz w:val="18"/>
          <w:szCs w:val="18"/>
          <w:lang w:val="fr-FR"/>
        </w:rPr>
        <w:t xml:space="preserve">] </w:t>
      </w:r>
      <w:r>
        <w:rPr>
          <w:sz w:val="18"/>
          <w:szCs w:val="18"/>
          <w:lang w:val="fr-FR"/>
        </w:rPr>
        <w:t>ne concernent pas la récupération de séries entières de données, mais visent plutôt le découpage et l’assemblage de petits</w:t>
      </w:r>
      <w:r w:rsidRPr="00A73525">
        <w:rPr>
          <w:sz w:val="18"/>
          <w:szCs w:val="18"/>
          <w:lang w:val="fr-FR"/>
        </w:rPr>
        <w:t xml:space="preserve"> éléments </w:t>
      </w:r>
      <w:r>
        <w:rPr>
          <w:sz w:val="18"/>
          <w:szCs w:val="18"/>
          <w:lang w:val="fr-FR"/>
        </w:rPr>
        <w:t>de nombreuses données enregistrées (par exemple, un gène provenant de 100 assemblages de gé</w:t>
      </w:r>
      <w:r w:rsidRPr="00A73525">
        <w:rPr>
          <w:sz w:val="18"/>
          <w:szCs w:val="18"/>
          <w:lang w:val="fr-FR"/>
        </w:rPr>
        <w:t>nome</w:t>
      </w:r>
      <w:r>
        <w:rPr>
          <w:sz w:val="18"/>
          <w:szCs w:val="18"/>
          <w:lang w:val="fr-FR"/>
        </w:rPr>
        <w:t>, issus de diffé</w:t>
      </w:r>
      <w:r w:rsidRPr="00A73525">
        <w:rPr>
          <w:sz w:val="18"/>
          <w:szCs w:val="18"/>
          <w:lang w:val="fr-FR"/>
        </w:rPr>
        <w:t>rent</w:t>
      </w:r>
      <w:r>
        <w:rPr>
          <w:sz w:val="18"/>
          <w:szCs w:val="18"/>
          <w:lang w:val="fr-FR"/>
        </w:rPr>
        <w:t>es espèces au sein d’un groupe taxonomique</w:t>
      </w:r>
      <w:r w:rsidRPr="00A73525">
        <w:rPr>
          <w:sz w:val="18"/>
          <w:szCs w:val="18"/>
          <w:lang w:val="fr-FR"/>
        </w:rPr>
        <w:t xml:space="preserve">).” </w:t>
      </w:r>
    </w:p>
  </w:footnote>
  <w:footnote w:id="124">
    <w:p w14:paraId="47995DA0" w14:textId="40D94513" w:rsidR="008A77A6" w:rsidRPr="00DE7478"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sidRPr="00DE7478">
        <w:rPr>
          <w:sz w:val="18"/>
          <w:szCs w:val="18"/>
          <w:lang w:val="fr-FR"/>
        </w:rPr>
        <w:t xml:space="preserve"> BLAST n’e</w:t>
      </w:r>
      <w:r>
        <w:rPr>
          <w:sz w:val="18"/>
          <w:szCs w:val="18"/>
          <w:lang w:val="fr-FR"/>
        </w:rPr>
        <w:t>st pas le seul outil de ce type ;</w:t>
      </w:r>
      <w:r w:rsidRPr="00DE7478">
        <w:rPr>
          <w:sz w:val="18"/>
          <w:szCs w:val="18"/>
          <w:lang w:val="fr-FR"/>
        </w:rPr>
        <w:t xml:space="preserve"> il </w:t>
      </w:r>
      <w:r>
        <w:rPr>
          <w:sz w:val="18"/>
          <w:szCs w:val="18"/>
          <w:lang w:val="fr-FR"/>
        </w:rPr>
        <w:t xml:space="preserve">existe de nombreux autres moteurs </w:t>
      </w:r>
      <w:r w:rsidRPr="00DE7478">
        <w:rPr>
          <w:sz w:val="18"/>
          <w:szCs w:val="18"/>
          <w:lang w:val="fr-FR"/>
        </w:rPr>
        <w:t xml:space="preserve">de </w:t>
      </w:r>
      <w:r>
        <w:rPr>
          <w:sz w:val="18"/>
          <w:szCs w:val="18"/>
          <w:lang w:val="fr-FR"/>
        </w:rPr>
        <w:t xml:space="preserve">recherche, </w:t>
      </w:r>
      <w:r w:rsidRPr="00DE7478">
        <w:rPr>
          <w:sz w:val="18"/>
          <w:szCs w:val="18"/>
          <w:lang w:val="fr-FR"/>
        </w:rPr>
        <w:t>tels que FASTA, BLAST+, BLASTn, et BLAST2go.</w:t>
      </w:r>
    </w:p>
  </w:footnote>
  <w:footnote w:id="125">
    <w:p w14:paraId="13E85C38" w14:textId="7284EE27" w:rsidR="008A77A6" w:rsidRPr="00C050EB"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552D34">
        <w:rPr>
          <w:sz w:val="18"/>
          <w:szCs w:val="18"/>
          <w:lang w:val="fr-FR"/>
        </w:rPr>
        <w:t xml:space="preserve"> GenBank, ‘GenBank Overview’ https://www.ncbi.nlm.nih.gov/genbank/ “La base de données GenBank est co</w:t>
      </w:r>
      <w:r>
        <w:rPr>
          <w:sz w:val="18"/>
          <w:szCs w:val="18"/>
          <w:lang w:val="fr-FR"/>
        </w:rPr>
        <w:t xml:space="preserve">nçue pour fournir et pour encourager un </w:t>
      </w:r>
      <w:r w:rsidRPr="00552D34">
        <w:rPr>
          <w:sz w:val="18"/>
          <w:szCs w:val="18"/>
          <w:lang w:val="fr-FR"/>
        </w:rPr>
        <w:t xml:space="preserve">accès </w:t>
      </w:r>
      <w:r>
        <w:rPr>
          <w:sz w:val="18"/>
          <w:szCs w:val="18"/>
          <w:lang w:val="fr-FR"/>
        </w:rPr>
        <w:t>de la communauté scientifique aux</w:t>
      </w:r>
      <w:r w:rsidRPr="00552D34">
        <w:rPr>
          <w:sz w:val="18"/>
          <w:szCs w:val="18"/>
          <w:lang w:val="fr-FR"/>
        </w:rPr>
        <w:t xml:space="preserve"> </w:t>
      </w:r>
      <w:r>
        <w:rPr>
          <w:sz w:val="18"/>
          <w:szCs w:val="18"/>
          <w:lang w:val="fr-FR"/>
        </w:rPr>
        <w:t>informations de séquençage d’ADN les plus récentes et les plus complètes</w:t>
      </w:r>
      <w:r w:rsidRPr="00552D34">
        <w:rPr>
          <w:sz w:val="18"/>
          <w:szCs w:val="18"/>
          <w:lang w:val="fr-FR"/>
        </w:rPr>
        <w:t xml:space="preserve">. </w:t>
      </w:r>
      <w:r w:rsidRPr="00C050EB">
        <w:rPr>
          <w:sz w:val="18"/>
          <w:szCs w:val="18"/>
          <w:lang w:val="fr-FR"/>
        </w:rPr>
        <w:t xml:space="preserve">En conséquence, </w:t>
      </w:r>
      <w:r>
        <w:rPr>
          <w:sz w:val="18"/>
          <w:szCs w:val="18"/>
          <w:lang w:val="fr-FR"/>
        </w:rPr>
        <w:t xml:space="preserve">le </w:t>
      </w:r>
      <w:r w:rsidRPr="00C050EB">
        <w:rPr>
          <w:sz w:val="18"/>
          <w:szCs w:val="18"/>
          <w:lang w:val="fr-FR"/>
        </w:rPr>
        <w:t xml:space="preserve">NCBI </w:t>
      </w:r>
      <w:r>
        <w:rPr>
          <w:sz w:val="18"/>
          <w:szCs w:val="18"/>
          <w:lang w:val="fr-FR"/>
        </w:rPr>
        <w:t xml:space="preserve">n’impose aucune </w:t>
      </w:r>
      <w:r w:rsidRPr="00C050EB">
        <w:rPr>
          <w:sz w:val="18"/>
          <w:szCs w:val="18"/>
          <w:lang w:val="fr-FR"/>
        </w:rPr>
        <w:t>restri</w:t>
      </w:r>
      <w:r>
        <w:rPr>
          <w:sz w:val="18"/>
          <w:szCs w:val="18"/>
          <w:lang w:val="fr-FR"/>
        </w:rPr>
        <w:t xml:space="preserve">ction à </w:t>
      </w:r>
      <w:r w:rsidRPr="00C050EB">
        <w:rPr>
          <w:sz w:val="18"/>
          <w:szCs w:val="18"/>
          <w:lang w:val="fr-FR"/>
        </w:rPr>
        <w:t xml:space="preserve">l’utilisation ou </w:t>
      </w:r>
      <w:r>
        <w:rPr>
          <w:sz w:val="18"/>
          <w:szCs w:val="18"/>
          <w:lang w:val="fr-FR"/>
        </w:rPr>
        <w:t>à la diffusion des information</w:t>
      </w:r>
      <w:r w:rsidRPr="00C050EB">
        <w:rPr>
          <w:sz w:val="18"/>
          <w:szCs w:val="18"/>
          <w:lang w:val="fr-FR"/>
        </w:rPr>
        <w:t xml:space="preserve">s </w:t>
      </w:r>
      <w:r>
        <w:rPr>
          <w:sz w:val="18"/>
          <w:szCs w:val="18"/>
          <w:lang w:val="fr-FR"/>
        </w:rPr>
        <w:t xml:space="preserve">contenues dans </w:t>
      </w:r>
      <w:r w:rsidRPr="00C050EB">
        <w:rPr>
          <w:sz w:val="18"/>
          <w:szCs w:val="18"/>
          <w:lang w:val="fr-FR"/>
        </w:rPr>
        <w:t>GenBank.”</w:t>
      </w:r>
    </w:p>
  </w:footnote>
  <w:footnote w:id="126">
    <w:p w14:paraId="3EBA5C99" w14:textId="70B14F7E" w:rsidR="008A77A6" w:rsidRPr="00631B9B"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631B9B">
        <w:rPr>
          <w:sz w:val="18"/>
          <w:szCs w:val="18"/>
          <w:lang w:val="en-AU"/>
        </w:rPr>
        <w:t xml:space="preserve"> </w:t>
      </w:r>
      <w:r w:rsidRPr="00F43F79">
        <w:rPr>
          <w:sz w:val="18"/>
          <w:szCs w:val="18"/>
        </w:rPr>
        <w:fldChar w:fldCharType="begin"/>
      </w:r>
      <w:r w:rsidRPr="00631B9B">
        <w:rPr>
          <w:sz w:val="18"/>
          <w:szCs w:val="18"/>
          <w:lang w:val="en-AU"/>
        </w:rPr>
        <w:instrText xml:space="preserve"> ADDIN ZOTERO_ITEM CSL_CITATION {"citationID":"h368VySv","properties":{"formattedCitation":"Edward Hammond, \\uc0\\u8216{}Ebola: Company Avoids Benefit Sharing Obligations By Using Sequences\\uc0\\u8217{} (Third World Network May 2019)","plainCitation":"Edward Hammond, ‘Ebola: Company Avoids Benefit Sharing Obligations By Using Sequences’ (Third World Network May 2019)","noteIndex":122,"suppress-trailing-punctuation":true},"citationItems":[{"id":547,"uris":["http://zotero.org/users/local/dU5rpCrq/items/ZAUBQ2KL"],"uri":["http://zotero.org/users/local/dU5rpCrq/items/ZAUBQ2KL"],"itemData":{"id":547,"type":"article","multi":{"main":{},"_keys":{}},"publisher":"Third World Network","title":"Ebola: Company Avoids Benefit Sharing Obligations By Using Sequences","author":[{"family":"Hammond","given":"Edward","multi":{"_key":{}}}],"issued":{"date-parts":[["2019",5]]},"seeAlso":[]}}],"schema":"https://github.com/citation-style-language/schema/raw/master/csl-citation.json"} </w:instrText>
      </w:r>
      <w:r w:rsidRPr="00F43F79">
        <w:rPr>
          <w:sz w:val="18"/>
          <w:szCs w:val="18"/>
        </w:rPr>
        <w:fldChar w:fldCharType="separate"/>
      </w:r>
      <w:r w:rsidRPr="00631B9B">
        <w:rPr>
          <w:sz w:val="18"/>
          <w:szCs w:val="18"/>
          <w:lang w:val="en-AU"/>
        </w:rPr>
        <w:t xml:space="preserve">Edward Hammond, ‘Ebola: Company Avoids </w:t>
      </w:r>
      <w:r w:rsidRPr="00F43F79">
        <w:rPr>
          <w:sz w:val="18"/>
          <w:szCs w:val="18"/>
        </w:rPr>
        <w:t>Benefit Sha</w:t>
      </w:r>
      <w:r>
        <w:rPr>
          <w:sz w:val="18"/>
          <w:szCs w:val="18"/>
        </w:rPr>
        <w:t>ring Obligations By Using Se</w:t>
      </w:r>
      <w:r w:rsidRPr="00631B9B">
        <w:rPr>
          <w:sz w:val="18"/>
          <w:szCs w:val="18"/>
          <w:lang w:val="en-AU"/>
        </w:rPr>
        <w:t>quences’ (Third World Network, mai 2019)</w:t>
      </w:r>
      <w:r w:rsidRPr="00F43F79">
        <w:rPr>
          <w:sz w:val="18"/>
          <w:szCs w:val="18"/>
        </w:rPr>
        <w:fldChar w:fldCharType="end"/>
      </w:r>
      <w:r w:rsidRPr="00631B9B">
        <w:rPr>
          <w:sz w:val="18"/>
          <w:szCs w:val="18"/>
          <w:lang w:val="en-AU"/>
        </w:rPr>
        <w:t>, citant Kristen E Pascal et al., ‘Development of Clinical-Stage Human Monoclonal Antibodies That Treat Advanced Ebola Virus Disease in Nonhuman Primates’ (2018) 218(suppl_5) Journal of Infectious Diseases S612.</w:t>
      </w:r>
    </w:p>
  </w:footnote>
  <w:footnote w:id="127">
    <w:p w14:paraId="38BBB97F" w14:textId="61624040"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sC3gXiHs","properties":{"formattedCitation":"ibid.","plainCitation":"ibid.","noteIndex":123},"citationItems":[{"id":547,"uris":["http://zotero.org/users/local/dU5rpCrq/items/ZAUBQ2KL"],"uri":["http://zotero.org/users/local/dU5rpCrq/items/ZAUBQ2KL"],"itemData":{"id":547,"type":"article","multi":{"main":{},"_keys":{}},"publisher":"Third World Network","title":"Ebola: Company Avoids Benefit Sharing Obligations By Using Sequences","author":[{"family":"Hammond","given":"Edward","multi":{"_key":{}}}],"issued":{"date-parts":[["2019",5]]},"seeAlso":[]}}],"schema":"https://github.com/citation-style-language/schema/raw/master/csl-citation.json"} </w:instrText>
      </w:r>
      <w:r w:rsidRPr="00F43F79">
        <w:rPr>
          <w:sz w:val="18"/>
          <w:szCs w:val="18"/>
        </w:rPr>
        <w:fldChar w:fldCharType="separate"/>
      </w:r>
      <w:r>
        <w:rPr>
          <w:sz w:val="18"/>
          <w:szCs w:val="18"/>
        </w:rPr>
        <w:t>I</w:t>
      </w:r>
      <w:r w:rsidRPr="00F43F79">
        <w:rPr>
          <w:sz w:val="18"/>
          <w:szCs w:val="18"/>
        </w:rPr>
        <w:t>bid.</w:t>
      </w:r>
      <w:r w:rsidRPr="00F43F79">
        <w:rPr>
          <w:sz w:val="18"/>
          <w:szCs w:val="18"/>
        </w:rPr>
        <w:fldChar w:fldCharType="end"/>
      </w:r>
    </w:p>
  </w:footnote>
  <w:footnote w:id="128">
    <w:p w14:paraId="21115E59" w14:textId="48E328F1"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{"citationID":"5KG9HnZr","properties":{"formattedCitation":"\\uc0\\u8216{}PALM Ebola Clinical Trial Stopped Early as Regeneron\\uc0\\u8217{}s REGN-EB3 Therapy Shows Superiority to ZMapp in Preventing Ebola Deaths\\uc0\\u8217{} ({\\i{}Regeneron Pharmaceuticals Inc.}, 12 August 2019) &lt;https://newsroom.regeneron.com/news-releases/news-release-details/palm-ebola-clinical-trial-stopped-early-regenerons-regn-eb3&gt; accessed 28 February 2020.","plainCitation":"‘PALM Ebola Clinical Trial Stopped Early as Regeneron’s REGN-EB3 Therapy Shows Superiority to ZMapp in Preventing Ebola Deaths’ (Regeneron Pharmaceuticals Inc., 12 August 2019) &lt;https://newsroom.regeneron.com/news-releases/news-release-details/palm-ebola-clinical-trial-stopped-early-regenerons-regn-eb3&gt; accessed 28 February 2020.","dontUpdate":true,"noteIndex":124},"citationItems":[{"id":667,"uris":["http://zotero.org/users/local/dU5rpCrq/items/URWDUBMP"],"uri":["http://zotero.org/users/local/dU5rpCrq/items/URWDUBMP"],"itemData":{"id":667,"type":"webpage","multi":{"main":{},"_keys":{}},"container-title":"Regeneron Pharmaceuticals Inc.","title":"PALM Ebola Clinical Trial Stopped Early as Regeneron's REGN-EB3 Therapy Shows Superiority to ZMapp in Preventing Ebola Deaths","URL":"https://newsroom.regeneron.com/news-releases/news-release-details/palm-ebola-clinical-trial-stopped-early-regenerons-regn-eb3","accessed":{"date-parts":[["2020",2,28]]},"issued":{"date-parts":[["2019",8,12]]},"seeAlso":[]}}],"schema":"https://github.com/citation-style-language/schema/raw/master/csl-citation.json"} </w:instrText>
      </w:r>
      <w:r w:rsidRPr="00F43F79">
        <w:rPr>
          <w:sz w:val="18"/>
          <w:szCs w:val="18"/>
        </w:rPr>
        <w:fldChar w:fldCharType="separate"/>
      </w:r>
      <w:r w:rsidRPr="00F43F79">
        <w:rPr>
          <w:sz w:val="18"/>
          <w:szCs w:val="18"/>
        </w:rPr>
        <w:t>‘PALM Ebola Clinical Trial Stopped Early as Regeneron’s REGN-EB3 Therapy Shows Superiority to ZMapp in Preventing Ebola Deaths’ (</w:t>
      </w:r>
      <w:r w:rsidRPr="00F43F79">
        <w:rPr>
          <w:i/>
          <w:iCs/>
          <w:sz w:val="18"/>
          <w:szCs w:val="18"/>
        </w:rPr>
        <w:t xml:space="preserve">Regeneron </w:t>
      </w:r>
      <w:r>
        <w:rPr>
          <w:i/>
          <w:iCs/>
          <w:sz w:val="18"/>
          <w:szCs w:val="18"/>
        </w:rPr>
        <w:t>Pharmaceuticals</w:t>
      </w:r>
      <w:r w:rsidRPr="00F43F79">
        <w:rPr>
          <w:i/>
          <w:iCs/>
          <w:sz w:val="18"/>
          <w:szCs w:val="18"/>
        </w:rPr>
        <w:t xml:space="preserve"> Inc.</w:t>
      </w:r>
      <w:r>
        <w:rPr>
          <w:sz w:val="18"/>
          <w:szCs w:val="18"/>
        </w:rPr>
        <w:t>, 12 août</w:t>
      </w:r>
      <w:r w:rsidRPr="00F43F79">
        <w:rPr>
          <w:sz w:val="18"/>
          <w:szCs w:val="18"/>
        </w:rPr>
        <w:t xml:space="preserve"> 2019) &lt;https://newsroom.regeneron.</w:t>
      </w:r>
      <w:r w:rsidRPr="00F43F79">
        <w:rPr>
          <w:sz w:val="18"/>
          <w:szCs w:val="18"/>
        </w:rPr>
        <w:br/>
        <w:t xml:space="preserve">com/news-releases/news-release-details/palm-ebola-clinical-trial-stopped-early-regenerons-regn-eb3&gt; </w:t>
      </w:r>
      <w:r>
        <w:rPr>
          <w:sz w:val="18"/>
          <w:szCs w:val="18"/>
        </w:rPr>
        <w:t>consulté le</w:t>
      </w:r>
      <w:r w:rsidRPr="00F43F79">
        <w:rPr>
          <w:sz w:val="18"/>
          <w:szCs w:val="18"/>
        </w:rPr>
        <w:t xml:space="preserve"> 28 </w:t>
      </w:r>
      <w:r>
        <w:rPr>
          <w:sz w:val="18"/>
          <w:szCs w:val="18"/>
        </w:rPr>
        <w:t>février</w:t>
      </w:r>
      <w:r w:rsidRPr="00F43F79">
        <w:rPr>
          <w:sz w:val="18"/>
          <w:szCs w:val="18"/>
        </w:rPr>
        <w:t xml:space="preserve"> 2020.</w:t>
      </w:r>
      <w:r w:rsidRPr="00F43F79">
        <w:rPr>
          <w:sz w:val="18"/>
          <w:szCs w:val="18"/>
        </w:rPr>
        <w:fldChar w:fldCharType="end"/>
      </w:r>
    </w:p>
  </w:footnote>
  <w:footnote w:id="129">
    <w:p w14:paraId="4A3F2592" w14:textId="1ED7725E"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Pr>
          <w:sz w:val="18"/>
          <w:szCs w:val="18"/>
        </w:rPr>
        <w:t xml:space="preserve">Voir </w:t>
      </w:r>
      <w:r w:rsidRPr="00F43F79">
        <w:rPr>
          <w:sz w:val="18"/>
          <w:szCs w:val="18"/>
        </w:rPr>
        <w:t>USG Contract No. HHSO100201500013C</w:t>
      </w:r>
      <w:r>
        <w:rPr>
          <w:sz w:val="18"/>
          <w:szCs w:val="18"/>
        </w:rPr>
        <w:t xml:space="preserve"> et </w:t>
      </w:r>
      <w:r w:rsidRPr="00F43F79">
        <w:rPr>
          <w:sz w:val="18"/>
          <w:szCs w:val="18"/>
        </w:rPr>
        <w:t>USG Contract No. HHSO100201700016C.</w:t>
      </w:r>
    </w:p>
  </w:footnote>
  <w:footnote w:id="130">
    <w:p w14:paraId="2F38D7DE" w14:textId="79DB07A3"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631B9B">
        <w:rPr>
          <w:sz w:val="18"/>
          <w:szCs w:val="18"/>
          <w:lang w:val="fr-FR"/>
        </w:rPr>
        <w:t xml:space="preserve"> </w:t>
      </w:r>
      <w:r>
        <w:rPr>
          <w:sz w:val="18"/>
          <w:szCs w:val="18"/>
          <w:lang w:val="fr-FR"/>
        </w:rPr>
        <w:t>Dé</w:t>
      </w:r>
      <w:r w:rsidRPr="00631B9B">
        <w:rPr>
          <w:sz w:val="18"/>
          <w:szCs w:val="18"/>
          <w:lang w:val="fr-FR"/>
        </w:rPr>
        <w:t>signation par la FDA de ‘trois IgG1 mAbs humains (REGN3470</w:t>
      </w:r>
      <w:r>
        <w:rPr>
          <w:sz w:val="18"/>
          <w:szCs w:val="18"/>
          <w:lang w:val="fr-FR"/>
        </w:rPr>
        <w:t>, REGN3471, et REGN3479) qui agissent</w:t>
      </w:r>
      <w:r w:rsidRPr="00631B9B">
        <w:rPr>
          <w:sz w:val="18"/>
          <w:szCs w:val="18"/>
          <w:lang w:val="fr-FR"/>
        </w:rPr>
        <w:t xml:space="preserve"> contre différents épitopes </w:t>
      </w:r>
      <w:r>
        <w:rPr>
          <w:sz w:val="18"/>
          <w:szCs w:val="18"/>
          <w:lang w:val="fr-FR"/>
        </w:rPr>
        <w:t>pré</w:t>
      </w:r>
      <w:r w:rsidRPr="00631B9B">
        <w:rPr>
          <w:sz w:val="18"/>
          <w:szCs w:val="18"/>
          <w:lang w:val="fr-FR"/>
        </w:rPr>
        <w:t xml:space="preserve">sents sur la glycoprotéine du virus Ebola’; </w:t>
      </w:r>
      <w:r>
        <w:rPr>
          <w:sz w:val="18"/>
          <w:szCs w:val="18"/>
          <w:lang w:val="fr-FR"/>
        </w:rPr>
        <w:t>Désignation par l’EMA de ‘trois anticorps monoclonaux</w:t>
      </w:r>
      <w:r w:rsidRPr="00631B9B">
        <w:rPr>
          <w:sz w:val="18"/>
          <w:szCs w:val="18"/>
          <w:lang w:val="fr-FR"/>
        </w:rPr>
        <w:t xml:space="preserve"> huma</w:t>
      </w:r>
      <w:r>
        <w:rPr>
          <w:sz w:val="18"/>
          <w:szCs w:val="18"/>
          <w:lang w:val="fr-FR"/>
        </w:rPr>
        <w:t>i</w:t>
      </w:r>
      <w:r w:rsidRPr="00631B9B">
        <w:rPr>
          <w:sz w:val="18"/>
          <w:szCs w:val="18"/>
          <w:lang w:val="fr-FR"/>
        </w:rPr>
        <w:t>n</w:t>
      </w:r>
      <w:r>
        <w:rPr>
          <w:sz w:val="18"/>
          <w:szCs w:val="18"/>
          <w:lang w:val="fr-FR"/>
        </w:rPr>
        <w:t>s agissant contre la glycoproté</w:t>
      </w:r>
      <w:r w:rsidRPr="00631B9B">
        <w:rPr>
          <w:sz w:val="18"/>
          <w:szCs w:val="18"/>
          <w:lang w:val="fr-FR"/>
        </w:rPr>
        <w:t>in</w:t>
      </w:r>
      <w:r>
        <w:rPr>
          <w:sz w:val="18"/>
          <w:szCs w:val="18"/>
          <w:lang w:val="fr-FR"/>
        </w:rPr>
        <w:t>e EBOV</w:t>
      </w:r>
      <w:r w:rsidRPr="00631B9B">
        <w:rPr>
          <w:sz w:val="18"/>
          <w:szCs w:val="18"/>
          <w:lang w:val="fr-FR"/>
        </w:rPr>
        <w:t xml:space="preserve">.’ </w:t>
      </w:r>
      <w:r>
        <w:rPr>
          <w:sz w:val="18"/>
          <w:szCs w:val="18"/>
        </w:rPr>
        <w:t>Voir aussi</w:t>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{"citationID":"osXv9WoL","properties":{"formattedCitation":"Kiran N Meekings and others, \\uc0\\u8216{}Orphan Drug Development: An Economically Viable Strategy for Biopharma R&amp;D\\uc0\\u8217{} (2012) 17 Drug Discovery Today 660.","plainCitation":"Kiran N Meekings and others, ‘Orphan Drug Development: An Economically Viable Strategy for Biopharma R&amp;D’ (2012) 17 Drug Discovery Today 660.","noteIndex":126},"citationItems":[{"id":548,"uris":["http://zotero.org/users/local/dU5rpCrq/items/7NWJQ3UP"],"uri":["http://zotero.org/users/local/dU5rpCrq/items/7NWJQ3UP"],"itemData":{"id":548,"type":"article-journal","multi":{"main":{},"_keys":{}},"abstract":"Orphan drug incentives have stimulated research into diseases with significant unmet medical need. Although the targeting of orphan diseases is seen by industry as an attractive strategy, there are limited economic data available to support its use. In this paper we show that the revenue-generating potential of orphan drugs is as great as for non-orphan drugs, even though patient populations for rare diseases are significantly smaller. Moreover, we suggest that orphan drugs have greater profitability when considered in the full context of developmental drivers including government financial incentives, smaller clinical trial sizes, shorter clinical trial times and higher rates of regulatory success. The data support the targeting of rare diseases as an important component of a successful biopharma R&amp;D strategy.","container-title":"Drug Discovery Today","DOI":"10.1016/j.drudis.2012.02.005","ISSN":"1359-6446","issue":"13","journalAbbreviation":"Drug Discovery Today","language":"en","page":"660-664","source":"ScienceDirect","title":"Orphan drug development: an economically viable strategy for biopharma R&amp;D","title-short":"Orphan drug development","volume":"17","author":[{"family":"Meekings","given":"Kiran N.","multi":{"_key":{}}},{"family":"Williams","given":"Cory S. M.","multi":{"_key":{}}},{"family":"Arrowsmith","given":"John E.","multi":{"_key":{}}}],"issued":{"date-parts":[["2012",7,1]]},"seeAlso":[]}}],"schema":"https://github.com/citation-style-language/schema/raw/master/csl-citation.json"} </w:instrText>
      </w:r>
      <w:r w:rsidRPr="00F43F79">
        <w:rPr>
          <w:sz w:val="18"/>
          <w:szCs w:val="18"/>
        </w:rPr>
        <w:fldChar w:fldCharType="separate"/>
      </w:r>
      <w:r w:rsidRPr="00F43F79">
        <w:rPr>
          <w:sz w:val="18"/>
          <w:szCs w:val="18"/>
        </w:rPr>
        <w:t>Kiran N Meekings</w:t>
      </w:r>
      <w:r>
        <w:rPr>
          <w:sz w:val="18"/>
          <w:szCs w:val="18"/>
        </w:rPr>
        <w:t xml:space="preserve"> et al.</w:t>
      </w:r>
      <w:r w:rsidRPr="00F43F79">
        <w:rPr>
          <w:sz w:val="18"/>
          <w:szCs w:val="18"/>
        </w:rPr>
        <w:t>, ‘Orphan Drug Development: An Economically Viable Strategy for Biopharma R&amp;D’ (2012) 17 Drug Discovery Today 660.</w:t>
      </w:r>
      <w:r w:rsidRPr="00F43F79">
        <w:rPr>
          <w:sz w:val="18"/>
          <w:szCs w:val="18"/>
        </w:rPr>
        <w:fldChar w:fldCharType="end"/>
      </w:r>
    </w:p>
  </w:footnote>
  <w:footnote w:id="131">
    <w:p w14:paraId="3B719482" w14:textId="57E1FDAF"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{"citationID":"31vTgLkQ","properties":{"formattedCitation":"Hammond (n 122).","plainCitation":"Hammond (n 122).","noteIndex":127},"citationItems":[{"id":547,"uris":["http://zotero.org/users/local/dU5rpCrq/items/ZAUBQ2KL"],"uri":["http://zotero.org/users/local/dU5rpCrq/items/ZAUBQ2KL"],"itemData":{"id":547,"type":"article","multi":{"main":{},"_keys":{}},"publisher":"Third World Network","title":"Ebola: Company Avoids Benefit Sharing Obligations By Using Sequences","author":[{"family":"Hammond","given":"Edward","multi":{"_key":{}}}],"issued":{"date-parts":[["2019",5]]},"seeAlso":[]}}],"schema":"https://github.com/citation-style-language/schema/raw/master/csl-citation.json"} </w:instrText>
      </w:r>
      <w:r w:rsidRPr="00F43F79">
        <w:rPr>
          <w:sz w:val="18"/>
          <w:szCs w:val="18"/>
        </w:rPr>
        <w:fldChar w:fldCharType="separate"/>
      </w:r>
      <w:r w:rsidRPr="00F43F79">
        <w:rPr>
          <w:sz w:val="18"/>
          <w:szCs w:val="18"/>
        </w:rPr>
        <w:t>Hammond (n 122).</w:t>
      </w:r>
      <w:r w:rsidRPr="00F43F79">
        <w:rPr>
          <w:sz w:val="18"/>
          <w:szCs w:val="18"/>
        </w:rPr>
        <w:fldChar w:fldCharType="end"/>
      </w:r>
    </w:p>
  </w:footnote>
  <w:footnote w:id="132">
    <w:p w14:paraId="16E5863A" w14:textId="073EC838" w:rsidR="008A77A6" w:rsidRPr="008F6E4F"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8F6E4F">
        <w:rPr>
          <w:sz w:val="18"/>
          <w:szCs w:val="18"/>
          <w:lang w:val="en-AU"/>
        </w:rPr>
        <w:t xml:space="preserve"> Michelle Rourke et al., ‘</w:t>
      </w:r>
      <w:r w:rsidRPr="00F43F79">
        <w:rPr>
          <w:sz w:val="18"/>
          <w:szCs w:val="18"/>
        </w:rPr>
        <w:t>Policy opportunities to enhance</w:t>
      </w:r>
      <w:r>
        <w:rPr>
          <w:sz w:val="18"/>
          <w:szCs w:val="18"/>
        </w:rPr>
        <w:t xml:space="preserve"> sharing for pandemic research</w:t>
      </w:r>
      <w:r w:rsidRPr="008F6E4F">
        <w:rPr>
          <w:sz w:val="18"/>
          <w:szCs w:val="18"/>
          <w:lang w:val="en-AU"/>
        </w:rPr>
        <w:t>’ (2020) 368 Science 717.</w:t>
      </w:r>
    </w:p>
  </w:footnote>
  <w:footnote w:id="133">
    <w:p w14:paraId="4CAE9855" w14:textId="20CD7377" w:rsidR="008A77A6" w:rsidRPr="008F6E4F" w:rsidRDefault="008A77A6" w:rsidP="00F43F79">
      <w:pPr>
        <w:spacing w:before="20" w:after="20"/>
        <w:ind w:left="284" w:hanging="288"/>
        <w:rPr>
          <w:rFonts w:eastAsia="Times New Roman" w:cs="Times New Roman"/>
          <w:sz w:val="18"/>
          <w:szCs w:val="18"/>
          <w:lang w:val="en-AU"/>
        </w:rPr>
      </w:pPr>
      <w:r w:rsidRPr="00F43F79">
        <w:rPr>
          <w:rStyle w:val="FootnoteReference"/>
          <w:rFonts w:cs="Times New Roman"/>
          <w:sz w:val="18"/>
          <w:szCs w:val="18"/>
        </w:rPr>
        <w:footnoteRef/>
      </w:r>
      <w:r w:rsidRPr="008F6E4F">
        <w:rPr>
          <w:rFonts w:cs="Times New Roman"/>
          <w:sz w:val="18"/>
          <w:szCs w:val="18"/>
          <w:lang w:val="en-AU"/>
        </w:rPr>
        <w:t xml:space="preserve"> H. M. Berman et al.,</w:t>
      </w:r>
      <w:r w:rsidRPr="008F6E4F">
        <w:rPr>
          <w:rFonts w:eastAsia="Times New Roman" w:cs="Times New Roman"/>
          <w:color w:val="1C1D1E"/>
          <w:sz w:val="18"/>
          <w:szCs w:val="18"/>
          <w:shd w:val="clear" w:color="auto" w:fill="FFFFFF"/>
          <w:lang w:val="en-AU"/>
        </w:rPr>
        <w:t xml:space="preserve"> ‘</w:t>
      </w:r>
      <w:r w:rsidRPr="00F43F79">
        <w:rPr>
          <w:rFonts w:eastAsia="Times New Roman" w:cs="Times New Roman"/>
          <w:color w:val="1C1D1E"/>
          <w:sz w:val="18"/>
          <w:szCs w:val="18"/>
          <w:shd w:val="clear" w:color="auto" w:fill="FFFFFF"/>
        </w:rPr>
        <w:t>The f</w:t>
      </w:r>
      <w:r>
        <w:rPr>
          <w:rFonts w:eastAsia="Times New Roman" w:cs="Times New Roman"/>
          <w:color w:val="1C1D1E"/>
          <w:sz w:val="18"/>
          <w:szCs w:val="18"/>
          <w:shd w:val="clear" w:color="auto" w:fill="FFFFFF"/>
        </w:rPr>
        <w:t>uture of the protein data bank</w:t>
      </w:r>
      <w:r w:rsidRPr="008F6E4F">
        <w:rPr>
          <w:rFonts w:eastAsia="Times New Roman" w:cs="Times New Roman"/>
          <w:color w:val="1C1D1E"/>
          <w:sz w:val="18"/>
          <w:szCs w:val="18"/>
          <w:shd w:val="clear" w:color="auto" w:fill="FFFFFF"/>
          <w:lang w:val="en-AU"/>
        </w:rPr>
        <w:t>’ (2013) 99 Biopolymers 218.</w:t>
      </w:r>
    </w:p>
  </w:footnote>
  <w:footnote w:id="134">
    <w:p w14:paraId="6116D383" w14:textId="1147D402" w:rsidR="008A77A6" w:rsidRPr="008F6E4F" w:rsidRDefault="008A77A6" w:rsidP="00F43F79">
      <w:pPr>
        <w:spacing w:before="20" w:after="20"/>
        <w:ind w:left="284" w:hanging="288"/>
        <w:rPr>
          <w:rFonts w:eastAsia="Times New Roman" w:cs="Times New Roman"/>
          <w:sz w:val="18"/>
          <w:szCs w:val="18"/>
          <w:lang w:val="en-AU"/>
        </w:rPr>
      </w:pPr>
      <w:r w:rsidRPr="00F43F79">
        <w:rPr>
          <w:rStyle w:val="FootnoteReference"/>
          <w:rFonts w:cs="Times New Roman"/>
          <w:sz w:val="18"/>
          <w:szCs w:val="18"/>
        </w:rPr>
        <w:footnoteRef/>
      </w:r>
      <w:r w:rsidRPr="008F6E4F">
        <w:rPr>
          <w:rFonts w:cs="Times New Roman"/>
          <w:sz w:val="18"/>
          <w:szCs w:val="18"/>
          <w:lang w:val="en-AU"/>
        </w:rPr>
        <w:t xml:space="preserve"> Ibid.</w:t>
      </w:r>
    </w:p>
  </w:footnote>
  <w:footnote w:id="135">
    <w:p w14:paraId="4EC63488" w14:textId="20D8F8A5" w:rsidR="008A77A6" w:rsidRPr="008F6E4F" w:rsidRDefault="008A77A6" w:rsidP="00F43F79">
      <w:pPr>
        <w:spacing w:before="20" w:after="20"/>
        <w:ind w:left="284" w:hanging="288"/>
        <w:rPr>
          <w:rFonts w:eastAsia="Times New Roman" w:cs="Times New Roman"/>
          <w:sz w:val="18"/>
          <w:szCs w:val="18"/>
          <w:lang w:val="en-AU"/>
        </w:rPr>
      </w:pPr>
      <w:r w:rsidRPr="00F43F79">
        <w:rPr>
          <w:rStyle w:val="FootnoteReference"/>
          <w:rFonts w:cs="Times New Roman"/>
          <w:sz w:val="18"/>
          <w:szCs w:val="18"/>
        </w:rPr>
        <w:footnoteRef/>
      </w:r>
      <w:r w:rsidRPr="008F6E4F">
        <w:rPr>
          <w:rFonts w:cs="Times New Roman"/>
          <w:sz w:val="18"/>
          <w:szCs w:val="18"/>
          <w:lang w:val="en-AU"/>
        </w:rPr>
        <w:t xml:space="preserve"> David S. </w:t>
      </w:r>
      <w:r w:rsidRPr="008F6E4F">
        <w:rPr>
          <w:rFonts w:eastAsia="Times New Roman" w:cs="Times New Roman"/>
          <w:color w:val="1C1D1E"/>
          <w:sz w:val="18"/>
          <w:szCs w:val="18"/>
          <w:shd w:val="clear" w:color="auto" w:fill="FFFFFF"/>
          <w:lang w:val="en-AU"/>
        </w:rPr>
        <w:t>Goodsell et al., ‘</w:t>
      </w:r>
      <w:r w:rsidRPr="00F43F79">
        <w:rPr>
          <w:rFonts w:eastAsia="Times New Roman" w:cs="Times New Roman"/>
          <w:color w:val="1C1D1E"/>
          <w:sz w:val="18"/>
          <w:szCs w:val="18"/>
          <w:shd w:val="clear" w:color="auto" w:fill="FFFFFF"/>
        </w:rPr>
        <w:t>RCSB Protein Data Bank: Enabling biomedi</w:t>
      </w:r>
      <w:r>
        <w:rPr>
          <w:rFonts w:eastAsia="Times New Roman" w:cs="Times New Roman"/>
          <w:color w:val="1C1D1E"/>
          <w:sz w:val="18"/>
          <w:szCs w:val="18"/>
          <w:shd w:val="clear" w:color="auto" w:fill="FFFFFF"/>
        </w:rPr>
        <w:t>cal research and drug discovery</w:t>
      </w:r>
      <w:r w:rsidRPr="008F6E4F">
        <w:rPr>
          <w:rFonts w:eastAsia="Times New Roman" w:cs="Times New Roman"/>
          <w:color w:val="1C1D1E"/>
          <w:sz w:val="18"/>
          <w:szCs w:val="18"/>
          <w:shd w:val="clear" w:color="auto" w:fill="FFFFFF"/>
          <w:lang w:val="en-AU"/>
        </w:rPr>
        <w:t xml:space="preserve">’ (2020) 29 </w:t>
      </w:r>
      <w:r w:rsidRPr="008F6E4F">
        <w:rPr>
          <w:rFonts w:eastAsia="Times New Roman" w:cs="Times New Roman"/>
          <w:iCs/>
          <w:color w:val="1C1D1E"/>
          <w:sz w:val="18"/>
          <w:szCs w:val="18"/>
          <w:shd w:val="clear" w:color="auto" w:fill="FFFFFF"/>
          <w:lang w:val="en-AU"/>
        </w:rPr>
        <w:t>Protein Science</w:t>
      </w:r>
      <w:r w:rsidRPr="008F6E4F">
        <w:rPr>
          <w:rFonts w:eastAsia="Times New Roman" w:cs="Times New Roman"/>
          <w:color w:val="1C1D1E"/>
          <w:sz w:val="18"/>
          <w:szCs w:val="18"/>
          <w:shd w:val="clear" w:color="auto" w:fill="FFFFFF"/>
          <w:lang w:val="en-AU"/>
        </w:rPr>
        <w:t> 52. </w:t>
      </w:r>
    </w:p>
  </w:footnote>
  <w:footnote w:id="136">
    <w:p w14:paraId="562596AC" w14:textId="0B9D14C4" w:rsidR="008A77A6" w:rsidRPr="0005750E"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05750E">
        <w:rPr>
          <w:sz w:val="18"/>
          <w:szCs w:val="18"/>
          <w:lang w:val="en-AU"/>
        </w:rPr>
        <w:t xml:space="preserve"> Ibid 54.</w:t>
      </w:r>
    </w:p>
  </w:footnote>
  <w:footnote w:id="137">
    <w:p w14:paraId="4F5C2508" w14:textId="243253FC" w:rsidR="008A77A6" w:rsidRPr="0005750E"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05750E">
        <w:rPr>
          <w:sz w:val="18"/>
          <w:szCs w:val="18"/>
          <w:lang w:val="en-AU"/>
        </w:rPr>
        <w:t xml:space="preserve"> Ibid.</w:t>
      </w:r>
    </w:p>
  </w:footnote>
  <w:footnote w:id="138">
    <w:p w14:paraId="61DB122B" w14:textId="39CCA78A" w:rsidR="008A77A6" w:rsidRPr="0005750E" w:rsidRDefault="008A77A6" w:rsidP="00F43F79">
      <w:pPr>
        <w:pStyle w:val="FootnoteText"/>
        <w:spacing w:before="20" w:after="20"/>
        <w:ind w:left="284" w:hanging="288"/>
        <w:rPr>
          <w:sz w:val="18"/>
          <w:szCs w:val="18"/>
          <w:lang w:val="en-AU"/>
        </w:rPr>
      </w:pPr>
      <w:r w:rsidRPr="00F43F79">
        <w:rPr>
          <w:rStyle w:val="FootnoteReference"/>
          <w:rFonts w:eastAsiaTheme="majorEastAsia"/>
          <w:sz w:val="18"/>
          <w:szCs w:val="18"/>
        </w:rPr>
        <w:footnoteRef/>
      </w:r>
      <w:r w:rsidRPr="0005750E">
        <w:rPr>
          <w:sz w:val="18"/>
          <w:szCs w:val="18"/>
          <w:lang w:val="en-AU"/>
        </w:rPr>
        <w:t xml:space="preserve"> Ibid.</w:t>
      </w:r>
    </w:p>
  </w:footnote>
  <w:footnote w:id="139">
    <w:p w14:paraId="478EEDE3" w14:textId="2BA288DD" w:rsidR="008A77A6" w:rsidRPr="008F6E4F" w:rsidRDefault="008A77A6" w:rsidP="00F43F79">
      <w:pPr>
        <w:pStyle w:val="FootnoteText"/>
        <w:spacing w:before="20" w:after="20"/>
        <w:ind w:left="284" w:hanging="288"/>
        <w:rPr>
          <w:rFonts w:cstheme="minorHAnsi"/>
          <w:sz w:val="18"/>
          <w:szCs w:val="18"/>
          <w:lang w:val="en-AU"/>
        </w:rPr>
      </w:pPr>
      <w:r w:rsidRPr="00F43F79">
        <w:rPr>
          <w:rStyle w:val="FootnoteReference"/>
          <w:rFonts w:eastAsiaTheme="majorEastAsia" w:cstheme="minorHAnsi"/>
          <w:sz w:val="18"/>
          <w:szCs w:val="18"/>
        </w:rPr>
        <w:footnoteRef/>
      </w:r>
      <w:r w:rsidRPr="008F6E4F">
        <w:rPr>
          <w:rFonts w:cstheme="minorHAnsi"/>
          <w:sz w:val="18"/>
          <w:szCs w:val="18"/>
          <w:lang w:val="en-AU"/>
        </w:rPr>
        <w:t xml:space="preserve"> </w:t>
      </w:r>
      <w:r w:rsidRPr="00F43F79">
        <w:rPr>
          <w:rFonts w:cstheme="minorHAnsi"/>
          <w:sz w:val="18"/>
          <w:szCs w:val="18"/>
        </w:rPr>
        <w:fldChar w:fldCharType="begin"/>
      </w:r>
      <w:r w:rsidRPr="008F6E4F">
        <w:rPr>
          <w:rFonts w:cstheme="minorHAnsi"/>
          <w:sz w:val="18"/>
          <w:szCs w:val="18"/>
          <w:lang w:val="en-AU"/>
        </w:rPr>
        <w:instrText xml:space="preserve"> ADDIN ZOTERO_ITEM CSL_CITATION {"citationID":"B8buiVZ1","properties":{"formattedCitation":"Maria Sorokina and Christoph Steinbeck, \\uc0\\u8216{}Review on Natural Products Databases: Where to Find Data in 2020\\uc0\\u8217{} (2020) 12 Cheminform 1.","plainCitation":"Maria Sorokina and Christoph Steinbeck, ‘Review on Natural Products Databases: Where to Find Data in 2020’ (2020) 12 Cheminform 1.","noteIndex":135},"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schema":"https://github.com/citation-style-language/schema/raw/master/csl-citation.json"} </w:instrText>
      </w:r>
      <w:r w:rsidRPr="00F43F79">
        <w:rPr>
          <w:rFonts w:cstheme="minorHAnsi"/>
          <w:sz w:val="18"/>
          <w:szCs w:val="18"/>
        </w:rPr>
        <w:fldChar w:fldCharType="separate"/>
      </w:r>
      <w:r>
        <w:rPr>
          <w:sz w:val="18"/>
          <w:szCs w:val="18"/>
          <w:lang w:val="en-AU"/>
        </w:rPr>
        <w:t xml:space="preserve">Maria Sorokina and </w:t>
      </w:r>
      <w:r w:rsidRPr="008F6E4F">
        <w:rPr>
          <w:sz w:val="18"/>
          <w:szCs w:val="18"/>
          <w:lang w:val="en-AU"/>
        </w:rPr>
        <w:t>Christoph Steinbeck, ‘</w:t>
      </w:r>
      <w:r w:rsidRPr="00F43F79">
        <w:rPr>
          <w:sz w:val="18"/>
          <w:szCs w:val="18"/>
        </w:rPr>
        <w:t>Review on Natural Products Databases: Where to Find Data in</w:t>
      </w:r>
      <w:r>
        <w:rPr>
          <w:sz w:val="18"/>
          <w:szCs w:val="18"/>
          <w:lang w:val="en-AU"/>
        </w:rPr>
        <w:t xml:space="preserve"> </w:t>
      </w:r>
      <w:r w:rsidRPr="008F6E4F">
        <w:rPr>
          <w:sz w:val="18"/>
          <w:szCs w:val="18"/>
          <w:lang w:val="en-AU"/>
        </w:rPr>
        <w:t>2020’ (2020) 12 Cheminform 1.</w:t>
      </w:r>
      <w:r w:rsidRPr="00F43F79">
        <w:rPr>
          <w:rFonts w:cstheme="minorHAnsi"/>
          <w:sz w:val="18"/>
          <w:szCs w:val="18"/>
        </w:rPr>
        <w:fldChar w:fldCharType="end"/>
      </w:r>
    </w:p>
  </w:footnote>
  <w:footnote w:id="140">
    <w:p w14:paraId="51490803" w14:textId="7B442D6D" w:rsidR="008A77A6" w:rsidRPr="00F43F79" w:rsidRDefault="008A77A6" w:rsidP="00F43F79">
      <w:pPr>
        <w:pStyle w:val="FootnoteText"/>
        <w:spacing w:before="20" w:after="20"/>
        <w:ind w:left="284" w:hanging="288"/>
        <w:rPr>
          <w:rFonts w:cstheme="minorHAnsi"/>
          <w:sz w:val="18"/>
          <w:szCs w:val="18"/>
        </w:rPr>
      </w:pPr>
      <w:r w:rsidRPr="00F43F79">
        <w:rPr>
          <w:rStyle w:val="FootnoteReference"/>
          <w:rFonts w:eastAsiaTheme="majorEastAsia" w:cstheme="minorHAnsi"/>
          <w:sz w:val="18"/>
          <w:szCs w:val="18"/>
        </w:rPr>
        <w:footnoteRef/>
      </w:r>
      <w:r w:rsidRPr="00F43F79">
        <w:rPr>
          <w:rFonts w:cstheme="minorHAnsi"/>
          <w:sz w:val="18"/>
          <w:szCs w:val="18"/>
        </w:rPr>
        <w:t xml:space="preserve"> </w:t>
      </w:r>
      <w:r w:rsidRPr="00F43F79">
        <w:rPr>
          <w:rFonts w:cstheme="minorHAnsi"/>
          <w:sz w:val="18"/>
          <w:szCs w:val="18"/>
        </w:rPr>
        <w:fldChar w:fldCharType="begin"/>
      </w:r>
      <w:r w:rsidRPr="00F43F79">
        <w:rPr>
          <w:rFonts w:cstheme="minorHAnsi"/>
          <w:sz w:val="18"/>
          <w:szCs w:val="18"/>
        </w:rPr>
        <w:instrText xml:space="preserve"> ADDIN ZOTERO_ITEM CSL_CITATION {"citationID":"J3cpbFLo","properties":{"formattedCitation":"ibid 2.","plainCitation":"ibid 2.","noteIndex":136},"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locator":"2"}],"schema":"https://github.com/citation-style-language/schema/raw/master/csl-citation.json"} </w:instrText>
      </w:r>
      <w:r w:rsidRPr="00F43F79">
        <w:rPr>
          <w:rFonts w:cstheme="minorHAnsi"/>
          <w:sz w:val="18"/>
          <w:szCs w:val="18"/>
        </w:rPr>
        <w:fldChar w:fldCharType="separate"/>
      </w:r>
      <w:r>
        <w:rPr>
          <w:sz w:val="18"/>
          <w:szCs w:val="18"/>
        </w:rPr>
        <w:t>I</w:t>
      </w:r>
      <w:r w:rsidRPr="00F43F79">
        <w:rPr>
          <w:sz w:val="18"/>
          <w:szCs w:val="18"/>
        </w:rPr>
        <w:t>bid 2.</w:t>
      </w:r>
      <w:r w:rsidRPr="00F43F79">
        <w:rPr>
          <w:rFonts w:cstheme="minorHAnsi"/>
          <w:sz w:val="18"/>
          <w:szCs w:val="18"/>
        </w:rPr>
        <w:fldChar w:fldCharType="end"/>
      </w:r>
    </w:p>
  </w:footnote>
  <w:footnote w:id="141">
    <w:p w14:paraId="79C54BA1" w14:textId="018F95B4" w:rsidR="008A77A6" w:rsidRPr="00F43F79" w:rsidRDefault="008A77A6" w:rsidP="00F43F79">
      <w:pPr>
        <w:pStyle w:val="FootnoteText"/>
        <w:spacing w:before="20" w:after="20"/>
        <w:ind w:left="284" w:hanging="288"/>
        <w:rPr>
          <w:rFonts w:cstheme="minorHAnsi"/>
          <w:sz w:val="18"/>
          <w:szCs w:val="18"/>
        </w:rPr>
      </w:pPr>
      <w:r w:rsidRPr="00F43F79">
        <w:rPr>
          <w:rStyle w:val="FootnoteReference"/>
          <w:rFonts w:eastAsiaTheme="majorEastAsia" w:cstheme="minorHAnsi"/>
          <w:sz w:val="18"/>
          <w:szCs w:val="18"/>
        </w:rPr>
        <w:footnoteRef/>
      </w:r>
      <w:r w:rsidRPr="00F43F79">
        <w:rPr>
          <w:rFonts w:cstheme="minorHAnsi"/>
          <w:sz w:val="18"/>
          <w:szCs w:val="18"/>
        </w:rPr>
        <w:t xml:space="preserve"> </w:t>
      </w:r>
      <w:r w:rsidRPr="00F43F79">
        <w:rPr>
          <w:rFonts w:cstheme="minorHAnsi"/>
          <w:sz w:val="18"/>
          <w:szCs w:val="18"/>
        </w:rPr>
        <w:fldChar w:fldCharType="begin"/>
      </w:r>
      <w:r w:rsidRPr="00F43F79">
        <w:rPr>
          <w:rFonts w:cstheme="minorHAnsi"/>
          <w:sz w:val="18"/>
          <w:szCs w:val="18"/>
        </w:rPr>
        <w:instrText xml:space="preserve"> ADDIN ZOTERO_ITEM CSL_CITATION {"citationID":"yweAEEYe","properties":{"formattedCitation":"ibid.","plainCitation":"ibid.","noteIndex":137},"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locator":"2"}],"schema":"https://github.com/citation-style-language/schema/raw/master/csl-citation.json"} </w:instrText>
      </w:r>
      <w:r w:rsidRPr="00F43F79">
        <w:rPr>
          <w:rFonts w:cstheme="minorHAnsi"/>
          <w:sz w:val="18"/>
          <w:szCs w:val="18"/>
        </w:rPr>
        <w:fldChar w:fldCharType="separate"/>
      </w:r>
      <w:r>
        <w:rPr>
          <w:sz w:val="18"/>
          <w:szCs w:val="18"/>
        </w:rPr>
        <w:t>I</w:t>
      </w:r>
      <w:r w:rsidRPr="00F43F79">
        <w:rPr>
          <w:sz w:val="18"/>
          <w:szCs w:val="18"/>
        </w:rPr>
        <w:t>bid.</w:t>
      </w:r>
      <w:r w:rsidRPr="00F43F79">
        <w:rPr>
          <w:rFonts w:cstheme="minorHAnsi"/>
          <w:sz w:val="18"/>
          <w:szCs w:val="18"/>
        </w:rPr>
        <w:fldChar w:fldCharType="end"/>
      </w:r>
    </w:p>
  </w:footnote>
  <w:footnote w:id="142">
    <w:p w14:paraId="20F358F3" w14:textId="7C6ECB77" w:rsidR="008A77A6" w:rsidRPr="00F43F79" w:rsidRDefault="008A77A6" w:rsidP="00F43F79">
      <w:pPr>
        <w:pStyle w:val="FootnoteText"/>
        <w:spacing w:before="20" w:after="20"/>
        <w:ind w:left="284" w:hanging="288"/>
        <w:rPr>
          <w:rFonts w:cstheme="minorHAnsi"/>
          <w:sz w:val="18"/>
          <w:szCs w:val="18"/>
        </w:rPr>
      </w:pPr>
      <w:r w:rsidRPr="00F43F79">
        <w:rPr>
          <w:rStyle w:val="FootnoteReference"/>
          <w:rFonts w:eastAsiaTheme="majorEastAsia" w:cstheme="minorHAnsi"/>
          <w:sz w:val="18"/>
          <w:szCs w:val="18"/>
        </w:rPr>
        <w:footnoteRef/>
      </w:r>
      <w:r w:rsidRPr="00F43F79">
        <w:rPr>
          <w:rFonts w:cstheme="minorHAnsi"/>
          <w:sz w:val="18"/>
          <w:szCs w:val="18"/>
        </w:rPr>
        <w:t xml:space="preserve"> </w:t>
      </w:r>
      <w:r w:rsidRPr="00F43F79">
        <w:rPr>
          <w:rFonts w:cstheme="minorHAnsi"/>
          <w:sz w:val="18"/>
          <w:szCs w:val="18"/>
        </w:rPr>
        <w:fldChar w:fldCharType="begin"/>
      </w:r>
      <w:r w:rsidRPr="00F43F79">
        <w:rPr>
          <w:rFonts w:cstheme="minorHAnsi"/>
          <w:sz w:val="18"/>
          <w:szCs w:val="18"/>
        </w:rPr>
        <w:instrText xml:space="preserve"> ADDIN ZOTERO_ITEM CSL_CITATION {"citationID":"vlJKH5dE","properties":{"formattedCitation":"ibid 44.","plainCitation":"ibid 44.","noteIndex":138},"citationItems":[{"id":786,"uris":["http://zotero.org/users/local/dU5rpCrq/items/W87Q8ZNW"],"uri":["http://zotero.org/users/local/dU5rpCrq/items/W87Q8ZNW"],"itemData":{"id":786,"type":"article-journal","multi":{"main":{},"_keys":{}},"container-title":"Cheminform","issue":"20","page":"1-51","title":"Review on natural products databases: where to find data in 2020","volume":"12","author":[{"family":"Sorokina","given":"Maria","multi":{"_key":{}}},{"family":"Steinbeck","given":"Christoph","multi":{"_key":{}}}],"issued":{"date-parts":[["2020"]]},"seeAlso":[]},"locator":"44"}],"schema":"https://github.com/citation-style-language/schema/raw/master/csl-citation.json"} </w:instrText>
      </w:r>
      <w:r w:rsidRPr="00F43F79">
        <w:rPr>
          <w:rFonts w:cstheme="minorHAnsi"/>
          <w:sz w:val="18"/>
          <w:szCs w:val="18"/>
        </w:rPr>
        <w:fldChar w:fldCharType="separate"/>
      </w:r>
      <w:r>
        <w:rPr>
          <w:sz w:val="18"/>
          <w:szCs w:val="18"/>
        </w:rPr>
        <w:t>I</w:t>
      </w:r>
      <w:r w:rsidRPr="00F43F79">
        <w:rPr>
          <w:sz w:val="18"/>
          <w:szCs w:val="18"/>
        </w:rPr>
        <w:t>bid 44.</w:t>
      </w:r>
      <w:r w:rsidRPr="00F43F79">
        <w:rPr>
          <w:rFonts w:cstheme="minorHAnsi"/>
          <w:sz w:val="18"/>
          <w:szCs w:val="18"/>
        </w:rPr>
        <w:fldChar w:fldCharType="end"/>
      </w:r>
    </w:p>
  </w:footnote>
  <w:footnote w:id="143">
    <w:p w14:paraId="32A826B0" w14:textId="5CF10EC7" w:rsidR="008A77A6" w:rsidRPr="00F43F79" w:rsidRDefault="008A77A6" w:rsidP="00F43F79">
      <w:pPr>
        <w:pStyle w:val="FootnoteText"/>
        <w:spacing w:before="20" w:after="20"/>
        <w:ind w:left="284" w:hanging="288"/>
        <w:rPr>
          <w:rFonts w:cstheme="minorHAnsi"/>
          <w:sz w:val="18"/>
          <w:szCs w:val="18"/>
        </w:rPr>
      </w:pPr>
      <w:r w:rsidRPr="00F43F79">
        <w:rPr>
          <w:rStyle w:val="FootnoteReference"/>
          <w:rFonts w:eastAsiaTheme="majorEastAsia" w:cstheme="minorHAnsi"/>
          <w:sz w:val="18"/>
          <w:szCs w:val="18"/>
        </w:rPr>
        <w:footnoteRef/>
      </w:r>
      <w:r w:rsidRPr="00AC5B38">
        <w:rPr>
          <w:rFonts w:cstheme="minorHAnsi"/>
          <w:sz w:val="18"/>
          <w:szCs w:val="18"/>
          <w:lang w:val="en-AU"/>
        </w:rPr>
        <w:t xml:space="preserve"> Fidele Ntie-Kang et al. </w:t>
      </w:r>
      <w:r w:rsidRPr="00F43F79">
        <w:rPr>
          <w:rFonts w:cstheme="minorHAnsi"/>
          <w:sz w:val="18"/>
          <w:szCs w:val="18"/>
        </w:rPr>
        <w:t xml:space="preserve">‘Virtualizing the p-ANAPL Library: A Step towards Drug Discovery from African </w:t>
      </w:r>
      <w:r>
        <w:rPr>
          <w:rFonts w:cstheme="minorHAnsi"/>
          <w:sz w:val="18"/>
          <w:szCs w:val="18"/>
        </w:rPr>
        <w:t>Medicinal Plants</w:t>
      </w:r>
      <w:r w:rsidRPr="00F43F79">
        <w:rPr>
          <w:rFonts w:cstheme="minorHAnsi"/>
          <w:sz w:val="18"/>
          <w:szCs w:val="18"/>
        </w:rPr>
        <w:t>’ (2014) 9(3) PLoS ONE e9065.</w:t>
      </w:r>
    </w:p>
  </w:footnote>
  <w:footnote w:id="144">
    <w:p w14:paraId="77E1018E" w14:textId="18E5F873" w:rsidR="008A77A6" w:rsidRPr="00F43F79" w:rsidRDefault="008A77A6" w:rsidP="00F43F79">
      <w:pPr>
        <w:pStyle w:val="FootnoteText"/>
        <w:spacing w:before="20" w:after="20"/>
        <w:ind w:left="284" w:hanging="288"/>
        <w:rPr>
          <w:rFonts w:cstheme="minorHAnsi"/>
          <w:sz w:val="18"/>
          <w:szCs w:val="18"/>
        </w:rPr>
      </w:pPr>
      <w:r w:rsidRPr="00F43F79">
        <w:rPr>
          <w:rStyle w:val="FootnoteReference"/>
          <w:rFonts w:eastAsiaTheme="majorEastAsia" w:cstheme="minorHAnsi"/>
          <w:sz w:val="18"/>
          <w:szCs w:val="18"/>
        </w:rPr>
        <w:footnoteRef/>
      </w:r>
      <w:r w:rsidRPr="00F43F79">
        <w:rPr>
          <w:rFonts w:cstheme="minorHAnsi"/>
          <w:sz w:val="18"/>
          <w:szCs w:val="18"/>
        </w:rPr>
        <w:t xml:space="preserve"> Fidele Ntie-Kang</w:t>
      </w:r>
      <w:r>
        <w:rPr>
          <w:rFonts w:cstheme="minorHAnsi"/>
          <w:sz w:val="18"/>
          <w:szCs w:val="18"/>
        </w:rPr>
        <w:t xml:space="preserve"> et al.</w:t>
      </w:r>
      <w:r w:rsidRPr="00F43F79">
        <w:rPr>
          <w:rFonts w:cstheme="minorHAnsi"/>
          <w:sz w:val="18"/>
          <w:szCs w:val="18"/>
        </w:rPr>
        <w:t>, ‘AfroDb: A Select Highly Potent</w:t>
      </w:r>
      <w:r>
        <w:rPr>
          <w:rFonts w:cstheme="minorHAnsi"/>
          <w:sz w:val="18"/>
          <w:szCs w:val="18"/>
        </w:rPr>
        <w:t xml:space="preserve"> and </w:t>
      </w:r>
      <w:r w:rsidRPr="00F43F79">
        <w:rPr>
          <w:rFonts w:cstheme="minorHAnsi"/>
          <w:sz w:val="18"/>
          <w:szCs w:val="18"/>
        </w:rPr>
        <w:t xml:space="preserve">Diverse Natural </w:t>
      </w:r>
      <w:r>
        <w:rPr>
          <w:rFonts w:cstheme="minorHAnsi"/>
          <w:sz w:val="18"/>
          <w:szCs w:val="18"/>
        </w:rPr>
        <w:t>Product</w:t>
      </w:r>
      <w:r w:rsidRPr="00F43F79">
        <w:rPr>
          <w:rFonts w:cstheme="minorHAnsi"/>
          <w:sz w:val="18"/>
          <w:szCs w:val="18"/>
        </w:rPr>
        <w:t xml:space="preserve"> Library from African </w:t>
      </w:r>
      <w:r>
        <w:rPr>
          <w:rFonts w:cstheme="minorHAnsi"/>
          <w:sz w:val="18"/>
          <w:szCs w:val="18"/>
        </w:rPr>
        <w:t>Medicinal Plants</w:t>
      </w:r>
      <w:r w:rsidRPr="00F43F79">
        <w:rPr>
          <w:rFonts w:cstheme="minorHAnsi"/>
          <w:sz w:val="18"/>
          <w:szCs w:val="18"/>
        </w:rPr>
        <w:t>’ (2013) 8(10) PLoS ONE e78085.</w:t>
      </w:r>
    </w:p>
  </w:footnote>
  <w:footnote w:id="145">
    <w:p w14:paraId="0E0599B4" w14:textId="6062DD00" w:rsidR="008A77A6" w:rsidRPr="00D66423" w:rsidRDefault="008A77A6" w:rsidP="00F43F79">
      <w:pPr>
        <w:autoSpaceDE w:val="0"/>
        <w:autoSpaceDN w:val="0"/>
        <w:adjustRightInd w:val="0"/>
        <w:spacing w:before="20" w:after="20"/>
        <w:ind w:left="284" w:hanging="288"/>
        <w:rPr>
          <w:rFonts w:cstheme="minorHAnsi"/>
          <w:sz w:val="18"/>
          <w:szCs w:val="18"/>
          <w:lang w:val="en-AU"/>
        </w:rPr>
      </w:pPr>
      <w:r w:rsidRPr="00F43F79">
        <w:rPr>
          <w:rStyle w:val="FootnoteReference"/>
          <w:rFonts w:cstheme="minorHAnsi"/>
          <w:sz w:val="18"/>
          <w:szCs w:val="18"/>
        </w:rPr>
        <w:footnoteRef/>
      </w:r>
      <w:r w:rsidRPr="00A77723">
        <w:rPr>
          <w:rFonts w:cstheme="minorHAnsi"/>
          <w:sz w:val="18"/>
          <w:szCs w:val="18"/>
        </w:rPr>
        <w:t xml:space="preserve"> Fidele Ntie-Kang et al., ‘</w:t>
      </w:r>
      <w:r w:rsidRPr="00F43F79">
        <w:rPr>
          <w:rFonts w:cstheme="minorHAnsi"/>
          <w:sz w:val="18"/>
          <w:szCs w:val="18"/>
        </w:rPr>
        <w:t xml:space="preserve">NANPDB: A Resource for Natural Products from Northern African Sources’ </w:t>
      </w:r>
      <w:r w:rsidRPr="00A77723">
        <w:rPr>
          <w:rFonts w:cstheme="minorHAnsi"/>
          <w:sz w:val="18"/>
          <w:szCs w:val="18"/>
        </w:rPr>
        <w:t xml:space="preserve">(2017) 80 J. Nat. </w:t>
      </w:r>
      <w:r w:rsidRPr="00D66423">
        <w:rPr>
          <w:rFonts w:cstheme="minorHAnsi"/>
          <w:sz w:val="18"/>
          <w:szCs w:val="18"/>
          <w:lang w:val="en-AU"/>
        </w:rPr>
        <w:t>Prod. 2067−2076.</w:t>
      </w:r>
    </w:p>
  </w:footnote>
  <w:footnote w:id="146">
    <w:p w14:paraId="07E63E46" w14:textId="1C273F50" w:rsidR="008A77A6" w:rsidRPr="00D66423" w:rsidRDefault="008A77A6" w:rsidP="00F43F79">
      <w:pPr>
        <w:pStyle w:val="FootnoteText"/>
        <w:spacing w:before="20" w:after="20"/>
        <w:ind w:left="284" w:hanging="288"/>
        <w:rPr>
          <w:rFonts w:cstheme="minorHAnsi"/>
          <w:sz w:val="18"/>
          <w:szCs w:val="18"/>
          <w:lang w:val="en-AU"/>
        </w:rPr>
      </w:pPr>
      <w:r w:rsidRPr="00F43F79">
        <w:rPr>
          <w:rStyle w:val="FootnoteReference"/>
          <w:rFonts w:eastAsiaTheme="majorEastAsia" w:cstheme="minorHAnsi"/>
          <w:sz w:val="18"/>
          <w:szCs w:val="18"/>
        </w:rPr>
        <w:footnoteRef/>
      </w:r>
      <w:r>
        <w:rPr>
          <w:rFonts w:cstheme="minorHAnsi"/>
          <w:sz w:val="18"/>
          <w:szCs w:val="18"/>
          <w:lang w:val="en-AU"/>
        </w:rPr>
        <w:t xml:space="preserve"> Sorokina and</w:t>
      </w:r>
      <w:r w:rsidRPr="00D66423">
        <w:rPr>
          <w:rFonts w:cstheme="minorHAnsi"/>
          <w:sz w:val="18"/>
          <w:szCs w:val="18"/>
          <w:lang w:val="en-AU"/>
        </w:rPr>
        <w:t xml:space="preserve"> Steinbeck, 41-43.</w:t>
      </w:r>
    </w:p>
  </w:footnote>
  <w:footnote w:id="147">
    <w:p w14:paraId="064049D4" w14:textId="003C060A" w:rsidR="008A77A6" w:rsidRPr="00E11B20"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C050EB">
        <w:rPr>
          <w:sz w:val="18"/>
          <w:szCs w:val="18"/>
          <w:lang w:val="en-AU"/>
        </w:rPr>
        <w:t xml:space="preserve"> </w:t>
      </w:r>
      <w:r w:rsidRPr="00F43F79">
        <w:rPr>
          <w:sz w:val="18"/>
          <w:szCs w:val="18"/>
        </w:rPr>
        <w:fldChar w:fldCharType="begin"/>
      </w:r>
      <w:r w:rsidRPr="00C050EB">
        <w:rPr>
          <w:sz w:val="18"/>
          <w:szCs w:val="18"/>
          <w:lang w:val="en-AU"/>
        </w:rPr>
        <w:instrText xml:space="preserve"> ADDIN ZOTERO_ITEM CSL_CITATION {"citationID":"BAys5xzP","properties":{"formattedCitation":"Brian Moran and Benjamin Jensen, \\uc0\\u8216{}Designing Around a Patent as an Alternative to a License\\uc0\\u8217{} ({\\i{}IPWatchdog.com | Patents &amp; Patent Law}, 30 July 2019) &lt;https://www.ipwatchdog.com/2019/07/30/designing-around-patent-alternative-license/id=111683/&gt; accessed 28 February 2020.","plainCitation":"Brian Moran and Benjamin Jensen, ‘Designing Around a Patent as an Alternative to a License’ (IPWatchdog.com | Patents &amp; Patent Law, 30 July 2019) &lt;https://www.ipwatchdog.com/2019/07/30/designing-around-patent-alternative-license/id=111683/&gt; accessed 28 February 2020.","noteIndex":143},"citationItems":[{"id":558,"uris":["http://zotero.org/users/local/dU5rpCrq/items/IJ3LEM9B"],"uri":["http://zotero.org/users/local/dU5rpCrq/items/IJ3LEM9B"],"itemData":{"id":558,"type":"post-weblog","multi":{"main":{},"_keys":{}},"container-title":"IPWatchdog.com | Patents &amp; Patent Law","title":"Designing Around a Patent as an Alternative to a License","URL":"https://www.ipwatchdog.com/2019/07/30/designing-around-patent-alternative-license/id=111683/","author":[{"family":"Moran","given":"Brian","multi":{"_key":{}}},{"family":"Jensen","given":"Benjamin","multi":{"_key":{}}}],"accessed":{"date-parts":[["2020",2,28]]},"issued":{"date-parts":[["2019",7,30]]},"seeAlso":[]}}],"schema":"https://github.com/citation-style-language/schema/raw/master/csl-citation.json"} </w:instrText>
      </w:r>
      <w:r w:rsidRPr="00F43F79">
        <w:rPr>
          <w:sz w:val="18"/>
          <w:szCs w:val="18"/>
        </w:rPr>
        <w:fldChar w:fldCharType="separate"/>
      </w:r>
      <w:r w:rsidRPr="00C050EB">
        <w:rPr>
          <w:sz w:val="18"/>
          <w:szCs w:val="18"/>
          <w:lang w:val="en-AU"/>
        </w:rPr>
        <w:t>Brian Moran and Ben</w:t>
      </w:r>
      <w:r>
        <w:rPr>
          <w:sz w:val="18"/>
          <w:szCs w:val="18"/>
          <w:lang w:val="en-AU"/>
        </w:rPr>
        <w:t>jamin Jensen, ‘</w:t>
      </w:r>
      <w:r w:rsidRPr="00F43F79">
        <w:rPr>
          <w:sz w:val="18"/>
          <w:szCs w:val="18"/>
        </w:rPr>
        <w:t>Designing Around a Pat</w:t>
      </w:r>
      <w:r>
        <w:rPr>
          <w:sz w:val="18"/>
          <w:szCs w:val="18"/>
        </w:rPr>
        <w:t>ent as an Alternative to a</w:t>
      </w:r>
      <w:r w:rsidRPr="00C050EB">
        <w:rPr>
          <w:sz w:val="18"/>
          <w:szCs w:val="18"/>
          <w:lang w:val="en-AU"/>
        </w:rPr>
        <w:t xml:space="preserve"> License’ (</w:t>
      </w:r>
      <w:r w:rsidRPr="00C050EB">
        <w:rPr>
          <w:i/>
          <w:iCs/>
          <w:sz w:val="18"/>
          <w:szCs w:val="18"/>
          <w:lang w:val="en-AU"/>
        </w:rPr>
        <w:t>IPWa</w:t>
      </w:r>
      <w:r>
        <w:rPr>
          <w:i/>
          <w:iCs/>
          <w:sz w:val="18"/>
          <w:szCs w:val="18"/>
          <w:lang w:val="en-AU"/>
        </w:rPr>
        <w:t>tchdog.com | Patents &amp; Paten</w:t>
      </w:r>
      <w:r w:rsidRPr="00C050EB">
        <w:rPr>
          <w:i/>
          <w:iCs/>
          <w:sz w:val="18"/>
          <w:szCs w:val="18"/>
          <w:lang w:val="en-AU"/>
        </w:rPr>
        <w:t>t Law</w:t>
      </w:r>
      <w:r>
        <w:rPr>
          <w:sz w:val="18"/>
          <w:szCs w:val="18"/>
          <w:lang w:val="en-AU"/>
        </w:rPr>
        <w:t>, 30 juillet</w:t>
      </w:r>
      <w:r w:rsidRPr="00C050EB">
        <w:rPr>
          <w:sz w:val="18"/>
          <w:szCs w:val="18"/>
          <w:lang w:val="en-AU"/>
        </w:rPr>
        <w:t xml:space="preserve"> 2019) &lt;https://www.ipwatchdog.com/2019/07/30/designing-around-patent-alternative-license/id=111683/&gt; consulté le 28 février 2020.</w:t>
      </w:r>
      <w:r w:rsidRPr="00F43F79">
        <w:rPr>
          <w:sz w:val="18"/>
          <w:szCs w:val="18"/>
        </w:rPr>
        <w:fldChar w:fldCharType="end"/>
      </w:r>
      <w:r w:rsidRPr="00C050EB">
        <w:rPr>
          <w:sz w:val="18"/>
          <w:szCs w:val="18"/>
          <w:lang w:val="en-AU"/>
        </w:rPr>
        <w:t xml:space="preserve"> </w:t>
      </w:r>
      <w:r w:rsidRPr="00A77723">
        <w:rPr>
          <w:sz w:val="18"/>
          <w:szCs w:val="18"/>
          <w:lang w:val="fr-FR"/>
        </w:rPr>
        <w:t xml:space="preserve">Voir </w:t>
      </w:r>
      <w:r w:rsidRPr="00F43F79">
        <w:rPr>
          <w:sz w:val="18"/>
          <w:szCs w:val="18"/>
        </w:rPr>
        <w:fldChar w:fldCharType="begin"/>
      </w:r>
      <w:r w:rsidRPr="00A77723">
        <w:rPr>
          <w:sz w:val="18"/>
          <w:szCs w:val="18"/>
          <w:lang w:val="fr-FR"/>
        </w:rPr>
        <w:instrText xml:space="preserve"> ADDIN ZOTERO_ITEM CSL_CITATION {"citationID":"5KMLJ22B","properties":{"formattedCitation":"{\\i{}State Industries, Inc v AO Smith Corp} 751 Federal Reporter, 2nd Series 1226, 1236 (US Fed Cir 1985): \\uc0\\u8216{}One of the benefits of a patent system is the so-called \\uc0\\u8220{}negative incentive\\uc0\\u8221{} to \\uc0\\u8220{}design around\\uc0\\u8221{} a competitor\\uc0\\u8217{}s products.\\uc0\\u8217{}","plainCitation":"State Industries, Inc v AO Smith Corp 751 Federal Reporter, 2nd Series 1226, 1236 (US Fed Cir 1985): ‘One of the benefits of a patent system is the so-called “negative incentive” to “design around” a competitor’s products.’","noteIndex":143,"suppress-trailing-punctuation":true},"citationItems":[{"id":562,"uris":["http://zotero.org/users/local/dU5rpCrq/items/UR2XUFS9"],"uri":["http://zotero.org/users/local/dU5rpCrq/items/UR2XUFS9"],"itemData":{"id":562,"type":"legal_case","multi":{"main":{},"_keys":{}},"authority":"court.appeals.federal.circuit","container-title":"Federal Reporter, 2nd Series","genre":"Appeal","page":"1226","title":"State Industries, Inc. v. A.O. Smith Corp","volume":"751","jurisdiction":"us:c","issued":{"date-parts":[["1985",1,3]]},"seeAlso":[]},"locator":"1236","suffix":": \"One of the benefits of a patent system is the so-called ‘negative incentive’ to ‘design around’ a competitor’s products.\""}],"schema":"https://github.com/citation-style-language/schema/raw/master/csl-citation.json"} </w:instrText>
      </w:r>
      <w:r w:rsidRPr="00F43F79">
        <w:rPr>
          <w:sz w:val="18"/>
          <w:szCs w:val="18"/>
        </w:rPr>
        <w:fldChar w:fldCharType="separate"/>
      </w:r>
      <w:r w:rsidRPr="00A77723">
        <w:rPr>
          <w:i/>
          <w:iCs/>
          <w:sz w:val="18"/>
          <w:szCs w:val="18"/>
          <w:lang w:val="fr-FR"/>
        </w:rPr>
        <w:t>State Industries, Inc v AO Smith Corp</w:t>
      </w:r>
      <w:r w:rsidRPr="00A77723">
        <w:rPr>
          <w:sz w:val="18"/>
          <w:szCs w:val="18"/>
          <w:lang w:val="fr-FR"/>
        </w:rPr>
        <w:t xml:space="preserve"> 751 Federal Reporter, 2nd Series 1226, 1236 (US Fed Cir</w:t>
      </w:r>
      <w:r>
        <w:rPr>
          <w:sz w:val="18"/>
          <w:szCs w:val="18"/>
          <w:lang w:val="fr-FR"/>
        </w:rPr>
        <w:t xml:space="preserve"> 1985): ‘L'un des avantages du</w:t>
      </w:r>
      <w:r w:rsidRPr="00A77723">
        <w:rPr>
          <w:sz w:val="18"/>
          <w:szCs w:val="18"/>
          <w:lang w:val="fr-FR"/>
        </w:rPr>
        <w:t xml:space="preserve"> système de brevets est ce qu'on appelle </w:t>
      </w:r>
      <w:r>
        <w:rPr>
          <w:sz w:val="18"/>
          <w:szCs w:val="18"/>
          <w:lang w:val="fr-FR"/>
        </w:rPr>
        <w:t>une “</w:t>
      </w:r>
      <w:r w:rsidRPr="00A77723">
        <w:rPr>
          <w:sz w:val="18"/>
          <w:szCs w:val="18"/>
          <w:lang w:val="fr-FR"/>
        </w:rPr>
        <w:t xml:space="preserve">incitation </w:t>
      </w:r>
      <w:r>
        <w:rPr>
          <w:sz w:val="18"/>
          <w:szCs w:val="18"/>
          <w:lang w:val="fr-FR"/>
        </w:rPr>
        <w:t>négative” à</w:t>
      </w:r>
      <w:r w:rsidRPr="00A77723">
        <w:rPr>
          <w:sz w:val="18"/>
          <w:szCs w:val="18"/>
          <w:lang w:val="fr-FR"/>
        </w:rPr>
        <w:t xml:space="preserve"> “</w:t>
      </w:r>
      <w:r>
        <w:rPr>
          <w:sz w:val="18"/>
          <w:szCs w:val="18"/>
          <w:lang w:val="fr-FR"/>
        </w:rPr>
        <w:t xml:space="preserve">concevoir autour” un </w:t>
      </w:r>
      <w:r w:rsidRPr="00A77723">
        <w:rPr>
          <w:sz w:val="18"/>
          <w:szCs w:val="18"/>
          <w:lang w:val="fr-FR"/>
        </w:rPr>
        <w:t>produit</w:t>
      </w:r>
      <w:r>
        <w:rPr>
          <w:sz w:val="18"/>
          <w:szCs w:val="18"/>
          <w:lang w:val="fr-FR"/>
        </w:rPr>
        <w:t xml:space="preserve"> compétitif</w:t>
      </w:r>
      <w:r w:rsidRPr="00A77723">
        <w:rPr>
          <w:sz w:val="18"/>
          <w:szCs w:val="18"/>
          <w:lang w:val="fr-FR"/>
        </w:rPr>
        <w:t>.’</w:t>
      </w:r>
      <w:r w:rsidRPr="00F43F79">
        <w:rPr>
          <w:sz w:val="18"/>
          <w:szCs w:val="18"/>
        </w:rPr>
        <w:fldChar w:fldCharType="end"/>
      </w:r>
      <w:r w:rsidRPr="00E11B20">
        <w:rPr>
          <w:sz w:val="18"/>
          <w:szCs w:val="18"/>
          <w:lang w:val="fr-FR"/>
        </w:rPr>
        <w:t xml:space="preserve">) </w:t>
      </w:r>
    </w:p>
  </w:footnote>
  <w:footnote w:id="148">
    <w:p w14:paraId="7B3BB0A7" w14:textId="701E6908" w:rsidR="008A77A6" w:rsidRPr="00E11B20"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E11B20">
        <w:rPr>
          <w:sz w:val="18"/>
          <w:szCs w:val="18"/>
          <w:lang w:val="fr-FR"/>
        </w:rPr>
        <w:t xml:space="preserve"> </w:t>
      </w:r>
      <w:r w:rsidRPr="00F43F79">
        <w:rPr>
          <w:sz w:val="18"/>
          <w:szCs w:val="18"/>
        </w:rPr>
        <w:fldChar w:fldCharType="begin"/>
      </w:r>
      <w:r w:rsidRPr="00E11B20">
        <w:rPr>
          <w:sz w:val="18"/>
          <w:szCs w:val="18"/>
          <w:lang w:val="fr-FR"/>
        </w:rPr>
        <w:instrText xml:space="preserve"> ADDIN ZOTERO_ITEM CSL_CITATION {"citationID":"qr13BfyQ","properties":{"formattedCitation":"Moran and Jensen (n 143).","plainCitation":"Moran and Jensen (n 143).","noteIndex":144},"citationItems":[{"id":558,"uris":["http://zotero.org/users/local/dU5rpCrq/items/IJ3LEM9B"],"uri":["http://zotero.org/users/local/dU5rpCrq/items/IJ3LEM9B"],"itemData":{"id":558,"type":"post-weblog","multi":{"main":{},"_keys":{}},"container-title":"IPWatchdog.com | Patents &amp; Patent Law","title":"Designing Around a Patent as an Alternative to a License","URL":"https://www.ipwatchdog.com/2019/07/30/designing-around-patent-alternative-license/id=111683/","author":[{"family":"Moran","given":"Brian","multi":{"_key":{}}},{"family":"Jensen","given":"Benjamin","multi":{"_key":{}}}],"accessed":{"date-parts":[["2020",2,28]]},"issued":{"date-parts":[["2019",7,30]]},"seeAlso":[]}}],"schema":"https://github.com/citation-style-language/schema/raw/master/csl-citation.json"} </w:instrText>
      </w:r>
      <w:r w:rsidRPr="00F43F79">
        <w:rPr>
          <w:sz w:val="18"/>
          <w:szCs w:val="18"/>
        </w:rPr>
        <w:fldChar w:fldCharType="separate"/>
      </w:r>
      <w:r w:rsidRPr="00E11B20">
        <w:rPr>
          <w:sz w:val="18"/>
          <w:szCs w:val="18"/>
          <w:lang w:val="fr-FR"/>
        </w:rPr>
        <w:t>Moran and Jensen (n 143).</w:t>
      </w:r>
      <w:r w:rsidRPr="00F43F79">
        <w:rPr>
          <w:sz w:val="18"/>
          <w:szCs w:val="18"/>
        </w:rPr>
        <w:fldChar w:fldCharType="end"/>
      </w:r>
    </w:p>
  </w:footnote>
  <w:footnote w:id="149">
    <w:p w14:paraId="32026252" w14:textId="0E4527C8" w:rsidR="008A77A6" w:rsidRPr="00465F8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465F8E">
        <w:rPr>
          <w:sz w:val="18"/>
          <w:szCs w:val="18"/>
          <w:lang w:val="fr-FR"/>
        </w:rPr>
        <w:t xml:space="preserve"> MB, Entretien avec un chercheur et conseiller général</w:t>
      </w:r>
      <w:r>
        <w:rPr>
          <w:sz w:val="18"/>
          <w:szCs w:val="18"/>
          <w:lang w:val="fr-FR"/>
        </w:rPr>
        <w:t xml:space="preserve"> anonyme dans l’industrie de la biologie de synthèse </w:t>
      </w:r>
      <w:r w:rsidRPr="00465F8E">
        <w:rPr>
          <w:sz w:val="18"/>
          <w:szCs w:val="18"/>
          <w:lang w:val="fr-FR"/>
        </w:rPr>
        <w:t xml:space="preserve">(2020). </w:t>
      </w:r>
    </w:p>
  </w:footnote>
  <w:footnote w:id="150">
    <w:p w14:paraId="5526A7BA" w14:textId="0473C631" w:rsidR="008A77A6" w:rsidRPr="00C53929" w:rsidRDefault="008A77A6" w:rsidP="00F43F79">
      <w:pPr>
        <w:pStyle w:val="FootnoteText"/>
        <w:spacing w:before="20" w:after="20"/>
        <w:ind w:left="284" w:hanging="288"/>
        <w:rPr>
          <w:sz w:val="18"/>
          <w:szCs w:val="18"/>
          <w:lang w:val="en-AU"/>
        </w:rPr>
      </w:pPr>
      <w:r w:rsidRPr="00F43F79">
        <w:rPr>
          <w:rStyle w:val="FootnoteReference"/>
          <w:rFonts w:eastAsiaTheme="majorEastAsia"/>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{"citationID":"r6UOi5sx","properties":{"formattedCitation":"V\\uc0\\u237{}ctor de Lorenzo and Antoine Danchin, \\uc0\\u8216{}Synthetic Biology: Discovering New Worlds and New Words. The New and Not so New Aspects of this Emerging Research Field\\uc0\\u8217{} (2008) 9 EMBO Rep 822.","plainCitation":"Víctor de Lorenzo and Antoine Danchin, ‘Synthetic Biology: Discovering New Worlds and New Words. The New and Not so New Aspects of this Emerging Research Field’ (2008) 9 EMBO Rep 822.","noteIndex":146},"citationItems":[{"id":563,"uris":["http://zotero.org/users/local/dU5rpCrq/items/W8Y3L4ZQ"],"uri":["http://zotero.org/users/local/dU5rpCrq/items/W8Y3L4ZQ"],"itemData":{"id":563,"type":"article-journal","multi":{"main":{},"_keys":{}},"container-title":"EMBO Reports","DOI":"10.1038/embor.2008.159","ISSN":"1469-221X","issue":"9","journalAbbreviation":"EMBO Rep","note":"PMID: 18724274\nPMCID: PMC2529360","page":"822-827","source":"PubMed Central","title":"Synthetic biology: discovering new worlds and new words. The new and not so new aspects of this emerging research field","title-short":"Synthetic biology","volume":"9","author":[{"family":"Lorenzo","given":"Víctor","non-dropping-particle":"de","multi":{"_key":{}}},{"family":"Danchin","given":"Antoine","multi":{"_key":{}}}],"issued":{"date-parts":[["2008",9]]},"seeAlso":[]}}],"schema":"https://github.com/citation-style-language/schema/raw/master/csl-citation.json"} </w:instrText>
      </w:r>
      <w:r w:rsidRPr="00F43F79">
        <w:rPr>
          <w:sz w:val="18"/>
          <w:szCs w:val="18"/>
        </w:rPr>
        <w:fldChar w:fldCharType="separate"/>
      </w:r>
      <w:r w:rsidRPr="00F43F79">
        <w:rPr>
          <w:sz w:val="18"/>
          <w:szCs w:val="18"/>
        </w:rPr>
        <w:t>Víctor de Lorenzo</w:t>
      </w:r>
      <w:r>
        <w:rPr>
          <w:sz w:val="18"/>
          <w:szCs w:val="18"/>
        </w:rPr>
        <w:t xml:space="preserve"> and </w:t>
      </w:r>
      <w:r w:rsidRPr="00F43F79">
        <w:rPr>
          <w:sz w:val="18"/>
          <w:szCs w:val="18"/>
        </w:rPr>
        <w:t>Antoine Danchin, ‘Synthetic Biology: Discovering New Worlds and New Words. The New and Not so New Aspects of this Emerging Research Field’ (2008) 9 EMBO Rep 822.</w:t>
      </w:r>
      <w:r w:rsidRPr="00F43F79">
        <w:rPr>
          <w:sz w:val="18"/>
          <w:szCs w:val="18"/>
        </w:rPr>
        <w:fldChar w:fldCharType="end"/>
      </w:r>
      <w:r w:rsidRPr="00F43F79">
        <w:rPr>
          <w:rFonts w:eastAsia="Batang"/>
          <w:sz w:val="18"/>
          <w:szCs w:val="18"/>
        </w:rPr>
        <w:t xml:space="preserve"> </w:t>
      </w:r>
      <w:r w:rsidRPr="001D4A8D">
        <w:rPr>
          <w:rFonts w:eastAsia="Batang"/>
          <w:sz w:val="18"/>
          <w:szCs w:val="18"/>
          <w:lang w:val="fr-FR"/>
        </w:rPr>
        <w:t>U</w:t>
      </w:r>
      <w:r>
        <w:rPr>
          <w:rFonts w:eastAsia="Batang"/>
          <w:sz w:val="18"/>
          <w:szCs w:val="18"/>
          <w:lang w:val="fr-FR"/>
        </w:rPr>
        <w:t xml:space="preserve">ne partie des recherches effectuées dans le domaine de la </w:t>
      </w:r>
      <w:r w:rsidRPr="001B188D">
        <w:rPr>
          <w:rFonts w:eastAsia="Batang"/>
          <w:sz w:val="18"/>
          <w:szCs w:val="18"/>
          <w:lang w:val="fr-FR"/>
        </w:rPr>
        <w:t>biologie de synthèse</w:t>
      </w:r>
      <w:r>
        <w:rPr>
          <w:rFonts w:eastAsia="Batang"/>
          <w:sz w:val="18"/>
          <w:szCs w:val="18"/>
          <w:lang w:val="fr-FR"/>
        </w:rPr>
        <w:t xml:space="preserve"> se sont intéressées également aux </w:t>
      </w:r>
      <w:r w:rsidRPr="001B188D">
        <w:rPr>
          <w:rFonts w:eastAsia="Batang"/>
          <w:sz w:val="18"/>
          <w:szCs w:val="18"/>
          <w:lang w:val="fr-FR"/>
        </w:rPr>
        <w:t>organism</w:t>
      </w:r>
      <w:r>
        <w:rPr>
          <w:rFonts w:eastAsia="Batang"/>
          <w:sz w:val="18"/>
          <w:szCs w:val="18"/>
          <w:lang w:val="fr-FR"/>
        </w:rPr>
        <w:t>es de novo.</w:t>
      </w:r>
      <w:r w:rsidRPr="001B188D">
        <w:rPr>
          <w:rFonts w:eastAsia="Batang"/>
          <w:sz w:val="18"/>
          <w:szCs w:val="18"/>
          <w:lang w:val="fr-FR"/>
        </w:rPr>
        <w:t xml:space="preserve"> </w:t>
      </w:r>
      <w:r>
        <w:rPr>
          <w:rFonts w:eastAsia="Batang"/>
          <w:sz w:val="18"/>
          <w:szCs w:val="18"/>
          <w:lang w:val="fr-FR"/>
        </w:rPr>
        <w:t>Cependant, dans des efforts prodigués pour convenir d’une terminologie commune, un rapport de</w:t>
      </w:r>
      <w:r w:rsidRPr="001D4A8D">
        <w:rPr>
          <w:rFonts w:eastAsia="Batang"/>
          <w:sz w:val="18"/>
          <w:szCs w:val="18"/>
          <w:lang w:val="fr-FR"/>
        </w:rPr>
        <w:t xml:space="preserve"> 2014 </w:t>
      </w:r>
      <w:r>
        <w:rPr>
          <w:rFonts w:eastAsia="Batang"/>
          <w:sz w:val="18"/>
          <w:szCs w:val="18"/>
          <w:lang w:val="fr-FR"/>
        </w:rPr>
        <w:t xml:space="preserve">d’un comité de la Commission scientifique européenne </w:t>
      </w:r>
      <w:r w:rsidRPr="001D4A8D">
        <w:rPr>
          <w:rFonts w:eastAsia="Batang"/>
          <w:sz w:val="18"/>
          <w:szCs w:val="18"/>
          <w:lang w:val="fr-FR"/>
        </w:rPr>
        <w:t>a adopté</w:t>
      </w:r>
      <w:r>
        <w:rPr>
          <w:rFonts w:eastAsia="Batang"/>
          <w:sz w:val="18"/>
          <w:szCs w:val="18"/>
          <w:lang w:val="fr-FR"/>
        </w:rPr>
        <w:t xml:space="preserve"> une</w:t>
      </w:r>
      <w:r w:rsidRPr="001D4A8D">
        <w:rPr>
          <w:rFonts w:eastAsia="Batang"/>
          <w:sz w:val="18"/>
          <w:szCs w:val="18"/>
          <w:lang w:val="fr-FR"/>
        </w:rPr>
        <w:t xml:space="preserve"> définition</w:t>
      </w:r>
      <w:r>
        <w:rPr>
          <w:rFonts w:eastAsia="Batang"/>
          <w:sz w:val="18"/>
          <w:szCs w:val="18"/>
          <w:lang w:val="fr-FR"/>
        </w:rPr>
        <w:t xml:space="preserve"> de la</w:t>
      </w:r>
      <w:r w:rsidRPr="001D4A8D">
        <w:rPr>
          <w:rFonts w:eastAsia="Batang"/>
          <w:sz w:val="18"/>
          <w:szCs w:val="18"/>
          <w:lang w:val="fr-FR"/>
        </w:rPr>
        <w:t xml:space="preserve"> biologie de synthèse </w:t>
      </w:r>
      <w:r>
        <w:rPr>
          <w:rFonts w:eastAsia="Batang"/>
          <w:sz w:val="18"/>
          <w:szCs w:val="18"/>
          <w:lang w:val="fr-FR"/>
        </w:rPr>
        <w:t xml:space="preserve">qui inclut nécessairement un </w:t>
      </w:r>
      <w:r w:rsidRPr="001D4A8D">
        <w:rPr>
          <w:rFonts w:eastAsia="Batang"/>
          <w:sz w:val="18"/>
          <w:szCs w:val="18"/>
          <w:lang w:val="fr-FR"/>
        </w:rPr>
        <w:t>organism</w:t>
      </w:r>
      <w:r>
        <w:rPr>
          <w:rFonts w:eastAsia="Batang"/>
          <w:sz w:val="18"/>
          <w:szCs w:val="18"/>
          <w:lang w:val="fr-FR"/>
        </w:rPr>
        <w:t>e vivant</w:t>
      </w:r>
      <w:r w:rsidRPr="001D4A8D">
        <w:rPr>
          <w:rFonts w:eastAsia="Batang"/>
          <w:sz w:val="18"/>
          <w:szCs w:val="18"/>
          <w:lang w:val="fr-FR"/>
        </w:rPr>
        <w:t xml:space="preserve">, </w:t>
      </w:r>
      <w:r>
        <w:rPr>
          <w:rFonts w:eastAsia="Batang"/>
          <w:sz w:val="18"/>
          <w:szCs w:val="18"/>
          <w:lang w:val="fr-FR"/>
        </w:rPr>
        <w:t>reléguant ainsi les recherches sur des organismes de</w:t>
      </w:r>
      <w:r w:rsidRPr="001D4A8D">
        <w:rPr>
          <w:rFonts w:eastAsia="Batang"/>
          <w:sz w:val="18"/>
          <w:szCs w:val="18"/>
          <w:lang w:val="fr-FR"/>
        </w:rPr>
        <w:t xml:space="preserve"> novo </w:t>
      </w:r>
      <w:r>
        <w:rPr>
          <w:rFonts w:eastAsia="Batang"/>
          <w:sz w:val="18"/>
          <w:szCs w:val="18"/>
          <w:lang w:val="fr-FR"/>
        </w:rPr>
        <w:t>au domaine de la chimie</w:t>
      </w:r>
      <w:r w:rsidRPr="001D4A8D">
        <w:rPr>
          <w:rFonts w:eastAsia="Batang"/>
          <w:sz w:val="18"/>
          <w:szCs w:val="18"/>
          <w:lang w:val="fr-FR"/>
        </w:rPr>
        <w:t xml:space="preserve">. </w:t>
      </w:r>
      <w:r w:rsidRPr="00C53929">
        <w:rPr>
          <w:rFonts w:eastAsia="Batang"/>
          <w:sz w:val="18"/>
          <w:szCs w:val="18"/>
          <w:lang w:val="en-AU"/>
        </w:rPr>
        <w:t xml:space="preserve">Voir </w:t>
      </w:r>
      <w:r w:rsidRPr="00F43F79">
        <w:rPr>
          <w:rFonts w:eastAsia="Batang"/>
          <w:sz w:val="18"/>
          <w:szCs w:val="18"/>
        </w:rPr>
        <w:fldChar w:fldCharType="begin"/>
      </w:r>
      <w:r w:rsidRPr="00C53929">
        <w:rPr>
          <w:rFonts w:eastAsia="Batang"/>
          <w:sz w:val="18"/>
          <w:szCs w:val="18"/>
          <w:lang w:val="en-AU"/>
        </w:rPr>
        <w:instrText xml:space="preserve"> ADDIN ZOTERO_ITEM CSL_CITATION {"citationID":"Q39giOkW","properties":{"formattedCitation":"SCENIHR and others, {\\i{}Opinion I: Synthetic Biology: Definition} (European Commission Scientific Committees 2014).","plainCitation":"SCENIHR and others, Opinion I: Synthetic Biology: Definition (European Commission Scientific Committees 2014).","noteIndex":146},"citationItems":[{"id":290,"uris":["http://zotero.org/users/local/dU5rpCrq/items/G8Y8VZLM"],"uri":["http://zotero.org/users/local/dU5rpCrq/items/G8Y8VZLM"],"itemData":{"id":290,"type":"book","multi":{"main":{},"_keys":{}},"publisher":"European Commission Scientific Committees","title":"Opinion I: Synthetic Biology: Definition","author":[{"family":"SCENIHR","given":"","literal":"SCENIHR","multi":{"_key":{}}},{"family":"SCCS","given":"","literal":"SCCS","multi":{"_key":{}}},{"family":"SCHER","given":"","literal":"SCHER","multi":{"_key":{}}}],"issued":{"date-parts":[["2014"]]},"seeAlso":[]}}],"schema":"https://github.com/citation-style-language/schema/raw/master/csl-citation.json"} </w:instrText>
      </w:r>
      <w:r w:rsidRPr="00F43F79">
        <w:rPr>
          <w:rFonts w:eastAsia="Batang"/>
          <w:sz w:val="18"/>
          <w:szCs w:val="18"/>
        </w:rPr>
        <w:fldChar w:fldCharType="separate"/>
      </w:r>
      <w:r w:rsidRPr="00C53929">
        <w:rPr>
          <w:sz w:val="18"/>
          <w:szCs w:val="18"/>
          <w:lang w:val="en-AU"/>
        </w:rPr>
        <w:t xml:space="preserve">SCENIHR et al., </w:t>
      </w:r>
      <w:r w:rsidRPr="00C53929">
        <w:rPr>
          <w:i/>
          <w:iCs/>
          <w:sz w:val="18"/>
          <w:szCs w:val="18"/>
          <w:lang w:val="en-AU"/>
        </w:rPr>
        <w:t>Opin</w:t>
      </w:r>
      <w:bookmarkStart w:id="153" w:name="_GoBack"/>
      <w:bookmarkEnd w:id="153"/>
      <w:r w:rsidRPr="00C53929">
        <w:rPr>
          <w:i/>
          <w:iCs/>
          <w:sz w:val="18"/>
          <w:szCs w:val="18"/>
          <w:lang w:val="en-AU"/>
        </w:rPr>
        <w:t>ion I: Synthetic Biology: Definition</w:t>
      </w:r>
      <w:r w:rsidRPr="00C53929">
        <w:rPr>
          <w:sz w:val="18"/>
          <w:szCs w:val="18"/>
          <w:lang w:val="en-AU"/>
        </w:rPr>
        <w:t xml:space="preserve"> (European Commission Scientific Committees 2014).</w:t>
      </w:r>
      <w:r w:rsidRPr="00F43F79">
        <w:rPr>
          <w:rFonts w:eastAsia="Batang"/>
          <w:sz w:val="18"/>
          <w:szCs w:val="18"/>
        </w:rPr>
        <w:fldChar w:fldCharType="end"/>
      </w:r>
      <w:r w:rsidRPr="00C53929">
        <w:rPr>
          <w:rFonts w:eastAsia="Batang"/>
          <w:sz w:val="18"/>
          <w:szCs w:val="18"/>
          <w:lang w:val="en-AU"/>
        </w:rPr>
        <w:t xml:space="preserve"> </w:t>
      </w:r>
    </w:p>
  </w:footnote>
  <w:footnote w:id="151">
    <w:p w14:paraId="46FD6AA1" w14:textId="57DF74E2" w:rsidR="008A77A6" w:rsidRPr="00C53929"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Pr>
          <w:sz w:val="18"/>
          <w:szCs w:val="18"/>
          <w:lang w:val="fr-FR"/>
        </w:rPr>
        <w:t xml:space="preserve">  Décision XIII/17 de la CBD :</w:t>
      </w:r>
      <w:r w:rsidRPr="00FB0054">
        <w:rPr>
          <w:sz w:val="18"/>
          <w:szCs w:val="18"/>
          <w:lang w:val="fr-FR"/>
        </w:rPr>
        <w:t xml:space="preserve"> Biologie de synthèse, CBD/COP/DEC/XIII/17 (16 </w:t>
      </w:r>
      <w:r>
        <w:rPr>
          <w:sz w:val="18"/>
          <w:szCs w:val="18"/>
          <w:lang w:val="fr-FR"/>
        </w:rPr>
        <w:t>décembre</w:t>
      </w:r>
      <w:r w:rsidRPr="00FB0054">
        <w:rPr>
          <w:sz w:val="18"/>
          <w:szCs w:val="18"/>
          <w:lang w:val="fr-FR"/>
        </w:rPr>
        <w:t xml:space="preserve"> 2016). </w:t>
      </w:r>
      <w:r w:rsidRPr="00C53929">
        <w:rPr>
          <w:sz w:val="18"/>
          <w:szCs w:val="18"/>
          <w:lang w:val="fr-FR"/>
        </w:rPr>
        <w:t xml:space="preserve">Voir aussi </w:t>
      </w:r>
      <w:r w:rsidRPr="00F43F79">
        <w:rPr>
          <w:i/>
          <w:sz w:val="18"/>
          <w:szCs w:val="18"/>
        </w:rPr>
        <w:fldChar w:fldCharType="begin"/>
      </w:r>
      <w:r w:rsidRPr="00C53929">
        <w:rPr>
          <w:i/>
          <w:sz w:val="18"/>
          <w:szCs w:val="18"/>
          <w:lang w:val="fr-FR"/>
        </w:rPr>
        <w:instrText xml:space="preserve"> ADDIN ZOTERO_ITEM CSL_CITATION {"citationID":"qYZoufNG","properties":{"formattedCitation":"Wilfried Weber and Martin Fussenegger, \\uc0\\u8216{}The Impact of Synthetic Biology on Drug Discovery\\uc0\\u8217{} (2009) 14 Drug Discovery Today 956","plainCitation":"Wilfried Weber and Martin Fussenegger, ‘The Impact of Synthetic Biology on Drug Discovery’ (2009) 14 Drug Discovery Today 956","noteIndex":147,"suppress-trailing-punctuation":true},"citationItems":[{"id":566,"uris":["http://zotero.org/users/local/dU5rpCrq/items/FEQFVUYU"],"uri":["http://zotero.org/users/local/dU5rpCrq/items/FEQFVUYU"],"itemData":{"id":566,"type":"article-journal","multi":{"main":{},"_keys":{}},"abstract":"The emergence of synthetic biology is holding great hopes for providing solutions to the unmet needs of humankind. This review article describes how synthetic biology can deliver on this promise in the field of drug discovery by providing novel opportunities throughout the entire drug discovery process. Synthetic biology tools enable disease mechanisms and target identification to be elucidated and also provide avenues to discover small chemotherapeutic molecules or design novel biopharmaceuticals. Furthermore, synthetic biologists can design cost-effective microbial production processes for complex natural products, which could help overcome global drug shortages. These impressive advances have been achieved in only a few years, and are an indicator for the potential of synthetic biology.","container-title":"Drug Discovery Today","DOI":"10.1016/j.drudis.2009.06.010","ISSN":"1878-5832","issue":"19-20","language":"eng","note":"PMID: 19580884","page":"956-963","source":"PubMed","title":"The impact of synthetic biology on drug discovery","volume":"14","author":[{"family":"Weber","given":"Wilfried","multi":{"_key":{}}},{"family":"Fussenegger","given":"Martin","multi":{"_key":{}}}],"issued":{"date-parts":[["2009",10]]},"seeAlso":[]}}],"schema":"https://github.com/citation-style-language/schema/raw/master/csl-citation.json"} </w:instrText>
      </w:r>
      <w:r w:rsidRPr="00F43F79">
        <w:rPr>
          <w:i/>
          <w:sz w:val="18"/>
          <w:szCs w:val="18"/>
        </w:rPr>
        <w:fldChar w:fldCharType="separate"/>
      </w:r>
      <w:r w:rsidRPr="00F43F79">
        <w:rPr>
          <w:i/>
          <w:sz w:val="18"/>
          <w:szCs w:val="18"/>
        </w:rPr>
        <w:fldChar w:fldCharType="begin"/>
      </w:r>
      <w:r w:rsidRPr="00C53929">
        <w:rPr>
          <w:i/>
          <w:sz w:val="18"/>
          <w:szCs w:val="18"/>
          <w:lang w:val="fr-FR"/>
        </w:rPr>
        <w:instrText xml:space="preserve"> ADDIN ZOTERO_ITEM CSL_CITATION {"citationID":"qYZoufNG","properties":{"formattedCitation":"Wilfried Weber and Martin Fussenegger, \\uc0\\u8216{}The Impact of Synthetic Biology on Drug Discovery\\uc0\\u8217{} (2009) 14 Drug Discovery Today 956","plainCitation":"Wilfried Weber and Martin Fussenegger, ‘The Impact of Synthetic Biology on Drug Discovery’ (2009) 14 Drug Discovery Today 956","noteIndex":147,"suppress-trailing-punctuation":true},"citationItems":[{"id":566,"uris":["http://zotero.org/users/local/dU5rpCrq/items/FEQFVUYU"],"uri":["http://zotero.org/users/local/dU5rpCrq/items/FEQFVUYU"],"itemData":{"id":566,"type":"article-journal","multi":{"main":{},"_keys":{}},"abstract":"The emergence of synthetic biology is holding great hopes for providing solutions to the unmet needs of humankind. This review article describes how synthetic biology can deliver on this promise in the field of drug discovery by providing novel opportunities throughout the entire drug discovery process. Synthetic biology tools enable disease mechanisms and target identification to be elucidated and also provide avenues to discover small chemotherapeutic molecules or design novel biopharmaceuticals. Furthermore, synthetic biologists can design cost-effective microbial production processes for complex natural products, which could help overcome global drug shortages. These impressive advances have been achieved in only a few years, and are an indicator for the potential of synthetic biology.","container-title":"Drug Discovery Today","DOI":"10.1016/j.drudis.2009.06.010","ISSN":"1878-5832","issue":"19-20","language":"eng","note":"PMID: 19580884","page":"956-963","source":"PubMed","title":"The impact of synthetic biology on drug discovery","volume":"14","author":[{"family":"Weber","given":"Wilfried","multi":{"_key":{}}},{"family":"Fussenegger","given":"Martin","multi":{"_key":{}}}],"issued":{"date-parts":[["2009",10]]},"seeAlso":[]}}],"schema":"https://github.com/citation-style-language/schema/raw/master/csl-citation.json"} </w:instrText>
      </w:r>
      <w:r w:rsidRPr="00F43F79">
        <w:rPr>
          <w:i/>
          <w:sz w:val="18"/>
          <w:szCs w:val="18"/>
        </w:rPr>
        <w:fldChar w:fldCharType="separate"/>
      </w:r>
      <w:r w:rsidRPr="00C53929">
        <w:rPr>
          <w:sz w:val="18"/>
          <w:szCs w:val="18"/>
          <w:lang w:val="fr-FR"/>
        </w:rPr>
        <w:t>Wilfried Weber and Martin Fussenegger, ‘The Impact of Synthetic Biology on Drug Discovery’ (2009) 14 Drug Discovery Today 956</w:t>
      </w:r>
      <w:r w:rsidRPr="00F43F79">
        <w:rPr>
          <w:i/>
          <w:sz w:val="18"/>
          <w:szCs w:val="18"/>
        </w:rPr>
        <w:fldChar w:fldCharType="end"/>
      </w:r>
      <w:r w:rsidRPr="00C53929">
        <w:rPr>
          <w:sz w:val="18"/>
          <w:szCs w:val="18"/>
          <w:lang w:val="fr-FR"/>
        </w:rPr>
        <w:t xml:space="preserve">; </w:t>
      </w:r>
      <w:r>
        <w:rPr>
          <w:sz w:val="18"/>
          <w:szCs w:val="18"/>
          <w:lang w:val="fr-FR"/>
        </w:rPr>
        <w:t>voir également</w:t>
      </w:r>
      <w:r w:rsidRPr="00C53929">
        <w:rPr>
          <w:sz w:val="18"/>
          <w:szCs w:val="18"/>
          <w:lang w:val="fr-FR"/>
        </w:rPr>
        <w:t xml:space="preserve"> </w:t>
      </w:r>
      <w:r w:rsidRPr="00F43F79">
        <w:rPr>
          <w:sz w:val="18"/>
          <w:szCs w:val="18"/>
        </w:rPr>
        <w:fldChar w:fldCharType="begin"/>
      </w:r>
      <w:r w:rsidRPr="00C53929">
        <w:rPr>
          <w:sz w:val="18"/>
          <w:szCs w:val="18"/>
          <w:lang w:val="fr-FR"/>
        </w:rPr>
        <w:instrText xml:space="preserve"> ADDIN ZOTERO_ITEM CSL_CITATION {"citationID":"4qKIp5AX","properties":{"formattedCitation":"Presidential Commission for the Study of Bioethical Issues, \\uc0\\u8216{}New Directions: The Ethics of Synthetic Biology and Emerging Technologies\\uc0\\u8217{} (Presidential Commission for the Study of Bioethical Issues 2010) 43\\uc0\\u8211{}46.","plainCitation":"Presidential Commission for the Study of Bioethical Issues, ‘New Directions: The Ethics of Synthetic Biology and Emerging Technologies’ (Presidential Commission for the Study of Bioethical Issues 2010) 43–46.","noteIndex":147},"citationItems":[{"id":265,"uris":["http://zotero.org/users/local/dU5rpCrq/items/VHIKNZNY"],"uri":["http://zotero.org/users/local/dU5rpCrq/items/VHIKNZNY"],"itemData":{"id":265,"type":"article","multi":{"main":{},"_keys":{}},"publisher":"Presidential Commission for the Study of Bioethical Issues","title":"New Directions: The Ethics of Synthetic Biology and Emerging Technologies","URL":"http://www.bioethics.gov/documents/synthetic-biology/PCSBI-Synthetic-Biology-Report-12.16.10.pdf","author":[{"family":"Presidential Commission for the Study of Bioethical Issues","given":"","literal":"Presidential Commission for the Study of Bioethical Issues","multi":{"_key":{}}}],"issued":{"date-parts":[["2010"]]},"seeAlso":[]},"locator":"43-46"}],"schema":"https://github.com/citation-style-language/schema/raw/master/csl-citation.json"} </w:instrText>
      </w:r>
      <w:r w:rsidRPr="00F43F79">
        <w:rPr>
          <w:sz w:val="18"/>
          <w:szCs w:val="18"/>
        </w:rPr>
        <w:fldChar w:fldCharType="separate"/>
      </w:r>
      <w:r w:rsidRPr="00C53929">
        <w:rPr>
          <w:sz w:val="18"/>
          <w:szCs w:val="18"/>
          <w:lang w:val="fr-FR"/>
        </w:rPr>
        <w:t>Presidential Commission for the Study of Bioethical Issues, ‘New Directions: The Ethics of Synthetic Biology and Emerging Technologies’ (Presidential Commission for the Study of Bioethical Issues 2010) 43–4</w:t>
      </w:r>
      <w:r w:rsidRPr="00F43F79">
        <w:rPr>
          <w:sz w:val="18"/>
          <w:szCs w:val="18"/>
        </w:rPr>
        <w:fldChar w:fldCharType="end"/>
      </w:r>
      <w:r w:rsidRPr="00C53929">
        <w:rPr>
          <w:sz w:val="18"/>
          <w:szCs w:val="18"/>
          <w:lang w:val="fr-FR"/>
        </w:rPr>
        <w:t>6</w:t>
      </w:r>
      <w:r w:rsidRPr="00F43F79">
        <w:rPr>
          <w:i/>
          <w:sz w:val="18"/>
          <w:szCs w:val="18"/>
        </w:rPr>
        <w:fldChar w:fldCharType="end"/>
      </w:r>
      <w:r>
        <w:rPr>
          <w:sz w:val="18"/>
          <w:szCs w:val="18"/>
          <w:lang w:val="fr-FR"/>
        </w:rPr>
        <w:t>.</w:t>
      </w:r>
    </w:p>
  </w:footnote>
  <w:footnote w:id="152">
    <w:p w14:paraId="43C4E331" w14:textId="59039AC1" w:rsidR="008A77A6" w:rsidRPr="004A1148"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4A1148">
        <w:rPr>
          <w:sz w:val="18"/>
          <w:szCs w:val="18"/>
          <w:lang w:val="fr-FR"/>
        </w:rPr>
        <w:t xml:space="preserve"> Voir </w:t>
      </w:r>
      <w:r w:rsidRPr="00F43F79">
        <w:rPr>
          <w:sz w:val="18"/>
          <w:szCs w:val="18"/>
        </w:rPr>
        <w:fldChar w:fldCharType="begin"/>
      </w:r>
      <w:r w:rsidRPr="004A1148">
        <w:rPr>
          <w:sz w:val="18"/>
          <w:szCs w:val="18"/>
          <w:lang w:val="fr-FR"/>
        </w:rPr>
        <w:instrText xml:space="preserve"> ADDIN ZOTERO_ITEM CSL_CITATION {"citationID":"2XWTh7bR","properties":{"formattedCitation":"Wael Houssen and others, \\uc0\\u8216{}Digital Sequence Information on Genetic Resources: Concept, Scope and Current Use\\uc0\\u8217{} (CBD/DSI/AHTEG/2020/1/3 29 January 2020).","plainCitation":"Wael Houssen and others, ‘Digital Sequence Information on Genetic Resources: Concept, Scope and Current Use’ (CBD/DSI/AHTEG/2020/1/3 29 January 2020).","noteIndex":148},"citationItems":[{"id":568,"uris":["http://zotero.org/users/local/dU5rpCrq/items/AZW5RFDR"],"uri":["http://zotero.org/users/local/dU5rpCrq/items/AZW5RFDR"],"itemData":{"id":568,"type":"article","multi":{"main":{},"_keys":{}},"publisher":"CBD/DSI/AHTEG/2020/1/3","title":"Digital Sequence Information on Genetic Resources: Concept, Scope and Current Use","author":[{"family":"Houssen","given":"Wael","multi":{"_key":{}}},{"family":"Sara","given":"Rodrigo","multi":{"_key":{}}},{"family":"Jaspars","given":"Marcel","multi":{"_key":{}}}],"issued":{"date-parts":[["2020",1,29]]},"seeAlso":[]}}],"schema":"https://github.com/citation-style-language/schema/raw/master/csl-citation.json"} </w:instrText>
      </w:r>
      <w:r w:rsidRPr="00F43F79">
        <w:rPr>
          <w:sz w:val="18"/>
          <w:szCs w:val="18"/>
        </w:rPr>
        <w:fldChar w:fldCharType="separate"/>
      </w:r>
      <w:r>
        <w:rPr>
          <w:sz w:val="18"/>
          <w:szCs w:val="18"/>
          <w:lang w:val="fr-FR"/>
        </w:rPr>
        <w:t>Wael Houssen et al.</w:t>
      </w:r>
      <w:r w:rsidRPr="004A1148">
        <w:rPr>
          <w:sz w:val="18"/>
          <w:szCs w:val="18"/>
          <w:lang w:val="fr-FR"/>
        </w:rPr>
        <w:t>, ‘Digital Sequence Information on Genetic Resources: Concept, Scope and Current Use (CBD/DSI/AHTEG/2020/1/3 29 janvier 2020).</w:t>
      </w:r>
      <w:r w:rsidRPr="00F43F79">
        <w:rPr>
          <w:sz w:val="18"/>
          <w:szCs w:val="18"/>
        </w:rPr>
        <w:fldChar w:fldCharType="end"/>
      </w:r>
    </w:p>
  </w:footnote>
  <w:footnote w:id="153">
    <w:p w14:paraId="66BD7349" w14:textId="2344695B" w:rsidR="008A77A6" w:rsidRPr="007A0B5B"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C53929">
        <w:rPr>
          <w:sz w:val="18"/>
          <w:szCs w:val="18"/>
          <w:lang w:val="fr-FR"/>
        </w:rPr>
        <w:t xml:space="preserve"> Groupe de travail de la </w:t>
      </w:r>
      <w:r w:rsidRPr="00F43F79">
        <w:rPr>
          <w:sz w:val="18"/>
          <w:szCs w:val="18"/>
        </w:rPr>
        <w:fldChar w:fldCharType="begin"/>
      </w:r>
      <w:r w:rsidRPr="00C53929">
        <w:rPr>
          <w:sz w:val="18"/>
          <w:szCs w:val="18"/>
          <w:lang w:val="fr-FR"/>
        </w:rPr>
        <w:instrText xml:space="preserve"> ADDIN ZOTERO_ITEM CSL_CITATION {"citationID":"QxLf8gUG","properties":{"f</w:instrText>
      </w:r>
      <w:r w:rsidRPr="007A0B5B">
        <w:rPr>
          <w:sz w:val="18"/>
          <w:szCs w:val="18"/>
          <w:lang w:val="fr-FR"/>
        </w:rPr>
        <w:instrText xml:space="preserve">ormattedCitation":"ICC Task Force on Access and Benefit Sharing, \\uc0\\u8216{}Digital Sequence Information and the Nagoya Protocol\\uc0\\u8217{} (International Chamber of Commerce 2017).","plainCitation":"ICC Task Force on Access and Benefit Sharing, ‘Digital Sequence Information and the Nagoya Protocol’ (International Chamber of Commerce 2017).","noteIndex":149},"citationItems":[{"id":674,"uris":["http://zotero.org/users/local/dU5rpCrq/items/SJ7R6SDD"],"uri":["http://zotero.org/users/local/dU5rpCrq/items/SJ7R6SDD"],"itemData":{"id":674,"type":"article","multi":{"main":{},"_keys":{}},"publisher":"International Chamber of Commerce","title":"Digital Sequence Information and the Nagoya Protocol","author":[{"family":"ICC Task Force on Access and Benefit Sharing","given":"","literal":"ICC Task Force on Access and Benefit Sharing","multi":{"_key":{}}}],"issued":{"date-parts":[["2017"]]},"seeAlso":[]}}],"schema":"https://github.com/citation-style-language/schema/raw/master/csl-citation.json"} </w:instrText>
      </w:r>
      <w:r w:rsidRPr="00F43F79">
        <w:rPr>
          <w:sz w:val="18"/>
          <w:szCs w:val="18"/>
        </w:rPr>
        <w:fldChar w:fldCharType="separate"/>
      </w:r>
      <w:r w:rsidRPr="007A0B5B">
        <w:rPr>
          <w:sz w:val="18"/>
          <w:szCs w:val="18"/>
          <w:lang w:val="fr-FR"/>
        </w:rPr>
        <w:t>CC</w:t>
      </w:r>
      <w:r>
        <w:rPr>
          <w:sz w:val="18"/>
          <w:szCs w:val="18"/>
          <w:lang w:val="fr-FR"/>
        </w:rPr>
        <w:t xml:space="preserve">I sur l’accès </w:t>
      </w:r>
      <w:r w:rsidRPr="007A0B5B">
        <w:rPr>
          <w:sz w:val="18"/>
          <w:szCs w:val="18"/>
          <w:lang w:val="fr-FR"/>
        </w:rPr>
        <w:t xml:space="preserve">et </w:t>
      </w:r>
      <w:r>
        <w:rPr>
          <w:sz w:val="18"/>
          <w:szCs w:val="18"/>
          <w:lang w:val="fr-FR"/>
        </w:rPr>
        <w:t>le partage des avantages</w:t>
      </w:r>
      <w:r w:rsidRPr="007A0B5B">
        <w:rPr>
          <w:sz w:val="18"/>
          <w:szCs w:val="18"/>
          <w:lang w:val="fr-FR"/>
        </w:rPr>
        <w:t>, ‘</w:t>
      </w:r>
      <w:r>
        <w:rPr>
          <w:sz w:val="18"/>
          <w:szCs w:val="18"/>
          <w:lang w:val="fr-FR"/>
        </w:rPr>
        <w:t>L'information de séquençage numérique</w:t>
      </w:r>
      <w:r w:rsidRPr="007A0B5B">
        <w:rPr>
          <w:sz w:val="18"/>
          <w:szCs w:val="18"/>
          <w:lang w:val="fr-FR"/>
        </w:rPr>
        <w:t xml:space="preserve"> et </w:t>
      </w:r>
      <w:r>
        <w:rPr>
          <w:sz w:val="18"/>
          <w:szCs w:val="18"/>
          <w:lang w:val="fr-FR"/>
        </w:rPr>
        <w:t>le Protocole de Nagoya’ (Chambre de commerce internationale</w:t>
      </w:r>
      <w:r w:rsidRPr="007A0B5B">
        <w:rPr>
          <w:sz w:val="18"/>
          <w:szCs w:val="18"/>
          <w:lang w:val="fr-FR"/>
        </w:rPr>
        <w:t xml:space="preserve"> 2017).</w:t>
      </w:r>
      <w:r w:rsidRPr="00F43F79">
        <w:rPr>
          <w:sz w:val="18"/>
          <w:szCs w:val="18"/>
        </w:rPr>
        <w:fldChar w:fldCharType="end"/>
      </w:r>
    </w:p>
  </w:footnote>
  <w:footnote w:id="154">
    <w:p w14:paraId="1081099D" w14:textId="13F13DF8" w:rsidR="008A77A6" w:rsidRPr="000652BE" w:rsidRDefault="008A77A6" w:rsidP="00F43F79">
      <w:pPr>
        <w:pStyle w:val="FootnoteText"/>
        <w:spacing w:before="20" w:after="20"/>
        <w:ind w:left="284" w:hanging="288"/>
        <w:rPr>
          <w:b/>
          <w:sz w:val="18"/>
          <w:szCs w:val="18"/>
          <w:lang w:val="en-AU"/>
        </w:rPr>
      </w:pPr>
      <w:r w:rsidRPr="00F43F79">
        <w:rPr>
          <w:rStyle w:val="FootnoteReference"/>
          <w:sz w:val="18"/>
          <w:szCs w:val="18"/>
        </w:rPr>
        <w:footnoteRef/>
      </w:r>
      <w:r w:rsidRPr="000652BE">
        <w:rPr>
          <w:sz w:val="18"/>
          <w:szCs w:val="18"/>
          <w:lang w:val="en-AU"/>
        </w:rPr>
        <w:t xml:space="preserve"> U.S. Pat. Appl. Pub. No. 2013/0171328A1 “Production of </w:t>
      </w:r>
      <w:r>
        <w:rPr>
          <w:sz w:val="18"/>
          <w:szCs w:val="18"/>
        </w:rPr>
        <w:t>Steviol Glycosides</w:t>
      </w:r>
      <w:r>
        <w:rPr>
          <w:sz w:val="18"/>
          <w:szCs w:val="18"/>
          <w:lang w:val="en-AU"/>
        </w:rPr>
        <w:t xml:space="preserve"> in Microorganism</w:t>
      </w:r>
      <w:r w:rsidRPr="000652BE">
        <w:rPr>
          <w:sz w:val="18"/>
          <w:szCs w:val="18"/>
          <w:lang w:val="en-AU"/>
        </w:rPr>
        <w:t>s” paragraphe 125.</w:t>
      </w:r>
    </w:p>
  </w:footnote>
  <w:footnote w:id="155">
    <w:p w14:paraId="5C0CEE7D" w14:textId="549656F1" w:rsidR="008A77A6" w:rsidRPr="000652BE" w:rsidRDefault="008A77A6" w:rsidP="00F43F79">
      <w:pPr>
        <w:pStyle w:val="FootnoteText"/>
        <w:spacing w:before="20" w:after="20"/>
        <w:ind w:left="284" w:hanging="288"/>
        <w:rPr>
          <w:sz w:val="18"/>
          <w:szCs w:val="18"/>
          <w:lang w:val="fr-FR"/>
        </w:rPr>
      </w:pPr>
      <w:r w:rsidRPr="00F43F79">
        <w:rPr>
          <w:rStyle w:val="FootnoteReference"/>
          <w:rFonts w:eastAsiaTheme="majorEastAsia"/>
          <w:sz w:val="18"/>
          <w:szCs w:val="18"/>
        </w:rPr>
        <w:footnoteRef/>
      </w:r>
      <w:r w:rsidRPr="000652BE">
        <w:rPr>
          <w:sz w:val="18"/>
          <w:szCs w:val="18"/>
          <w:lang w:val="fr-FR"/>
        </w:rPr>
        <w:t xml:space="preserve"> Dans un autre exemple souvent cité, des chercheurs ont mis au point et </w:t>
      </w:r>
      <w:r>
        <w:rPr>
          <w:sz w:val="18"/>
          <w:szCs w:val="18"/>
          <w:lang w:val="fr-FR"/>
        </w:rPr>
        <w:t>re</w:t>
      </w:r>
      <w:r w:rsidRPr="000652BE">
        <w:rPr>
          <w:sz w:val="18"/>
          <w:szCs w:val="18"/>
          <w:lang w:val="fr-FR"/>
        </w:rPr>
        <w:t xml:space="preserve">produit une copie </w:t>
      </w:r>
      <w:r>
        <w:rPr>
          <w:sz w:val="18"/>
          <w:szCs w:val="18"/>
          <w:lang w:val="fr-FR"/>
        </w:rPr>
        <w:t>synthétique de thébaï</w:t>
      </w:r>
      <w:r w:rsidRPr="000652BE">
        <w:rPr>
          <w:sz w:val="18"/>
          <w:szCs w:val="18"/>
          <w:lang w:val="fr-FR"/>
        </w:rPr>
        <w:t xml:space="preserve">ne, </w:t>
      </w:r>
      <w:r>
        <w:rPr>
          <w:sz w:val="18"/>
          <w:szCs w:val="18"/>
          <w:lang w:val="fr-FR"/>
        </w:rPr>
        <w:t>un précurseur de morphine extrait des coquelicots depuis des millénaires</w:t>
      </w:r>
      <w:r w:rsidRPr="000652BE">
        <w:rPr>
          <w:sz w:val="18"/>
          <w:szCs w:val="18"/>
          <w:lang w:val="fr-FR"/>
        </w:rPr>
        <w:t xml:space="preserve">, en utilisant </w:t>
      </w:r>
      <w:r>
        <w:rPr>
          <w:sz w:val="18"/>
          <w:szCs w:val="18"/>
          <w:lang w:val="fr-FR"/>
        </w:rPr>
        <w:t>de la levure imprégnée d’informations de séquençage</w:t>
      </w:r>
      <w:r w:rsidRPr="000652BE">
        <w:rPr>
          <w:sz w:val="18"/>
          <w:szCs w:val="18"/>
          <w:lang w:val="fr-FR"/>
        </w:rPr>
        <w:t xml:space="preserve"> </w:t>
      </w:r>
      <w:r>
        <w:rPr>
          <w:sz w:val="18"/>
          <w:szCs w:val="18"/>
          <w:lang w:val="fr-FR"/>
        </w:rPr>
        <w:t xml:space="preserve">génétique provenant de plusieurs </w:t>
      </w:r>
      <w:r w:rsidRPr="000652BE">
        <w:rPr>
          <w:sz w:val="18"/>
          <w:szCs w:val="18"/>
          <w:lang w:val="fr-FR"/>
        </w:rPr>
        <w:t>espèces</w:t>
      </w:r>
      <w:r>
        <w:rPr>
          <w:sz w:val="18"/>
          <w:szCs w:val="18"/>
          <w:lang w:val="fr-FR"/>
        </w:rPr>
        <w:t xml:space="preserve"> végétales, d’une bactérie, et d’un rongeur</w:t>
      </w:r>
      <w:r w:rsidRPr="000652BE">
        <w:rPr>
          <w:sz w:val="18"/>
          <w:szCs w:val="18"/>
          <w:lang w:val="fr-FR"/>
        </w:rPr>
        <w:t xml:space="preserve">. </w:t>
      </w:r>
      <w:r>
        <w:rPr>
          <w:sz w:val="18"/>
          <w:szCs w:val="18"/>
          <w:lang w:val="fr-FR"/>
        </w:rPr>
        <w:t xml:space="preserve">Voir </w:t>
      </w:r>
      <w:r w:rsidRPr="00F43F79">
        <w:rPr>
          <w:sz w:val="18"/>
          <w:szCs w:val="18"/>
        </w:rPr>
        <w:fldChar w:fldCharType="begin"/>
      </w:r>
      <w:r w:rsidRPr="000652BE">
        <w:rPr>
          <w:sz w:val="18"/>
          <w:szCs w:val="18"/>
          <w:lang w:val="fr-FR"/>
        </w:rPr>
        <w:instrText xml:space="preserve"> ADDIN ZOTERO_ITEM CSL_CITATION {"citationID":"me2tmc9M","properties":{"formattedCitation":"Robert F Service, \\uc0\\u8216{}Modified Yeast Produce Opiates from Sugar\\uc0\\u8217{} (2015) 349 Science 677.","plainCitation":"Robert F Service, ‘Modified Yeast Produce Opiates from Sugar’ (2015) 349 Science 677.","noteIndex":151},"citationItems":[{"id":569,"uris":["http://zotero.org/users/local/dU5rpCrq/items/SHV6AS2P"],"uri":["http://zotero.org/users/local/dU5rpCrq/items/SHV6AS2P"],"itemData":{"id":569,"type":"article-journal","multi":{"main":{},"_keys":{}},"abstract":"Synthetic biologists have engineered a strain of yeast to produce thebaine, an opiate closely related to morphine normally harvested from opium poppy plants. To do so, they engineered the microbes to express a medley of 21 genes, some from yeast themselves, as well as others from plants, bacteria, and even a rodent. By adding two additional genes, the engineers also coaxed yeast to make hydrocodone, one of the most commonly used painkillers on the market. The work may eventually help chemists come up with new painkillers and other medicines with fewer side effects, such as a lower propensity for addiction. Outsiders say the work is a landmark for the increasing sophistication of synthetic biology's ability to engineer complex metabolic pathways into microbes. But biopolicy experts worry that if drugmakers get their hands on opiate-making microbes, it could eventually enable them to brew heroin with ease.\nEngineered microbes raise hopes for better medicines and concerns about illicit drugs.\nEngineered microbes raise hopes for better medicines and concerns about illicit drugs.","container-title":"Science","DOI":"10.1126/science.349.6249.677","ISSN":"0036-8075, 1095-9203","issue":"6249","language":"en","note":"Move over, poppies. In one of the most elaborate feats of synthetic bio logy to date, a research team has engineered yeast with a medley of plant, bacterial, and rodent genes to turn sugar into thebaine, the key opiate precursor to morphine and other powerful painkilling drugs that have been harvested for thousands of years from poppy plants. The team also showed that with further tweaks, the yeast could make hydrocodone, a widely used painkiller that is now made chemically from thebaine.\n\n“This is a major milestone,” says Jens Nielsen, a synthetic biologist at Chalmers University of Technology in Göteborg, Sweden. The work, he adds, demonstrates synthetic biology's increasing sophistication at transferring complex metabolic pathways into microbes.\n\n![Figure][1]&lt;/img&gt;\n\nILLUSTRATION: A. CUADRA/ SCIENCE \n\nBy tweaking the yeast pathways, medicinal chemists may be able to produce</w:instrText>
      </w:r>
      <w:r w:rsidRPr="000652BE">
        <w:rPr>
          <w:sz w:val="18"/>
          <w:szCs w:val="18"/>
          <w:lang w:val="en-AU"/>
        </w:rPr>
        <w:instrText xml:space="preserve"> more effective, less</w:instrText>
      </w:r>
      <w:r w:rsidRPr="00F43F79">
        <w:rPr>
          <w:sz w:val="18"/>
          <w:szCs w:val="18"/>
        </w:rPr>
        <w:instrText xml:space="preserve"> addictive versions of opiate painkillers. But some biopolicy experts worry that morphinemaking yeast strains could also allow illicit drugmakers to brew heroin as easily as beer enthusiasts home brew today—the drug is a simple chemical conversion from morphine. That concern is one reason the research team, led by Christina Smolke, a synthetic biologist at Stanford University in Palo Alto, California, stopped short of making a yeast strain with the complete morphine pathway; medicinal drug makers also primarily use thebaine to make new compounds.\n\nSynthetic biologists had previously engineered yeast to produce artemisinin, an antimalarial compound, but that required inserting just a handful of plant genes. To get yeast to make thebaine, Smolke's team coaxed the cells to express 21 genes in total, including many added from a diverse set of species (see [graphic][2]); making hydrocodone took 23 genes.\n\nTheir success, reported online this week in Science , caps a race to install the complex opioid pathway in yeast. Last year, Smolke's team reported engineering yeast to carry out the tail end of the process, going from thebaine to morphine. In April, Vincent Martin, a microbiologist at Concordia University in Montreal, Canada, and his colleagues said they had created yeast that could go from an earlier intermediate compound called R-reticuline to morphine. A few weeks later, John Dueber, a synthetic biologist at the University of California, Berkeley, and colleagues announced yeast that carries out most of the first half of the pathway, going from glucose to another intermediate compound, S-reticuline. Finally, two groups reported in late June that they had identified the long-sought enzyme needed to carry out the chemical transformation in the middle, S-reticuline to R-reticuline.\n\nEven so, many predicted it would take years to put all the pieces together. As it turns out, back in May, Smolke and her colleagues had already largely finished the task. “It shows this field is really moving fast,” says Kenneth Oye, a biotechnology policy expert at the Massachusetts Institute of Technology in Cambridge.\n\nThe most important challenge, Smolke says, was increasing the efficiency of each step so losses wouldn't build up. In one step, for example, a plant enzyme called SalSyn was doing a poor job of converting R-reticuline to another compound called salutaridine. Eventually, Smolke's team discovered that the yeast made the enzyme incorrectly, attaching the wrong sugars to it. The researchers fixed the problem by reengineering the inserted plant gene.\n\nSmolke plans to go on tinkering. The microbes need to increase output of thebaine by a factor of 100,000 for drug companies to be interested in using them to make medicines. That won't be easy. But Martin notes that researchers boosted the output of the artemisininmaking yeast by a similar amount. “It will happen,” he says. “The only question is how fast.” Smolke recently formed a company called Antheia, based in Palo Alto, that aims to push that pace.\n\nTo keep up with the yeast engineers, Oye says policy experts need to develop rules to limit the risk of unintended uses of engineered microbes. In the case of opiatemaking yeast, such rules might forbid developing strains to produce illicit drugs, such as heroin, and require scientists to build in genes that prevent the microbes from living outside of a controlled laboratory environment.\n\nNot everyone is worried about home-brewed opiates. Andrew Ellington, a synthetic biologist at the University of Texas, Austin, calls such fears “overblown.” The idea that producing vanishingly small quantities of opiates through fermentation is somehow going dwarf the problem of illegal drugs made from poppies is “laughable,” he says. But Martin disagrees. “Poppy fields are not readily available to someone in Chicago, whereas yeast can be made available to anyone.”\n\n [1]: pending:yes\n [2]: http://www.sciencemag.org/content/349/6249/677/F1.expansion.html\nPMID: 26273032","page":"677-677","source":"science.sciencemag.org","title":"Modified yeast produce opiates from sugar","volume":"349","author":[{"family":"Service","given":"Robert F.","multi":{"_key":{}}}],"issued":{"date-parts":[["2015",8,14]]},"seeAlso":[]}}],"schema":"https://github.com/citation-style-language/schema/raw/master/csl-citation.json"} </w:instrText>
      </w:r>
      <w:r w:rsidRPr="00F43F79">
        <w:rPr>
          <w:sz w:val="18"/>
          <w:szCs w:val="18"/>
        </w:rPr>
        <w:fldChar w:fldCharType="separate"/>
      </w:r>
      <w:r w:rsidRPr="00F43F79">
        <w:rPr>
          <w:sz w:val="18"/>
          <w:szCs w:val="18"/>
        </w:rPr>
        <w:t>Robert F Service, ‘Modified Yeast Produce Opiates from Sugar’ (2015) 349 Science 677.</w:t>
      </w:r>
      <w:r w:rsidRPr="00F43F79">
        <w:rPr>
          <w:sz w:val="18"/>
          <w:szCs w:val="18"/>
        </w:rPr>
        <w:fldChar w:fldCharType="end"/>
      </w:r>
      <w:r>
        <w:rPr>
          <w:sz w:val="18"/>
          <w:szCs w:val="18"/>
        </w:rPr>
        <w:t xml:space="preserve"> </w:t>
      </w:r>
      <w:r>
        <w:rPr>
          <w:sz w:val="18"/>
          <w:szCs w:val="18"/>
          <w:lang w:val="fr-FR"/>
        </w:rPr>
        <w:t xml:space="preserve">Mais il existe de nombreux </w:t>
      </w:r>
      <w:r w:rsidRPr="000652BE">
        <w:rPr>
          <w:sz w:val="18"/>
          <w:szCs w:val="18"/>
          <w:lang w:val="fr-FR"/>
        </w:rPr>
        <w:t>autres exemples, y compris un processus semblable qui</w:t>
      </w:r>
      <w:r>
        <w:rPr>
          <w:sz w:val="18"/>
          <w:szCs w:val="18"/>
          <w:lang w:val="fr-FR"/>
        </w:rPr>
        <w:t xml:space="preserve"> utilise de la levure</w:t>
      </w:r>
      <w:r w:rsidRPr="000652BE">
        <w:rPr>
          <w:sz w:val="18"/>
          <w:szCs w:val="18"/>
          <w:lang w:val="fr-FR"/>
        </w:rPr>
        <w:t xml:space="preserve"> ou </w:t>
      </w:r>
      <w:r w:rsidRPr="000652BE">
        <w:rPr>
          <w:i/>
          <w:sz w:val="18"/>
          <w:szCs w:val="18"/>
          <w:lang w:val="fr-FR"/>
        </w:rPr>
        <w:t>E.coli</w:t>
      </w:r>
      <w:r>
        <w:rPr>
          <w:sz w:val="18"/>
          <w:szCs w:val="18"/>
          <w:lang w:val="fr-FR"/>
        </w:rPr>
        <w:t xml:space="preserve"> pour produire le goût et le parfum de l’ingré</w:t>
      </w:r>
      <w:r w:rsidRPr="000652BE">
        <w:rPr>
          <w:sz w:val="18"/>
          <w:szCs w:val="18"/>
          <w:lang w:val="fr-FR"/>
        </w:rPr>
        <w:t>dient vanillin</w:t>
      </w:r>
      <w:r>
        <w:rPr>
          <w:sz w:val="18"/>
          <w:szCs w:val="18"/>
          <w:lang w:val="fr-FR"/>
        </w:rPr>
        <w:t xml:space="preserve">e, pouvant inclure </w:t>
      </w:r>
      <w:r w:rsidRPr="000652BE">
        <w:rPr>
          <w:sz w:val="18"/>
          <w:szCs w:val="18"/>
          <w:lang w:val="fr-FR"/>
        </w:rPr>
        <w:t>l’utilisation</w:t>
      </w:r>
      <w:r>
        <w:rPr>
          <w:sz w:val="18"/>
          <w:szCs w:val="18"/>
          <w:lang w:val="fr-FR"/>
        </w:rPr>
        <w:t xml:space="preserve"> de différents </w:t>
      </w:r>
      <w:r w:rsidRPr="000652BE">
        <w:rPr>
          <w:sz w:val="18"/>
          <w:szCs w:val="18"/>
          <w:lang w:val="fr-FR"/>
        </w:rPr>
        <w:t>gènes ou voie</w:t>
      </w:r>
      <w:r>
        <w:rPr>
          <w:sz w:val="18"/>
          <w:szCs w:val="18"/>
          <w:lang w:val="fr-FR"/>
        </w:rPr>
        <w:t>s</w:t>
      </w:r>
      <w:r w:rsidRPr="000652BE">
        <w:rPr>
          <w:sz w:val="18"/>
          <w:szCs w:val="18"/>
          <w:lang w:val="fr-FR"/>
        </w:rPr>
        <w:t xml:space="preserve"> de synthèse biologique </w:t>
      </w:r>
      <w:r>
        <w:rPr>
          <w:sz w:val="18"/>
          <w:szCs w:val="18"/>
          <w:lang w:val="fr-FR"/>
        </w:rPr>
        <w:t>provenant de différents</w:t>
      </w:r>
      <w:r w:rsidRPr="000652BE">
        <w:rPr>
          <w:sz w:val="18"/>
          <w:szCs w:val="18"/>
          <w:lang w:val="fr-FR"/>
        </w:rPr>
        <w:t xml:space="preserve"> organismes</w:t>
      </w:r>
      <w:r>
        <w:rPr>
          <w:sz w:val="18"/>
          <w:szCs w:val="18"/>
          <w:lang w:val="fr-FR"/>
        </w:rPr>
        <w:t xml:space="preserve"> donateurs</w:t>
      </w:r>
      <w:r w:rsidRPr="000652BE">
        <w:rPr>
          <w:sz w:val="18"/>
          <w:szCs w:val="18"/>
          <w:lang w:val="fr-FR"/>
        </w:rPr>
        <w:t xml:space="preserve">, </w:t>
      </w:r>
      <w:r>
        <w:rPr>
          <w:sz w:val="18"/>
          <w:szCs w:val="18"/>
          <w:lang w:val="fr-FR"/>
        </w:rPr>
        <w:t>dont la vanille</w:t>
      </w:r>
      <w:r w:rsidRPr="000652BE">
        <w:rPr>
          <w:sz w:val="18"/>
          <w:szCs w:val="18"/>
          <w:lang w:val="fr-FR"/>
        </w:rPr>
        <w:t xml:space="preserve"> (</w:t>
      </w:r>
      <w:r w:rsidRPr="000652BE">
        <w:rPr>
          <w:i/>
          <w:sz w:val="18"/>
          <w:szCs w:val="18"/>
          <w:lang w:val="fr-FR"/>
        </w:rPr>
        <w:t>Vanilla planifolia</w:t>
      </w:r>
      <w:r w:rsidRPr="000652BE">
        <w:rPr>
          <w:sz w:val="18"/>
          <w:szCs w:val="18"/>
          <w:lang w:val="fr-FR"/>
        </w:rPr>
        <w:t xml:space="preserve">), </w:t>
      </w:r>
      <w:r>
        <w:rPr>
          <w:sz w:val="18"/>
          <w:szCs w:val="18"/>
          <w:lang w:val="fr-FR"/>
        </w:rPr>
        <w:t xml:space="preserve">les êtres </w:t>
      </w:r>
      <w:r w:rsidRPr="000652BE">
        <w:rPr>
          <w:sz w:val="18"/>
          <w:szCs w:val="18"/>
          <w:lang w:val="fr-FR"/>
        </w:rPr>
        <w:t>huma</w:t>
      </w:r>
      <w:r>
        <w:rPr>
          <w:sz w:val="18"/>
          <w:szCs w:val="18"/>
          <w:lang w:val="fr-FR"/>
        </w:rPr>
        <w:t>i</w:t>
      </w:r>
      <w:r w:rsidRPr="000652BE">
        <w:rPr>
          <w:sz w:val="18"/>
          <w:szCs w:val="18"/>
          <w:lang w:val="fr-FR"/>
        </w:rPr>
        <w:t xml:space="preserve">ns ou </w:t>
      </w:r>
      <w:r>
        <w:rPr>
          <w:sz w:val="18"/>
          <w:szCs w:val="18"/>
          <w:lang w:val="fr-FR"/>
        </w:rPr>
        <w:t>des espèces bactérienne</w:t>
      </w:r>
      <w:r w:rsidRPr="000652BE">
        <w:rPr>
          <w:sz w:val="18"/>
          <w:szCs w:val="18"/>
          <w:lang w:val="fr-FR"/>
        </w:rPr>
        <w:t xml:space="preserve">s, </w:t>
      </w:r>
      <w:r>
        <w:rPr>
          <w:sz w:val="18"/>
          <w:szCs w:val="18"/>
          <w:lang w:val="fr-FR"/>
        </w:rPr>
        <w:t>entre autres</w:t>
      </w:r>
      <w:r w:rsidRPr="000652BE">
        <w:rPr>
          <w:sz w:val="18"/>
          <w:szCs w:val="18"/>
          <w:lang w:val="fr-FR"/>
        </w:rPr>
        <w:t xml:space="preserve">. </w:t>
      </w:r>
      <w:r w:rsidRPr="00E11B20">
        <w:rPr>
          <w:sz w:val="18"/>
          <w:szCs w:val="18"/>
          <w:lang w:val="en-AU"/>
        </w:rPr>
        <w:t xml:space="preserve">Voir par exemple </w:t>
      </w:r>
      <w:r w:rsidRPr="00F43F79">
        <w:rPr>
          <w:sz w:val="18"/>
          <w:szCs w:val="18"/>
        </w:rPr>
        <w:fldChar w:fldCharType="begin"/>
      </w:r>
      <w:r w:rsidRPr="00E11B20">
        <w:rPr>
          <w:sz w:val="18"/>
          <w:szCs w:val="18"/>
          <w:lang w:val="en-AU"/>
        </w:rPr>
        <w:instrText xml:space="preserve"> ADDIN ZOTERO_ITEM CSL_CITATION {"citation</w:instrText>
      </w:r>
      <w:r w:rsidRPr="0035561D">
        <w:rPr>
          <w:sz w:val="18"/>
          <w:szCs w:val="18"/>
          <w:lang w:val="en-AU"/>
        </w:rPr>
        <w:instrText xml:space="preserve">ID":"gioG6eYX","properties":{"formattedCitation":"Nethanji J Gallage and Birger Lindberg M\\uc0\\u248{}ller, \\uc0\\u8216{}Vanillin\\uc0\\u8212{}Bioconversion and Bioengineering of the Most Popular Plant Flavor and Its De Novo Biosynthesis in the Vanilla Orchid\\uc0\\u8217{} (2015) 8 Molecular Plant 40","plainCitation":"Nethanji J Gallage and Birger Lindberg Møller, ‘Vanillin—Bioconversion and Bioengineering of the Most Popular Plant Flavor and Its De Novo Biosynthesis in the Vanilla Orchid’ (2015) 8 Molecular Plant 40","noteIndex":151,"suppress-trailing-punctuation":true},"citationItems":[{"id":297,"uris":["http://zotero.org/users/local/dU5rpCrq/items/LNEF94FX"],"uri":["http://zotero.org/users/local/dU5rpCrq/items/LNEF94FX"],"itemData":{"id":297,"type":"article-journal","multi":{"main":{},"_keys":{}},"container-title":"Molecular Plant","page":"40–57","title":"Vanillin—Bioconversion and Bioengineering of the Most Popular Plant Flavor and Its De Novo Biosynthesis in the Vanilla Orchid","volume":"8","author":[{"family":"Gallage","given":"Nethanji J.","multi":{"_key":{}}},{"family":"Møller","given":"Birger Lindberg","multi":{"_key":{}}}],"issued":{"date-parts":[["2015"]]},"seeAlso":[]}}],"schema":"https://github.com/citation-style-language/schema/raw/master/csl-citation.json"} </w:instrText>
      </w:r>
      <w:r w:rsidRPr="00F43F79">
        <w:rPr>
          <w:sz w:val="18"/>
          <w:szCs w:val="18"/>
        </w:rPr>
        <w:fldChar w:fldCharType="separate"/>
      </w:r>
      <w:r w:rsidRPr="0035561D">
        <w:rPr>
          <w:sz w:val="18"/>
          <w:szCs w:val="18"/>
          <w:lang w:val="en-AU"/>
        </w:rPr>
        <w:t>Nethanji J Gallage and Birger Lindberg Møller, ‘Vanillin—Bioconversion and Bioengineering of the Most Popular Plant Flavor and Its De Novo Biosynthesis in the Vanilla Orchid’ (2015) 8 Molecular Plant 40</w:t>
      </w:r>
      <w:r w:rsidRPr="00F43F79">
        <w:rPr>
          <w:sz w:val="18"/>
          <w:szCs w:val="18"/>
        </w:rPr>
        <w:fldChar w:fldCharType="end"/>
      </w:r>
      <w:r w:rsidRPr="0035561D">
        <w:rPr>
          <w:sz w:val="18"/>
          <w:szCs w:val="18"/>
          <w:lang w:val="en-AU"/>
        </w:rPr>
        <w:t xml:space="preserve">. </w:t>
      </w:r>
      <w:r w:rsidRPr="0035561D">
        <w:rPr>
          <w:sz w:val="18"/>
          <w:szCs w:val="18"/>
          <w:lang w:val="fr-FR"/>
        </w:rPr>
        <w:t>L</w:t>
      </w:r>
      <w:r>
        <w:rPr>
          <w:sz w:val="18"/>
          <w:szCs w:val="18"/>
          <w:lang w:val="fr-FR"/>
        </w:rPr>
        <w:t>es auteurs indiquent aussi, au paragraphe</w:t>
      </w:r>
      <w:r w:rsidRPr="00DE6136">
        <w:rPr>
          <w:sz w:val="18"/>
          <w:szCs w:val="18"/>
          <w:lang w:val="fr-FR"/>
        </w:rPr>
        <w:t xml:space="preserve"> 53</w:t>
      </w:r>
      <w:r>
        <w:rPr>
          <w:sz w:val="18"/>
          <w:szCs w:val="18"/>
          <w:lang w:val="fr-FR"/>
        </w:rPr>
        <w:t> :</w:t>
      </w:r>
      <w:r w:rsidRPr="00DE6136">
        <w:rPr>
          <w:sz w:val="18"/>
          <w:szCs w:val="18"/>
          <w:lang w:val="fr-FR"/>
        </w:rPr>
        <w:t xml:space="preserve"> “Des opportunités entièrement nouvelles pour la production de </w:t>
      </w:r>
      <w:r>
        <w:rPr>
          <w:sz w:val="18"/>
          <w:szCs w:val="18"/>
          <w:lang w:val="fr-FR"/>
        </w:rPr>
        <w:t>vanilline naturelle basée sur la biotechnologie peuvent surgir grâce à la récente identification de l’enzyme de synthèse de la vanilline</w:t>
      </w:r>
      <w:r w:rsidRPr="00DE6136">
        <w:rPr>
          <w:sz w:val="18"/>
          <w:szCs w:val="18"/>
          <w:lang w:val="fr-FR"/>
        </w:rPr>
        <w:t xml:space="preserve"> VpVAN </w:t>
      </w:r>
      <w:r>
        <w:rPr>
          <w:sz w:val="18"/>
          <w:szCs w:val="18"/>
          <w:lang w:val="fr-FR"/>
        </w:rPr>
        <w:t>provenant de l’espèce</w:t>
      </w:r>
      <w:r w:rsidRPr="00DE6136">
        <w:rPr>
          <w:sz w:val="18"/>
          <w:szCs w:val="18"/>
          <w:lang w:val="fr-FR"/>
        </w:rPr>
        <w:t xml:space="preserve"> </w:t>
      </w:r>
      <w:r w:rsidRPr="00DE6136">
        <w:rPr>
          <w:i/>
          <w:sz w:val="18"/>
          <w:szCs w:val="18"/>
          <w:lang w:val="fr-FR"/>
        </w:rPr>
        <w:t>Vanilla planifolia</w:t>
      </w:r>
      <w:r w:rsidRPr="00DE6136">
        <w:rPr>
          <w:sz w:val="18"/>
          <w:szCs w:val="18"/>
          <w:lang w:val="fr-FR"/>
        </w:rPr>
        <w:t xml:space="preserve"> et </w:t>
      </w:r>
      <w:r>
        <w:rPr>
          <w:bCs/>
          <w:sz w:val="18"/>
          <w:szCs w:val="18"/>
          <w:u w:val="single"/>
          <w:lang w:val="fr-FR"/>
        </w:rPr>
        <w:t>de glécome lierre</w:t>
      </w:r>
      <w:r w:rsidRPr="00DE6136">
        <w:rPr>
          <w:bCs/>
          <w:sz w:val="18"/>
          <w:szCs w:val="18"/>
          <w:u w:val="single"/>
          <w:lang w:val="fr-FR"/>
        </w:rPr>
        <w:t xml:space="preserve"> (</w:t>
      </w:r>
      <w:r w:rsidRPr="00DE6136">
        <w:rPr>
          <w:i/>
          <w:sz w:val="18"/>
          <w:szCs w:val="18"/>
          <w:u w:val="single"/>
          <w:lang w:val="fr-FR"/>
        </w:rPr>
        <w:t>Glechoma hederacea</w:t>
      </w:r>
      <w:r w:rsidRPr="00DE6136">
        <w:rPr>
          <w:bCs/>
          <w:sz w:val="18"/>
          <w:szCs w:val="18"/>
          <w:u w:val="single"/>
          <w:lang w:val="fr-FR"/>
        </w:rPr>
        <w:t>)</w:t>
      </w:r>
      <w:r w:rsidRPr="00DE6136">
        <w:rPr>
          <w:sz w:val="18"/>
          <w:szCs w:val="18"/>
          <w:lang w:val="fr-FR"/>
        </w:rPr>
        <w:t>” (</w:t>
      </w:r>
      <w:r>
        <w:rPr>
          <w:sz w:val="18"/>
          <w:szCs w:val="18"/>
          <w:lang w:val="fr-FR"/>
        </w:rPr>
        <w:t>effet</w:t>
      </w:r>
      <w:r w:rsidRPr="00DE6136">
        <w:rPr>
          <w:sz w:val="18"/>
          <w:szCs w:val="18"/>
          <w:lang w:val="fr-FR"/>
        </w:rPr>
        <w:t xml:space="preserve"> souligné ajouté). Voir aussi </w:t>
      </w:r>
      <w:r w:rsidRPr="00F43F79">
        <w:rPr>
          <w:sz w:val="18"/>
          <w:szCs w:val="18"/>
        </w:rPr>
        <w:fldChar w:fldCharType="begin"/>
      </w:r>
      <w:r w:rsidRPr="00DE6136">
        <w:rPr>
          <w:sz w:val="18"/>
          <w:szCs w:val="18"/>
          <w:lang w:val="fr-FR"/>
        </w:rPr>
        <w:instrText xml:space="preserve"> ADDIN ZOTERO_ITEM CSL_CITATION {"citationID":"vHidl1iy","properties":{"formattedCitation":"Prashanth Srinivasan and Christina D Smolke, \\uc0\\u8216{}Engineering a Microbial Biosynthesis Platform for de Novo Production of Tropane Alkaloids\\uc0\\u8217{} (2019) 10 Nature Communications 3634","plainCitation":"Prashanth Srinivasan and Christina D Smolke, ‘Engineering a Microbial Biosynthesis Platform for de Novo Production of Tropane Alkaloids’ (2019) 10 Nature Communications 3634","noteIndex":151,"suppress-trailing-punctuation":true},"citationItems":[{"id":572,"uris":["http://zotero.org/users/local/dU5rpCrq/items/4TJ7Z3DL"],"uri":["http://zotero.org/users/local/dU5rpCrq/items/4TJ7Z3DL"],"itemData":{"id":572,"type":"article-journal","multi":{"main":{},"_keys":{}},"abstract":"Tropane alkaloids (TAs) are a class of phytochemicals produced by plants of the nightshade family used for treating diverse neurological disorders. Here, we demonstrate de novo production of tropine, a key intermediate in the biosynthetic pathway of medicinal TAs such as scopolamine, from simple carbon and nitrogen sources in yeast (Saccharomyces cerevisiae). Our engineered strain incorporates 15 additional genes, including 11 derived from diverse plants and bacteria, and 7 disruptions to yeast regulatory or biosynthetic proteins to produce tropine at titers of 6 mg/L. We also demonstrate the utility of our engineered yeast platform for the discovery of TA derivatives by combining biosynthetic m</w:instrText>
      </w:r>
      <w:r w:rsidRPr="00F43F79">
        <w:rPr>
          <w:sz w:val="18"/>
          <w:szCs w:val="18"/>
        </w:rPr>
        <w:instrText>odules from distant plant lineages to achieve de novo production of cinnamoyltropine, a non-canonical TA. Our engineered strain constitutes a starting point for future optimization efforts towards realizing industrial fermentation of medicinal TAs and a platform for the synthesis of TA derivatives with enhanced bioactivities. Tropane alkaloids (TAs) are a group of phytochemicals that are used to treat neurological disorders. Here, the authors engineer baker’s yeast to produce tropine, a key intermediate in the biosynthetic pathway of TAs, and cinnamoyltropine, a non-canonical TA, from simple carbon and nitrogen sources.","container-title":"Nature Communications","DOI":"10.1038/s41467-019-11588-w","ISSN":"2041-1723","language":"en","note":"Tropane alkaloids (TAs) are a class of phytochemicals produced by plants of the nightshade family used for treating diverse neurological disorders. Here, we demonstrate de novo production of tropine, a key intermediate in the biosynthetic pathway of medicinal TAs such as s</w:instrText>
      </w:r>
      <w:r w:rsidRPr="000652BE">
        <w:rPr>
          <w:sz w:val="18"/>
          <w:szCs w:val="18"/>
          <w:lang w:val="fr-FR"/>
        </w:rPr>
        <w:instrText xml:space="preserve">copolamine, from simple carbon and nitrogen sources in yeast (Saccharomyces cerevisiae). Our engineered strain incorporates 15 additional genes, including 11 derived from diverse plants and bacteria, and 7 disruptions to yeast regulatory or biosynthetic proteins to produce tropine at titers of 6 mg/L. We also demonstrate the utility of our engineered yeast platform for the discovery of TA derivatives by combining biosynthetic modules from distant plant lineages to achieve de novo production of cinnamoyltropine, a non-canonical TA. Our engineered strain constitutes a starting point for future optimization efforts towards realizing industrial fermentation of medicinal TAs and a platform for the synthesis of TA derivatives with enhanced bioactivities. Tropane alkaloids (TAs) are a group of phytochemicals that are used to treat neurological disorders. Here, the authors engineer baker’s yeast to produce tropine, a key intermediate in the biosynthetic pathway of TAs, and cinnamoyltropine, a non-canonical TA, from simple carbon and nitrogen sources.","page":"3634","source":"www.nature.com","title":"Engineering a microbial biosynthesis platform for de novo production of tropane alkaloids","volume":"10","author":[{"family":"Srinivasan","given":"Prashanth","multi":{"_key":{}}},{"family":"Smolke","given":"Christina D.","multi":{"_key":{}}}],"issued":{"date-parts":[["2019",12,8]]},"seeAlso":[]}}],"schema":"https://github.com/citation-style-language/schema/raw/master/csl-citation.json"} </w:instrText>
      </w:r>
      <w:r w:rsidRPr="00F43F79">
        <w:rPr>
          <w:sz w:val="18"/>
          <w:szCs w:val="18"/>
        </w:rPr>
        <w:fldChar w:fldCharType="separate"/>
      </w:r>
      <w:r w:rsidRPr="000652BE">
        <w:rPr>
          <w:sz w:val="18"/>
          <w:szCs w:val="18"/>
          <w:lang w:val="fr-FR"/>
        </w:rPr>
        <w:t>Prashanth Srinivasan et Christina D Smolke, ‘Engineering a Microbial Biosynthesis Platform for de Novo Production of Tropane Alkaloids’ (2019) 10 Nature Communications 3634</w:t>
      </w:r>
      <w:r w:rsidRPr="00F43F79">
        <w:rPr>
          <w:sz w:val="18"/>
          <w:szCs w:val="18"/>
        </w:rPr>
        <w:fldChar w:fldCharType="end"/>
      </w:r>
      <w:r w:rsidRPr="000652BE">
        <w:rPr>
          <w:sz w:val="18"/>
          <w:szCs w:val="18"/>
          <w:lang w:val="fr-FR"/>
        </w:rPr>
        <w:t>, qui décrit “une production de novo de tr</w:t>
      </w:r>
      <w:r>
        <w:rPr>
          <w:sz w:val="18"/>
          <w:szCs w:val="18"/>
          <w:lang w:val="fr-FR"/>
        </w:rPr>
        <w:t>opine, un intermédiaire essentie</w:t>
      </w:r>
      <w:r w:rsidRPr="000652BE">
        <w:rPr>
          <w:sz w:val="18"/>
          <w:szCs w:val="18"/>
          <w:lang w:val="fr-FR"/>
        </w:rPr>
        <w:t>l dans</w:t>
      </w:r>
      <w:r>
        <w:rPr>
          <w:sz w:val="18"/>
          <w:szCs w:val="18"/>
          <w:lang w:val="fr-FR"/>
        </w:rPr>
        <w:t xml:space="preserve"> la </w:t>
      </w:r>
      <w:r w:rsidRPr="000652BE">
        <w:rPr>
          <w:sz w:val="18"/>
          <w:szCs w:val="18"/>
          <w:lang w:val="fr-FR"/>
        </w:rPr>
        <w:t>voie de synthèse biologique</w:t>
      </w:r>
      <w:r>
        <w:rPr>
          <w:sz w:val="18"/>
          <w:szCs w:val="18"/>
          <w:lang w:val="fr-FR"/>
        </w:rPr>
        <w:t xml:space="preserve"> d’alcaloïdes médicinaux de Tropine, </w:t>
      </w:r>
      <w:r w:rsidRPr="000652BE">
        <w:rPr>
          <w:sz w:val="18"/>
          <w:szCs w:val="18"/>
          <w:lang w:val="fr-FR"/>
        </w:rPr>
        <w:t xml:space="preserve">tels que </w:t>
      </w:r>
      <w:r>
        <w:rPr>
          <w:sz w:val="18"/>
          <w:szCs w:val="18"/>
          <w:lang w:val="fr-FR"/>
        </w:rPr>
        <w:t xml:space="preserve">la </w:t>
      </w:r>
      <w:r w:rsidRPr="000652BE">
        <w:rPr>
          <w:sz w:val="18"/>
          <w:szCs w:val="18"/>
          <w:lang w:val="fr-FR"/>
        </w:rPr>
        <w:t xml:space="preserve">scopolamine, </w:t>
      </w:r>
      <w:r>
        <w:rPr>
          <w:sz w:val="18"/>
          <w:szCs w:val="18"/>
          <w:lang w:val="fr-FR"/>
        </w:rPr>
        <w:t xml:space="preserve">provenant de simples sources de </w:t>
      </w:r>
      <w:r w:rsidRPr="000652BE">
        <w:rPr>
          <w:sz w:val="18"/>
          <w:szCs w:val="18"/>
          <w:lang w:val="fr-FR"/>
        </w:rPr>
        <w:t>carbon</w:t>
      </w:r>
      <w:r>
        <w:rPr>
          <w:sz w:val="18"/>
          <w:szCs w:val="18"/>
          <w:lang w:val="fr-FR"/>
        </w:rPr>
        <w:t>e</w:t>
      </w:r>
      <w:r w:rsidRPr="000652BE">
        <w:rPr>
          <w:sz w:val="18"/>
          <w:szCs w:val="18"/>
          <w:lang w:val="fr-FR"/>
        </w:rPr>
        <w:t xml:space="preserve"> et </w:t>
      </w:r>
      <w:r>
        <w:rPr>
          <w:sz w:val="18"/>
          <w:szCs w:val="18"/>
          <w:lang w:val="fr-FR"/>
        </w:rPr>
        <w:t>d’azote présents dans la levure</w:t>
      </w:r>
      <w:r w:rsidRPr="000652BE">
        <w:rPr>
          <w:sz w:val="18"/>
          <w:szCs w:val="18"/>
          <w:lang w:val="fr-FR"/>
        </w:rPr>
        <w:t xml:space="preserve"> (Saccharomyces cerevisiae). </w:t>
      </w:r>
      <w:r>
        <w:rPr>
          <w:sz w:val="18"/>
          <w:szCs w:val="18"/>
          <w:lang w:val="fr-FR"/>
        </w:rPr>
        <w:t xml:space="preserve">Notre lignée produite par ingénierie intègre 15 </w:t>
      </w:r>
      <w:r w:rsidRPr="000652BE">
        <w:rPr>
          <w:sz w:val="18"/>
          <w:szCs w:val="18"/>
          <w:lang w:val="fr-FR"/>
        </w:rPr>
        <w:t>gènes</w:t>
      </w:r>
      <w:r>
        <w:rPr>
          <w:sz w:val="18"/>
          <w:szCs w:val="18"/>
          <w:lang w:val="fr-FR"/>
        </w:rPr>
        <w:t xml:space="preserve"> supplémentaires</w:t>
      </w:r>
      <w:r w:rsidRPr="000652BE">
        <w:rPr>
          <w:sz w:val="18"/>
          <w:szCs w:val="18"/>
          <w:lang w:val="fr-FR"/>
        </w:rPr>
        <w:t xml:space="preserve">, </w:t>
      </w:r>
      <w:r>
        <w:rPr>
          <w:sz w:val="18"/>
          <w:szCs w:val="18"/>
          <w:lang w:val="fr-FR"/>
        </w:rPr>
        <w:t>dont</w:t>
      </w:r>
      <w:r w:rsidRPr="000652BE">
        <w:rPr>
          <w:sz w:val="18"/>
          <w:szCs w:val="18"/>
          <w:lang w:val="fr-FR"/>
        </w:rPr>
        <w:t xml:space="preserve"> 11 </w:t>
      </w:r>
      <w:r>
        <w:rPr>
          <w:sz w:val="18"/>
          <w:szCs w:val="18"/>
          <w:lang w:val="fr-FR"/>
        </w:rPr>
        <w:t xml:space="preserve">sont dérivés de différentes </w:t>
      </w:r>
      <w:r w:rsidRPr="000652BE">
        <w:rPr>
          <w:sz w:val="18"/>
          <w:szCs w:val="18"/>
          <w:lang w:val="fr-FR"/>
        </w:rPr>
        <w:t xml:space="preserve">plantes et </w:t>
      </w:r>
      <w:r>
        <w:rPr>
          <w:sz w:val="18"/>
          <w:szCs w:val="18"/>
          <w:lang w:val="fr-FR"/>
        </w:rPr>
        <w:t>bactéries”</w:t>
      </w:r>
      <w:r w:rsidRPr="000652BE">
        <w:rPr>
          <w:sz w:val="18"/>
          <w:szCs w:val="18"/>
          <w:lang w:val="fr-FR"/>
        </w:rPr>
        <w:t>.</w:t>
      </w:r>
    </w:p>
  </w:footnote>
  <w:footnote w:id="156">
    <w:p w14:paraId="2D16FECE" w14:textId="46E5008E" w:rsidR="008A77A6" w:rsidRPr="00F43F79" w:rsidRDefault="008A77A6" w:rsidP="00F43F79">
      <w:pPr>
        <w:spacing w:before="20" w:after="20"/>
        <w:ind w:left="284" w:hanging="288"/>
        <w:rPr>
          <w:rFonts w:cs="Times New Roman"/>
          <w:sz w:val="18"/>
          <w:szCs w:val="18"/>
        </w:rPr>
      </w:pPr>
      <w:r w:rsidRPr="00F43F79">
        <w:rPr>
          <w:rStyle w:val="FootnoteReference"/>
          <w:rFonts w:cs="Times New Roman"/>
          <w:sz w:val="18"/>
          <w:szCs w:val="18"/>
        </w:rPr>
        <w:footnoteRef/>
      </w:r>
      <w:r w:rsidRPr="00F43F79">
        <w:rPr>
          <w:rFonts w:cs="Times New Roman"/>
          <w:sz w:val="18"/>
          <w:szCs w:val="18"/>
        </w:rPr>
        <w:t xml:space="preserve"> </w:t>
      </w:r>
      <w:r w:rsidRPr="00F43F79">
        <w:rPr>
          <w:rFonts w:cs="Times New Roman"/>
          <w:sz w:val="18"/>
          <w:szCs w:val="18"/>
        </w:rPr>
        <w:fldChar w:fldCharType="begin"/>
      </w:r>
      <w:r w:rsidRPr="00F43F79">
        <w:rPr>
          <w:rFonts w:cs="Times New Roman"/>
          <w:sz w:val="18"/>
          <w:szCs w:val="18"/>
        </w:rPr>
        <w:instrText xml:space="preserve"> ADDIN ZOTERO_ITEM CSL_CITATION {"citationID":"Uhe42Zis","properties":{"formattedCitation":"Tae Seok Moon and others, \\uc0\\u8216{}Production of Glucaric Acid from a Synthetic Pathway in Recombinant Escherichia Coli\\uc0\\u8217{} (2009) 75 Applied and Environmental Microbiology 589.","plainCitation":"Tae Seok Moon and others, ‘Production of Glucaric Acid from a Synthetic Pathway in Recombinant Escherichia Coli’ (2009) 75 Applied and Environmental Microbiology 589.","noteIndex":152},"citationItems":[{"id":575,"uris":["http://zotero.org/users/local/dU5rpCrq/items/3APQJL65"],"uri":["http://zotero.org/users/local/dU5rpCrq/items/3APQJL65"],"itemData":{"id":575,"type":"article-journal","multi":{"main":{},"_keys":{}},"abstract":"A synthetic pathway has been constructed for the production of glucuronic and glucaric acids from glucose in Escherichia coli. Coexpression of the genes encoding myo-inositol-1-phosphate synthase (Ino1) from Saccharomyces cerevisiae and myo-inositol oxygenase (MIOX) from mice led to production of glucuronic acid through the intermediate myo-inositol. Glucuronic acid concentrations up to 0.3 g/liter were measured in the culture broth. The activity of MIOX was rate limiting, resulting in the accumulation of both myo-inositol and glucuronic acid as final products, in approximately equal concentrations. Inclusion of a third enzyme, uronate dehydrogenase (Udh) from Pseudomonas syringae, facilitated the conversion of glucuronic acid to glucaric acid. The activity of this recombinant enzyme was more than 2 orders of magnitude higher than that of Ino1 and MIOX and increased overall flux through the pathway such that glucaric acid concentrations in excess of 1 g/liter were observed. This represents a novel microbial system for the biological production of glucaric acid, a \"top value-added chemical\" from biomass.","container-title":"Applied and Environmental Microbiology","DOI":"10.1128/AEM.00973-08","ISSN":"1098-5336","issue":"3","language":"eng","note":"PMID: 19060162\nPMCID: PMC2632142","page":"589-595","source":"PubMed","title":"Production of glucaric acid from a synthetic pathway in recombinant Escherichia coli","volume":"75","author":[{"family":"Moon","given":"Tae Seok","multi":{"_key":{}}},{"family":"Yoon","given":"Sang-Hwal","multi":{"_key":{}}},{"family":"Lanza","given":"Amanda M.","multi":{"_key":{}}},{"family":"Roy-Mayhew","given":"Joseph D.","multi":{"_key":{}}},{"family":"Prather","given":"Kristala L. Jones","multi":{"_key":{}}}],"issued":{"date-parts":[["2009",2]]},"seeAlso":[]}}],"schema":"https://github.com/citation-style-language/schema/raw/master/csl-citation.json"} </w:instrText>
      </w:r>
      <w:r w:rsidRPr="00F43F79">
        <w:rPr>
          <w:rFonts w:cs="Times New Roman"/>
          <w:sz w:val="18"/>
          <w:szCs w:val="18"/>
        </w:rPr>
        <w:fldChar w:fldCharType="separate"/>
      </w:r>
      <w:r w:rsidRPr="00F43F79">
        <w:rPr>
          <w:rFonts w:cs="Times New Roman"/>
          <w:sz w:val="18"/>
          <w:szCs w:val="18"/>
        </w:rPr>
        <w:t>Tae Seok Moon</w:t>
      </w:r>
      <w:r>
        <w:rPr>
          <w:rFonts w:cs="Times New Roman"/>
          <w:sz w:val="18"/>
          <w:szCs w:val="18"/>
        </w:rPr>
        <w:t xml:space="preserve"> et al.</w:t>
      </w:r>
      <w:r w:rsidRPr="00F43F79">
        <w:rPr>
          <w:rFonts w:cs="Times New Roman"/>
          <w:sz w:val="18"/>
          <w:szCs w:val="18"/>
        </w:rPr>
        <w:t>, ‘</w:t>
      </w:r>
      <w:r>
        <w:rPr>
          <w:rFonts w:cs="Times New Roman"/>
          <w:sz w:val="18"/>
          <w:szCs w:val="18"/>
        </w:rPr>
        <w:t>Production of Glucaric Acid</w:t>
      </w:r>
      <w:r w:rsidRPr="00F43F79">
        <w:rPr>
          <w:rFonts w:cs="Times New Roman"/>
          <w:sz w:val="18"/>
          <w:szCs w:val="18"/>
        </w:rPr>
        <w:t xml:space="preserve"> from a Synthetic Pathway in Recombinant Escherichia Coli’ (2009) 75 Applied</w:t>
      </w:r>
      <w:r>
        <w:rPr>
          <w:rFonts w:cs="Times New Roman"/>
          <w:sz w:val="18"/>
          <w:szCs w:val="18"/>
        </w:rPr>
        <w:t xml:space="preserve"> and </w:t>
      </w:r>
      <w:r w:rsidRPr="00F43F79">
        <w:rPr>
          <w:rFonts w:cs="Times New Roman"/>
          <w:sz w:val="18"/>
          <w:szCs w:val="18"/>
        </w:rPr>
        <w:t>Environmental Microbiology 589.</w:t>
      </w:r>
      <w:r w:rsidRPr="00F43F79">
        <w:rPr>
          <w:rFonts w:cs="Times New Roman"/>
          <w:sz w:val="18"/>
          <w:szCs w:val="18"/>
        </w:rPr>
        <w:fldChar w:fldCharType="end"/>
      </w:r>
    </w:p>
  </w:footnote>
  <w:footnote w:id="157">
    <w:p w14:paraId="6639EDBD" w14:textId="41809376" w:rsidR="008A77A6" w:rsidRPr="00F43F79" w:rsidRDefault="008A77A6" w:rsidP="00F43F79">
      <w:pPr>
        <w:pStyle w:val="FootnoteText"/>
        <w:spacing w:before="20" w:after="20"/>
        <w:ind w:left="284" w:hanging="288"/>
        <w:rPr>
          <w:sz w:val="18"/>
          <w:szCs w:val="18"/>
          <w:lang w:val="es-PE"/>
        </w:rPr>
      </w:pPr>
      <w:r w:rsidRPr="00F43F79">
        <w:rPr>
          <w:rStyle w:val="FootnoteReference"/>
          <w:sz w:val="18"/>
          <w:szCs w:val="18"/>
        </w:rPr>
        <w:footnoteRef/>
      </w:r>
      <w:r w:rsidRPr="00F43F79">
        <w:rPr>
          <w:sz w:val="18"/>
          <w:szCs w:val="18"/>
          <w:lang w:val="es-PE"/>
        </w:rPr>
        <w:t xml:space="preserve"> </w:t>
      </w:r>
      <w:r w:rsidRPr="00F43F79">
        <w:rPr>
          <w:sz w:val="18"/>
          <w:szCs w:val="18"/>
        </w:rPr>
        <w:fldChar w:fldCharType="begin"/>
      </w:r>
      <w:r w:rsidRPr="00F43F79">
        <w:rPr>
          <w:sz w:val="18"/>
          <w:szCs w:val="18"/>
          <w:lang w:val="es-PE"/>
        </w:rPr>
        <w:instrText xml:space="preserve"> ADDIN ZOTERO_ITEM CSL_CITATION {"citationID":"xG09x488","properties":{"formattedCitation":"ibid.","plainCitation":"ibid.","noteIndex":153},"citationItems":[{"id":575,"uris":["http://zotero.org/users/local/dU5rpCrq/items/3APQJL65"],"uri":["http://zotero.org/users/local/dU5rpCrq/items/3APQJL65"],"itemData":{"id":575,"type":"article-journal","multi":{"main":{},"_keys":{}},"abstract":"A synthetic pathway has been constructed for the production of glucuronic and glucaric acids from glucose in Escherichia coli. Coexpression of the genes encoding myo-inositol-1-phosphate synthase (Ino1) from Saccharomyces cerevisiae and myo-inositol oxygenase (MIOX) from mice led to production of glucuronic acid through the intermediate myo-inositol. Glucuronic acid concentrations up to 0.3 g/liter were measured in the culture broth. The activity of MIOX was rate limiting, resulting in the accumulation of both myo-inositol and glucuronic acid as final products, in approximately equal concentrations. Inclusion of a third enzyme, uronate dehydrogenase (Udh) from Pseudomonas syringae, facilitated the conversion of glucuronic acid to glucaric acid. The activity of this recombinant enzyme was more than 2 orders of magnitude higher than that of Ino1 and MIOX and increased overall flux through the pathway such that glucaric acid concentrations in excess of 1 g/liter were observed. This represents a novel microbial system for the biological production of glucaric acid, a \"top value-added chemical\" from biomass.","container-title":"Applied and Environmental Microbiology","DOI":"10.1128/AEM.00973-08","ISSN":"1098-5336","issue":"3","language":"eng","note":"PMID: 19060162\nPMCID: PMC2632142","page":"589-595","source":"PubMed","title":"Production of glucaric acid from a synthetic pathway in recombinant Escherichia coli","volume":"75","author":[{"family":"Moon","given":"Tae Seok","multi":{"_key":{}}},{"family":"Yoon","given":"Sang-Hwal","multi":{"_key":{}}},{"family":"Lanza","given":"Amanda M.","multi":{"_key":{}}},{"family":"Roy-Mayhew","given":"Joseph D.","multi":{"_key":{}}},{"family":"Prather","given":"Kristala L. Jones","multi":{"_key":{}}}],"issued":{"date-parts":[["2009",2]]},"seeAlso":[]}}],"schema":"https://github.com/citation-style-language/schema/raw/master/csl-citation.json"} </w:instrText>
      </w:r>
      <w:r w:rsidRPr="00F43F79">
        <w:rPr>
          <w:sz w:val="18"/>
          <w:szCs w:val="18"/>
        </w:rPr>
        <w:fldChar w:fldCharType="separate"/>
      </w:r>
      <w:r>
        <w:rPr>
          <w:sz w:val="18"/>
          <w:szCs w:val="18"/>
          <w:lang w:val="es-PE"/>
        </w:rPr>
        <w:t>I</w:t>
      </w:r>
      <w:r w:rsidRPr="00F43F79">
        <w:rPr>
          <w:sz w:val="18"/>
          <w:szCs w:val="18"/>
          <w:lang w:val="es-PE"/>
        </w:rPr>
        <w:t>bid.</w:t>
      </w:r>
      <w:r w:rsidRPr="00F43F79">
        <w:rPr>
          <w:sz w:val="18"/>
          <w:szCs w:val="18"/>
        </w:rPr>
        <w:fldChar w:fldCharType="end"/>
      </w:r>
    </w:p>
  </w:footnote>
  <w:footnote w:id="158">
    <w:p w14:paraId="594FDDF4" w14:textId="5F228145" w:rsidR="008A77A6" w:rsidRPr="00F43F79" w:rsidRDefault="008A77A6" w:rsidP="00F43F79">
      <w:pPr>
        <w:pStyle w:val="FootnoteText"/>
        <w:spacing w:before="20" w:after="20"/>
        <w:ind w:left="284" w:hanging="288"/>
        <w:rPr>
          <w:sz w:val="18"/>
          <w:szCs w:val="18"/>
          <w:lang w:val="es-PE"/>
        </w:rPr>
      </w:pPr>
      <w:r w:rsidRPr="00F43F79">
        <w:rPr>
          <w:rStyle w:val="FootnoteReference"/>
          <w:sz w:val="18"/>
          <w:szCs w:val="18"/>
        </w:rPr>
        <w:footnoteRef/>
      </w:r>
      <w:r w:rsidRPr="00F43F79">
        <w:rPr>
          <w:sz w:val="18"/>
          <w:szCs w:val="18"/>
          <w:lang w:val="es-PE"/>
        </w:rPr>
        <w:t xml:space="preserve"> </w:t>
      </w:r>
      <w:r w:rsidRPr="00F43F79">
        <w:rPr>
          <w:sz w:val="18"/>
          <w:szCs w:val="18"/>
        </w:rPr>
        <w:fldChar w:fldCharType="begin"/>
      </w:r>
      <w:r w:rsidRPr="00F43F79">
        <w:rPr>
          <w:sz w:val="18"/>
          <w:szCs w:val="18"/>
          <w:lang w:val="es-PE"/>
        </w:rPr>
        <w:instrText xml:space="preserve"> ADDIN ZOTERO_ITEM CSL_CITATION {"citationID":"iPPNWfVs","properties":{"formattedCitation":"ibid.","plainCitation":"ibid.","noteIndex":154},"citationItems":[{"id":575,"uris":["http://zotero.org/users/local/dU5rpCrq/items/3APQJL65"],"uri":["http://zotero.org/users/local/dU5rpCrq/items/3APQJL65"],"itemData":{"id":575,"type":"article-journal","multi":{"main":{},"_keys":{}},"abstract":"A synthetic pathway has been constructed for the production of glucuronic and glucaric acids from glucose in Escherichia coli. Coexpression of the genes encoding myo-inositol-1-phosphate synthase (Ino1) from Saccharomyces cerevisiae and myo-inositol oxygenase (MIOX) from mice led to production of glucuronic acid through the intermediate myo-inositol. Glucuronic acid concentrations up to 0.3 g/liter were measured in the culture broth. The activity of MIOX was rate limiting, resulting in the accumulation of both myo-inositol and glucuronic acid as final products, in approximately equal concentrations. Inclusion of a third enzyme, uronate dehydrogenase (Udh) from Pseudomonas syringae, facilitated the conversion of glucuronic acid to glucaric acid. The activity of this recombinant enzyme was more than 2 orders of magnitude higher than that of Ino1 and MIOX and increased overall flux through the pathway such that glucaric acid concentrations in excess of 1 g/liter were observed. This represents a novel microbial system for the biological production of glucaric acid, a \"top value-added chemical\" from biomass.","container-title":"Applied and Environmental Microbiology","DOI":"10.1128/AEM.00973-08","ISSN":"1098-5336","issue":"3","language":"eng","note":"PMID: 19060162\nPMCID: PMC2632142","page":"589-595","source":"PubMed","title":"Production of glucaric acid from a synthetic pathway in recombinant Escherichia coli","volume":"75","author":[{"family":"Moon","given":"Tae Seok","multi":{"_key":{}}},{"family":"Yoon","given":"Sang-Hwal","multi":{"_key":{}}},{"family":"Lanza","given":"Amanda M.","multi":{"_key":{}}},{"family":"Roy-Mayhew","given":"Joseph D.","multi":{"_key":{}}},{"family":"Prather","given":"Kristala L. Jones","multi":{"_key":{}}}],"issued":{"date-parts":[["2009",2]]},"seeAlso":[]}}],"schema":"https://github.com/citation-style-language/schema/raw/master/csl-citation.json"} </w:instrText>
      </w:r>
      <w:r w:rsidRPr="00F43F79">
        <w:rPr>
          <w:sz w:val="18"/>
          <w:szCs w:val="18"/>
        </w:rPr>
        <w:fldChar w:fldCharType="separate"/>
      </w:r>
      <w:r>
        <w:rPr>
          <w:sz w:val="18"/>
          <w:szCs w:val="18"/>
          <w:lang w:val="es-PE"/>
        </w:rPr>
        <w:t>I</w:t>
      </w:r>
      <w:r w:rsidRPr="00F43F79">
        <w:rPr>
          <w:sz w:val="18"/>
          <w:szCs w:val="18"/>
          <w:lang w:val="es-PE"/>
        </w:rPr>
        <w:t>bid.</w:t>
      </w:r>
      <w:r w:rsidRPr="00F43F79">
        <w:rPr>
          <w:sz w:val="18"/>
          <w:szCs w:val="18"/>
        </w:rPr>
        <w:fldChar w:fldCharType="end"/>
      </w:r>
      <w:r w:rsidRPr="00F43F79">
        <w:rPr>
          <w:sz w:val="18"/>
          <w:szCs w:val="18"/>
          <w:lang w:val="es-PE"/>
        </w:rPr>
        <w:t xml:space="preserve"> </w:t>
      </w:r>
      <w:r>
        <w:rPr>
          <w:sz w:val="18"/>
          <w:szCs w:val="18"/>
          <w:lang w:val="es-PE"/>
        </w:rPr>
        <w:t>Les auteurs expliquent</w:t>
      </w:r>
      <w:r w:rsidRPr="00F43F79">
        <w:rPr>
          <w:sz w:val="18"/>
          <w:szCs w:val="18"/>
          <w:lang w:val="es-PE"/>
        </w:rPr>
        <w:t>:</w:t>
      </w:r>
    </w:p>
    <w:p w14:paraId="576261BF" w14:textId="3B7C29D1" w:rsidR="008A77A6" w:rsidRPr="00B71A60" w:rsidRDefault="008A77A6" w:rsidP="00F43F79">
      <w:pPr>
        <w:pStyle w:val="FootnoteText"/>
        <w:spacing w:before="20" w:after="20"/>
        <w:ind w:left="284" w:right="720" w:hanging="288"/>
        <w:rPr>
          <w:sz w:val="18"/>
          <w:szCs w:val="18"/>
          <w:lang w:val="fr-FR"/>
        </w:rPr>
      </w:pPr>
      <w:r w:rsidRPr="00F43F79">
        <w:rPr>
          <w:sz w:val="18"/>
          <w:szCs w:val="18"/>
          <w:lang w:val="es-PE"/>
        </w:rPr>
        <w:t xml:space="preserve"> </w:t>
      </w:r>
      <w:r>
        <w:rPr>
          <w:sz w:val="18"/>
          <w:szCs w:val="18"/>
          <w:lang w:val="es-PE"/>
        </w:rPr>
        <w:t>“</w:t>
      </w:r>
      <w:r w:rsidRPr="00B71A60">
        <w:rPr>
          <w:sz w:val="18"/>
          <w:szCs w:val="18"/>
          <w:lang w:val="es-PE"/>
        </w:rPr>
        <w:t xml:space="preserve">L’utilisation… [Ino1] de Saccharomyces cerevisiae pour produire des concentrations </w:t>
      </w:r>
      <w:r>
        <w:rPr>
          <w:sz w:val="18"/>
          <w:szCs w:val="18"/>
          <w:lang w:val="es-PE"/>
        </w:rPr>
        <w:t xml:space="preserve">élevées de </w:t>
      </w:r>
      <w:r w:rsidRPr="00B71A60">
        <w:rPr>
          <w:sz w:val="18"/>
          <w:szCs w:val="18"/>
          <w:lang w:val="es-PE"/>
        </w:rPr>
        <w:t xml:space="preserve">myo-inositol </w:t>
      </w:r>
      <w:r>
        <w:rPr>
          <w:sz w:val="18"/>
          <w:szCs w:val="18"/>
          <w:lang w:val="es-PE"/>
        </w:rPr>
        <w:t>obtenu par fermentation</w:t>
      </w:r>
      <w:r w:rsidRPr="00B71A60">
        <w:rPr>
          <w:sz w:val="18"/>
          <w:szCs w:val="18"/>
          <w:lang w:val="es-PE"/>
        </w:rPr>
        <w:t xml:space="preserve"> </w:t>
      </w:r>
      <w:r>
        <w:rPr>
          <w:sz w:val="18"/>
          <w:szCs w:val="18"/>
          <w:lang w:val="es-PE"/>
        </w:rPr>
        <w:t>d’E. coli [a</w:t>
      </w:r>
      <w:r w:rsidRPr="00B71A60">
        <w:rPr>
          <w:sz w:val="18"/>
          <w:szCs w:val="18"/>
          <w:lang w:val="es-PE"/>
        </w:rPr>
        <w:t xml:space="preserve">] </w:t>
      </w:r>
      <w:r>
        <w:rPr>
          <w:sz w:val="18"/>
          <w:szCs w:val="18"/>
          <w:lang w:val="es-PE"/>
        </w:rPr>
        <w:t>été signalée par le passé</w:t>
      </w:r>
      <w:r w:rsidRPr="00B71A60">
        <w:rPr>
          <w:sz w:val="18"/>
          <w:szCs w:val="18"/>
          <w:lang w:val="es-PE"/>
        </w:rPr>
        <w:t>…. MIO</w:t>
      </w:r>
      <w:r>
        <w:rPr>
          <w:sz w:val="18"/>
          <w:szCs w:val="18"/>
          <w:lang w:val="es-PE"/>
        </w:rPr>
        <w:t>X est une protéine d’origine euc</w:t>
      </w:r>
      <w:r w:rsidRPr="00B71A60">
        <w:rPr>
          <w:sz w:val="18"/>
          <w:szCs w:val="18"/>
          <w:lang w:val="es-PE"/>
        </w:rPr>
        <w:t xml:space="preserve">aryote principalement, et </w:t>
      </w:r>
      <w:r>
        <w:rPr>
          <w:sz w:val="18"/>
          <w:szCs w:val="18"/>
          <w:lang w:val="es-PE"/>
        </w:rPr>
        <w:t xml:space="preserve">des gènes </w:t>
      </w:r>
      <w:r w:rsidRPr="00B71A60">
        <w:rPr>
          <w:sz w:val="18"/>
          <w:szCs w:val="18"/>
          <w:lang w:val="es-PE"/>
        </w:rPr>
        <w:t>homologues</w:t>
      </w:r>
      <w:r>
        <w:rPr>
          <w:sz w:val="18"/>
          <w:szCs w:val="18"/>
          <w:lang w:val="es-PE"/>
        </w:rPr>
        <w:t xml:space="preserve"> provenant d’êtres humains, de souris, rats</w:t>
      </w:r>
      <w:r w:rsidRPr="00B71A60">
        <w:rPr>
          <w:sz w:val="18"/>
          <w:szCs w:val="18"/>
          <w:lang w:val="es-PE"/>
        </w:rPr>
        <w:t xml:space="preserve"> et </w:t>
      </w:r>
      <w:r>
        <w:rPr>
          <w:sz w:val="18"/>
          <w:szCs w:val="18"/>
          <w:lang w:val="es-PE"/>
        </w:rPr>
        <w:t>cochon</w:t>
      </w:r>
      <w:r w:rsidRPr="00B71A60">
        <w:rPr>
          <w:sz w:val="18"/>
          <w:szCs w:val="18"/>
          <w:lang w:val="es-PE"/>
        </w:rPr>
        <w:t xml:space="preserve">s </w:t>
      </w:r>
      <w:r>
        <w:rPr>
          <w:sz w:val="18"/>
          <w:szCs w:val="18"/>
          <w:lang w:val="es-PE"/>
        </w:rPr>
        <w:t>sont ceux qui ont été le mieux caractérisés</w:t>
      </w:r>
      <w:r w:rsidRPr="00B71A60">
        <w:rPr>
          <w:sz w:val="18"/>
          <w:szCs w:val="18"/>
          <w:lang w:val="es-PE"/>
        </w:rPr>
        <w:t xml:space="preserve">. </w:t>
      </w:r>
      <w:r w:rsidRPr="00B71A60">
        <w:rPr>
          <w:sz w:val="18"/>
          <w:szCs w:val="18"/>
          <w:lang w:val="fr-FR"/>
        </w:rPr>
        <w:t>La version souris</w:t>
      </w:r>
      <w:r>
        <w:rPr>
          <w:sz w:val="18"/>
          <w:szCs w:val="18"/>
          <w:lang w:val="fr-FR"/>
        </w:rPr>
        <w:t xml:space="preserve"> de [MIOX] a été celle aux</w:t>
      </w:r>
      <w:r w:rsidRPr="00B71A60">
        <w:rPr>
          <w:sz w:val="18"/>
          <w:szCs w:val="18"/>
          <w:lang w:val="fr-FR"/>
        </w:rPr>
        <w:t xml:space="preserve"> propriétés les plus favorables</w:t>
      </w:r>
      <w:r>
        <w:rPr>
          <w:sz w:val="18"/>
          <w:szCs w:val="18"/>
          <w:lang w:val="fr-FR"/>
        </w:rPr>
        <w:t xml:space="preserve"> pour une expression dans</w:t>
      </w:r>
      <w:r w:rsidRPr="00B71A60">
        <w:rPr>
          <w:sz w:val="18"/>
          <w:szCs w:val="18"/>
          <w:lang w:val="fr-FR"/>
        </w:rPr>
        <w:t xml:space="preserve"> E. coli et</w:t>
      </w:r>
      <w:r>
        <w:rPr>
          <w:sz w:val="18"/>
          <w:szCs w:val="18"/>
          <w:lang w:val="fr-FR"/>
        </w:rPr>
        <w:t xml:space="preserve"> a été choisie pour l’étude</w:t>
      </w:r>
      <w:r w:rsidRPr="00B71A60">
        <w:rPr>
          <w:sz w:val="18"/>
          <w:szCs w:val="18"/>
          <w:lang w:val="fr-FR"/>
        </w:rPr>
        <w:t xml:space="preserve">. Une version synthétique du gène </w:t>
      </w:r>
      <w:r>
        <w:rPr>
          <w:sz w:val="18"/>
          <w:szCs w:val="18"/>
          <w:lang w:val="fr-FR"/>
        </w:rPr>
        <w:t>a été achetée dans</w:t>
      </w:r>
      <w:r w:rsidRPr="00B71A60">
        <w:rPr>
          <w:sz w:val="18"/>
          <w:szCs w:val="18"/>
          <w:lang w:val="fr-FR"/>
        </w:rPr>
        <w:t xml:space="preserve"> ADN 2.0, avec </w:t>
      </w:r>
      <w:r>
        <w:rPr>
          <w:sz w:val="18"/>
          <w:szCs w:val="18"/>
          <w:lang w:val="fr-FR"/>
        </w:rPr>
        <w:t>une optimisation codon pour</w:t>
      </w:r>
      <w:r w:rsidRPr="00B71A60">
        <w:rPr>
          <w:sz w:val="18"/>
          <w:szCs w:val="18"/>
          <w:lang w:val="fr-FR"/>
        </w:rPr>
        <w:t xml:space="preserve"> E. coli…. </w:t>
      </w:r>
      <w:r>
        <w:rPr>
          <w:sz w:val="18"/>
          <w:szCs w:val="18"/>
          <w:lang w:val="fr-FR"/>
        </w:rPr>
        <w:t>Nous avons récemment cloné et caractérisé le gène encodant l’activité udh à partir de l’espèce de tomate Pseudomonas syringae pv.</w:t>
      </w:r>
      <w:r w:rsidRPr="00B71A60">
        <w:rPr>
          <w:sz w:val="18"/>
          <w:szCs w:val="18"/>
          <w:lang w:val="fr-FR"/>
        </w:rPr>
        <w:t xml:space="preserve"> DC3000. Nous avons trouv</w:t>
      </w:r>
      <w:r>
        <w:rPr>
          <w:sz w:val="18"/>
          <w:szCs w:val="18"/>
          <w:lang w:val="fr-FR"/>
        </w:rPr>
        <w:t>é que le gène</w:t>
      </w:r>
      <w:r w:rsidRPr="00B71A60">
        <w:rPr>
          <w:sz w:val="18"/>
          <w:szCs w:val="18"/>
          <w:lang w:val="fr-FR"/>
        </w:rPr>
        <w:t xml:space="preserve"> udh était tr</w:t>
      </w:r>
      <w:r>
        <w:rPr>
          <w:sz w:val="18"/>
          <w:szCs w:val="18"/>
          <w:lang w:val="fr-FR"/>
        </w:rPr>
        <w:t>ès bien exprimé dans E. coli, résultant en une forte activité enzymatique</w:t>
      </w:r>
      <w:r w:rsidRPr="00B71A60">
        <w:rPr>
          <w:sz w:val="18"/>
          <w:szCs w:val="18"/>
          <w:lang w:val="fr-FR"/>
        </w:rPr>
        <w:t>.” L</w:t>
      </w:r>
      <w:r>
        <w:rPr>
          <w:sz w:val="18"/>
          <w:szCs w:val="18"/>
          <w:lang w:val="fr-FR"/>
        </w:rPr>
        <w:t xml:space="preserve">a première caractérisation des enzymes a nécessité du </w:t>
      </w:r>
      <w:r w:rsidRPr="00B71A60">
        <w:rPr>
          <w:sz w:val="18"/>
          <w:szCs w:val="18"/>
          <w:lang w:val="fr-FR"/>
        </w:rPr>
        <w:t>matériel</w:t>
      </w:r>
      <w:r>
        <w:rPr>
          <w:sz w:val="18"/>
          <w:szCs w:val="18"/>
          <w:lang w:val="fr-FR"/>
        </w:rPr>
        <w:t xml:space="preserve"> physique, mais après cela,</w:t>
      </w:r>
      <w:r w:rsidRPr="00B71A60">
        <w:rPr>
          <w:sz w:val="18"/>
          <w:szCs w:val="18"/>
          <w:lang w:val="fr-FR"/>
        </w:rPr>
        <w:t xml:space="preserve"> </w:t>
      </w:r>
      <w:r>
        <w:rPr>
          <w:sz w:val="18"/>
          <w:szCs w:val="18"/>
          <w:u w:val="single"/>
          <w:lang w:val="fr-FR"/>
        </w:rPr>
        <w:t xml:space="preserve">aucun </w:t>
      </w:r>
      <w:r w:rsidRPr="00B71A60">
        <w:rPr>
          <w:sz w:val="18"/>
          <w:szCs w:val="18"/>
          <w:u w:val="single"/>
          <w:lang w:val="fr-FR"/>
        </w:rPr>
        <w:t>matériel</w:t>
      </w:r>
      <w:r>
        <w:rPr>
          <w:sz w:val="18"/>
          <w:szCs w:val="18"/>
          <w:u w:val="single"/>
          <w:lang w:val="fr-FR"/>
        </w:rPr>
        <w:t xml:space="preserve"> physique n’a été nécessaire</w:t>
      </w:r>
      <w:r w:rsidRPr="00B71A60">
        <w:rPr>
          <w:sz w:val="18"/>
          <w:szCs w:val="18"/>
          <w:lang w:val="fr-FR"/>
        </w:rPr>
        <w:t>.</w:t>
      </w:r>
      <w:r>
        <w:rPr>
          <w:sz w:val="18"/>
          <w:szCs w:val="18"/>
          <w:lang w:val="fr-FR"/>
        </w:rPr>
        <w:t> » (Effet souligné ajouté)</w:t>
      </w:r>
      <w:r w:rsidRPr="00B71A60">
        <w:rPr>
          <w:sz w:val="18"/>
          <w:szCs w:val="18"/>
          <w:lang w:val="fr-FR"/>
        </w:rPr>
        <w:t xml:space="preserve">  </w:t>
      </w:r>
    </w:p>
    <w:p w14:paraId="3DDE4246" w14:textId="5E0DD340" w:rsidR="008A77A6" w:rsidRPr="004A4141" w:rsidRDefault="008A77A6" w:rsidP="00B86B9B">
      <w:pPr>
        <w:pStyle w:val="FootnoteText"/>
        <w:spacing w:before="20" w:after="20"/>
        <w:rPr>
          <w:sz w:val="18"/>
          <w:szCs w:val="18"/>
          <w:lang w:val="fr-FR"/>
        </w:rPr>
      </w:pPr>
      <w:r w:rsidRPr="004A4141">
        <w:rPr>
          <w:sz w:val="18"/>
          <w:szCs w:val="18"/>
          <w:lang w:val="fr-FR"/>
        </w:rPr>
        <w:t xml:space="preserve">Voir aussi </w:t>
      </w:r>
      <w:r>
        <w:rPr>
          <w:sz w:val="18"/>
          <w:szCs w:val="18"/>
          <w:lang w:val="fr-FR"/>
        </w:rPr>
        <w:t xml:space="preserve">le Brevet </w:t>
      </w:r>
      <w:r w:rsidRPr="004A4141">
        <w:rPr>
          <w:sz w:val="18"/>
          <w:szCs w:val="18"/>
          <w:lang w:val="fr-FR"/>
        </w:rPr>
        <w:t xml:space="preserve">SU1753949A3, </w:t>
      </w:r>
      <w:r>
        <w:rPr>
          <w:sz w:val="18"/>
          <w:szCs w:val="18"/>
          <w:lang w:val="fr-FR"/>
        </w:rPr>
        <w:t>qui décrit une mé</w:t>
      </w:r>
      <w:r w:rsidRPr="004A4141">
        <w:rPr>
          <w:sz w:val="18"/>
          <w:szCs w:val="18"/>
          <w:lang w:val="fr-FR"/>
        </w:rPr>
        <w:t>thod</w:t>
      </w:r>
      <w:r>
        <w:rPr>
          <w:sz w:val="18"/>
          <w:szCs w:val="18"/>
          <w:lang w:val="fr-FR"/>
        </w:rPr>
        <w:t>e pour produire le 2-keto-</w:t>
      </w:r>
      <w:r w:rsidRPr="004A4141">
        <w:rPr>
          <w:sz w:val="18"/>
          <w:szCs w:val="18"/>
          <w:lang w:val="fr-FR"/>
        </w:rPr>
        <w:t xml:space="preserve">acide </w:t>
      </w:r>
      <w:r>
        <w:rPr>
          <w:sz w:val="18"/>
          <w:szCs w:val="18"/>
          <w:lang w:val="fr-FR"/>
        </w:rPr>
        <w:t>glucarique-D et utilise l’</w:t>
      </w:r>
      <w:r w:rsidRPr="004A4141">
        <w:rPr>
          <w:sz w:val="18"/>
          <w:szCs w:val="18"/>
          <w:lang w:val="fr-FR"/>
        </w:rPr>
        <w:t>organism</w:t>
      </w:r>
      <w:r>
        <w:rPr>
          <w:sz w:val="18"/>
          <w:szCs w:val="18"/>
          <w:lang w:val="fr-FR"/>
        </w:rPr>
        <w:t>e non type</w:t>
      </w:r>
      <w:r w:rsidRPr="004A4141">
        <w:rPr>
          <w:sz w:val="18"/>
          <w:szCs w:val="18"/>
          <w:lang w:val="fr-FR"/>
        </w:rPr>
        <w:t xml:space="preserve"> </w:t>
      </w:r>
      <w:r w:rsidRPr="004A4141">
        <w:rPr>
          <w:i/>
          <w:sz w:val="18"/>
          <w:szCs w:val="18"/>
          <w:lang w:val="fr-FR"/>
        </w:rPr>
        <w:t>Ps</w:t>
      </w:r>
      <w:r>
        <w:rPr>
          <w:i/>
          <w:sz w:val="18"/>
          <w:szCs w:val="18"/>
          <w:lang w:val="fr-FR"/>
        </w:rPr>
        <w:t>eudogluconobacter saccharoketogene</w:t>
      </w:r>
      <w:r>
        <w:rPr>
          <w:sz w:val="18"/>
          <w:szCs w:val="18"/>
          <w:lang w:val="fr-FR"/>
        </w:rPr>
        <w:t xml:space="preserve"> pour la production d</w:t>
      </w:r>
      <w:r w:rsidRPr="004A4141">
        <w:rPr>
          <w:sz w:val="18"/>
          <w:szCs w:val="18"/>
          <w:lang w:val="fr-FR"/>
        </w:rPr>
        <w:t>’acide glucarique-D.</w:t>
      </w:r>
    </w:p>
  </w:footnote>
  <w:footnote w:id="159">
    <w:p w14:paraId="5E2E88F4" w14:textId="56B3656F" w:rsidR="008A77A6" w:rsidRPr="00382707"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D66423">
        <w:rPr>
          <w:sz w:val="18"/>
          <w:szCs w:val="18"/>
          <w:lang w:val="fr-FR"/>
        </w:rPr>
        <w:t xml:space="preserve"> </w:t>
      </w:r>
      <w:r w:rsidRPr="00F43F79">
        <w:rPr>
          <w:sz w:val="18"/>
          <w:szCs w:val="18"/>
        </w:rPr>
        <w:fldChar w:fldCharType="begin"/>
      </w:r>
      <w:r w:rsidRPr="00D66423">
        <w:rPr>
          <w:sz w:val="18"/>
          <w:szCs w:val="18"/>
          <w:lang w:val="fr-FR"/>
        </w:rPr>
        <w:instrText xml:space="preserve"> ADDIN ZOTERO_ITEM CSL_CITATION {"citationID":"oGIKrAPR","properties":{"formattedCitation":"Houssen and others (n 148)","plainCitation":"Houssen and others (n 148)","noteIndex":155,"suppress-trailing-punctuation":true},"citationItems":[{"id":568,"uris":["http://zotero.org/users/local/dU5rpCrq/items/AZW5RFDR"],"uri":["http://zotero.org/users/local/dU5rpCrq/items/AZW5RFDR"],"itemData":{"id":568,"type":"article","multi":{"main":{},"_keys":{}},"publisher":"CBD/DSI/AHTEG/2020/1/3","title":"Digital Sequence Information on Genetic Resources: Concept, Scope and Current Use","author":[{"family":"Houssen","given":"Wael","multi":{"_key":{}}},{"family":"Sara","given":"Rodrigo","multi":{"_key":{}}},{"family":"Jaspars","given":"Marcel","multi":{"_key":{}}}],"issued":{"date-parts":[["2020",1,29]]},"seeAlso":[]}}],"schema":"https://github.com/citation-style-language/schema/raw/master/csl-citation.json"} </w:instrText>
      </w:r>
      <w:r w:rsidRPr="00F43F79">
        <w:rPr>
          <w:sz w:val="18"/>
          <w:szCs w:val="18"/>
        </w:rPr>
        <w:fldChar w:fldCharType="separate"/>
      </w:r>
      <w:r w:rsidRPr="00D66423">
        <w:rPr>
          <w:sz w:val="18"/>
          <w:szCs w:val="18"/>
          <w:lang w:val="fr-FR"/>
        </w:rPr>
        <w:t>Houssen et al. (n 148)</w:t>
      </w:r>
      <w:r w:rsidRPr="00F43F79">
        <w:rPr>
          <w:sz w:val="18"/>
          <w:szCs w:val="18"/>
        </w:rPr>
        <w:fldChar w:fldCharType="end"/>
      </w:r>
      <w:r>
        <w:rPr>
          <w:sz w:val="18"/>
          <w:szCs w:val="18"/>
          <w:lang w:val="fr-FR"/>
        </w:rPr>
        <w:t xml:space="preserve"> citant</w:t>
      </w:r>
      <w:r w:rsidRPr="00D66423">
        <w:rPr>
          <w:sz w:val="18"/>
          <w:szCs w:val="18"/>
          <w:lang w:val="fr-FR"/>
        </w:rPr>
        <w:t xml:space="preserve"> </w:t>
      </w:r>
      <w:r w:rsidRPr="00F43F79">
        <w:rPr>
          <w:sz w:val="18"/>
          <w:szCs w:val="18"/>
        </w:rPr>
        <w:fldChar w:fldCharType="begin"/>
      </w:r>
      <w:r w:rsidRPr="00D66423">
        <w:rPr>
          <w:sz w:val="18"/>
          <w:szCs w:val="18"/>
          <w:lang w:val="fr-FR"/>
        </w:rPr>
        <w:instrText xml:space="preserve"> ADDIN ZOTERO_ITEM CSL_CITATION {"citationID":"6sduUw4E","properties":{"formattedCitation":"Toby H Richardson and others, \\uc0\\u8216{}A Novel, High Performance Enzyme for Starch Liquefaction. Discovery and Optimization of a Low PH, Thermostable Alpha-Amylase\\uc0\\u8217{} (2002) 277 The Journal of Biological Chemistry 26501.","plainCitation":"Toby H Richardson and others, ‘A Novel, High Performance Enzyme for Starch Liquefaction. Discovery and Optimization of a Low PH, Thermostable Alpha-Amylase’ (2002) 277 The Journal of Biological Chemistry 26501.","noteIndex":155},"citationItems":[{"id":578,"uris":["http://zotero.org/users/local/dU5rpCrq/items/2UXFCDEA"],"uri":["http://zotero.org/users/local/dU5rpCrq/items/2UXFCDEA"],"itemData":{"id":578,"type":"article-journal","multi":{"main":{},"_keys":{}},"abstract":"High throughput screening of microbial DNA libraries was used to identify alpha-amylases with phenotypic characteristics compatible with large scale corn wet milling process conditions. Single and multiorganism DNA libraries originating from various environments were targeted for activity and sequence-based screening approaches. After initial screening, 15 clones were designated as primary hits based upon activity at pH 4.5 or 95 degrees C without addition of endogenous Ca(2+). After further characterization, three enzyme candidates were chosen each with an exceptional expression of one or more aspects of the necessary phenotype: temperature stability, pH optimum, lowered reliance on Ca(2+) and/or enzyme rate. To combine the best aspects of the three phenotypes to optimize process compatibility, the natural gene homologues were used as a parental sequence set for gene reassembly. Approximately 21,000 chimeric daughter sequences were generated and subsets screened using a process-specific, high throughput activity assay. Gene reassembly resulted in numerous improved mutants with combin</w:instrText>
      </w:r>
      <w:r w:rsidRPr="008A77A6">
        <w:rPr>
          <w:sz w:val="18"/>
          <w:szCs w:val="18"/>
        </w:rPr>
        <w:instrText xml:space="preserve">ed optimal phenotypes of expression, temperature stability, and pH optimum. After biochemical and process-specific characterization of these </w:instrText>
      </w:r>
      <w:r w:rsidRPr="00696FDA">
        <w:rPr>
          <w:sz w:val="18"/>
          <w:szCs w:val="18"/>
          <w:lang w:val="en-AU"/>
        </w:rPr>
        <w:instrText xml:space="preserve">gene products, one alpha-amylase with exceptional process compatibility and economics was identified. This paper describes the synergistic approach of combining environmental discovery and laboratory evolution for identification and optimization of industrially important biocatalysts.","container-title":"The Journal of Biological Chemistry","DOI":"10.1074/jbc.M203183200","ISSN":"0021-9258","issue":"29","language":"eng","note":"PMID: 11994309","page":"26501-26507","source":"PubMed","title":"A novel, high performance enzyme for starch liquefaction. Discovery and optimization of a low pH, thermostable alpha-amylase","volume":"277","author":[{"family":"Richardson","given":"Toby H.","multi":{"_key":{}}},{"family":"Tan","given":"Xuqiu","multi":{"_key":{}}},{"family":"Frey","given":"Gerhard","multi":{"_key":{}}},{"family":"Callen","given":"Walter","multi":{"_key":{}}},{"family":"Cabell","given":"Mark","multi":{"_key":{}}},{"family":"Lam","given":"David","multi":{"_key":{}}},{"family":"Macomber","given":"John","multi":{"_key":{}}},{"family":"Short","given":"Jay M.","multi":{"_key":{}}},{"family":"Robertson","given":"Dan E.","multi":{"_key":{}}},{"family":"Miller","given":"Carl","multi":{"_key":{}}}],"issued":{"date-parts":[["2002",7,19]]},"seeAlso":[]}}],"schema":"https://github.com/citation-style-language/schema/raw/master/csl-citation.json"} </w:instrText>
      </w:r>
      <w:r w:rsidRPr="00F43F79">
        <w:rPr>
          <w:sz w:val="18"/>
          <w:szCs w:val="18"/>
        </w:rPr>
        <w:fldChar w:fldCharType="separate"/>
      </w:r>
      <w:r w:rsidRPr="00696FDA">
        <w:rPr>
          <w:sz w:val="18"/>
          <w:szCs w:val="18"/>
          <w:lang w:val="en-AU"/>
        </w:rPr>
        <w:t xml:space="preserve">Toby H Richardson et al., ‘A Novel, High Performance Enzyme for Starch Liquefaction. </w:t>
      </w:r>
      <w:r w:rsidRPr="00382707">
        <w:rPr>
          <w:sz w:val="18"/>
          <w:szCs w:val="18"/>
          <w:lang w:val="en-AU"/>
        </w:rPr>
        <w:t>Discovery and Optimizat</w:t>
      </w:r>
      <w:r>
        <w:rPr>
          <w:sz w:val="18"/>
          <w:szCs w:val="18"/>
          <w:lang w:val="en-AU"/>
        </w:rPr>
        <w:t>ion of a Low PH, Thermos table</w:t>
      </w:r>
      <w:r w:rsidRPr="00382707">
        <w:rPr>
          <w:sz w:val="18"/>
          <w:szCs w:val="18"/>
          <w:lang w:val="en-AU"/>
        </w:rPr>
        <w:t xml:space="preserve"> Alpha-Amylase’ (2002) 277 The Journal of Biological Chemistry 26501.</w:t>
      </w:r>
      <w:r w:rsidRPr="00F43F79">
        <w:rPr>
          <w:sz w:val="18"/>
          <w:szCs w:val="18"/>
        </w:rPr>
        <w:fldChar w:fldCharType="end"/>
      </w:r>
      <w:r w:rsidRPr="00382707">
        <w:rPr>
          <w:sz w:val="18"/>
          <w:szCs w:val="18"/>
          <w:lang w:val="en-AU"/>
        </w:rPr>
        <w:t xml:space="preserve"> </w:t>
      </w:r>
    </w:p>
  </w:footnote>
  <w:footnote w:id="160">
    <w:p w14:paraId="625540C0" w14:textId="17FF29BC" w:rsidR="008A77A6" w:rsidRPr="00D66423" w:rsidRDefault="008A77A6" w:rsidP="00F43F79">
      <w:pPr>
        <w:spacing w:before="20" w:after="20"/>
        <w:ind w:left="284" w:hanging="288"/>
        <w:rPr>
          <w:rFonts w:eastAsia="Times New Roman" w:cs="Times New Roman"/>
          <w:color w:val="000000"/>
          <w:sz w:val="18"/>
          <w:szCs w:val="18"/>
          <w:lang w:val="fr-FR"/>
        </w:rPr>
      </w:pPr>
      <w:r w:rsidRPr="00F43F79">
        <w:rPr>
          <w:rStyle w:val="FootnoteReference"/>
          <w:rFonts w:cs="Times New Roman"/>
          <w:color w:val="000000"/>
          <w:sz w:val="18"/>
          <w:szCs w:val="18"/>
        </w:rPr>
        <w:footnoteRef/>
      </w:r>
      <w:r w:rsidRPr="00D66423">
        <w:rPr>
          <w:rFonts w:cs="Times New Roman"/>
          <w:color w:val="000000"/>
          <w:sz w:val="18"/>
          <w:szCs w:val="18"/>
          <w:lang w:val="fr-FR"/>
        </w:rPr>
        <w:t xml:space="preserve"> </w:t>
      </w:r>
      <w:r w:rsidRPr="00D66423">
        <w:rPr>
          <w:rFonts w:eastAsia="Times New Roman" w:cs="Times New Roman"/>
          <w:color w:val="000000"/>
          <w:sz w:val="18"/>
          <w:szCs w:val="18"/>
          <w:shd w:val="clear" w:color="auto" w:fill="FFFFFF"/>
          <w:lang w:val="fr-FR"/>
        </w:rPr>
        <w:t>Ghosh IN, Martien J, He</w:t>
      </w:r>
      <w:r>
        <w:rPr>
          <w:rFonts w:eastAsia="Times New Roman" w:cs="Times New Roman"/>
          <w:color w:val="000000"/>
          <w:sz w:val="18"/>
          <w:szCs w:val="18"/>
          <w:shd w:val="clear" w:color="auto" w:fill="FFFFFF"/>
          <w:lang w:val="fr-FR"/>
        </w:rPr>
        <w:t>bert AS, et al. OptSSeq étudient l’étendue de l’expression</w:t>
      </w:r>
      <w:r w:rsidRPr="00D66423">
        <w:rPr>
          <w:rFonts w:eastAsia="Times New Roman" w:cs="Times New Roman"/>
          <w:color w:val="000000"/>
          <w:sz w:val="18"/>
          <w:szCs w:val="18"/>
          <w:shd w:val="clear" w:color="auto" w:fill="FFFFFF"/>
          <w:lang w:val="fr-FR"/>
        </w:rPr>
        <w:t xml:space="preserve"> </w:t>
      </w:r>
      <w:r>
        <w:rPr>
          <w:rFonts w:eastAsia="Times New Roman" w:cs="Times New Roman"/>
          <w:color w:val="000000"/>
          <w:sz w:val="18"/>
          <w:szCs w:val="18"/>
          <w:shd w:val="clear" w:color="auto" w:fill="FFFFFF"/>
          <w:lang w:val="fr-FR"/>
        </w:rPr>
        <w:t xml:space="preserve">et de la fonction des </w:t>
      </w:r>
      <w:r w:rsidRPr="00D66423">
        <w:rPr>
          <w:rFonts w:eastAsia="Times New Roman" w:cs="Times New Roman"/>
          <w:color w:val="000000"/>
          <w:sz w:val="18"/>
          <w:szCs w:val="18"/>
          <w:shd w:val="clear" w:color="auto" w:fill="FFFFFF"/>
          <w:lang w:val="fr-FR"/>
        </w:rPr>
        <w:t>enzyme</w:t>
      </w:r>
      <w:r>
        <w:rPr>
          <w:rFonts w:eastAsia="Times New Roman" w:cs="Times New Roman"/>
          <w:color w:val="000000"/>
          <w:sz w:val="18"/>
          <w:szCs w:val="18"/>
          <w:shd w:val="clear" w:color="auto" w:fill="FFFFFF"/>
          <w:lang w:val="fr-FR"/>
        </w:rPr>
        <w:t>s pour optimiser le taux de production d’isobutanol</w:t>
      </w:r>
      <w:r w:rsidRPr="00D66423">
        <w:rPr>
          <w:rFonts w:eastAsia="Times New Roman" w:cs="Times New Roman"/>
          <w:color w:val="000000"/>
          <w:sz w:val="18"/>
          <w:szCs w:val="18"/>
          <w:shd w:val="clear" w:color="auto" w:fill="FFFFFF"/>
          <w:lang w:val="fr-FR"/>
        </w:rPr>
        <w:t>. </w:t>
      </w:r>
      <w:r w:rsidRPr="00D66423">
        <w:rPr>
          <w:rFonts w:eastAsia="Times New Roman" w:cs="Times New Roman"/>
          <w:i/>
          <w:iCs/>
          <w:color w:val="000000"/>
          <w:sz w:val="18"/>
          <w:szCs w:val="18"/>
          <w:shd w:val="clear" w:color="auto" w:fill="FFFFFF"/>
          <w:lang w:val="fr-FR"/>
        </w:rPr>
        <w:t>Metab Eng</w:t>
      </w:r>
      <w:r w:rsidRPr="00D66423">
        <w:rPr>
          <w:rFonts w:eastAsia="Times New Roman" w:cs="Times New Roman"/>
          <w:color w:val="000000"/>
          <w:sz w:val="18"/>
          <w:szCs w:val="18"/>
          <w:shd w:val="clear" w:color="auto" w:fill="FFFFFF"/>
          <w:lang w:val="fr-FR"/>
        </w:rPr>
        <w:t>. 2019;52:324‐340. doi:10.1016/j.ymben.2018.12.008.</w:t>
      </w:r>
    </w:p>
  </w:footnote>
  <w:footnote w:id="161">
    <w:p w14:paraId="7BA1E00A" w14:textId="77777777" w:rsidR="008A77A6" w:rsidRPr="0002675E" w:rsidRDefault="008A77A6" w:rsidP="00F43F79">
      <w:pPr>
        <w:pStyle w:val="FootnoteText"/>
        <w:spacing w:before="20" w:after="20"/>
        <w:ind w:left="284" w:hanging="288"/>
        <w:rPr>
          <w:color w:val="000000"/>
          <w:sz w:val="18"/>
          <w:szCs w:val="18"/>
          <w:lang w:val="fr-FR"/>
        </w:rPr>
      </w:pPr>
      <w:r w:rsidRPr="00F43F79">
        <w:rPr>
          <w:rStyle w:val="FootnoteReference"/>
          <w:color w:val="000000"/>
          <w:sz w:val="18"/>
          <w:szCs w:val="18"/>
        </w:rPr>
        <w:footnoteRef/>
      </w:r>
      <w:r w:rsidRPr="0002675E">
        <w:rPr>
          <w:color w:val="000000"/>
          <w:sz w:val="18"/>
          <w:szCs w:val="18"/>
          <w:lang w:val="fr-FR"/>
        </w:rPr>
        <w:t xml:space="preserve"> Ibid.</w:t>
      </w:r>
    </w:p>
  </w:footnote>
  <w:footnote w:id="162">
    <w:p w14:paraId="0C1CCBC2" w14:textId="77777777" w:rsidR="008A77A6" w:rsidRPr="0002675E" w:rsidRDefault="008A77A6" w:rsidP="00F43F79">
      <w:pPr>
        <w:pStyle w:val="FootnoteText"/>
        <w:spacing w:before="20" w:after="20"/>
        <w:ind w:left="284" w:hanging="288"/>
        <w:rPr>
          <w:sz w:val="18"/>
          <w:szCs w:val="18"/>
          <w:lang w:val="fr-FR"/>
        </w:rPr>
      </w:pPr>
      <w:r w:rsidRPr="00F43F79">
        <w:rPr>
          <w:rStyle w:val="FootnoteReference"/>
          <w:color w:val="000000"/>
          <w:sz w:val="18"/>
          <w:szCs w:val="18"/>
        </w:rPr>
        <w:footnoteRef/>
      </w:r>
      <w:r w:rsidRPr="0002675E">
        <w:rPr>
          <w:color w:val="000000"/>
          <w:sz w:val="18"/>
          <w:szCs w:val="18"/>
          <w:lang w:val="fr-FR"/>
        </w:rPr>
        <w:t xml:space="preserve"> Ibid.</w:t>
      </w:r>
    </w:p>
  </w:footnote>
  <w:footnote w:id="163">
    <w:p w14:paraId="0EC4D0FF" w14:textId="1D44C808" w:rsidR="008A77A6" w:rsidRPr="0002675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02675E">
        <w:rPr>
          <w:sz w:val="18"/>
          <w:szCs w:val="18"/>
          <w:lang w:val="fr-FR"/>
        </w:rPr>
        <w:t xml:space="preserve"> Ibid.</w:t>
      </w:r>
    </w:p>
  </w:footnote>
  <w:footnote w:id="164">
    <w:p w14:paraId="266E0BAA" w14:textId="2FB4DBA9" w:rsidR="008A77A6" w:rsidRPr="0005750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C85D44">
        <w:rPr>
          <w:sz w:val="18"/>
          <w:szCs w:val="18"/>
          <w:lang w:val="fr-FR"/>
        </w:rPr>
        <w:t xml:space="preserve"> Voir par exemple </w:t>
      </w:r>
      <w:r w:rsidRPr="00F43F79">
        <w:rPr>
          <w:sz w:val="18"/>
          <w:szCs w:val="18"/>
        </w:rPr>
        <w:fldChar w:fldCharType="begin"/>
      </w:r>
      <w:r w:rsidRPr="00C85D44">
        <w:rPr>
          <w:sz w:val="18"/>
          <w:szCs w:val="18"/>
          <w:lang w:val="fr-FR"/>
        </w:rPr>
        <w:instrText xml:space="preserve"> ADDIN ZOTERO_ITEM CSL_CITATION {"citationID":"CC4bzZfv","properties":{"formattedCitation":"Alastair Crisp and others, \\uc0\\u8216{}Expression of Multiple Horizontally Acquired Genes is a Hallmark of Both Vertebrate and Invertebrate Genomes\\uc0\\u8217{} (2015) 16 Genome Biology 50.","plainCitation":"Alastair Crisp and others, ‘Expression of Multiple Horizontally Acquired Genes is a Hallmark of Both Vertebrate and Invertebrate Genomes’ (2015) 16 Genome Biology 50.","noteIndex":160},"citationItems":[{"id":581,"uris":["http://zotero.org/users/local/dU5rpCrq/items/CS7H4Z27"],"uri":["http://zotero.org/users/local/dU5rpCrq/items/CS7H4Z27"],"itemData":{"id":581,"type":"article-journal","multi":{"main":{},"_keys":{}},"abstract":"BACKGROUND: A fundamental concept in biology is that heritable material, DNA, is passed from parent to offspring, a process called vertical gene transfer. An alternative mechanism of gene acquisition is through horizontal gene transfer (HGT), which involves movement of genetic material between different species. HGT is well-known in single-celled organisms such as bacteria, but its existence in higher organisms, including animals, is less well established, and is controversial in humans.\nRESULTS: We have taken advantage of the recent availability of a sufficient number of high-quality genomes and associated transcriptomes to carry out a detailed examination of HGT in 26 animal species (10 primates, 12 flies and four nematodes) and a simplified analysis in a further 14 vertebrates. Ge</w:instrText>
      </w:r>
      <w:r w:rsidRPr="0005750E">
        <w:rPr>
          <w:sz w:val="18"/>
          <w:szCs w:val="18"/>
          <w:lang w:val="fr-FR"/>
        </w:rPr>
        <w:instrText xml:space="preserve">nome-wide comparative and phylogenetic analyses show that HGT in animals typically gives rise to tens or hundreds of active 'foreign' genes, largely concerned with metabolism. Our analyses suggest that while fruit flies and nematodes have continued to acquire foreign genes throughout their evolution, humans and other primates have gained relatively few since their common ancestor. We also resolve the controversy surrounding previous evidence of HGT in humans and provide at least 33 new examples of horizontally acquired genes.\nCONCLUSIONS: We argue that HGT has occurred, and continues to occur, on a previously unsuspected scale in metazoans and is likely to have contributed to biochemical diversification during animal evolution.","container-title":"Genome Biology","DOI":"10.1186/s13059-015-0607-3","ISSN":"1474-760X","language":"eng","note":"PMID: 25785303\nPMCID: PMC4358723","page":"50","source":"PubMed","title":"Expression of multiple horizontally acquired genes is a hallmark of both vertebrate and invertebrate genomes","volume":"16","author":[{"family":"Crisp","given":"Alastair","multi":{"_key":{}}},{"family":"Boschetti","given":"Chiara","multi":{"_key":{}}},{"family":"Perry","given":"Malcolm","multi":{"_key":{}}},{"family":"Tunnacliffe","given":"Alan","multi":{"_key":{}}},{"family":"Micklem","given":"Gos","multi":{"_key":{}}}],"issued":{"date-parts":[["2015",3,13]]},"seeAlso":[]}}],"schema":"https://github.com/citation-style-language/schema/raw/master/csl-citation.json"} </w:instrText>
      </w:r>
      <w:r w:rsidRPr="00F43F79">
        <w:rPr>
          <w:sz w:val="18"/>
          <w:szCs w:val="18"/>
        </w:rPr>
        <w:fldChar w:fldCharType="separate"/>
      </w:r>
      <w:r w:rsidRPr="0005750E">
        <w:rPr>
          <w:sz w:val="18"/>
          <w:szCs w:val="18"/>
          <w:lang w:val="fr-FR"/>
        </w:rPr>
        <w:t>Alastair Crisp et al., ‘Expression of Multiple Horizontally Acquired Genes is a Hallmark of Both Vertebrate and Invertebrate Genomes’ (2015) 16 Genome Biology 50.</w:t>
      </w:r>
      <w:r w:rsidRPr="00F43F79">
        <w:rPr>
          <w:sz w:val="18"/>
          <w:szCs w:val="18"/>
        </w:rPr>
        <w:fldChar w:fldCharType="end"/>
      </w:r>
    </w:p>
  </w:footnote>
  <w:footnote w:id="165">
    <w:p w14:paraId="4ED53DBE" w14:textId="1B18B2AA" w:rsidR="008A77A6" w:rsidRPr="002B408B" w:rsidRDefault="008A77A6" w:rsidP="00F43F79">
      <w:pPr>
        <w:pStyle w:val="FootnoteText"/>
        <w:spacing w:before="20" w:after="20"/>
        <w:ind w:left="284" w:hanging="288"/>
        <w:rPr>
          <w:sz w:val="18"/>
          <w:szCs w:val="18"/>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{"citationID":"9laRjbRV","properties":{"formattedCitation":"Margo A Bagley, \\uc0\\u8216{}Towering Wave or Tempest in a Teapot? Synthetic Biology, Access and Benefit Sharing, and Economic Development\\uc0\\u8217{} in Susy Frankel and Daniel Gervais (eds), {\\i{}Intellectual Property and the Regulation of the Internet} (Victoria University Press 2017) 95.","plainCitation":"Margo A Bagley, ‘Towering Wave or Tempest in a Teapot? Synthetic Biology, Access and Benefit Sharing, and Economic Development’ in Susy Frankel and Daniel Gervais (eds), Intellectual Property and the Regulation of the Internet (Victoria University Press 2017) 95.","noteIndex":161},"citationItems":[{"id":261,"uris":["http://zotero.org/users/local/dU5rpCrq/items/28IYNBSS"],"uri":["http://zotero.org/users/local/dU5rpCrq/items/28IYNBSS"],"itemData":{"id":261,"type":"chapter","multi":{"main":{},"_keys":{}},"container-title":"Intellectual Property and the Regulation of the Internet","event-place":"Victoria, NZ","page":"85-111","publisher":"Victoria University Press","publisher-place":"Victoria, NZ","title":"Towering wave or tempest in a teapot? Synthetic biology, access and benefit sharing, and economic development","title-short":"Towering wave or tempest in a teapot","author":[{"family":"Bagley","given":"Margo A","multi":{"_key":{}}}],"editor":[{"family":"Frankel","given":"Susy","multi":{"_key":{}}},{"family":"Gervais","given":"Daniel","multi":{"_key":{}}}],"issued":{"date-parts":[["2017"]]},"seeAlso":[]},"locator":"95"}],"schema":"https://github.com/citation-style-language/schema/raw/master/csl-citation.json"} </w:instrText>
      </w:r>
      <w:r w:rsidRPr="00F43F79">
        <w:rPr>
          <w:sz w:val="18"/>
          <w:szCs w:val="18"/>
        </w:rPr>
        <w:fldChar w:fldCharType="separate"/>
      </w:r>
      <w:r w:rsidRPr="00F43F79">
        <w:rPr>
          <w:sz w:val="18"/>
          <w:szCs w:val="18"/>
        </w:rPr>
        <w:t>Margo A Bagley, ‘Towering Wave</w:t>
      </w:r>
      <w:r>
        <w:rPr>
          <w:sz w:val="18"/>
          <w:szCs w:val="18"/>
        </w:rPr>
        <w:t xml:space="preserve"> or </w:t>
      </w:r>
      <w:r w:rsidRPr="00F43F79">
        <w:rPr>
          <w:sz w:val="18"/>
          <w:szCs w:val="18"/>
        </w:rPr>
        <w:t xml:space="preserve">Tempest in a Teapot? </w:t>
      </w:r>
      <w:r w:rsidRPr="002B408B">
        <w:rPr>
          <w:sz w:val="18"/>
          <w:szCs w:val="18"/>
        </w:rPr>
        <w:t>Synthetic Biology, Access and</w:t>
      </w:r>
      <w:r>
        <w:rPr>
          <w:sz w:val="18"/>
          <w:szCs w:val="18"/>
        </w:rPr>
        <w:t xml:space="preserve"> Benefit-Sharing, and</w:t>
      </w:r>
      <w:r w:rsidRPr="002B408B">
        <w:rPr>
          <w:sz w:val="18"/>
          <w:szCs w:val="18"/>
        </w:rPr>
        <w:t xml:space="preserve"> Economic</w:t>
      </w:r>
      <w:r>
        <w:rPr>
          <w:sz w:val="18"/>
          <w:szCs w:val="18"/>
        </w:rPr>
        <w:t xml:space="preserve"> Development’ in Susy Frankel and</w:t>
      </w:r>
      <w:r w:rsidRPr="002B408B">
        <w:rPr>
          <w:sz w:val="18"/>
          <w:szCs w:val="18"/>
        </w:rPr>
        <w:t xml:space="preserve"> Daniel Gervais (eds), </w:t>
      </w:r>
      <w:r>
        <w:rPr>
          <w:i/>
          <w:iCs/>
          <w:sz w:val="18"/>
          <w:szCs w:val="18"/>
        </w:rPr>
        <w:t>Intellectual Property and the Regulation of the Internet</w:t>
      </w:r>
      <w:r w:rsidRPr="002B408B">
        <w:rPr>
          <w:sz w:val="18"/>
          <w:szCs w:val="18"/>
        </w:rPr>
        <w:t xml:space="preserve"> (Victoria University Press 2017) 95.</w:t>
      </w:r>
      <w:r w:rsidRPr="00F43F79">
        <w:rPr>
          <w:sz w:val="18"/>
          <w:szCs w:val="18"/>
        </w:rPr>
        <w:fldChar w:fldCharType="end"/>
      </w:r>
    </w:p>
  </w:footnote>
  <w:footnote w:id="166">
    <w:p w14:paraId="4C9C638E" w14:textId="12B76567" w:rsidR="008A77A6" w:rsidRPr="002B408B"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2B408B">
        <w:rPr>
          <w:sz w:val="18"/>
          <w:szCs w:val="18"/>
          <w:lang w:val="fr-FR"/>
        </w:rPr>
        <w:t xml:space="preserve"> Voir supra fn 42, Suisse, Déclaration de la source.</w:t>
      </w:r>
    </w:p>
  </w:footnote>
  <w:footnote w:id="167">
    <w:p w14:paraId="507F47DC" w14:textId="4F7C6605" w:rsidR="008A77A6" w:rsidRPr="00696FDA"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F75B5D">
        <w:rPr>
          <w:sz w:val="18"/>
          <w:szCs w:val="18"/>
          <w:lang w:val="fr-FR"/>
        </w:rPr>
        <w:t xml:space="preserve"> Co</w:t>
      </w:r>
      <w:r>
        <w:rPr>
          <w:sz w:val="18"/>
          <w:szCs w:val="18"/>
          <w:lang w:val="fr-FR"/>
        </w:rPr>
        <w:t>mme l’indique une</w:t>
      </w:r>
      <w:r w:rsidRPr="00F75B5D">
        <w:rPr>
          <w:sz w:val="18"/>
          <w:szCs w:val="18"/>
          <w:lang w:val="fr-FR"/>
        </w:rPr>
        <w:t xml:space="preserve"> communication</w:t>
      </w:r>
      <w:r>
        <w:rPr>
          <w:sz w:val="18"/>
          <w:szCs w:val="18"/>
          <w:lang w:val="fr-FR"/>
        </w:rPr>
        <w:t xml:space="preserve"> venant du secteur privé, “s’il était décidé que l’information de séquençage</w:t>
      </w:r>
      <w:r w:rsidRPr="00F75B5D">
        <w:rPr>
          <w:sz w:val="18"/>
          <w:szCs w:val="18"/>
          <w:lang w:val="fr-FR"/>
        </w:rPr>
        <w:t xml:space="preserve"> numérique </w:t>
      </w:r>
      <w:r>
        <w:rPr>
          <w:sz w:val="18"/>
          <w:szCs w:val="18"/>
          <w:lang w:val="fr-FR"/>
        </w:rPr>
        <w:t xml:space="preserve">entre dans le </w:t>
      </w:r>
      <w:r w:rsidRPr="00F75B5D">
        <w:rPr>
          <w:sz w:val="18"/>
          <w:szCs w:val="18"/>
          <w:lang w:val="fr-FR"/>
        </w:rPr>
        <w:t>champ d’application du Protocole</w:t>
      </w:r>
      <w:r>
        <w:rPr>
          <w:sz w:val="18"/>
          <w:szCs w:val="18"/>
          <w:lang w:val="fr-FR"/>
        </w:rPr>
        <w:t>, la charge administrative que représente la négociation d’une myriade d’accords sur l’</w:t>
      </w:r>
      <w:r w:rsidRPr="00F75B5D">
        <w:rPr>
          <w:sz w:val="18"/>
          <w:szCs w:val="18"/>
          <w:lang w:val="fr-FR"/>
        </w:rPr>
        <w:t xml:space="preserve">accès et </w:t>
      </w:r>
      <w:r>
        <w:rPr>
          <w:sz w:val="18"/>
          <w:szCs w:val="18"/>
          <w:lang w:val="fr-FR"/>
        </w:rPr>
        <w:t xml:space="preserve">le </w:t>
      </w:r>
      <w:r w:rsidRPr="00F75B5D">
        <w:rPr>
          <w:sz w:val="18"/>
          <w:szCs w:val="18"/>
          <w:lang w:val="fr-FR"/>
        </w:rPr>
        <w:t>partage des avantages</w:t>
      </w:r>
      <w:r>
        <w:rPr>
          <w:sz w:val="18"/>
          <w:szCs w:val="18"/>
          <w:lang w:val="fr-FR"/>
        </w:rPr>
        <w:t xml:space="preserve"> pour des séquences dont la valeur d’intrant est aléatoire sera importante</w:t>
      </w:r>
      <w:r w:rsidRPr="00F75B5D">
        <w:rPr>
          <w:sz w:val="18"/>
          <w:szCs w:val="18"/>
          <w:lang w:val="fr-FR"/>
        </w:rPr>
        <w:t xml:space="preserve">.” </w:t>
      </w:r>
      <w:r>
        <w:rPr>
          <w:sz w:val="18"/>
          <w:szCs w:val="18"/>
          <w:lang w:val="fr-FR"/>
        </w:rPr>
        <w:t xml:space="preserve">Groupe de travail de la </w:t>
      </w:r>
      <w:r w:rsidRPr="00F43F79">
        <w:rPr>
          <w:sz w:val="18"/>
          <w:szCs w:val="18"/>
        </w:rPr>
        <w:fldChar w:fldCharType="begin"/>
      </w:r>
      <w:r w:rsidRPr="00F75B5D">
        <w:rPr>
          <w:sz w:val="18"/>
          <w:szCs w:val="18"/>
          <w:lang w:val="fr-FR"/>
        </w:rPr>
        <w:instrText xml:space="preserve"> ADDIN ZOTERO_ITEM CSL_CITATION {"citationID":"qiIyW9aD","properties":{"formattedCitation":"ICC Task Force on Access and Benefit Sharing (n 149)","plainCitation":"ICC Task Force on Access and Benefit Sharing (n 149)","noteIndex":163,"suppress-trailing-punctuation":true},"citationItems":[{"id":674,"uris":["http://zotero.org/users/local/dU5rpCrq/items/SJ7R6SDD"],"uri":["http://zotero.org/users/local/dU5rpCrq/items/SJ7R6SDD"],"itemData":{"id":674,"type":"article","multi":{"main":{},"_keys":{}},"publisher":"International Chamber of Commerce","title":"Digital Sequence Information and the Nagoya Protocol","author":[{"family":"ICC Task Force on Access and Benefit Sharing","given":"","literal":"ICC Task Force on Access and Benefit Sharing","multi":{"_key":{}}}],"issued":{"date-parts":[["2017"]]},"seeAlso":[]}}],"schema":"https://github.com/citation-style-language/schema/raw/master/csl-citation.json"} </w:instrText>
      </w:r>
      <w:r w:rsidRPr="00F43F79">
        <w:rPr>
          <w:sz w:val="18"/>
          <w:szCs w:val="18"/>
        </w:rPr>
        <w:fldChar w:fldCharType="separate"/>
      </w:r>
      <w:r>
        <w:rPr>
          <w:sz w:val="18"/>
          <w:szCs w:val="18"/>
          <w:lang w:val="fr-FR"/>
        </w:rPr>
        <w:t xml:space="preserve">CCI sur </w:t>
      </w:r>
      <w:r w:rsidRPr="00DF00EA">
        <w:rPr>
          <w:sz w:val="18"/>
          <w:szCs w:val="18"/>
          <w:lang w:val="fr-FR"/>
        </w:rPr>
        <w:t>l’ac</w:t>
      </w:r>
      <w:r>
        <w:rPr>
          <w:sz w:val="18"/>
          <w:szCs w:val="18"/>
          <w:lang w:val="fr-FR"/>
        </w:rPr>
        <w:t>cès et l</w:t>
      </w:r>
      <w:r w:rsidRPr="00DF00EA">
        <w:rPr>
          <w:sz w:val="18"/>
          <w:szCs w:val="18"/>
          <w:lang w:val="fr-FR"/>
        </w:rPr>
        <w:t>e partage des avantages (n 149)</w:t>
      </w:r>
      <w:r w:rsidRPr="00F43F79">
        <w:rPr>
          <w:sz w:val="18"/>
          <w:szCs w:val="18"/>
        </w:rPr>
        <w:fldChar w:fldCharType="end"/>
      </w:r>
      <w:r w:rsidRPr="00DF00EA">
        <w:rPr>
          <w:sz w:val="18"/>
          <w:szCs w:val="18"/>
          <w:lang w:val="fr-FR"/>
        </w:rPr>
        <w:t xml:space="preserve">. </w:t>
      </w:r>
      <w:r>
        <w:rPr>
          <w:sz w:val="18"/>
          <w:szCs w:val="18"/>
          <w:lang w:val="fr-FR"/>
        </w:rPr>
        <w:t>Mais, comme d’autres l’ont fait observer</w:t>
      </w:r>
      <w:r w:rsidRPr="00D6074A">
        <w:rPr>
          <w:sz w:val="18"/>
          <w:szCs w:val="18"/>
          <w:lang w:val="fr-FR"/>
        </w:rPr>
        <w:t>, “</w:t>
      </w:r>
      <w:r>
        <w:rPr>
          <w:sz w:val="18"/>
          <w:szCs w:val="18"/>
          <w:lang w:val="fr-FR"/>
        </w:rPr>
        <w:t xml:space="preserve">les avancées dans le domaine de la </w:t>
      </w:r>
      <w:r w:rsidRPr="00D6074A">
        <w:rPr>
          <w:sz w:val="18"/>
          <w:szCs w:val="18"/>
          <w:lang w:val="fr-FR"/>
        </w:rPr>
        <w:t xml:space="preserve">biologie de synthèse </w:t>
      </w:r>
      <w:r>
        <w:rPr>
          <w:sz w:val="18"/>
          <w:szCs w:val="18"/>
          <w:lang w:val="fr-FR"/>
        </w:rPr>
        <w:t xml:space="preserve">pourraient entraîner une réticence des </w:t>
      </w:r>
      <w:r w:rsidRPr="00D6074A">
        <w:rPr>
          <w:sz w:val="18"/>
          <w:szCs w:val="18"/>
          <w:lang w:val="fr-FR"/>
        </w:rPr>
        <w:t xml:space="preserve">gouvernements </w:t>
      </w:r>
      <w:r>
        <w:rPr>
          <w:sz w:val="18"/>
          <w:szCs w:val="18"/>
          <w:lang w:val="fr-FR"/>
        </w:rPr>
        <w:t>à partager des</w:t>
      </w:r>
      <w:r w:rsidRPr="00D6074A">
        <w:rPr>
          <w:sz w:val="18"/>
          <w:szCs w:val="18"/>
          <w:lang w:val="fr-FR"/>
        </w:rPr>
        <w:t xml:space="preserve"> [</w:t>
      </w:r>
      <w:r>
        <w:rPr>
          <w:sz w:val="18"/>
          <w:szCs w:val="18"/>
          <w:lang w:val="fr-FR"/>
        </w:rPr>
        <w:t>informations de séquençage numérique</w:t>
      </w:r>
      <w:r w:rsidRPr="00D6074A">
        <w:rPr>
          <w:sz w:val="18"/>
          <w:szCs w:val="18"/>
          <w:lang w:val="fr-FR"/>
        </w:rPr>
        <w:t xml:space="preserve">] </w:t>
      </w:r>
      <w:r>
        <w:rPr>
          <w:sz w:val="18"/>
          <w:szCs w:val="18"/>
          <w:lang w:val="fr-FR"/>
        </w:rPr>
        <w:t xml:space="preserve">dans des </w:t>
      </w:r>
      <w:r w:rsidRPr="00D6074A">
        <w:rPr>
          <w:sz w:val="18"/>
          <w:szCs w:val="18"/>
          <w:lang w:val="fr-FR"/>
        </w:rPr>
        <w:t xml:space="preserve">bases de données </w:t>
      </w:r>
      <w:r>
        <w:rPr>
          <w:sz w:val="18"/>
          <w:szCs w:val="18"/>
          <w:lang w:val="fr-FR"/>
        </w:rPr>
        <w:t>accessibles au public, si cela implique de ne pas pouvoir bénéficier des avantages procurés en appliquant leurs lois nationales sur l’</w:t>
      </w:r>
      <w:r w:rsidRPr="00D6074A">
        <w:rPr>
          <w:sz w:val="18"/>
          <w:szCs w:val="18"/>
          <w:lang w:val="fr-FR"/>
        </w:rPr>
        <w:t xml:space="preserve">accès et </w:t>
      </w:r>
      <w:r>
        <w:rPr>
          <w:sz w:val="18"/>
          <w:szCs w:val="18"/>
          <w:lang w:val="fr-FR"/>
        </w:rPr>
        <w:t>le partage des avantages</w:t>
      </w:r>
      <w:r w:rsidRPr="00D6074A">
        <w:rPr>
          <w:sz w:val="18"/>
          <w:szCs w:val="18"/>
          <w:lang w:val="fr-FR"/>
        </w:rPr>
        <w:t xml:space="preserve">.” </w:t>
      </w:r>
      <w:r w:rsidRPr="00696FDA">
        <w:rPr>
          <w:sz w:val="18"/>
          <w:szCs w:val="18"/>
          <w:lang w:val="en-AU"/>
        </w:rPr>
        <w:t>Michelle Rourke et al., ‘</w:t>
      </w:r>
      <w:r>
        <w:rPr>
          <w:sz w:val="18"/>
          <w:szCs w:val="18"/>
        </w:rPr>
        <w:t>Policy opportunities to enhance sharing for pandemic research</w:t>
      </w:r>
      <w:r w:rsidRPr="00696FDA">
        <w:rPr>
          <w:sz w:val="18"/>
          <w:szCs w:val="18"/>
          <w:lang w:val="en-AU"/>
        </w:rPr>
        <w:t xml:space="preserve">’, (2020) 368 Science 717. </w:t>
      </w:r>
      <w:r w:rsidRPr="00696FDA">
        <w:rPr>
          <w:sz w:val="18"/>
          <w:szCs w:val="18"/>
          <w:lang w:val="fr-FR"/>
        </w:rPr>
        <w:t>Ce commentaire a été fait dans le context</w:t>
      </w:r>
      <w:r>
        <w:rPr>
          <w:sz w:val="18"/>
          <w:szCs w:val="18"/>
          <w:lang w:val="fr-FR"/>
        </w:rPr>
        <w:t xml:space="preserve">e d’un partage d’informations sur des </w:t>
      </w:r>
      <w:r w:rsidRPr="00696FDA">
        <w:rPr>
          <w:sz w:val="18"/>
          <w:szCs w:val="18"/>
          <w:lang w:val="fr-FR"/>
        </w:rPr>
        <w:t>échantillon</w:t>
      </w:r>
      <w:r>
        <w:rPr>
          <w:sz w:val="18"/>
          <w:szCs w:val="18"/>
          <w:lang w:val="fr-FR"/>
        </w:rPr>
        <w:t>s de virus pathogène, mais s’applique également à d’autres sujets traités dans le cadre de la législation nationale sur l’accès et le partage des avantages</w:t>
      </w:r>
      <w:r w:rsidRPr="00696FDA">
        <w:rPr>
          <w:sz w:val="18"/>
          <w:szCs w:val="18"/>
          <w:lang w:val="fr-FR"/>
        </w:rPr>
        <w:t>.</w:t>
      </w:r>
    </w:p>
  </w:footnote>
  <w:footnote w:id="168">
    <w:p w14:paraId="124ACCAD" w14:textId="66A2395B" w:rsidR="008A77A6" w:rsidRPr="007D2463"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62267D">
        <w:rPr>
          <w:sz w:val="18"/>
          <w:szCs w:val="18"/>
          <w:lang w:val="en-AU"/>
        </w:rPr>
        <w:t xml:space="preserve"> </w:t>
      </w:r>
      <w:r w:rsidRPr="00F43F79">
        <w:rPr>
          <w:sz w:val="18"/>
          <w:szCs w:val="18"/>
        </w:rPr>
        <w:fldChar w:fldCharType="begin"/>
      </w:r>
      <w:r w:rsidRPr="0062267D">
        <w:rPr>
          <w:sz w:val="18"/>
          <w:szCs w:val="18"/>
          <w:lang w:val="en-AU"/>
        </w:rPr>
        <w:instrText xml:space="preserve"> ADDIN ZOTERO_ITEM CSL_CITATION {"citationID":"g9uWhEMc","properties":{"formattedCitation":"Roger Chennells, \\uc0\\u8216{}Traditional Knowledge and Benefit Sharing after the Nagoya Protocol: Three Cases from South Africa\\uc0\\u8217{} (2013) 9 Law, Environment and Development Journal 169","plainCitation":"Roger Chennells, ‘Traditional Knowledge and Benefit Sharing after the Nagoya Protocol: Three Cases from South Africa’ (2013) 9 Law, Environment and Development Journal 169","noteIndex":164,"suppress-trailing-punctuation":true},"citationItems":[{"id":593,"uris":["http://zotero.org/users/local/dU5rpCrq/items/LDKI3ERJ"],"uri":["http://zotero.org/users/local/dU5rpCrq/items/LDKI3ERJ"],"itemData":{"id":593,"type":"article-journal","multi":{"main":{},"_keys":{}},"container-title":"Law, Environment and Development Journal","issue":"2","page":"169","title":"Traditional Knowledge and Benefit Sharing after the Nagoya Protocol: Three Cases from South Africa","volume":"9","author":[{"family":"Chennells","given":"Roger","multi":{"_key":{}}}],"issued":{"date-parts":[["2013"]]},"seeAlso":[]}}],"schema":"https://github.com/citation-style-language/schema/raw/master/csl-citation.json"} </w:instrText>
      </w:r>
      <w:r w:rsidRPr="00F43F79">
        <w:rPr>
          <w:sz w:val="18"/>
          <w:szCs w:val="18"/>
        </w:rPr>
        <w:fldChar w:fldCharType="separate"/>
      </w:r>
      <w:r w:rsidRPr="0062267D">
        <w:rPr>
          <w:sz w:val="18"/>
          <w:szCs w:val="18"/>
          <w:lang w:val="en-AU"/>
        </w:rPr>
        <w:t>Roger Chennells, ‘</w:t>
      </w:r>
      <w:r>
        <w:rPr>
          <w:sz w:val="18"/>
          <w:szCs w:val="18"/>
        </w:rPr>
        <w:t>Traditional Knowledge and Benefit Sharing after the Nagoya Protocol: Three Cases from South Africa</w:t>
      </w:r>
      <w:r w:rsidRPr="0062267D">
        <w:rPr>
          <w:sz w:val="18"/>
          <w:szCs w:val="18"/>
          <w:lang w:val="en-AU"/>
        </w:rPr>
        <w:t>’ (2013) 9 Law, Environment and Development Journal 169</w:t>
      </w:r>
      <w:r w:rsidRPr="00F43F79">
        <w:rPr>
          <w:sz w:val="18"/>
          <w:szCs w:val="18"/>
        </w:rPr>
        <w:fldChar w:fldCharType="end"/>
      </w:r>
      <w:r>
        <w:rPr>
          <w:sz w:val="18"/>
          <w:szCs w:val="18"/>
          <w:lang w:val="en-AU"/>
        </w:rPr>
        <w:t xml:space="preserve"> (l’auteur note</w:t>
      </w:r>
      <w:r w:rsidRPr="0062267D">
        <w:rPr>
          <w:sz w:val="18"/>
          <w:szCs w:val="18"/>
          <w:lang w:val="en-AU"/>
        </w:rPr>
        <w:t xml:space="preserve"> “</w:t>
      </w:r>
      <w:r>
        <w:rPr>
          <w:sz w:val="18"/>
          <w:szCs w:val="18"/>
          <w:lang w:val="en-AU"/>
        </w:rPr>
        <w:t>la complexité de l’</w:t>
      </w:r>
      <w:r w:rsidRPr="0062267D">
        <w:rPr>
          <w:sz w:val="18"/>
          <w:szCs w:val="18"/>
          <w:lang w:val="en-AU"/>
        </w:rPr>
        <w:t>origin</w:t>
      </w:r>
      <w:r>
        <w:rPr>
          <w:sz w:val="18"/>
          <w:szCs w:val="18"/>
          <w:lang w:val="en-AU"/>
        </w:rPr>
        <w:t>e des communauté</w:t>
      </w:r>
      <w:r w:rsidRPr="0062267D">
        <w:rPr>
          <w:sz w:val="18"/>
          <w:szCs w:val="18"/>
          <w:lang w:val="en-AU"/>
        </w:rPr>
        <w:t xml:space="preserve">s . . . </w:t>
      </w:r>
      <w:r w:rsidRPr="007D2463">
        <w:rPr>
          <w:sz w:val="18"/>
          <w:szCs w:val="18"/>
          <w:lang w:val="fr-FR"/>
        </w:rPr>
        <w:t xml:space="preserve">[dans] les pays où des populations </w:t>
      </w:r>
      <w:r>
        <w:rPr>
          <w:sz w:val="18"/>
          <w:szCs w:val="18"/>
          <w:lang w:val="fr-FR"/>
        </w:rPr>
        <w:t xml:space="preserve">ont été perturbées par plusieurs siècles de </w:t>
      </w:r>
      <w:r w:rsidRPr="007D2463">
        <w:rPr>
          <w:sz w:val="18"/>
          <w:szCs w:val="18"/>
          <w:lang w:val="fr-FR"/>
        </w:rPr>
        <w:t xml:space="preserve">migration et </w:t>
      </w:r>
      <w:r>
        <w:rPr>
          <w:sz w:val="18"/>
          <w:szCs w:val="18"/>
          <w:lang w:val="fr-FR"/>
        </w:rPr>
        <w:t xml:space="preserve">de </w:t>
      </w:r>
      <w:r w:rsidRPr="007D2463">
        <w:rPr>
          <w:sz w:val="18"/>
          <w:szCs w:val="18"/>
          <w:lang w:val="fr-FR"/>
        </w:rPr>
        <w:t>colonisation.”)</w:t>
      </w:r>
    </w:p>
  </w:footnote>
  <w:footnote w:id="169">
    <w:p w14:paraId="36037A0D" w14:textId="624E1B00" w:rsidR="008A77A6" w:rsidRPr="007D2463"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D6232E">
        <w:rPr>
          <w:sz w:val="18"/>
          <w:szCs w:val="18"/>
          <w:lang w:val="fr-FR"/>
        </w:rPr>
        <w:t xml:space="preserve"> MB, </w:t>
      </w:r>
      <w:r>
        <w:rPr>
          <w:sz w:val="18"/>
          <w:szCs w:val="18"/>
          <w:lang w:val="fr-FR"/>
        </w:rPr>
        <w:t>Entretien</w:t>
      </w:r>
      <w:r w:rsidRPr="00D6232E">
        <w:rPr>
          <w:sz w:val="18"/>
          <w:szCs w:val="18"/>
          <w:lang w:val="fr-FR"/>
        </w:rPr>
        <w:t xml:space="preserve"> avec Dario Luque et Jorge Garcia (2020). </w:t>
      </w:r>
      <w:r>
        <w:rPr>
          <w:sz w:val="18"/>
          <w:szCs w:val="18"/>
          <w:lang w:val="fr-FR"/>
        </w:rPr>
        <w:t>Dans des observations</w:t>
      </w:r>
      <w:r w:rsidRPr="007D2463">
        <w:rPr>
          <w:sz w:val="18"/>
          <w:szCs w:val="18"/>
          <w:lang w:val="fr-FR"/>
        </w:rPr>
        <w:t xml:space="preserve"> soumis</w:t>
      </w:r>
      <w:r>
        <w:rPr>
          <w:sz w:val="18"/>
          <w:szCs w:val="18"/>
          <w:lang w:val="fr-FR"/>
        </w:rPr>
        <w:t>es</w:t>
      </w:r>
      <w:r w:rsidRPr="007D2463">
        <w:rPr>
          <w:sz w:val="18"/>
          <w:szCs w:val="18"/>
          <w:lang w:val="fr-FR"/>
        </w:rPr>
        <w:t xml:space="preserve"> à un</w:t>
      </w:r>
      <w:r>
        <w:rPr>
          <w:sz w:val="18"/>
          <w:szCs w:val="18"/>
          <w:lang w:val="fr-FR"/>
        </w:rPr>
        <w:t xml:space="preserve"> </w:t>
      </w:r>
      <w:r w:rsidRPr="007D2463">
        <w:rPr>
          <w:sz w:val="18"/>
          <w:szCs w:val="18"/>
          <w:lang w:val="fr-FR"/>
        </w:rPr>
        <w:t>examen par des pairs</w:t>
      </w:r>
      <w:r>
        <w:rPr>
          <w:sz w:val="18"/>
          <w:szCs w:val="18"/>
          <w:lang w:val="fr-FR"/>
        </w:rPr>
        <w:t>, l</w:t>
      </w:r>
      <w:r w:rsidRPr="007D2463">
        <w:rPr>
          <w:sz w:val="18"/>
          <w:szCs w:val="18"/>
          <w:lang w:val="fr-FR"/>
        </w:rPr>
        <w:t xml:space="preserve">e </w:t>
      </w:r>
      <w:r>
        <w:rPr>
          <w:sz w:val="18"/>
          <w:szCs w:val="18"/>
          <w:lang w:val="fr-FR"/>
        </w:rPr>
        <w:t>G</w:t>
      </w:r>
      <w:r w:rsidRPr="007D2463">
        <w:rPr>
          <w:sz w:val="18"/>
          <w:szCs w:val="18"/>
          <w:lang w:val="fr-FR"/>
        </w:rPr>
        <w:t>ouvernement</w:t>
      </w:r>
      <w:r>
        <w:rPr>
          <w:sz w:val="18"/>
          <w:szCs w:val="18"/>
          <w:lang w:val="fr-FR"/>
        </w:rPr>
        <w:t xml:space="preserve"> c</w:t>
      </w:r>
      <w:r w:rsidRPr="007D2463">
        <w:rPr>
          <w:sz w:val="18"/>
          <w:szCs w:val="18"/>
          <w:lang w:val="fr-FR"/>
        </w:rPr>
        <w:t>olombie</w:t>
      </w:r>
      <w:r>
        <w:rPr>
          <w:sz w:val="18"/>
          <w:szCs w:val="18"/>
          <w:lang w:val="fr-FR"/>
        </w:rPr>
        <w:t>n a indiqué qu’il fonctionne de la même façon que le Panama sur</w:t>
      </w:r>
      <w:r w:rsidRPr="007D2463">
        <w:rPr>
          <w:sz w:val="18"/>
          <w:szCs w:val="18"/>
          <w:lang w:val="fr-FR"/>
        </w:rPr>
        <w:t xml:space="preserve"> ces questions.</w:t>
      </w:r>
    </w:p>
  </w:footnote>
  <w:footnote w:id="170">
    <w:p w14:paraId="3E6E1B6A" w14:textId="6B1F57EC" w:rsidR="008A77A6" w:rsidRPr="007D2463"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552599">
        <w:rPr>
          <w:sz w:val="18"/>
          <w:szCs w:val="18"/>
          <w:lang w:val="fr-FR"/>
        </w:rPr>
        <w:t xml:space="preserve"> Communication, Costa Rica (2015). </w:t>
      </w:r>
      <w:r w:rsidRPr="007D2463">
        <w:rPr>
          <w:sz w:val="18"/>
          <w:szCs w:val="18"/>
          <w:lang w:val="fr-FR"/>
        </w:rPr>
        <w:t>Cependant,</w:t>
      </w:r>
      <w:r>
        <w:rPr>
          <w:sz w:val="18"/>
          <w:szCs w:val="18"/>
          <w:lang w:val="fr-FR"/>
        </w:rPr>
        <w:t xml:space="preserve"> des observations du Costa Rica,</w:t>
      </w:r>
      <w:r w:rsidRPr="007D2463">
        <w:rPr>
          <w:sz w:val="18"/>
          <w:szCs w:val="18"/>
          <w:lang w:val="fr-FR"/>
        </w:rPr>
        <w:t xml:space="preserve"> soumises à un examen par des pairs, suggère</w:t>
      </w:r>
      <w:r>
        <w:rPr>
          <w:sz w:val="18"/>
          <w:szCs w:val="18"/>
          <w:lang w:val="fr-FR"/>
        </w:rPr>
        <w:t>nt</w:t>
      </w:r>
      <w:r w:rsidRPr="007D2463">
        <w:rPr>
          <w:sz w:val="18"/>
          <w:szCs w:val="18"/>
          <w:lang w:val="fr-FR"/>
        </w:rPr>
        <w:t xml:space="preserve"> une </w:t>
      </w:r>
      <w:r>
        <w:rPr>
          <w:sz w:val="18"/>
          <w:szCs w:val="18"/>
          <w:lang w:val="fr-FR"/>
        </w:rPr>
        <w:t xml:space="preserve">évolution des positions, afin </w:t>
      </w:r>
      <w:r w:rsidRPr="007D2463">
        <w:rPr>
          <w:sz w:val="18"/>
          <w:szCs w:val="18"/>
          <w:lang w:val="fr-FR"/>
        </w:rPr>
        <w:t>d’inclure la possibilité</w:t>
      </w:r>
      <w:r>
        <w:rPr>
          <w:sz w:val="18"/>
          <w:szCs w:val="18"/>
          <w:lang w:val="fr-FR"/>
        </w:rPr>
        <w:t xml:space="preserve"> d’une ré</w:t>
      </w:r>
      <w:r w:rsidRPr="007D2463">
        <w:rPr>
          <w:sz w:val="18"/>
          <w:szCs w:val="18"/>
          <w:lang w:val="fr-FR"/>
        </w:rPr>
        <w:t>solution</w:t>
      </w:r>
      <w:r>
        <w:rPr>
          <w:sz w:val="18"/>
          <w:szCs w:val="18"/>
          <w:lang w:val="fr-FR"/>
        </w:rPr>
        <w:t xml:space="preserve"> subordonnée au </w:t>
      </w:r>
      <w:r w:rsidRPr="007D2463">
        <w:rPr>
          <w:sz w:val="18"/>
          <w:szCs w:val="18"/>
          <w:lang w:val="fr-FR"/>
        </w:rPr>
        <w:t>consent</w:t>
      </w:r>
      <w:r>
        <w:rPr>
          <w:sz w:val="18"/>
          <w:szCs w:val="18"/>
          <w:lang w:val="fr-FR"/>
        </w:rPr>
        <w:t>ement du peuple Ngobe Bugle</w:t>
      </w:r>
      <w:r w:rsidRPr="007D2463">
        <w:rPr>
          <w:sz w:val="18"/>
          <w:szCs w:val="18"/>
          <w:lang w:val="fr-FR"/>
        </w:rPr>
        <w:t xml:space="preserve">. </w:t>
      </w:r>
    </w:p>
  </w:footnote>
  <w:footnote w:id="171">
    <w:p w14:paraId="1A883A48" w14:textId="403D07A4" w:rsidR="008A77A6" w:rsidRPr="007D2463"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7D2463">
        <w:rPr>
          <w:sz w:val="18"/>
          <w:szCs w:val="18"/>
          <w:lang w:val="en-AU"/>
        </w:rPr>
        <w:t xml:space="preserve"> Voir </w:t>
      </w:r>
      <w:r w:rsidRPr="00F43F79">
        <w:rPr>
          <w:sz w:val="18"/>
          <w:szCs w:val="18"/>
        </w:rPr>
        <w:fldChar w:fldCharType="begin"/>
      </w:r>
      <w:r w:rsidRPr="007D2463">
        <w:rPr>
          <w:sz w:val="18"/>
          <w:szCs w:val="18"/>
          <w:lang w:val="en-AU"/>
        </w:rPr>
        <w:instrText xml:space="preserve"> ADDIN ZOTERO_ITEM CSL_CITATION {"citationID":"nMPyOv8k","properties":{"formattedCitation":"Natural Justice and ABS Capacity Development Initiative, \\uc0\\u8216{}Experiences and Lessons Learned from the Development and Implementation of Community Protocols and Procedures: Contribution to the First Assessment and Review of the Effectiveness of the Nagoya Protocol\\uc0\\u8217{} (Natural Justice and ABS Capacity Development Initiative 2017) 20.","plainCitation":"Natural Justice and ABS Capacity Development Initiative, ‘Experiences and Lessons Learned from the Development and Implementation of Community Protocols and Procedures: Contribution to the First Assessment and Review of the Effectiveness of the Nagoya Protocol’ (Natural Justice and ABS Capacity Development Initiative 2017) 20.","noteIndex":167},"citationItems":[{"id":627,"uris":["http://zotero.org/users/local/dU5rpCrq/items/NV7Q3KXS"],"uri":["http://zotero.org/users/local/dU5rpCrq/items/NV7Q3KXS"],"itemData":{"id":627,"type":"article","multi":{"main":{},"_keys":{}},"publisher":"Natural Justice and ABS Capacity Development Initiative","title":"Experiences and Lessons Learned from the Development and Implementation of Community Protocols and Procedures: Contribution to the First Assessment and Review of the Effectiveness of the Nagoya Protocol","URL":"https://www.cbd.int/abs/submissions/assessment/naturaljustice-abs-initiative-en.pdf","author":[{"family":"Natural Justice","given":"","literal":"Natural Justice","multi":{"_key":{}}},{"family":"ABS Capacity Development Initiative","given":"","literal":"ABS Capacity Development Initiative","multi":{"_key":{}}}],"issued":{"date-parts":[["2017"]]},"seeAlso":[]},"locator":"20"}],"schema":"https://github.com/citation-style-language/schema/raw/master/csl-citation.json"} </w:instrText>
      </w:r>
      <w:r w:rsidRPr="00F43F79">
        <w:rPr>
          <w:sz w:val="18"/>
          <w:szCs w:val="18"/>
        </w:rPr>
        <w:fldChar w:fldCharType="separate"/>
      </w:r>
      <w:r w:rsidRPr="007D2463">
        <w:rPr>
          <w:sz w:val="18"/>
          <w:szCs w:val="18"/>
          <w:lang w:val="en-AU"/>
        </w:rPr>
        <w:t>Natural Justice and Access and Benefit-Sharing Capacity Development Initiative, ‘Experiences and Lessons Learned from the Development and Implementation of</w:t>
      </w:r>
      <w:r>
        <w:rPr>
          <w:sz w:val="18"/>
          <w:szCs w:val="18"/>
          <w:lang w:val="en-AU"/>
        </w:rPr>
        <w:t xml:space="preserve"> Community</w:t>
      </w:r>
      <w:r w:rsidRPr="007D2463">
        <w:rPr>
          <w:sz w:val="18"/>
          <w:szCs w:val="18"/>
          <w:lang w:val="en-AU"/>
        </w:rPr>
        <w:t xml:space="preserve"> </w:t>
      </w:r>
      <w:r>
        <w:rPr>
          <w:sz w:val="18"/>
          <w:szCs w:val="18"/>
          <w:lang w:val="en-AU"/>
        </w:rPr>
        <w:t xml:space="preserve">Protocols and </w:t>
      </w:r>
      <w:r w:rsidRPr="007D2463">
        <w:rPr>
          <w:sz w:val="18"/>
          <w:szCs w:val="18"/>
          <w:lang w:val="en-AU"/>
        </w:rPr>
        <w:t>Procedures: Contribution to the First Assessment</w:t>
      </w:r>
      <w:r>
        <w:rPr>
          <w:sz w:val="18"/>
          <w:szCs w:val="18"/>
          <w:lang w:val="en-AU"/>
        </w:rPr>
        <w:t xml:space="preserve"> and </w:t>
      </w:r>
      <w:r w:rsidRPr="007D2463">
        <w:rPr>
          <w:sz w:val="18"/>
          <w:szCs w:val="18"/>
          <w:lang w:val="en-AU"/>
        </w:rPr>
        <w:t xml:space="preserve">Review of the Effectiveness </w:t>
      </w:r>
      <w:r>
        <w:rPr>
          <w:sz w:val="18"/>
          <w:szCs w:val="18"/>
          <w:lang w:val="en-AU"/>
        </w:rPr>
        <w:t>of the Nagoya Protocol</w:t>
      </w:r>
      <w:r w:rsidRPr="007D2463">
        <w:rPr>
          <w:sz w:val="18"/>
          <w:szCs w:val="18"/>
          <w:lang w:val="en-AU"/>
        </w:rPr>
        <w:t>’ (Natural Justice</w:t>
      </w:r>
      <w:r>
        <w:rPr>
          <w:sz w:val="18"/>
          <w:szCs w:val="18"/>
          <w:lang w:val="en-AU"/>
        </w:rPr>
        <w:t xml:space="preserve"> and Access and Benefit-Sharing</w:t>
      </w:r>
      <w:r w:rsidRPr="007D2463">
        <w:rPr>
          <w:sz w:val="18"/>
          <w:szCs w:val="18"/>
          <w:lang w:val="en-AU"/>
        </w:rPr>
        <w:t xml:space="preserve"> Capacity Development Initiative 2017) 20.</w:t>
      </w:r>
      <w:r w:rsidRPr="00F43F79">
        <w:rPr>
          <w:sz w:val="18"/>
          <w:szCs w:val="18"/>
        </w:rPr>
        <w:fldChar w:fldCharType="end"/>
      </w:r>
    </w:p>
  </w:footnote>
  <w:footnote w:id="172">
    <w:p w14:paraId="7DF71D21" w14:textId="06B63A4A" w:rsidR="008A77A6" w:rsidRPr="00E47F44"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E47F44">
        <w:rPr>
          <w:sz w:val="18"/>
          <w:szCs w:val="18"/>
          <w:lang w:val="fr-FR"/>
        </w:rPr>
        <w:t xml:space="preserve"> Brevet américain</w:t>
      </w:r>
      <w:r>
        <w:rPr>
          <w:sz w:val="18"/>
          <w:szCs w:val="18"/>
          <w:lang w:val="fr-FR"/>
        </w:rPr>
        <w:t xml:space="preserve"> No. 6 </w:t>
      </w:r>
      <w:r w:rsidRPr="00E47F44">
        <w:rPr>
          <w:sz w:val="18"/>
          <w:szCs w:val="18"/>
          <w:lang w:val="fr-FR"/>
        </w:rPr>
        <w:t>3</w:t>
      </w:r>
      <w:r>
        <w:rPr>
          <w:sz w:val="18"/>
          <w:szCs w:val="18"/>
          <w:lang w:val="fr-FR"/>
        </w:rPr>
        <w:t xml:space="preserve">50 </w:t>
      </w:r>
      <w:r w:rsidRPr="00E47F44">
        <w:rPr>
          <w:sz w:val="18"/>
          <w:szCs w:val="18"/>
          <w:lang w:val="fr-FR"/>
        </w:rPr>
        <w:t xml:space="preserve">478 (“l’espèce </w:t>
      </w:r>
      <w:r w:rsidRPr="00E47F44">
        <w:rPr>
          <w:i/>
          <w:iCs/>
          <w:sz w:val="18"/>
          <w:szCs w:val="18"/>
          <w:lang w:val="fr-FR"/>
        </w:rPr>
        <w:t>Artemisia judaica </w:t>
      </w:r>
      <w:r>
        <w:rPr>
          <w:sz w:val="18"/>
          <w:szCs w:val="18"/>
          <w:lang w:val="fr-FR"/>
        </w:rPr>
        <w:t>est utilisée dans</w:t>
      </w:r>
      <w:r w:rsidRPr="00E47F44">
        <w:rPr>
          <w:sz w:val="18"/>
          <w:szCs w:val="18"/>
          <w:lang w:val="fr-FR"/>
        </w:rPr>
        <w:t xml:space="preserve"> la médecine</w:t>
      </w:r>
      <w:r>
        <w:rPr>
          <w:sz w:val="18"/>
          <w:szCs w:val="18"/>
          <w:lang w:val="fr-FR"/>
        </w:rPr>
        <w:t xml:space="preserve"> traditionnelle en Lybie, sous forme d’</w:t>
      </w:r>
      <w:r w:rsidRPr="00E47F44">
        <w:rPr>
          <w:sz w:val="18"/>
          <w:szCs w:val="18"/>
          <w:lang w:val="fr-FR"/>
        </w:rPr>
        <w:t xml:space="preserve">infusion </w:t>
      </w:r>
      <w:r>
        <w:rPr>
          <w:sz w:val="18"/>
          <w:szCs w:val="18"/>
          <w:lang w:val="fr-FR"/>
        </w:rPr>
        <w:t>comme traitement contre le “syndrome de cachexie</w:t>
      </w:r>
      <w:r w:rsidRPr="00E47F44">
        <w:rPr>
          <w:sz w:val="18"/>
          <w:szCs w:val="18"/>
          <w:lang w:val="fr-FR"/>
        </w:rPr>
        <w:t xml:space="preserve">”, </w:t>
      </w:r>
      <w:r>
        <w:rPr>
          <w:sz w:val="18"/>
          <w:szCs w:val="18"/>
          <w:lang w:val="fr-FR"/>
        </w:rPr>
        <w:t>presque certainement du diabète sucré</w:t>
      </w:r>
      <w:r w:rsidRPr="00E47F44">
        <w:rPr>
          <w:sz w:val="18"/>
          <w:szCs w:val="18"/>
          <w:lang w:val="fr-FR"/>
        </w:rPr>
        <w:t xml:space="preserve">.”). Voir aussi Daniel F. Robinson, </w:t>
      </w:r>
      <w:r w:rsidRPr="00E47F44">
        <w:rPr>
          <w:i/>
          <w:sz w:val="18"/>
          <w:szCs w:val="18"/>
          <w:lang w:val="fr-FR"/>
        </w:rPr>
        <w:t>Confronting Biopiracy: Challenges, Cases and International Debates</w:t>
      </w:r>
      <w:r>
        <w:rPr>
          <w:sz w:val="18"/>
          <w:szCs w:val="18"/>
          <w:lang w:val="fr-FR"/>
        </w:rPr>
        <w:t xml:space="preserve"> (Earthscan 2010) 60 (lequel cite</w:t>
      </w:r>
      <w:r w:rsidRPr="00E47F44">
        <w:rPr>
          <w:sz w:val="18"/>
          <w:szCs w:val="18"/>
          <w:lang w:val="fr-FR"/>
        </w:rPr>
        <w:t xml:space="preserve"> plusieurs</w:t>
      </w:r>
      <w:r>
        <w:rPr>
          <w:sz w:val="18"/>
          <w:szCs w:val="18"/>
          <w:lang w:val="fr-FR"/>
        </w:rPr>
        <w:t xml:space="preserve"> publications documentant</w:t>
      </w:r>
      <w:r w:rsidRPr="00E47F44">
        <w:rPr>
          <w:sz w:val="18"/>
          <w:szCs w:val="18"/>
          <w:lang w:val="fr-FR"/>
        </w:rPr>
        <w:t xml:space="preserve"> les utilisations traditionnelles</w:t>
      </w:r>
      <w:r>
        <w:rPr>
          <w:sz w:val="18"/>
          <w:szCs w:val="18"/>
          <w:lang w:val="fr-FR"/>
        </w:rPr>
        <w:t xml:space="preserve"> de cette</w:t>
      </w:r>
      <w:r w:rsidRPr="00E47F44">
        <w:rPr>
          <w:sz w:val="18"/>
          <w:szCs w:val="18"/>
          <w:lang w:val="fr-FR"/>
        </w:rPr>
        <w:t xml:space="preserve"> plant</w:t>
      </w:r>
      <w:r>
        <w:rPr>
          <w:sz w:val="18"/>
          <w:szCs w:val="18"/>
          <w:lang w:val="fr-FR"/>
        </w:rPr>
        <w:t>e</w:t>
      </w:r>
      <w:r w:rsidRPr="00E47F44">
        <w:rPr>
          <w:sz w:val="18"/>
          <w:szCs w:val="18"/>
          <w:lang w:val="fr-FR"/>
        </w:rPr>
        <w:t>).</w:t>
      </w:r>
    </w:p>
  </w:footnote>
  <w:footnote w:id="173">
    <w:p w14:paraId="13530B61" w14:textId="434C3531" w:rsidR="008A77A6" w:rsidRPr="006F7A6F"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6F7A6F">
        <w:rPr>
          <w:sz w:val="18"/>
          <w:szCs w:val="18"/>
          <w:lang w:val="fr-FR"/>
        </w:rPr>
        <w:t xml:space="preserve"> M.S. Abu-Darwish, et al., Chemical composition and biological activities of </w:t>
      </w:r>
      <w:r w:rsidRPr="006F7A6F">
        <w:rPr>
          <w:i/>
          <w:sz w:val="18"/>
          <w:szCs w:val="18"/>
          <w:lang w:val="fr-FR"/>
        </w:rPr>
        <w:t xml:space="preserve">Artemisia Judaica </w:t>
      </w:r>
      <w:r w:rsidRPr="006F7A6F">
        <w:rPr>
          <w:sz w:val="18"/>
          <w:szCs w:val="18"/>
          <w:lang w:val="fr-FR"/>
        </w:rPr>
        <w:t>essential oil from southern desert of Jordan, J. Ethnopharmacology 191 (2016) 161 (“</w:t>
      </w:r>
      <w:r w:rsidRPr="006F7A6F">
        <w:rPr>
          <w:i/>
          <w:sz w:val="18"/>
          <w:szCs w:val="18"/>
          <w:lang w:val="fr-FR"/>
        </w:rPr>
        <w:t>A. judaica</w:t>
      </w:r>
      <w:r w:rsidRPr="006F7A6F">
        <w:rPr>
          <w:sz w:val="18"/>
          <w:szCs w:val="18"/>
          <w:lang w:val="fr-FR"/>
        </w:rPr>
        <w:t xml:space="preserve"> a ét</w:t>
      </w:r>
      <w:r>
        <w:rPr>
          <w:sz w:val="18"/>
          <w:szCs w:val="18"/>
          <w:lang w:val="fr-FR"/>
        </w:rPr>
        <w:t xml:space="preserve">é décrite par des herboristes jordaniens comme </w:t>
      </w:r>
      <w:r w:rsidRPr="006F7A6F">
        <w:rPr>
          <w:sz w:val="18"/>
          <w:szCs w:val="18"/>
          <w:lang w:val="fr-FR"/>
        </w:rPr>
        <w:t xml:space="preserve">traitement traditionnel contre </w:t>
      </w:r>
      <w:r>
        <w:rPr>
          <w:sz w:val="18"/>
          <w:szCs w:val="18"/>
          <w:lang w:val="fr-FR"/>
        </w:rPr>
        <w:t>la thrombose artérielle coronarienne</w:t>
      </w:r>
      <w:r w:rsidRPr="006F7A6F">
        <w:rPr>
          <w:sz w:val="18"/>
          <w:szCs w:val="18"/>
          <w:lang w:val="fr-FR"/>
        </w:rPr>
        <w:t xml:space="preserve"> et l’infarct</w:t>
      </w:r>
      <w:r>
        <w:rPr>
          <w:sz w:val="18"/>
          <w:szCs w:val="18"/>
          <w:lang w:val="fr-FR"/>
        </w:rPr>
        <w:t>us du myocarde . . . . il existe des indications d’utilisation</w:t>
      </w:r>
      <w:r w:rsidRPr="006F7A6F">
        <w:rPr>
          <w:sz w:val="18"/>
          <w:szCs w:val="18"/>
          <w:lang w:val="fr-FR"/>
        </w:rPr>
        <w:t xml:space="preserve"> </w:t>
      </w:r>
      <w:r>
        <w:rPr>
          <w:sz w:val="18"/>
          <w:szCs w:val="18"/>
          <w:lang w:val="fr-FR"/>
        </w:rPr>
        <w:t xml:space="preserve">de l’espèce </w:t>
      </w:r>
      <w:r w:rsidRPr="006F7A6F">
        <w:rPr>
          <w:i/>
          <w:sz w:val="18"/>
          <w:szCs w:val="18"/>
          <w:lang w:val="fr-FR"/>
        </w:rPr>
        <w:t>A. judaica</w:t>
      </w:r>
      <w:r w:rsidRPr="006F7A6F">
        <w:rPr>
          <w:sz w:val="18"/>
          <w:szCs w:val="18"/>
          <w:lang w:val="fr-FR"/>
        </w:rPr>
        <w:t xml:space="preserve"> </w:t>
      </w:r>
      <w:r>
        <w:rPr>
          <w:sz w:val="18"/>
          <w:szCs w:val="18"/>
          <w:lang w:val="fr-FR"/>
        </w:rPr>
        <w:t>dans la médecine traditionnelle des</w:t>
      </w:r>
      <w:r w:rsidRPr="006F7A6F">
        <w:rPr>
          <w:sz w:val="18"/>
          <w:szCs w:val="18"/>
          <w:lang w:val="fr-FR"/>
        </w:rPr>
        <w:t xml:space="preserve"> </w:t>
      </w:r>
      <w:r>
        <w:rPr>
          <w:sz w:val="18"/>
          <w:szCs w:val="18"/>
          <w:lang w:val="fr-FR"/>
        </w:rPr>
        <w:t xml:space="preserve">Bédouins du désert d’Arabie saoudite et du </w:t>
      </w:r>
      <w:r w:rsidRPr="006F7A6F">
        <w:rPr>
          <w:sz w:val="18"/>
          <w:szCs w:val="18"/>
          <w:lang w:val="fr-FR"/>
        </w:rPr>
        <w:t>Sinai.”)</w:t>
      </w:r>
    </w:p>
  </w:footnote>
  <w:footnote w:id="174">
    <w:p w14:paraId="73E838F0" w14:textId="053813C6" w:rsidR="008A77A6" w:rsidRPr="00552599"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F43F79">
        <w:rPr>
          <w:sz w:val="18"/>
          <w:szCs w:val="18"/>
        </w:rPr>
        <w:t xml:space="preserve"> Yasser A. El-Amier, et al., Potential of wild plant Artemisia judaica L. as sustainable source of antioxidant</w:t>
      </w:r>
      <w:r>
        <w:rPr>
          <w:sz w:val="18"/>
          <w:szCs w:val="18"/>
        </w:rPr>
        <w:t xml:space="preserve"> and </w:t>
      </w:r>
      <w:r w:rsidRPr="00F43F79">
        <w:rPr>
          <w:sz w:val="18"/>
          <w:szCs w:val="18"/>
        </w:rPr>
        <w:t xml:space="preserve">antimicrobial compounds, J. Experimental Sci. </w:t>
      </w:r>
      <w:r w:rsidRPr="00552599">
        <w:rPr>
          <w:sz w:val="18"/>
          <w:szCs w:val="18"/>
          <w:lang w:val="fr-FR"/>
        </w:rPr>
        <w:t>(2019), 10: 04-08.</w:t>
      </w:r>
    </w:p>
  </w:footnote>
  <w:footnote w:id="175">
    <w:p w14:paraId="62D906C8" w14:textId="01A9C98A" w:rsidR="008A77A6" w:rsidRPr="00F43F79" w:rsidRDefault="008A77A6" w:rsidP="00F43F79">
      <w:pPr>
        <w:pStyle w:val="FootnoteText"/>
        <w:spacing w:before="20" w:after="20"/>
        <w:ind w:left="284" w:hanging="288"/>
        <w:rPr>
          <w:sz w:val="18"/>
          <w:szCs w:val="18"/>
        </w:rPr>
      </w:pPr>
      <w:r w:rsidRPr="00F43F79">
        <w:rPr>
          <w:rStyle w:val="FootnoteReference"/>
          <w:sz w:val="18"/>
          <w:szCs w:val="18"/>
        </w:rPr>
        <w:footnoteRef/>
      </w:r>
      <w:r>
        <w:rPr>
          <w:sz w:val="18"/>
          <w:szCs w:val="18"/>
          <w:lang w:val="fr-FR"/>
        </w:rPr>
        <w:t xml:space="preserve"> L’annulation de projets </w:t>
      </w:r>
      <w:r w:rsidRPr="002764FB">
        <w:rPr>
          <w:sz w:val="18"/>
          <w:szCs w:val="18"/>
          <w:lang w:val="fr-FR"/>
        </w:rPr>
        <w:t>en raison d’une incapacité à</w:t>
      </w:r>
      <w:r>
        <w:rPr>
          <w:sz w:val="18"/>
          <w:szCs w:val="18"/>
          <w:lang w:val="fr-FR"/>
        </w:rPr>
        <w:t xml:space="preserve"> obtenir un</w:t>
      </w:r>
      <w:r w:rsidRPr="002764FB">
        <w:rPr>
          <w:sz w:val="18"/>
          <w:szCs w:val="18"/>
          <w:lang w:val="fr-FR"/>
        </w:rPr>
        <w:t xml:space="preserve"> </w:t>
      </w:r>
      <w:r>
        <w:rPr>
          <w:sz w:val="18"/>
          <w:szCs w:val="18"/>
          <w:lang w:val="fr-FR"/>
        </w:rPr>
        <w:t>consentement préalable donné en connaissance de cause</w:t>
      </w:r>
      <w:r w:rsidRPr="002764FB">
        <w:rPr>
          <w:sz w:val="18"/>
          <w:szCs w:val="18"/>
          <w:lang w:val="fr-FR"/>
        </w:rPr>
        <w:t xml:space="preserve"> </w:t>
      </w:r>
      <w:r>
        <w:rPr>
          <w:sz w:val="18"/>
          <w:szCs w:val="18"/>
          <w:lang w:val="fr-FR"/>
        </w:rPr>
        <w:t>en temps voulu n’est pas seulement purement hypothétique</w:t>
      </w:r>
      <w:r w:rsidRPr="002764FB">
        <w:rPr>
          <w:sz w:val="18"/>
          <w:szCs w:val="18"/>
          <w:lang w:val="fr-FR"/>
        </w:rPr>
        <w:t xml:space="preserve">.  </w:t>
      </w:r>
      <w:r>
        <w:rPr>
          <w:sz w:val="18"/>
          <w:szCs w:val="18"/>
          <w:lang w:val="fr-FR"/>
        </w:rPr>
        <w:t>Une communication de 2017 provenant d’</w:t>
      </w:r>
      <w:r w:rsidRPr="003D7D73">
        <w:rPr>
          <w:sz w:val="18"/>
          <w:szCs w:val="18"/>
          <w:lang w:val="fr-FR"/>
        </w:rPr>
        <w:t>un jardin botanique a ind</w:t>
      </w:r>
      <w:r>
        <w:rPr>
          <w:sz w:val="18"/>
          <w:szCs w:val="18"/>
          <w:lang w:val="fr-FR"/>
        </w:rPr>
        <w:t>iqué qu’en raison d’une telle difficulté</w:t>
      </w:r>
      <w:r w:rsidRPr="003D7D73">
        <w:rPr>
          <w:sz w:val="18"/>
          <w:szCs w:val="18"/>
          <w:lang w:val="fr-FR"/>
        </w:rPr>
        <w:t xml:space="preserve">, </w:t>
      </w:r>
      <w:r>
        <w:rPr>
          <w:sz w:val="18"/>
          <w:szCs w:val="18"/>
          <w:lang w:val="fr-FR"/>
        </w:rPr>
        <w:t>“les premières applications et les projets de recherche de base ont dû être annulés</w:t>
      </w:r>
      <w:r w:rsidRPr="003D7D73">
        <w:rPr>
          <w:sz w:val="18"/>
          <w:szCs w:val="18"/>
          <w:lang w:val="fr-FR"/>
        </w:rPr>
        <w:t xml:space="preserve">”. </w:t>
      </w:r>
      <w:r>
        <w:rPr>
          <w:sz w:val="18"/>
          <w:szCs w:val="18"/>
        </w:rPr>
        <w:t xml:space="preserve">Voir </w:t>
      </w:r>
      <w:r w:rsidRPr="00F43F79">
        <w:rPr>
          <w:sz w:val="18"/>
          <w:szCs w:val="18"/>
        </w:rPr>
        <w:t xml:space="preserve">‘Comments on behalf of </w:t>
      </w:r>
      <w:r>
        <w:rPr>
          <w:sz w:val="18"/>
          <w:szCs w:val="18"/>
        </w:rPr>
        <w:t>Botanic Gardens</w:t>
      </w:r>
      <w:r w:rsidRPr="00F43F79">
        <w:rPr>
          <w:sz w:val="18"/>
          <w:szCs w:val="18"/>
        </w:rPr>
        <w:t xml:space="preserve">’ (esp. IPEN – International Plant Exchange Network) (2017). </w:t>
      </w:r>
    </w:p>
  </w:footnote>
  <w:footnote w:id="176">
    <w:p w14:paraId="514B7A87" w14:textId="151F761B" w:rsidR="008A77A6" w:rsidRPr="00F43F79" w:rsidRDefault="008A77A6" w:rsidP="00F43F79">
      <w:pPr>
        <w:pStyle w:val="FootnoteText"/>
        <w:spacing w:before="20" w:after="20"/>
        <w:ind w:left="288" w:hanging="288"/>
        <w:rPr>
          <w:sz w:val="18"/>
          <w:szCs w:val="18"/>
        </w:rPr>
      </w:pPr>
      <w:r w:rsidRPr="00F43F79">
        <w:rPr>
          <w:rStyle w:val="FootnoteReference"/>
          <w:sz w:val="18"/>
          <w:szCs w:val="18"/>
        </w:rPr>
        <w:footnoteRef/>
      </w:r>
      <w:r>
        <w:rPr>
          <w:sz w:val="18"/>
          <w:szCs w:val="18"/>
          <w:lang w:val="fr-FR"/>
        </w:rPr>
        <w:t xml:space="preserve"> Il semble que tel est le</w:t>
      </w:r>
      <w:r w:rsidRPr="003D7D73">
        <w:rPr>
          <w:sz w:val="18"/>
          <w:szCs w:val="18"/>
          <w:lang w:val="fr-FR"/>
        </w:rPr>
        <w:t xml:space="preserve"> cas en ce qui conc</w:t>
      </w:r>
      <w:r>
        <w:rPr>
          <w:sz w:val="18"/>
          <w:szCs w:val="18"/>
          <w:lang w:val="fr-FR"/>
        </w:rPr>
        <w:t>erne l’auto-fertilisation du maï</w:t>
      </w:r>
      <w:r w:rsidRPr="003D7D73">
        <w:rPr>
          <w:sz w:val="18"/>
          <w:szCs w:val="18"/>
          <w:lang w:val="fr-FR"/>
        </w:rPr>
        <w:t xml:space="preserve">s </w:t>
      </w:r>
      <w:r w:rsidRPr="003D7D73">
        <w:rPr>
          <w:i/>
          <w:iCs/>
          <w:sz w:val="18"/>
          <w:szCs w:val="18"/>
          <w:lang w:val="fr-FR"/>
        </w:rPr>
        <w:t>olotón</w:t>
      </w:r>
      <w:r w:rsidRPr="003D7D73">
        <w:rPr>
          <w:sz w:val="18"/>
          <w:szCs w:val="18"/>
          <w:lang w:val="fr-FR"/>
        </w:rPr>
        <w:t xml:space="preserve">, qui est capable </w:t>
      </w:r>
      <w:r>
        <w:rPr>
          <w:sz w:val="18"/>
          <w:szCs w:val="18"/>
          <w:lang w:val="fr-FR"/>
        </w:rPr>
        <w:t xml:space="preserve">d’assimiler son propre azote, et est cultivé par les agriculteurs autochtones du </w:t>
      </w:r>
      <w:r w:rsidRPr="003D7D73">
        <w:rPr>
          <w:sz w:val="18"/>
          <w:szCs w:val="18"/>
          <w:lang w:val="fr-FR"/>
        </w:rPr>
        <w:t xml:space="preserve">Mexique et </w:t>
      </w:r>
      <w:r>
        <w:rPr>
          <w:sz w:val="18"/>
          <w:szCs w:val="18"/>
          <w:lang w:val="fr-FR"/>
        </w:rPr>
        <w:t xml:space="preserve">du </w:t>
      </w:r>
      <w:r w:rsidRPr="003D7D73">
        <w:rPr>
          <w:sz w:val="18"/>
          <w:szCs w:val="18"/>
          <w:lang w:val="fr-FR"/>
        </w:rPr>
        <w:t xml:space="preserve">Guatemala </w:t>
      </w:r>
      <w:r>
        <w:rPr>
          <w:sz w:val="18"/>
          <w:szCs w:val="18"/>
          <w:lang w:val="fr-FR"/>
        </w:rPr>
        <w:t>depuis plusieurs millénaires</w:t>
      </w:r>
      <w:r w:rsidRPr="003D7D73">
        <w:rPr>
          <w:sz w:val="18"/>
          <w:szCs w:val="18"/>
          <w:lang w:val="fr-FR"/>
        </w:rPr>
        <w:t xml:space="preserve">. </w:t>
      </w:r>
      <w:r>
        <w:rPr>
          <w:sz w:val="18"/>
          <w:szCs w:val="18"/>
          <w:lang w:val="fr-FR"/>
        </w:rPr>
        <w:t>D</w:t>
      </w:r>
      <w:r w:rsidRPr="003D7D73">
        <w:rPr>
          <w:sz w:val="18"/>
          <w:szCs w:val="18"/>
          <w:lang w:val="fr-FR"/>
        </w:rPr>
        <w:t xml:space="preserve">es chercheurs </w:t>
      </w:r>
      <w:r>
        <w:rPr>
          <w:sz w:val="18"/>
          <w:szCs w:val="18"/>
          <w:lang w:val="fr-FR"/>
        </w:rPr>
        <w:t>ont négocié un accord sur le</w:t>
      </w:r>
      <w:r w:rsidRPr="003D7D73">
        <w:rPr>
          <w:sz w:val="18"/>
          <w:szCs w:val="18"/>
          <w:lang w:val="fr-FR"/>
        </w:rPr>
        <w:t xml:space="preserve"> partage des avantages avec </w:t>
      </w:r>
      <w:r>
        <w:rPr>
          <w:sz w:val="18"/>
          <w:szCs w:val="18"/>
          <w:lang w:val="fr-FR"/>
        </w:rPr>
        <w:t>un</w:t>
      </w:r>
      <w:r w:rsidRPr="003D7D73">
        <w:rPr>
          <w:sz w:val="18"/>
          <w:szCs w:val="18"/>
          <w:lang w:val="fr-FR"/>
        </w:rPr>
        <w:t xml:space="preserve"> group</w:t>
      </w:r>
      <w:r>
        <w:rPr>
          <w:sz w:val="18"/>
          <w:szCs w:val="18"/>
          <w:lang w:val="fr-FR"/>
        </w:rPr>
        <w:t>e de</w:t>
      </w:r>
      <w:r w:rsidRPr="003D7D73">
        <w:rPr>
          <w:sz w:val="18"/>
          <w:szCs w:val="18"/>
          <w:lang w:val="fr-FR"/>
        </w:rPr>
        <w:t xml:space="preserve"> peuples autochtones et communautés locales </w:t>
      </w:r>
      <w:r>
        <w:rPr>
          <w:sz w:val="18"/>
          <w:szCs w:val="18"/>
          <w:lang w:val="fr-FR"/>
        </w:rPr>
        <w:t xml:space="preserve">dans une partie du </w:t>
      </w:r>
      <w:r w:rsidRPr="003D7D73">
        <w:rPr>
          <w:sz w:val="18"/>
          <w:szCs w:val="18"/>
          <w:lang w:val="fr-FR"/>
        </w:rPr>
        <w:t>Mexique</w:t>
      </w:r>
      <w:r>
        <w:rPr>
          <w:sz w:val="18"/>
          <w:szCs w:val="18"/>
          <w:lang w:val="fr-FR"/>
        </w:rPr>
        <w:t xml:space="preserve"> uniquement.</w:t>
      </w:r>
      <w:r w:rsidRPr="003D7D73">
        <w:rPr>
          <w:sz w:val="18"/>
          <w:szCs w:val="18"/>
          <w:lang w:val="fr-FR"/>
        </w:rPr>
        <w:t xml:space="preserve"> </w:t>
      </w:r>
      <w:r>
        <w:rPr>
          <w:sz w:val="18"/>
          <w:szCs w:val="18"/>
          <w:lang w:val="fr-FR"/>
        </w:rPr>
        <w:t>On notera que le</w:t>
      </w:r>
      <w:r w:rsidRPr="001D6CCB">
        <w:rPr>
          <w:sz w:val="18"/>
          <w:szCs w:val="18"/>
          <w:lang w:val="fr-FR"/>
        </w:rPr>
        <w:t xml:space="preserve"> </w:t>
      </w:r>
      <w:r w:rsidRPr="00C91AE9">
        <w:rPr>
          <w:sz w:val="18"/>
          <w:szCs w:val="18"/>
          <w:lang w:val="fr-FR"/>
        </w:rPr>
        <w:t>Mexique</w:t>
      </w:r>
      <w:r>
        <w:rPr>
          <w:sz w:val="18"/>
          <w:szCs w:val="18"/>
          <w:lang w:val="fr-FR"/>
        </w:rPr>
        <w:t xml:space="preserve"> n’est pas </w:t>
      </w:r>
      <w:r w:rsidRPr="00C91AE9">
        <w:rPr>
          <w:sz w:val="18"/>
          <w:szCs w:val="18"/>
          <w:lang w:val="fr-FR"/>
        </w:rPr>
        <w:t>Partie</w:t>
      </w:r>
      <w:r>
        <w:rPr>
          <w:sz w:val="18"/>
          <w:szCs w:val="18"/>
          <w:lang w:val="fr-FR"/>
        </w:rPr>
        <w:t xml:space="preserve"> au </w:t>
      </w:r>
      <w:r w:rsidRPr="00C91AE9">
        <w:rPr>
          <w:sz w:val="18"/>
          <w:szCs w:val="18"/>
          <w:lang w:val="fr-FR"/>
        </w:rPr>
        <w:t>Traité international sur les ressources phytogénétiques</w:t>
      </w:r>
      <w:r>
        <w:rPr>
          <w:sz w:val="18"/>
          <w:szCs w:val="18"/>
          <w:lang w:val="fr-FR"/>
        </w:rPr>
        <w:t xml:space="preserve"> pour l’alimentation et l’agriculture.</w:t>
      </w:r>
      <w:r w:rsidRPr="00C91AE9">
        <w:rPr>
          <w:sz w:val="18"/>
          <w:szCs w:val="18"/>
          <w:lang w:val="fr-FR"/>
        </w:rPr>
        <w:t xml:space="preserve"> </w:t>
      </w:r>
      <w:r>
        <w:rPr>
          <w:sz w:val="18"/>
          <w:szCs w:val="18"/>
        </w:rPr>
        <w:t xml:space="preserve">Voir </w:t>
      </w:r>
      <w:r w:rsidRPr="00F43F79">
        <w:rPr>
          <w:sz w:val="18"/>
          <w:szCs w:val="18"/>
        </w:rPr>
        <w:t xml:space="preserve">Martha Pskowski, ‘Indigenous Maize: Who Owns the Rights to </w:t>
      </w:r>
      <w:r>
        <w:rPr>
          <w:sz w:val="18"/>
          <w:szCs w:val="18"/>
        </w:rPr>
        <w:t>Mexico</w:t>
      </w:r>
      <w:r w:rsidRPr="00F43F79">
        <w:rPr>
          <w:sz w:val="18"/>
          <w:szCs w:val="18"/>
        </w:rPr>
        <w:t xml:space="preserve">’s ‘Wonder’ Plant?’ Yale 360 (2019), </w:t>
      </w:r>
      <w:hyperlink r:id="rId13" w:history="1">
        <w:r w:rsidRPr="00454CD6">
          <w:rPr>
            <w:rStyle w:val="Hyperlink"/>
            <w:color w:val="auto"/>
            <w:sz w:val="18"/>
            <w:szCs w:val="18"/>
          </w:rPr>
          <w:t>https://e360.yale.edu/features/indigenous-maize-who-owns-the-rights-to-mexicos-wonder-plant</w:t>
        </w:r>
      </w:hyperlink>
      <w:r w:rsidRPr="00454CD6">
        <w:rPr>
          <w:sz w:val="18"/>
          <w:szCs w:val="18"/>
        </w:rPr>
        <w:t>.</w:t>
      </w:r>
      <w:r w:rsidRPr="00F43F79">
        <w:rPr>
          <w:sz w:val="18"/>
          <w:szCs w:val="18"/>
        </w:rPr>
        <w:t xml:space="preserve"> </w:t>
      </w:r>
    </w:p>
  </w:footnote>
  <w:footnote w:id="177">
    <w:p w14:paraId="1A7EC9A9" w14:textId="2C1E3DD9" w:rsidR="008A77A6" w:rsidRPr="00552599"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F43F79">
        <w:rPr>
          <w:sz w:val="18"/>
          <w:szCs w:val="18"/>
        </w:rPr>
        <w:t xml:space="preserve"> </w:t>
      </w:r>
      <w:r>
        <w:rPr>
          <w:sz w:val="18"/>
          <w:szCs w:val="18"/>
        </w:rPr>
        <w:t xml:space="preserve">Voir </w:t>
      </w:r>
      <w:r w:rsidRPr="00F43F79">
        <w:rPr>
          <w:sz w:val="18"/>
          <w:szCs w:val="18"/>
        </w:rPr>
        <w:fldChar w:fldCharType="begin"/>
      </w:r>
      <w:r w:rsidRPr="00F43F79">
        <w:rPr>
          <w:sz w:val="18"/>
          <w:szCs w:val="18"/>
        </w:rPr>
        <w:instrText xml:space="preserve"> ADDIN ZOTERO_ITEM CSL_CITATION {"citationID":"KsgQHJrW","properties":{"formattedCitation":"Graham Dutfield, \\uc0\\u8216{}Traditional Knowledge, Intellectual Property and Pharmaceutical Innovation: What\\uc0\\u8217{}s Left to Discuss?\\uc0\\u8217{} in Matthew David and Debora Halbert (eds), {\\i{}The SAGE Handbook of Intellectual Property} (SAGE 2014).","plainCitation":"Graham Dutfield, ‘Traditional Knowledge, Intellectual Property and Pharmaceutical Innovation: What’s Left to Discuss?’ in Matthew David and Debora Halbert (eds), The SAGE Handbook of Intellectual Property (SAGE 2014).","noteIndex":173},"citationItems":[{"id":604,"uris":["http://zotero.org/users/local/dU5rpCrq/items/EVTCAFSS"],"uri":["http://zotero.org/users/local/dU5rpCrq/items/EVTCAFSS"],"itemData":{"id":604,"type":"chapter","multi":{"main":{},"_keys":{}},"container-title":"The SAGE Handbook of Intellectual Property","language":"en","publisher":"SAGE","source":"papers.ssrn.com","title":"Traditional Knowledge, Intellectual Property and Pharmaceutical Innovation: What's Left to Discuss?","author":[{"family":"Dutfield","given":"Graham","multi":{"_key":{}}}],"editor":[{"family":"David","given":"Matthew","multi":{"_key":{}}},{"family":"Halbert","given":"Debora","multi":{"_key":{}}}],"issued":{"date-parts":[["2014"]]},"seeAlso":[]}}],"schema":"https://github.com/citation-style-language/schema/raw/master/csl-citation.json"} </w:instrText>
      </w:r>
      <w:r w:rsidRPr="00F43F79">
        <w:rPr>
          <w:sz w:val="18"/>
          <w:szCs w:val="18"/>
        </w:rPr>
        <w:fldChar w:fldCharType="separate"/>
      </w:r>
      <w:r w:rsidRPr="00F43F79">
        <w:rPr>
          <w:sz w:val="18"/>
          <w:szCs w:val="18"/>
        </w:rPr>
        <w:t>Graham Dutfield, ‘</w:t>
      </w:r>
      <w:r>
        <w:rPr>
          <w:sz w:val="18"/>
          <w:szCs w:val="18"/>
        </w:rPr>
        <w:t>Traditional Knowledge, Intellectual Property and Pharmaceutical Innovation</w:t>
      </w:r>
      <w:r w:rsidRPr="00F43F79">
        <w:rPr>
          <w:sz w:val="18"/>
          <w:szCs w:val="18"/>
        </w:rPr>
        <w:t>: What’s Left to Discuss?’ in Matthew David</w:t>
      </w:r>
      <w:r>
        <w:rPr>
          <w:sz w:val="18"/>
          <w:szCs w:val="18"/>
        </w:rPr>
        <w:t xml:space="preserve"> and </w:t>
      </w:r>
      <w:r w:rsidRPr="00F43F79">
        <w:rPr>
          <w:sz w:val="18"/>
          <w:szCs w:val="18"/>
        </w:rPr>
        <w:t xml:space="preserve">Debora Halbert (eds), </w:t>
      </w:r>
      <w:r w:rsidRPr="00F43F79">
        <w:rPr>
          <w:i/>
          <w:iCs/>
          <w:sz w:val="18"/>
          <w:szCs w:val="18"/>
        </w:rPr>
        <w:t xml:space="preserve">The SAGE Handbook of </w:t>
      </w:r>
      <w:r>
        <w:rPr>
          <w:i/>
          <w:iCs/>
          <w:sz w:val="18"/>
          <w:szCs w:val="18"/>
        </w:rPr>
        <w:t>Intellectual Property</w:t>
      </w:r>
      <w:r w:rsidRPr="00F43F79">
        <w:rPr>
          <w:sz w:val="18"/>
          <w:szCs w:val="18"/>
        </w:rPr>
        <w:t xml:space="preserve"> (SAGE 2014).</w:t>
      </w:r>
      <w:r w:rsidRPr="00F43F79">
        <w:rPr>
          <w:sz w:val="18"/>
          <w:szCs w:val="18"/>
        </w:rPr>
        <w:fldChar w:fldCharType="end"/>
      </w:r>
      <w:r w:rsidRPr="003D7D73">
        <w:rPr>
          <w:sz w:val="18"/>
          <w:szCs w:val="18"/>
          <w:lang w:val="fr-FR"/>
        </w:rPr>
        <w:t xml:space="preserve">(“Les ressources génétiques et </w:t>
      </w:r>
      <w:r>
        <w:rPr>
          <w:sz w:val="18"/>
          <w:szCs w:val="18"/>
          <w:lang w:val="fr-FR"/>
        </w:rPr>
        <w:t xml:space="preserve">les </w:t>
      </w:r>
      <w:r w:rsidRPr="003D7D73">
        <w:rPr>
          <w:sz w:val="18"/>
          <w:szCs w:val="18"/>
          <w:lang w:val="fr-FR"/>
        </w:rPr>
        <w:t>connaissan</w:t>
      </w:r>
      <w:r>
        <w:rPr>
          <w:sz w:val="18"/>
          <w:szCs w:val="18"/>
          <w:lang w:val="fr-FR"/>
        </w:rPr>
        <w:t xml:space="preserve">ces traditionnelles qui sont en libre circulation </w:t>
      </w:r>
      <w:r w:rsidRPr="003D7D73">
        <w:rPr>
          <w:sz w:val="18"/>
          <w:szCs w:val="18"/>
          <w:lang w:val="fr-FR"/>
        </w:rPr>
        <w:t>n’ont pas toujours des origines détectables</w:t>
      </w:r>
      <w:r>
        <w:rPr>
          <w:sz w:val="18"/>
          <w:szCs w:val="18"/>
          <w:lang w:val="fr-FR"/>
        </w:rPr>
        <w:t xml:space="preserve"> ou connues ; ces origines peuvent remonter très loin dans le temps, parfois plusieurs siècles</w:t>
      </w:r>
      <w:r w:rsidRPr="003D7D73">
        <w:rPr>
          <w:sz w:val="18"/>
          <w:szCs w:val="18"/>
          <w:lang w:val="fr-FR"/>
        </w:rPr>
        <w:t xml:space="preserve">. </w:t>
      </w:r>
      <w:r w:rsidRPr="00C841B4">
        <w:rPr>
          <w:sz w:val="18"/>
          <w:szCs w:val="18"/>
          <w:lang w:val="fr-FR"/>
        </w:rPr>
        <w:t>L</w:t>
      </w:r>
      <w:r>
        <w:rPr>
          <w:sz w:val="18"/>
          <w:szCs w:val="18"/>
          <w:lang w:val="fr-FR"/>
        </w:rPr>
        <w:t>es</w:t>
      </w:r>
      <w:r w:rsidRPr="00C841B4">
        <w:rPr>
          <w:sz w:val="18"/>
          <w:szCs w:val="18"/>
          <w:lang w:val="fr-FR"/>
        </w:rPr>
        <w:t xml:space="preserve"> sources des ressources génétiques et </w:t>
      </w:r>
      <w:r>
        <w:rPr>
          <w:sz w:val="18"/>
          <w:szCs w:val="18"/>
          <w:lang w:val="fr-FR"/>
        </w:rPr>
        <w:t xml:space="preserve">des </w:t>
      </w:r>
      <w:r w:rsidRPr="00C841B4">
        <w:rPr>
          <w:sz w:val="18"/>
          <w:szCs w:val="18"/>
          <w:lang w:val="fr-FR"/>
        </w:rPr>
        <w:t>connaissances</w:t>
      </w:r>
      <w:r>
        <w:rPr>
          <w:sz w:val="18"/>
          <w:szCs w:val="18"/>
          <w:lang w:val="fr-FR"/>
        </w:rPr>
        <w:t xml:space="preserve"> traditionnelles peuvent être entièrement diffé</w:t>
      </w:r>
      <w:r w:rsidRPr="00C841B4">
        <w:rPr>
          <w:sz w:val="18"/>
          <w:szCs w:val="18"/>
          <w:lang w:val="fr-FR"/>
        </w:rPr>
        <w:t>rent</w:t>
      </w:r>
      <w:r>
        <w:rPr>
          <w:sz w:val="18"/>
          <w:szCs w:val="18"/>
          <w:lang w:val="fr-FR"/>
        </w:rPr>
        <w:t>es</w:t>
      </w:r>
      <w:r w:rsidRPr="00C841B4">
        <w:rPr>
          <w:sz w:val="18"/>
          <w:szCs w:val="18"/>
          <w:lang w:val="fr-FR"/>
        </w:rPr>
        <w:t xml:space="preserve">. </w:t>
      </w:r>
      <w:r>
        <w:rPr>
          <w:sz w:val="18"/>
          <w:szCs w:val="18"/>
          <w:lang w:val="fr-FR"/>
        </w:rPr>
        <w:t xml:space="preserve">Un </w:t>
      </w:r>
      <w:r w:rsidRPr="00552599">
        <w:rPr>
          <w:sz w:val="18"/>
          <w:szCs w:val="18"/>
          <w:lang w:val="fr-FR"/>
        </w:rPr>
        <w:t>exemple est celui de la Pervenche rose . . . ”)</w:t>
      </w:r>
    </w:p>
  </w:footnote>
  <w:footnote w:id="178">
    <w:p w14:paraId="3AE620F1" w14:textId="0E9630DC" w:rsidR="008A77A6" w:rsidRPr="00C91AE9" w:rsidRDefault="008A77A6" w:rsidP="00F43F79">
      <w:pPr>
        <w:pStyle w:val="FootnoteText"/>
        <w:spacing w:before="20" w:after="20"/>
        <w:ind w:left="284" w:hanging="288"/>
        <w:rPr>
          <w:sz w:val="18"/>
          <w:szCs w:val="18"/>
          <w:lang w:val="en-AU"/>
        </w:rPr>
      </w:pPr>
      <w:r w:rsidRPr="00F43F79">
        <w:rPr>
          <w:rStyle w:val="FootnoteReference"/>
          <w:sz w:val="18"/>
          <w:szCs w:val="18"/>
        </w:rPr>
        <w:footnoteRef/>
      </w:r>
      <w:r w:rsidRPr="00552599">
        <w:rPr>
          <w:sz w:val="18"/>
          <w:szCs w:val="18"/>
          <w:lang w:val="fr-FR"/>
        </w:rPr>
        <w:t xml:space="preserve"> Michael F. Brown, </w:t>
      </w:r>
      <w:r w:rsidRPr="00552599">
        <w:rPr>
          <w:i/>
          <w:sz w:val="18"/>
          <w:szCs w:val="18"/>
          <w:lang w:val="fr-FR"/>
        </w:rPr>
        <w:t>Who Owns Native Culture?</w:t>
      </w:r>
      <w:r w:rsidRPr="00552599">
        <w:rPr>
          <w:sz w:val="18"/>
          <w:szCs w:val="18"/>
          <w:lang w:val="fr-FR"/>
        </w:rPr>
        <w:t xml:space="preserve"> </w:t>
      </w:r>
      <w:r w:rsidRPr="00552599">
        <w:rPr>
          <w:sz w:val="18"/>
          <w:szCs w:val="18"/>
          <w:lang w:val="en-AU"/>
        </w:rPr>
        <w:t xml:space="preserve">(Harvard Univ. Press 2003) 136. </w:t>
      </w:r>
      <w:r w:rsidRPr="00C91AE9">
        <w:rPr>
          <w:sz w:val="18"/>
          <w:szCs w:val="18"/>
          <w:lang w:val="en-AU"/>
        </w:rPr>
        <w:t xml:space="preserve">Voir aussi </w:t>
      </w:r>
      <w:r w:rsidRPr="00F43F79">
        <w:rPr>
          <w:rFonts w:eastAsiaTheme="minorHAnsi"/>
          <w:sz w:val="18"/>
          <w:szCs w:val="18"/>
          <w:lang w:eastAsia="en-US"/>
        </w:rPr>
        <w:fldChar w:fldCharType="begin"/>
      </w:r>
      <w:r w:rsidRPr="00C91AE9">
        <w:rPr>
          <w:sz w:val="18"/>
          <w:szCs w:val="18"/>
          <w:lang w:val="en-AU"/>
        </w:rPr>
        <w:instrText xml:space="preserve"> ADDIN ZOTERO_ITEM CSL_CITATION {"citationID":"MyrlckWx","properties":{"formattedCitation":"\\uc0\\u8216{}Arizona State University Vascular Plant Herbarium Catalog No ASU0104660\\uc0\\u8217{} (n 36).","plainCitation":"‘Arizona State University Vascular Plant Herbarium Catalog No ASU0104660’ (n 36).","noteIndex":174},"citationItems":[{"id":658,"uris":["http://zotero.org/users/local/dU5rpCrq/items/XWFK8GK5"],"uri":["http://zotero.org/users/local/dU5rpCrq/items/XWFK8GK5"],"itemData":{"id":658,"type":"webpage","multi":{"main":{},"_keys":{}},"container-title":"SERNEC Detailed Collection Record Information","title":"Arizona State University Vascular Plant Herbarium Catalog No ASU0104660","URL":"http://sernecportal.org/portal/collections/individual/index.php?occid=11238099&amp;clid=0","accessed":{"date-parts":[["2020",2,28]]},"seeAlso":[]}}],"schema":"https://github.com/citation-style-language/schema/raw/master/csl-citation.json"} </w:instrText>
      </w:r>
      <w:r w:rsidRPr="00F43F79">
        <w:rPr>
          <w:rFonts w:eastAsiaTheme="minorHAnsi"/>
          <w:sz w:val="18"/>
          <w:szCs w:val="18"/>
          <w:lang w:eastAsia="en-US"/>
        </w:rPr>
        <w:fldChar w:fldCharType="separate"/>
      </w:r>
      <w:r w:rsidRPr="00C91AE9">
        <w:rPr>
          <w:sz w:val="18"/>
          <w:szCs w:val="18"/>
          <w:lang w:val="en-AU"/>
        </w:rPr>
        <w:t>‘Arizona State University Vascular Plant Herbarium Catalog No ASU0104660’ (n 38).</w:t>
      </w:r>
      <w:r w:rsidRPr="00F43F79">
        <w:rPr>
          <w:sz w:val="18"/>
          <w:szCs w:val="18"/>
        </w:rPr>
        <w:fldChar w:fldCharType="end"/>
      </w:r>
      <w:r w:rsidRPr="00C91AE9">
        <w:rPr>
          <w:sz w:val="18"/>
          <w:szCs w:val="18"/>
          <w:lang w:val="en-AU"/>
        </w:rPr>
        <w:t xml:space="preserve">  </w:t>
      </w:r>
    </w:p>
  </w:footnote>
  <w:footnote w:id="179">
    <w:p w14:paraId="1B2E7AD9" w14:textId="71A5C0EA" w:rsidR="008A77A6" w:rsidRPr="00D66423"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1D6CCB">
        <w:rPr>
          <w:sz w:val="18"/>
          <w:szCs w:val="18"/>
          <w:lang w:val="en-AU"/>
        </w:rPr>
        <w:t xml:space="preserve"> ibid. Voir aussi Sarah Laird, ‘</w:t>
      </w:r>
      <w:r>
        <w:rPr>
          <w:sz w:val="18"/>
          <w:szCs w:val="18"/>
        </w:rPr>
        <w:t xml:space="preserve">Natural Products and the Commercialization of Traditional Knowledge,’ in Tom Greaves (ed.) </w:t>
      </w:r>
      <w:r w:rsidRPr="00552599">
        <w:rPr>
          <w:i/>
          <w:sz w:val="18"/>
          <w:szCs w:val="18"/>
          <w:lang w:val="fr-FR"/>
        </w:rPr>
        <w:t>Intellectual Property Rights for Indigenous Peoples: A Sourcebook</w:t>
      </w:r>
      <w:r w:rsidRPr="00552599">
        <w:rPr>
          <w:sz w:val="18"/>
          <w:szCs w:val="18"/>
          <w:lang w:val="fr-FR"/>
        </w:rPr>
        <w:t xml:space="preserve"> (SfAA </w:t>
      </w:r>
      <w:r w:rsidRPr="00D66423">
        <w:rPr>
          <w:sz w:val="18"/>
          <w:szCs w:val="18"/>
          <w:lang w:val="fr-FR"/>
        </w:rPr>
        <w:t>1999) 151.</w:t>
      </w:r>
    </w:p>
  </w:footnote>
  <w:footnote w:id="180">
    <w:p w14:paraId="41A2CE3F" w14:textId="582B9CA6" w:rsidR="008A77A6" w:rsidRPr="00C841B4"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C050EB">
        <w:rPr>
          <w:sz w:val="18"/>
          <w:szCs w:val="18"/>
          <w:lang w:val="fr-FR"/>
        </w:rPr>
        <w:t xml:space="preserve"> Voir Brevet américain No US3097137A</w:t>
      </w:r>
      <w:r>
        <w:rPr>
          <w:sz w:val="18"/>
          <w:szCs w:val="18"/>
          <w:lang w:val="fr-FR"/>
        </w:rPr>
        <w:t xml:space="preserve"> sur la</w:t>
      </w:r>
      <w:r w:rsidRPr="00C91AE9">
        <w:rPr>
          <w:i/>
          <w:iCs/>
          <w:sz w:val="18"/>
          <w:szCs w:val="18"/>
          <w:lang w:val="fr-FR"/>
        </w:rPr>
        <w:t xml:space="preserve"> </w:t>
      </w:r>
      <w:r w:rsidRPr="00C050EB">
        <w:rPr>
          <w:i/>
          <w:iCs/>
          <w:sz w:val="18"/>
          <w:szCs w:val="18"/>
          <w:lang w:val="fr-FR"/>
        </w:rPr>
        <w:t>Vincaleukoblastine</w:t>
      </w:r>
      <w:r w:rsidRPr="00C050EB">
        <w:rPr>
          <w:sz w:val="18"/>
          <w:szCs w:val="18"/>
          <w:lang w:val="fr-FR"/>
        </w:rPr>
        <w:t xml:space="preserve">. </w:t>
      </w:r>
      <w:r w:rsidRPr="00C841B4">
        <w:rPr>
          <w:sz w:val="18"/>
          <w:szCs w:val="18"/>
          <w:lang w:val="fr-FR"/>
        </w:rPr>
        <w:t xml:space="preserve">Graham Dutfield indique </w:t>
      </w:r>
      <w:r>
        <w:rPr>
          <w:sz w:val="18"/>
          <w:szCs w:val="18"/>
          <w:lang w:val="fr-FR"/>
        </w:rPr>
        <w:t xml:space="preserve">que le brevet a été accordé </w:t>
      </w:r>
      <w:r w:rsidRPr="00C841B4">
        <w:rPr>
          <w:sz w:val="18"/>
          <w:szCs w:val="18"/>
          <w:lang w:val="fr-FR"/>
        </w:rPr>
        <w:t>à des fins d’exploitation</w:t>
      </w:r>
      <w:r>
        <w:rPr>
          <w:sz w:val="18"/>
          <w:szCs w:val="18"/>
          <w:lang w:val="fr-FR"/>
        </w:rPr>
        <w:t xml:space="preserve"> commerciale à </w:t>
      </w:r>
      <w:r w:rsidRPr="00C841B4">
        <w:rPr>
          <w:sz w:val="18"/>
          <w:szCs w:val="18"/>
          <w:lang w:val="fr-FR"/>
        </w:rPr>
        <w:t xml:space="preserve">Eli Lilly, voir </w:t>
      </w:r>
      <w:r w:rsidRPr="00F43F79">
        <w:rPr>
          <w:sz w:val="18"/>
          <w:szCs w:val="18"/>
        </w:rPr>
        <w:fldChar w:fldCharType="begin"/>
      </w:r>
      <w:r w:rsidRPr="00C841B4">
        <w:rPr>
          <w:sz w:val="18"/>
          <w:szCs w:val="18"/>
          <w:lang w:val="fr-FR"/>
        </w:rPr>
        <w:instrText xml:space="preserve"> ADDIN ZOTERO_ITEM CSL_CITATION {"citationID":"x0vuitBn","properties":{"formattedCitation":"Dutfield (n 173).","plainCitation":"Dutfield (n 173).","noteIndex":176},"citationItems":[{"id":604,"uris":["http://zotero.org/users/local/dU5rpCrq/items/EVTCAFSS"],"uri":["http://zotero.org/users/local/dU5rpCrq/items/EVTCAFSS"],"itemData":{"id":604,"type":"chapter","multi":{"main":{},"_keys":{}},"container-title":"The SAGE Handbook of Intellectual Property","language":"en","publisher":"SAGE","source":"papers.ssrn.com","title":"Traditional Knowledge, Intellectual Property and Pharmaceutical Innovation: What's Left to Discuss?","author":[{"family":"Dutfield","given":"Graham","multi":{"_key":{}}}],"editor":[{"family":"David","given":"Matthew","multi":{"_key":{}}},{"family":"Halbert","given":"Debora","multi":{"_key":{}}}],"issued":{"date-parts":[["2014"]]},"seeAlso":[]}}],"schema":"https://github.com/citation-style-language/schema/raw/master/csl-citation.json"} </w:instrText>
      </w:r>
      <w:r w:rsidRPr="00F43F79">
        <w:rPr>
          <w:sz w:val="18"/>
          <w:szCs w:val="18"/>
        </w:rPr>
        <w:fldChar w:fldCharType="separate"/>
      </w:r>
      <w:r w:rsidRPr="00C841B4">
        <w:rPr>
          <w:sz w:val="18"/>
          <w:szCs w:val="18"/>
          <w:lang w:val="fr-FR"/>
        </w:rPr>
        <w:t>Dutfield (n 173).</w:t>
      </w:r>
      <w:r w:rsidRPr="00F43F79">
        <w:rPr>
          <w:sz w:val="18"/>
          <w:szCs w:val="18"/>
        </w:rPr>
        <w:fldChar w:fldCharType="end"/>
      </w:r>
    </w:p>
  </w:footnote>
  <w:footnote w:id="181">
    <w:p w14:paraId="00513D5B" w14:textId="4214348B" w:rsidR="008A77A6" w:rsidRPr="00552599"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C85D44">
        <w:rPr>
          <w:sz w:val="18"/>
          <w:szCs w:val="18"/>
        </w:rPr>
        <w:t xml:space="preserve"> Voir </w:t>
      </w:r>
      <w:r w:rsidRPr="00F43F79">
        <w:rPr>
          <w:sz w:val="18"/>
          <w:szCs w:val="18"/>
        </w:rPr>
        <w:fldChar w:fldCharType="begin"/>
      </w:r>
      <w:r w:rsidRPr="00C85D44">
        <w:rPr>
          <w:sz w:val="18"/>
          <w:szCs w:val="18"/>
        </w:rPr>
        <w:instrText>ADDIN ZOTERO_TEMP</w:instrText>
      </w:r>
      <w:r w:rsidRPr="00F43F79">
        <w:rPr>
          <w:sz w:val="18"/>
          <w:szCs w:val="18"/>
        </w:rPr>
        <w:fldChar w:fldCharType="separate"/>
      </w:r>
      <w:r w:rsidRPr="00C85D44">
        <w:rPr>
          <w:sz w:val="18"/>
          <w:szCs w:val="18"/>
        </w:rPr>
        <w:t xml:space="preserve">Ruth L Okediji, ‘Negotiating the Public Domain in </w:t>
      </w:r>
      <w:r>
        <w:rPr>
          <w:sz w:val="18"/>
          <w:szCs w:val="18"/>
        </w:rPr>
        <w:t xml:space="preserve">an International Framework for Genetic Resources, Traditional Knowledge and </w:t>
      </w:r>
      <w:r w:rsidRPr="00C85D44">
        <w:rPr>
          <w:sz w:val="18"/>
          <w:szCs w:val="18"/>
        </w:rPr>
        <w:t xml:space="preserve">Traditional Cultural Expressions’ in Daniel Robinson et al. </w:t>
      </w:r>
      <w:r w:rsidRPr="00C841B4">
        <w:rPr>
          <w:sz w:val="18"/>
          <w:szCs w:val="18"/>
        </w:rPr>
        <w:t xml:space="preserve">(eds), </w:t>
      </w:r>
      <w:r>
        <w:rPr>
          <w:i/>
          <w:sz w:val="18"/>
          <w:szCs w:val="18"/>
        </w:rPr>
        <w:t>Protecting Traditional Knowledge: The WIPO Intergovernmental Committee on Intellectual Property and Genetic Resources, Traditional Knowledge and Folklore</w:t>
      </w:r>
      <w:r w:rsidRPr="00C841B4">
        <w:rPr>
          <w:sz w:val="18"/>
          <w:szCs w:val="18"/>
        </w:rPr>
        <w:t xml:space="preserve"> (Routledge 2017) 145.</w:t>
      </w:r>
      <w:r w:rsidRPr="00F43F79">
        <w:rPr>
          <w:sz w:val="18"/>
          <w:szCs w:val="18"/>
        </w:rPr>
        <w:fldChar w:fldCharType="end"/>
      </w:r>
      <w:r w:rsidRPr="00C841B4">
        <w:rPr>
          <w:sz w:val="18"/>
          <w:szCs w:val="18"/>
        </w:rPr>
        <w:t xml:space="preserve"> </w:t>
      </w:r>
      <w:r w:rsidRPr="00552599">
        <w:rPr>
          <w:sz w:val="18"/>
          <w:szCs w:val="18"/>
          <w:lang w:val="fr-FR"/>
        </w:rPr>
        <w:t>Comme l’explique le Professeur Okediji :</w:t>
      </w:r>
    </w:p>
    <w:p w14:paraId="78BDBB0A" w14:textId="59645F11" w:rsidR="008A77A6" w:rsidRPr="00252931" w:rsidRDefault="008A77A6" w:rsidP="00F43F79">
      <w:pPr>
        <w:pStyle w:val="FootnoteText"/>
        <w:spacing w:before="20" w:after="20"/>
        <w:ind w:left="576" w:right="720" w:hanging="288"/>
        <w:rPr>
          <w:sz w:val="18"/>
          <w:szCs w:val="18"/>
          <w:lang w:val="fr-FR"/>
        </w:rPr>
      </w:pPr>
      <w:r w:rsidRPr="00C841B4">
        <w:rPr>
          <w:sz w:val="18"/>
          <w:szCs w:val="18"/>
          <w:lang w:val="fr-FR"/>
        </w:rPr>
        <w:t xml:space="preserve">    Il n’</w:t>
      </w:r>
      <w:r>
        <w:rPr>
          <w:sz w:val="18"/>
          <w:szCs w:val="18"/>
          <w:lang w:val="fr-FR"/>
        </w:rPr>
        <w:t>existe pas un “domaine public” unique. C’est</w:t>
      </w:r>
      <w:r w:rsidRPr="00C841B4">
        <w:rPr>
          <w:sz w:val="18"/>
          <w:szCs w:val="18"/>
          <w:lang w:val="fr-FR"/>
        </w:rPr>
        <w:t xml:space="preserve"> plutôt chaque forme de propriété intellectuelle qui produit un domaine publi</w:t>
      </w:r>
      <w:r>
        <w:rPr>
          <w:sz w:val="18"/>
          <w:szCs w:val="18"/>
          <w:lang w:val="fr-FR"/>
        </w:rPr>
        <w:t>c constitué de façon différente</w:t>
      </w:r>
      <w:r w:rsidRPr="00C841B4">
        <w:rPr>
          <w:sz w:val="18"/>
          <w:szCs w:val="18"/>
          <w:lang w:val="fr-FR"/>
        </w:rPr>
        <w:t xml:space="preserve">. </w:t>
      </w:r>
      <w:r>
        <w:rPr>
          <w:sz w:val="18"/>
          <w:szCs w:val="18"/>
          <w:lang w:val="fr-FR"/>
        </w:rPr>
        <w:t xml:space="preserve">Dans le droit de la propriété intellectuelle, par </w:t>
      </w:r>
      <w:r w:rsidRPr="00C841B4">
        <w:rPr>
          <w:sz w:val="18"/>
          <w:szCs w:val="18"/>
          <w:lang w:val="fr-FR"/>
        </w:rPr>
        <w:t>exemple</w:t>
      </w:r>
      <w:r>
        <w:rPr>
          <w:sz w:val="18"/>
          <w:szCs w:val="18"/>
          <w:lang w:val="fr-FR"/>
        </w:rPr>
        <w:t>, le domaine public inclut des sujets ne pouvant pas être protégés par une propriété intellectuelle . . .  et</w:t>
      </w:r>
      <w:r w:rsidRPr="00C841B4">
        <w:rPr>
          <w:sz w:val="18"/>
          <w:szCs w:val="18"/>
          <w:lang w:val="fr-FR"/>
        </w:rPr>
        <w:t xml:space="preserve"> des travaux pour lesquels</w:t>
      </w:r>
      <w:r>
        <w:rPr>
          <w:sz w:val="18"/>
          <w:szCs w:val="18"/>
          <w:lang w:val="fr-FR"/>
        </w:rPr>
        <w:t xml:space="preserve"> la propriété intellectuelle est</w:t>
      </w:r>
      <w:r w:rsidRPr="00C841B4">
        <w:rPr>
          <w:sz w:val="18"/>
          <w:szCs w:val="18"/>
          <w:lang w:val="fr-FR"/>
        </w:rPr>
        <w:t xml:space="preserve"> </w:t>
      </w:r>
      <w:r>
        <w:rPr>
          <w:sz w:val="18"/>
          <w:szCs w:val="18"/>
          <w:lang w:val="fr-FR"/>
        </w:rPr>
        <w:t>expirée</w:t>
      </w:r>
      <w:r w:rsidRPr="00C841B4">
        <w:rPr>
          <w:sz w:val="18"/>
          <w:szCs w:val="18"/>
          <w:lang w:val="fr-FR"/>
        </w:rPr>
        <w:t xml:space="preserve">. De plus, les droits de propriété intellectuelle viennent à expiration à différents moments dans </w:t>
      </w:r>
      <w:r>
        <w:rPr>
          <w:sz w:val="18"/>
          <w:szCs w:val="18"/>
          <w:lang w:val="fr-FR"/>
        </w:rPr>
        <w:t>diffé</w:t>
      </w:r>
      <w:r w:rsidRPr="00C841B4">
        <w:rPr>
          <w:sz w:val="18"/>
          <w:szCs w:val="18"/>
          <w:lang w:val="fr-FR"/>
        </w:rPr>
        <w:t>rent</w:t>
      </w:r>
      <w:r>
        <w:rPr>
          <w:sz w:val="18"/>
          <w:szCs w:val="18"/>
          <w:lang w:val="fr-FR"/>
        </w:rPr>
        <w:t>s</w:t>
      </w:r>
      <w:r w:rsidRPr="00C841B4">
        <w:rPr>
          <w:sz w:val="18"/>
          <w:szCs w:val="18"/>
          <w:lang w:val="fr-FR"/>
        </w:rPr>
        <w:t xml:space="preserve"> pays.</w:t>
      </w:r>
      <w:r>
        <w:rPr>
          <w:sz w:val="18"/>
          <w:szCs w:val="18"/>
          <w:lang w:val="fr-FR"/>
        </w:rPr>
        <w:t xml:space="preserve"> . . . Le domaine public en</w:t>
      </w:r>
      <w:r w:rsidRPr="00C841B4">
        <w:rPr>
          <w:sz w:val="18"/>
          <w:szCs w:val="18"/>
          <w:lang w:val="fr-FR"/>
        </w:rPr>
        <w:t xml:space="preserve"> droit des brevets comprend de la m</w:t>
      </w:r>
      <w:r>
        <w:rPr>
          <w:sz w:val="18"/>
          <w:szCs w:val="18"/>
          <w:lang w:val="fr-FR"/>
        </w:rPr>
        <w:t xml:space="preserve">ême façon des sujets ne pouvant pas bénéficier de droits de propriété intellectuelle, des </w:t>
      </w:r>
      <w:r w:rsidRPr="00C841B4">
        <w:rPr>
          <w:sz w:val="18"/>
          <w:szCs w:val="18"/>
          <w:lang w:val="fr-FR"/>
        </w:rPr>
        <w:t>brevets</w:t>
      </w:r>
      <w:r>
        <w:rPr>
          <w:sz w:val="18"/>
          <w:szCs w:val="18"/>
          <w:lang w:val="fr-FR"/>
        </w:rPr>
        <w:t xml:space="preserve"> expirés, des</w:t>
      </w:r>
      <w:r w:rsidRPr="00C841B4">
        <w:rPr>
          <w:sz w:val="18"/>
          <w:szCs w:val="18"/>
          <w:lang w:val="fr-FR"/>
        </w:rPr>
        <w:t xml:space="preserve"> brevets</w:t>
      </w:r>
      <w:r>
        <w:rPr>
          <w:sz w:val="18"/>
          <w:szCs w:val="18"/>
          <w:lang w:val="fr-FR"/>
        </w:rPr>
        <w:t xml:space="preserve"> invalidés</w:t>
      </w:r>
      <w:r w:rsidRPr="00C841B4">
        <w:rPr>
          <w:sz w:val="18"/>
          <w:szCs w:val="18"/>
          <w:lang w:val="fr-FR"/>
        </w:rPr>
        <w:t xml:space="preserve">, et </w:t>
      </w:r>
      <w:r>
        <w:rPr>
          <w:sz w:val="18"/>
          <w:szCs w:val="18"/>
          <w:lang w:val="fr-FR"/>
        </w:rPr>
        <w:t xml:space="preserve">des </w:t>
      </w:r>
      <w:r w:rsidRPr="00C841B4">
        <w:rPr>
          <w:sz w:val="18"/>
          <w:szCs w:val="18"/>
          <w:lang w:val="fr-FR"/>
        </w:rPr>
        <w:t xml:space="preserve">brevets </w:t>
      </w:r>
      <w:r>
        <w:rPr>
          <w:sz w:val="18"/>
          <w:szCs w:val="18"/>
          <w:lang w:val="fr-FR"/>
        </w:rPr>
        <w:t>expirés prématurément en raison de frais de maintien non payés</w:t>
      </w:r>
      <w:r w:rsidRPr="00C841B4">
        <w:rPr>
          <w:sz w:val="18"/>
          <w:szCs w:val="18"/>
          <w:lang w:val="fr-FR"/>
        </w:rPr>
        <w:t xml:space="preserve">. </w:t>
      </w:r>
      <w:r>
        <w:rPr>
          <w:sz w:val="18"/>
          <w:szCs w:val="18"/>
          <w:lang w:val="fr-FR"/>
        </w:rPr>
        <w:t>Et, à nouveau, les brevets comprennent</w:t>
      </w:r>
      <w:r w:rsidRPr="00252931">
        <w:rPr>
          <w:sz w:val="18"/>
          <w:szCs w:val="18"/>
          <w:lang w:val="fr-FR"/>
        </w:rPr>
        <w:t xml:space="preserve"> des clauses</w:t>
      </w:r>
      <w:r>
        <w:rPr>
          <w:sz w:val="18"/>
          <w:szCs w:val="18"/>
          <w:lang w:val="fr-FR"/>
        </w:rPr>
        <w:t xml:space="preserve"> de protection différentes dans diffé</w:t>
      </w:r>
      <w:r w:rsidRPr="00252931">
        <w:rPr>
          <w:sz w:val="18"/>
          <w:szCs w:val="18"/>
          <w:lang w:val="fr-FR"/>
        </w:rPr>
        <w:t>rent</w:t>
      </w:r>
      <w:r>
        <w:rPr>
          <w:sz w:val="18"/>
          <w:szCs w:val="18"/>
          <w:lang w:val="fr-FR"/>
        </w:rPr>
        <w:t>s</w:t>
      </w:r>
      <w:r w:rsidRPr="00252931">
        <w:rPr>
          <w:sz w:val="18"/>
          <w:szCs w:val="18"/>
          <w:lang w:val="fr-FR"/>
        </w:rPr>
        <w:t xml:space="preserve"> pays</w:t>
      </w:r>
      <w:r>
        <w:rPr>
          <w:sz w:val="18"/>
          <w:szCs w:val="18"/>
          <w:lang w:val="fr-FR"/>
        </w:rPr>
        <w:t xml:space="preserve"> : </w:t>
      </w:r>
      <w:r w:rsidRPr="00252931">
        <w:rPr>
          <w:sz w:val="18"/>
          <w:szCs w:val="18"/>
          <w:lang w:val="fr-FR"/>
        </w:rPr>
        <w:t>certains</w:t>
      </w:r>
      <w:r>
        <w:rPr>
          <w:sz w:val="18"/>
          <w:szCs w:val="18"/>
          <w:lang w:val="fr-FR"/>
        </w:rPr>
        <w:t xml:space="preserve"> pays</w:t>
      </w:r>
      <w:r w:rsidRPr="00252931">
        <w:rPr>
          <w:sz w:val="18"/>
          <w:szCs w:val="18"/>
          <w:lang w:val="fr-FR"/>
        </w:rPr>
        <w:t xml:space="preserve"> a</w:t>
      </w:r>
      <w:r>
        <w:rPr>
          <w:sz w:val="18"/>
          <w:szCs w:val="18"/>
          <w:lang w:val="fr-FR"/>
        </w:rPr>
        <w:t>utorisent des extensions et des ajustements de la protection, tandis que d’autres ne le permettent pas. Dans le</w:t>
      </w:r>
      <w:r w:rsidRPr="00252931">
        <w:rPr>
          <w:sz w:val="18"/>
          <w:szCs w:val="18"/>
          <w:lang w:val="fr-FR"/>
        </w:rPr>
        <w:t xml:space="preserve"> droi</w:t>
      </w:r>
      <w:r>
        <w:rPr>
          <w:sz w:val="18"/>
          <w:szCs w:val="18"/>
          <w:lang w:val="fr-FR"/>
        </w:rPr>
        <w:t>t des marques</w:t>
      </w:r>
      <w:r w:rsidRPr="00252931">
        <w:rPr>
          <w:sz w:val="18"/>
          <w:szCs w:val="18"/>
          <w:lang w:val="fr-FR"/>
        </w:rPr>
        <w:t xml:space="preserve">, le domaine public </w:t>
      </w:r>
      <w:r>
        <w:rPr>
          <w:sz w:val="18"/>
          <w:szCs w:val="18"/>
          <w:lang w:val="fr-FR"/>
        </w:rPr>
        <w:t>consiste essentiellement en un sujet qui a perdu sa fonction d’identification d’une source</w:t>
      </w:r>
      <w:r w:rsidRPr="00252931">
        <w:rPr>
          <w:sz w:val="18"/>
          <w:szCs w:val="18"/>
          <w:lang w:val="fr-FR"/>
        </w:rPr>
        <w:t>.</w:t>
      </w:r>
    </w:p>
    <w:p w14:paraId="162640DE" w14:textId="5E5D0363" w:rsidR="008A77A6" w:rsidRPr="00252931" w:rsidRDefault="008A77A6" w:rsidP="00F43F79">
      <w:pPr>
        <w:pStyle w:val="FootnoteText"/>
        <w:spacing w:before="20" w:after="20"/>
        <w:ind w:left="284" w:hanging="288"/>
        <w:rPr>
          <w:sz w:val="18"/>
          <w:szCs w:val="18"/>
          <w:lang w:val="fr-FR"/>
        </w:rPr>
      </w:pPr>
      <w:r w:rsidRPr="00252931">
        <w:rPr>
          <w:sz w:val="18"/>
          <w:szCs w:val="18"/>
          <w:lang w:val="fr-FR"/>
        </w:rPr>
        <w:t xml:space="preserve">Voir aussi OMPI, ‘Note on the Meanings of the Term "Public Domain" in the Intellectual Property System with Special Reference to the Protection of Traditional Knowledge and Traditional Cultural Expressions/Expressions of Folklore,’ WIPO/GRTKF/IC/17/INF/8 (Nov. 24, 2010) (“Le domaine public, dans le droit de la propriété intellectuelle, </w:t>
      </w:r>
      <w:r>
        <w:rPr>
          <w:sz w:val="18"/>
          <w:szCs w:val="18"/>
          <w:lang w:val="fr-FR"/>
        </w:rPr>
        <w:t>est constitué généralement de</w:t>
      </w:r>
      <w:r w:rsidRPr="00252931">
        <w:rPr>
          <w:sz w:val="18"/>
          <w:szCs w:val="18"/>
          <w:lang w:val="fr-FR"/>
        </w:rPr>
        <w:t xml:space="preserve"> matériel intangible </w:t>
      </w:r>
      <w:r>
        <w:rPr>
          <w:sz w:val="18"/>
          <w:szCs w:val="18"/>
          <w:lang w:val="fr-FR"/>
        </w:rPr>
        <w:t>qui ne bénéficie pas de droits de propriété intellectuelle exclusifs et qui sont donc</w:t>
      </w:r>
      <w:r w:rsidRPr="00252931">
        <w:rPr>
          <w:sz w:val="18"/>
          <w:szCs w:val="18"/>
          <w:lang w:val="fr-FR"/>
        </w:rPr>
        <w:t xml:space="preserve"> disponibles </w:t>
      </w:r>
      <w:r>
        <w:rPr>
          <w:sz w:val="18"/>
          <w:szCs w:val="18"/>
          <w:lang w:val="fr-FR"/>
        </w:rPr>
        <w:t>gratuitement aux fins d’utilisation</w:t>
      </w:r>
      <w:r w:rsidRPr="00252931">
        <w:rPr>
          <w:sz w:val="18"/>
          <w:szCs w:val="18"/>
          <w:lang w:val="fr-FR"/>
        </w:rPr>
        <w:t xml:space="preserve"> ou </w:t>
      </w:r>
      <w:r>
        <w:rPr>
          <w:sz w:val="18"/>
          <w:szCs w:val="18"/>
          <w:lang w:val="fr-FR"/>
        </w:rPr>
        <w:t xml:space="preserve">d’exploitation par toute </w:t>
      </w:r>
      <w:r w:rsidRPr="00252931">
        <w:rPr>
          <w:sz w:val="18"/>
          <w:szCs w:val="18"/>
          <w:lang w:val="fr-FR"/>
        </w:rPr>
        <w:t>person</w:t>
      </w:r>
      <w:r>
        <w:rPr>
          <w:sz w:val="18"/>
          <w:szCs w:val="18"/>
          <w:lang w:val="fr-FR"/>
        </w:rPr>
        <w:t>ne</w:t>
      </w:r>
      <w:r w:rsidRPr="00252931">
        <w:rPr>
          <w:sz w:val="18"/>
          <w:szCs w:val="18"/>
          <w:lang w:val="fr-FR"/>
        </w:rPr>
        <w:t>. . . .</w:t>
      </w:r>
      <w:r>
        <w:rPr>
          <w:sz w:val="18"/>
          <w:szCs w:val="18"/>
          <w:lang w:val="fr-FR"/>
        </w:rPr>
        <w:t>Le domaine public est cependant</w:t>
      </w:r>
      <w:r w:rsidRPr="00252931">
        <w:rPr>
          <w:sz w:val="18"/>
          <w:szCs w:val="18"/>
          <w:lang w:val="fr-FR"/>
        </w:rPr>
        <w:t xml:space="preserve"> </w:t>
      </w:r>
      <w:r>
        <w:rPr>
          <w:sz w:val="18"/>
          <w:szCs w:val="18"/>
          <w:lang w:val="fr-FR"/>
        </w:rPr>
        <w:t>un concept élastique</w:t>
      </w:r>
      <w:r w:rsidRPr="00252931">
        <w:rPr>
          <w:sz w:val="18"/>
          <w:szCs w:val="18"/>
          <w:lang w:val="fr-FR"/>
        </w:rPr>
        <w:t xml:space="preserve">, versatile et </w:t>
      </w:r>
      <w:r>
        <w:rPr>
          <w:sz w:val="18"/>
          <w:szCs w:val="18"/>
          <w:lang w:val="fr-FR"/>
        </w:rPr>
        <w:t>relatif, et ne peut être restreint à une interprétation juridique uniforme</w:t>
      </w:r>
      <w:r w:rsidRPr="00252931">
        <w:rPr>
          <w:sz w:val="18"/>
          <w:szCs w:val="18"/>
          <w:lang w:val="fr-FR"/>
        </w:rPr>
        <w:t>.”).</w:t>
      </w:r>
    </w:p>
  </w:footnote>
  <w:footnote w:id="182">
    <w:p w14:paraId="110867D5" w14:textId="3E49AB04" w:rsidR="008A77A6" w:rsidRPr="00F024F0" w:rsidRDefault="008A77A6" w:rsidP="00F024F0">
      <w:pPr>
        <w:autoSpaceDE w:val="0"/>
        <w:autoSpaceDN w:val="0"/>
        <w:adjustRightInd w:val="0"/>
        <w:spacing w:after="0"/>
        <w:jc w:val="left"/>
        <w:rPr>
          <w:rFonts w:ascii="MinionPro-Regular" w:hAnsi="MinionPro-Regular" w:cs="MinionPro-Regular"/>
          <w:sz w:val="19"/>
          <w:szCs w:val="19"/>
          <w:lang w:val="fr-FR"/>
        </w:rPr>
      </w:pPr>
      <w:r w:rsidRPr="00F43F79">
        <w:rPr>
          <w:rStyle w:val="FootnoteReference"/>
          <w:sz w:val="18"/>
          <w:szCs w:val="18"/>
        </w:rPr>
        <w:footnoteRef/>
      </w:r>
      <w:r w:rsidRPr="002D5480">
        <w:rPr>
          <w:sz w:val="18"/>
          <w:szCs w:val="18"/>
          <w:lang w:val="fr-FR"/>
        </w:rPr>
        <w:t xml:space="preserve"> L’article 16.3 du Protocole de Nagoya</w:t>
      </w:r>
      <w:r>
        <w:rPr>
          <w:sz w:val="18"/>
          <w:szCs w:val="18"/>
          <w:lang w:val="fr-FR"/>
        </w:rPr>
        <w:t xml:space="preserve"> </w:t>
      </w:r>
      <w:r w:rsidRPr="00F024F0">
        <w:rPr>
          <w:sz w:val="18"/>
          <w:szCs w:val="18"/>
          <w:lang w:val="fr-FR"/>
        </w:rPr>
        <w:t>dispose</w:t>
      </w:r>
      <w:r>
        <w:rPr>
          <w:sz w:val="18"/>
          <w:szCs w:val="18"/>
          <w:lang w:val="fr-FR"/>
        </w:rPr>
        <w:t xml:space="preserve"> que</w:t>
      </w:r>
      <w:r w:rsidRPr="00F024F0">
        <w:rPr>
          <w:sz w:val="18"/>
          <w:szCs w:val="18"/>
          <w:lang w:val="fr-FR"/>
        </w:rPr>
        <w:t> : “</w:t>
      </w:r>
      <w:r>
        <w:rPr>
          <w:rFonts w:ascii="MinionPro-Regular" w:hAnsi="MinionPro-Regular" w:cs="MinionPro-Regular"/>
          <w:sz w:val="18"/>
          <w:szCs w:val="18"/>
          <w:lang w:val="fr-FR"/>
        </w:rPr>
        <w:t>l</w:t>
      </w:r>
      <w:r w:rsidRPr="00F024F0">
        <w:rPr>
          <w:rFonts w:ascii="MinionPro-Regular" w:hAnsi="MinionPro-Regular" w:cs="MinionPro-Regular"/>
          <w:sz w:val="18"/>
          <w:szCs w:val="18"/>
          <w:lang w:val="fr-FR"/>
        </w:rPr>
        <w:t>es Parties coopèrent, dans la mesure du possible et selon qu’il convient, en cas de violation présumée des dispositions législatives ou réglementaires internes en matière d’accès et de partage des avantages</w:t>
      </w:r>
      <w:r w:rsidRPr="002D5480">
        <w:rPr>
          <w:sz w:val="18"/>
          <w:szCs w:val="18"/>
          <w:lang w:val="fr-FR"/>
        </w:rPr>
        <w:t>…”</w:t>
      </w:r>
    </w:p>
  </w:footnote>
  <w:footnote w:id="183">
    <w:p w14:paraId="0073CE9B" w14:textId="3157CBC0" w:rsidR="008A77A6"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CB7077">
        <w:rPr>
          <w:sz w:val="18"/>
          <w:szCs w:val="18"/>
          <w:lang w:val="fr-FR"/>
        </w:rPr>
        <w:t xml:space="preserve"> À titre d’exemple, certains group</w:t>
      </w:r>
      <w:r>
        <w:rPr>
          <w:sz w:val="18"/>
          <w:szCs w:val="18"/>
          <w:lang w:val="fr-FR"/>
        </w:rPr>
        <w:t>e</w:t>
      </w:r>
      <w:r w:rsidRPr="00CB7077">
        <w:rPr>
          <w:sz w:val="18"/>
          <w:szCs w:val="18"/>
          <w:lang w:val="fr-FR"/>
        </w:rPr>
        <w:t>s peuvent avoir disparu</w:t>
      </w:r>
      <w:r>
        <w:rPr>
          <w:sz w:val="18"/>
          <w:szCs w:val="18"/>
          <w:lang w:val="fr-FR"/>
        </w:rPr>
        <w:t xml:space="preserve"> depuis</w:t>
      </w:r>
      <w:r w:rsidRPr="00CB7077">
        <w:rPr>
          <w:sz w:val="18"/>
          <w:szCs w:val="18"/>
          <w:lang w:val="fr-FR"/>
        </w:rPr>
        <w:t xml:space="preserve">.  </w:t>
      </w:r>
      <w:r>
        <w:rPr>
          <w:sz w:val="18"/>
          <w:szCs w:val="18"/>
          <w:lang w:val="fr-FR"/>
        </w:rPr>
        <w:t>Voir</w:t>
      </w:r>
      <w:r w:rsidRPr="00D05EB8">
        <w:rPr>
          <w:sz w:val="18"/>
          <w:szCs w:val="18"/>
          <w:lang w:val="fr-FR"/>
        </w:rPr>
        <w:t xml:space="preserve"> par exemple </w:t>
      </w:r>
      <w:r w:rsidRPr="00F43F79">
        <w:rPr>
          <w:sz w:val="18"/>
          <w:szCs w:val="18"/>
        </w:rPr>
        <w:fldChar w:fldCharType="begin"/>
      </w:r>
      <w:r w:rsidRPr="00D05EB8">
        <w:rPr>
          <w:sz w:val="18"/>
          <w:szCs w:val="18"/>
          <w:lang w:val="fr-FR"/>
        </w:rPr>
        <w:instrText xml:space="preserve"> ADDIN ZOTERO_ITEM CSL_CITATION {"citationID":"3CuPLeQO","properties":{"formattedCitation":"Harmeet Shah Singh, \\uc0\\u8216{}Ancient Tribe Becomes Extinct as Last Member Dies\\uc0\\u8217{} ({\\i{}CNN.com}, 5 February 2010) &lt;https://edition.cnn.com/2010/WORLD/asiapcf/02/05/india.extinct.tribe/index.html&gt; accessed 28 February 2020.","plainCitation":"Harmeet Shah Singh, ‘Ancient Tribe Becomes Extinct as Last Member Dies’ (CNN.com, 5 February 2010) &lt;https://edition.cnn.com/2010/WORLD/asiapcf/02/05/india.extinct.tribe/index.html&gt; accessed 28 February 2020.","noteIndex":179},"citationItems":[{"id":668,"uris":["http://zotero.org/users/local/dU5rpCrq/items/9V943J8I"],"uri":["http://zotero.org/users/local/dU5rpCrq/items/9V943J8I"],"itemData":{"id":668,"type":"webpage","multi":{"main":{},"_keys":{}},"container-title":"CNN.com","title":"Ancient tribe becomes extinct as last member dies","URL":"https://edition.cnn.com/2010/WORLD/asiapcf/02/05/india.extinct.tribe/index.html","author":[{"family":"Singh","given":"Harmeet Shah","multi":{"_key":{}}}],"accessed":{"date-parts":[["2020",2,28]]},"issued":{"date-parts":[["2010",2,5]]},"seeAlso":[]}}],"schema":"https://github.com/citation-style-language/schema/raw/master/csl-citation.json"} </w:instrText>
      </w:r>
      <w:r w:rsidRPr="00F43F79">
        <w:rPr>
          <w:sz w:val="18"/>
          <w:szCs w:val="18"/>
        </w:rPr>
        <w:fldChar w:fldCharType="separate"/>
      </w:r>
      <w:r w:rsidRPr="00D05EB8">
        <w:rPr>
          <w:sz w:val="18"/>
          <w:szCs w:val="18"/>
          <w:lang w:val="fr-FR"/>
        </w:rPr>
        <w:t xml:space="preserve">Harmeet Shah Singh, </w:t>
      </w:r>
      <w:r w:rsidRPr="00D05EB8">
        <w:rPr>
          <w:i/>
          <w:sz w:val="18"/>
          <w:szCs w:val="18"/>
          <w:lang w:val="fr-FR"/>
        </w:rPr>
        <w:t>‘Ancient Tri</w:t>
      </w:r>
      <w:r>
        <w:rPr>
          <w:i/>
          <w:sz w:val="18"/>
          <w:szCs w:val="18"/>
          <w:lang w:val="fr-FR"/>
        </w:rPr>
        <w:t>be Becomes Extinct as Last Memb</w:t>
      </w:r>
      <w:r w:rsidRPr="00D05EB8">
        <w:rPr>
          <w:i/>
          <w:sz w:val="18"/>
          <w:szCs w:val="18"/>
          <w:lang w:val="fr-FR"/>
        </w:rPr>
        <w:t>e</w:t>
      </w:r>
      <w:r>
        <w:rPr>
          <w:i/>
          <w:sz w:val="18"/>
          <w:szCs w:val="18"/>
          <w:lang w:val="fr-FR"/>
        </w:rPr>
        <w:t>r</w:t>
      </w:r>
      <w:r w:rsidRPr="00D05EB8">
        <w:rPr>
          <w:i/>
          <w:sz w:val="18"/>
          <w:szCs w:val="18"/>
          <w:lang w:val="fr-FR"/>
        </w:rPr>
        <w:t xml:space="preserve"> Dies’</w:t>
      </w:r>
      <w:r w:rsidRPr="00D05EB8">
        <w:rPr>
          <w:sz w:val="18"/>
          <w:szCs w:val="18"/>
          <w:lang w:val="fr-FR"/>
        </w:rPr>
        <w:t xml:space="preserve"> (</w:t>
      </w:r>
      <w:r w:rsidRPr="00D05EB8">
        <w:rPr>
          <w:i/>
          <w:iCs/>
          <w:sz w:val="18"/>
          <w:szCs w:val="18"/>
          <w:lang w:val="fr-FR"/>
        </w:rPr>
        <w:t>CNN.com</w:t>
      </w:r>
      <w:r w:rsidRPr="00D05EB8">
        <w:rPr>
          <w:sz w:val="18"/>
          <w:szCs w:val="18"/>
          <w:lang w:val="fr-FR"/>
        </w:rPr>
        <w:t xml:space="preserve">, 5 février 2010) </w:t>
      </w:r>
    </w:p>
    <w:p w14:paraId="7E716C84" w14:textId="75C9B505" w:rsidR="008A77A6" w:rsidRPr="00D05EB8" w:rsidRDefault="008A77A6" w:rsidP="00F43F79">
      <w:pPr>
        <w:pStyle w:val="FootnoteText"/>
        <w:spacing w:before="20" w:after="20"/>
        <w:ind w:left="284" w:hanging="288"/>
        <w:rPr>
          <w:sz w:val="18"/>
          <w:szCs w:val="18"/>
          <w:lang w:val="fr-FR"/>
        </w:rPr>
      </w:pPr>
      <w:r w:rsidRPr="00D05EB8">
        <w:rPr>
          <w:sz w:val="18"/>
          <w:szCs w:val="18"/>
          <w:lang w:val="fr-FR"/>
        </w:rPr>
        <w:t>&lt;https://edition.cnn.com/2010/WORLD/asiapcf/02/05/india.extinct.tribe/index.html&gt; consulté le 28 février 2020.</w:t>
      </w:r>
      <w:r w:rsidRPr="00F43F79">
        <w:rPr>
          <w:sz w:val="18"/>
          <w:szCs w:val="18"/>
        </w:rPr>
        <w:fldChar w:fldCharType="end"/>
      </w:r>
    </w:p>
  </w:footnote>
  <w:footnote w:id="184">
    <w:p w14:paraId="47D5B8BD" w14:textId="295F0767" w:rsidR="008A77A6" w:rsidRPr="00CB7077"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Pr>
          <w:sz w:val="18"/>
          <w:szCs w:val="18"/>
          <w:lang w:val="fr-FR"/>
        </w:rPr>
        <w:t xml:space="preserve"> Comme</w:t>
      </w:r>
      <w:r w:rsidRPr="00B65233">
        <w:rPr>
          <w:sz w:val="18"/>
          <w:szCs w:val="18"/>
          <w:lang w:val="fr-FR"/>
        </w:rPr>
        <w:t xml:space="preserve"> </w:t>
      </w:r>
      <w:r>
        <w:rPr>
          <w:sz w:val="18"/>
          <w:szCs w:val="18"/>
          <w:lang w:val="fr-FR"/>
        </w:rPr>
        <w:t>la médecine traditionnelle chinoise</w:t>
      </w:r>
      <w:r w:rsidRPr="00B65233">
        <w:rPr>
          <w:sz w:val="18"/>
          <w:szCs w:val="18"/>
          <w:lang w:val="fr-FR"/>
        </w:rPr>
        <w:t xml:space="preserve">. </w:t>
      </w:r>
      <w:r w:rsidRPr="00CB7077">
        <w:rPr>
          <w:sz w:val="18"/>
          <w:szCs w:val="18"/>
          <w:lang w:val="fr-FR"/>
        </w:rPr>
        <w:t>Voir plus g</w:t>
      </w:r>
      <w:r>
        <w:rPr>
          <w:sz w:val="18"/>
          <w:szCs w:val="18"/>
          <w:lang w:val="fr-FR"/>
        </w:rPr>
        <w:t>énéralement</w:t>
      </w:r>
      <w:r w:rsidRPr="00CB7077">
        <w:rPr>
          <w:sz w:val="18"/>
          <w:szCs w:val="18"/>
          <w:lang w:val="fr-FR"/>
        </w:rPr>
        <w:t xml:space="preserve"> Xijun Wang, ed., Serum Pharmacochemistry of Traditional Chinese Medici</w:t>
      </w:r>
      <w:r>
        <w:rPr>
          <w:sz w:val="18"/>
          <w:szCs w:val="18"/>
          <w:lang w:val="fr-FR"/>
        </w:rPr>
        <w:t xml:space="preserve">ne: Technologies, Strategies and </w:t>
      </w:r>
      <w:r w:rsidRPr="00CB7077">
        <w:rPr>
          <w:sz w:val="18"/>
          <w:szCs w:val="18"/>
          <w:lang w:val="fr-FR"/>
        </w:rPr>
        <w:t>Applications (Academic Press 2017).</w:t>
      </w:r>
    </w:p>
  </w:footnote>
  <w:footnote w:id="185">
    <w:p w14:paraId="482709C3" w14:textId="3B87B199" w:rsidR="008A77A6" w:rsidRPr="00121FCD"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121FCD">
        <w:rPr>
          <w:sz w:val="18"/>
          <w:szCs w:val="18"/>
          <w:lang w:val="fr-FR"/>
        </w:rPr>
        <w:t xml:space="preserve"> </w:t>
      </w:r>
      <w:r w:rsidRPr="00F43F79">
        <w:rPr>
          <w:sz w:val="18"/>
          <w:szCs w:val="18"/>
        </w:rPr>
        <w:fldChar w:fldCharType="begin"/>
      </w:r>
      <w:r w:rsidRPr="00121FCD">
        <w:rPr>
          <w:sz w:val="18"/>
          <w:szCs w:val="18"/>
          <w:lang w:val="fr-FR"/>
        </w:rPr>
        <w:instrText xml:space="preserve"> ADDIN ZOTERO_ITEM CSL_CITATION {"citationID":"2F8fbOMb","properties":{"formattedCitation":"African Union Scientific Technical Research Commission (n 37) 27.","plainCitation":"African Union Scientific Technical Research Commission (n 37) 27.","noteIndex":181},"citationItems":[{"id":653,"uris":["http://zotero.org/users/local/dU5rpCrq/items/S68BTUW2"],"uri":["http://zotero.org/users/local/dU5rpCrq/items/S68BTUW2"],"itemData":{"id":653,"type":"book","multi":{"main":{},"_keys":{}},"edition":"2","publisher":"African Union","title":"African Pharmacopoeia","author":[{"family":"African Union Scientific Technical Research Commission","given":"","literal":"African Union Scientific Technical Research Commission","multi":{"_key":{}}}],"issued":{"date-parts":[["2014"]]},"seeAlso":[]},"locator":"27"}],"schema":"https://github.com/citation-style-language/schema/raw/master/csl-citation.json"} </w:instrText>
      </w:r>
      <w:r w:rsidRPr="00F43F79">
        <w:rPr>
          <w:sz w:val="18"/>
          <w:szCs w:val="18"/>
        </w:rPr>
        <w:fldChar w:fldCharType="separate"/>
      </w:r>
      <w:r>
        <w:rPr>
          <w:sz w:val="18"/>
          <w:szCs w:val="18"/>
          <w:lang w:val="fr-FR"/>
        </w:rPr>
        <w:t>Commission de la recherche technique scientifique de l’Union africaine</w:t>
      </w:r>
      <w:r w:rsidRPr="00121FCD">
        <w:rPr>
          <w:sz w:val="18"/>
          <w:szCs w:val="18"/>
          <w:lang w:val="fr-FR"/>
        </w:rPr>
        <w:t xml:space="preserve"> (n 39) 27.</w:t>
      </w:r>
      <w:r w:rsidRPr="00F43F79">
        <w:rPr>
          <w:sz w:val="18"/>
          <w:szCs w:val="18"/>
        </w:rPr>
        <w:fldChar w:fldCharType="end"/>
      </w:r>
      <w:r w:rsidRPr="00121FCD">
        <w:rPr>
          <w:sz w:val="18"/>
          <w:szCs w:val="18"/>
          <w:lang w:val="fr-FR"/>
        </w:rPr>
        <w:t xml:space="preserve"> </w:t>
      </w:r>
    </w:p>
  </w:footnote>
  <w:footnote w:id="186">
    <w:p w14:paraId="3B120EA2" w14:textId="54D0F888" w:rsidR="008A77A6" w:rsidRPr="00121FCD"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121FCD">
        <w:rPr>
          <w:sz w:val="18"/>
          <w:szCs w:val="18"/>
          <w:lang w:val="fr-FR"/>
        </w:rPr>
        <w:t xml:space="preserve"> </w:t>
      </w:r>
      <w:r w:rsidRPr="00F43F79">
        <w:rPr>
          <w:sz w:val="18"/>
          <w:szCs w:val="18"/>
        </w:rPr>
        <w:fldChar w:fldCharType="begin"/>
      </w:r>
      <w:r w:rsidRPr="00121FCD">
        <w:rPr>
          <w:sz w:val="18"/>
          <w:szCs w:val="18"/>
          <w:lang w:val="fr-FR"/>
        </w:rPr>
        <w:instrText xml:space="preserve"> ADDIN ZOTERO_ITEM CSL_CITATION {"citationID":"vjdTIEzY","properties":{"formattedCitation":"African Union Scientific Technical Research Commission (n 37).","plainCitation":"African Union Scientific Technical Research Commission (n 37).","noteIndex":182},"citationItems":[{"id":653,"uris":["http://zotero.org/users/local/dU5rpCrq/items/S68BTUW2"],"uri":["http://zotero.org/users/local/dU5rpCrq/items/S68BTUW2"],"itemData":{"id":653,"type":"book","multi":{"main":{},"_keys":{}},"edition":"2","publisher":"African Union","title":"African Pharmacopoeia","author":[{"family":"African Union Scientific Technical Research Commission","given":"","literal":"African Union Scientific Technical Research Commission","multi":{"_key":{}}}],"issued":{"date-parts":[["2014"]]},"seeAlso":[]}}],"schema":"https://github.com/citation-style-language/schema/raw/master/csl-citation.json"} </w:instrText>
      </w:r>
      <w:r w:rsidRPr="00F43F79">
        <w:rPr>
          <w:sz w:val="18"/>
          <w:szCs w:val="18"/>
        </w:rPr>
        <w:fldChar w:fldCharType="separate"/>
      </w:r>
      <w:r>
        <w:rPr>
          <w:sz w:val="18"/>
          <w:szCs w:val="18"/>
          <w:lang w:val="fr-FR"/>
        </w:rPr>
        <w:t>Commission de la recherche technique scientifique de l’Union africaine</w:t>
      </w:r>
      <w:r w:rsidRPr="00121FCD">
        <w:rPr>
          <w:sz w:val="18"/>
          <w:szCs w:val="18"/>
          <w:lang w:val="fr-FR"/>
        </w:rPr>
        <w:t xml:space="preserve"> (n 39).</w:t>
      </w:r>
      <w:r w:rsidRPr="00F43F79">
        <w:rPr>
          <w:sz w:val="18"/>
          <w:szCs w:val="18"/>
        </w:rPr>
        <w:fldChar w:fldCharType="end"/>
      </w:r>
    </w:p>
  </w:footnote>
  <w:footnote w:id="187">
    <w:p w14:paraId="76D26D47" w14:textId="5AEC9B48" w:rsidR="008A77A6" w:rsidRPr="00D05EB8"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F43F79">
        <w:rPr>
          <w:sz w:val="18"/>
          <w:szCs w:val="18"/>
        </w:rPr>
        <w:t xml:space="preserve"> </w:t>
      </w:r>
      <w:r w:rsidRPr="00F43F79">
        <w:rPr>
          <w:sz w:val="18"/>
          <w:szCs w:val="18"/>
        </w:rPr>
        <w:fldChar w:fldCharType="begin"/>
      </w:r>
      <w:r w:rsidRPr="00F43F79">
        <w:rPr>
          <w:sz w:val="18"/>
          <w:szCs w:val="18"/>
        </w:rPr>
        <w:instrText xml:space="preserve"> ADDIN ZOTERO_ITEM CSL_CITATION {"citationID":"vGMYQ12v","properties":{"formattedCitation":"Daniel E Moerman, {\\i{}Native American Ethnobotany} (Timber Press 1998).","plainCitation":"Daniel E Moerman, Native American Ethnobotany (Timber Press 1998).","noteIndex":183},"citationItems":[{"id":675,"uris":["http://zotero.org/users/local/dU5rpCrq/items/9MCIRM8X"],"uri":["http://zotero.org/users/local/dU5rpCrq/items/9MCIRM8X"],"itemData":{"id":675,"type":"book","multi":{"main":{},"_keys":{}},"publisher":"Timber Press","title":"Native American Ethnobotany","author":[{"family":"Moerman","given":"Daniel E","multi":{"_key":{}}}],"issued":{"date-parts":[["1998"]]},"seeAlso":[]}}],"schema":"https://github.com/citation-style-language/schema/raw/master/csl-citation.json"} </w:instrText>
      </w:r>
      <w:r w:rsidRPr="00F43F79">
        <w:rPr>
          <w:sz w:val="18"/>
          <w:szCs w:val="18"/>
        </w:rPr>
        <w:fldChar w:fldCharType="separate"/>
      </w:r>
      <w:r w:rsidRPr="00F43F79">
        <w:rPr>
          <w:sz w:val="18"/>
          <w:szCs w:val="18"/>
        </w:rPr>
        <w:t xml:space="preserve">Daniel E Moerman, </w:t>
      </w:r>
      <w:r w:rsidRPr="00F43F79">
        <w:rPr>
          <w:i/>
          <w:iCs/>
          <w:sz w:val="18"/>
          <w:szCs w:val="18"/>
        </w:rPr>
        <w:t>Native American Ethnobotany</w:t>
      </w:r>
      <w:r w:rsidRPr="00F43F79">
        <w:rPr>
          <w:sz w:val="18"/>
          <w:szCs w:val="18"/>
        </w:rPr>
        <w:t xml:space="preserve"> (Timber Press 1998).</w:t>
      </w:r>
      <w:r w:rsidRPr="00F43F79">
        <w:rPr>
          <w:sz w:val="18"/>
          <w:szCs w:val="18"/>
        </w:rPr>
        <w:fldChar w:fldCharType="end"/>
      </w:r>
      <w:r w:rsidRPr="00F43F79">
        <w:rPr>
          <w:sz w:val="18"/>
          <w:szCs w:val="18"/>
        </w:rPr>
        <w:t xml:space="preserve"> </w:t>
      </w:r>
      <w:r>
        <w:rPr>
          <w:sz w:val="18"/>
          <w:szCs w:val="18"/>
          <w:lang w:val="fr-FR"/>
        </w:rPr>
        <w:t>Description provenant</w:t>
      </w:r>
      <w:r w:rsidRPr="00D05EB8">
        <w:rPr>
          <w:sz w:val="18"/>
          <w:szCs w:val="18"/>
          <w:lang w:val="fr-FR"/>
        </w:rPr>
        <w:t xml:space="preserve"> </w:t>
      </w:r>
      <w:r>
        <w:rPr>
          <w:sz w:val="18"/>
          <w:szCs w:val="18"/>
          <w:lang w:val="fr-FR"/>
        </w:rPr>
        <w:t>d’</w:t>
      </w:r>
      <w:r w:rsidRPr="00D05EB8">
        <w:rPr>
          <w:sz w:val="18"/>
          <w:szCs w:val="18"/>
          <w:lang w:val="fr-FR"/>
        </w:rPr>
        <w:t>Amazon.com &lt;https://www.amazon.com/Native-American-Ethnobotany-Daniel-Moerman/dp/0881924539&gt; consulté le 28 février 2020.</w:t>
      </w:r>
    </w:p>
  </w:footnote>
  <w:footnote w:id="188">
    <w:p w14:paraId="7A190311" w14:textId="05751063" w:rsidR="008A77A6" w:rsidRPr="00CB7077"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CB7077">
        <w:rPr>
          <w:sz w:val="18"/>
          <w:szCs w:val="18"/>
          <w:lang w:val="fr-FR"/>
        </w:rPr>
        <w:t xml:space="preserve"> Voir par exemple Christina Leza, </w:t>
      </w:r>
      <w:r w:rsidRPr="00CB7077">
        <w:rPr>
          <w:bCs/>
          <w:i/>
          <w:sz w:val="18"/>
          <w:szCs w:val="18"/>
          <w:lang w:val="fr-FR"/>
        </w:rPr>
        <w:t>For Native Americans, US-Mexico border is an ‘imaginary line’</w:t>
      </w:r>
      <w:r w:rsidRPr="00CB7077">
        <w:rPr>
          <w:bCs/>
          <w:sz w:val="18"/>
          <w:szCs w:val="18"/>
          <w:lang w:val="fr-FR"/>
        </w:rPr>
        <w:t xml:space="preserve"> (</w:t>
      </w:r>
      <w:r w:rsidRPr="00CB7077">
        <w:rPr>
          <w:bCs/>
          <w:i/>
          <w:iCs/>
          <w:sz w:val="18"/>
          <w:szCs w:val="18"/>
          <w:lang w:val="fr-FR"/>
        </w:rPr>
        <w:t>The Conversation</w:t>
      </w:r>
      <w:r w:rsidRPr="00CB7077">
        <w:rPr>
          <w:bCs/>
          <w:sz w:val="18"/>
          <w:szCs w:val="18"/>
          <w:lang w:val="fr-FR"/>
        </w:rPr>
        <w:t>, 19 mars</w:t>
      </w:r>
      <w:r w:rsidRPr="00CB7077" w:rsidDel="00214AF0">
        <w:rPr>
          <w:bCs/>
          <w:sz w:val="18"/>
          <w:szCs w:val="18"/>
          <w:lang w:val="fr-FR"/>
        </w:rPr>
        <w:t xml:space="preserve"> </w:t>
      </w:r>
      <w:r w:rsidRPr="00CB7077">
        <w:rPr>
          <w:bCs/>
          <w:sz w:val="18"/>
          <w:szCs w:val="18"/>
          <w:lang w:val="fr-FR"/>
        </w:rPr>
        <w:t>2019) &lt;</w:t>
      </w:r>
      <w:hyperlink r:id="rId14" w:history="1">
        <w:r w:rsidRPr="00CB7077">
          <w:rPr>
            <w:rStyle w:val="Hyperlink"/>
            <w:bCs/>
            <w:color w:val="auto"/>
            <w:sz w:val="18"/>
            <w:szCs w:val="18"/>
            <w:lang w:val="fr-FR"/>
          </w:rPr>
          <w:t>https://theconversation.com/for-native-americans-us-mexico-border-is-an-imaginary-line-111043</w:t>
        </w:r>
      </w:hyperlink>
      <w:r w:rsidRPr="00CB7077">
        <w:rPr>
          <w:bCs/>
          <w:sz w:val="18"/>
          <w:szCs w:val="18"/>
          <w:lang w:val="fr-FR"/>
        </w:rPr>
        <w:t>&gt; consult</w:t>
      </w:r>
      <w:r>
        <w:rPr>
          <w:bCs/>
          <w:sz w:val="18"/>
          <w:szCs w:val="18"/>
          <w:lang w:val="fr-FR"/>
        </w:rPr>
        <w:t>é le 23 mai 2020 . L’auteur indique qu’</w:t>
      </w:r>
      <w:r w:rsidRPr="00CB7077">
        <w:rPr>
          <w:bCs/>
          <w:sz w:val="18"/>
          <w:szCs w:val="18"/>
          <w:lang w:val="fr-FR"/>
        </w:rPr>
        <w:t xml:space="preserve">“aujourd’hui, </w:t>
      </w:r>
      <w:r>
        <w:rPr>
          <w:bCs/>
          <w:sz w:val="18"/>
          <w:szCs w:val="18"/>
          <w:lang w:val="fr-FR"/>
        </w:rPr>
        <w:t xml:space="preserve">des dizaines de milliers de personnes appartenant aux tribus autochtones américaines vivent dans les Etats mexicains de </w:t>
      </w:r>
      <w:r w:rsidRPr="00CB7077">
        <w:rPr>
          <w:bCs/>
          <w:sz w:val="18"/>
          <w:szCs w:val="18"/>
          <w:lang w:val="fr-FR"/>
        </w:rPr>
        <w:t>Baja California, Sonora, Coahuila et Chihuahua</w:t>
      </w:r>
      <w:r>
        <w:rPr>
          <w:bCs/>
          <w:sz w:val="18"/>
          <w:szCs w:val="18"/>
          <w:lang w:val="fr-FR"/>
        </w:rPr>
        <w:t xml:space="preserve"> .</w:t>
      </w:r>
      <w:r w:rsidRPr="00CB7077">
        <w:rPr>
          <w:bCs/>
          <w:sz w:val="18"/>
          <w:szCs w:val="18"/>
          <w:lang w:val="fr-FR"/>
        </w:rPr>
        <w:t xml:space="preserve"> . .  De nomb</w:t>
      </w:r>
      <w:r>
        <w:rPr>
          <w:bCs/>
          <w:sz w:val="18"/>
          <w:szCs w:val="18"/>
          <w:lang w:val="fr-FR"/>
        </w:rPr>
        <w:t xml:space="preserve">reux américains autochtones </w:t>
      </w:r>
      <w:r w:rsidRPr="00CB7077">
        <w:rPr>
          <w:bCs/>
          <w:sz w:val="18"/>
          <w:szCs w:val="18"/>
          <w:lang w:val="fr-FR"/>
        </w:rPr>
        <w:t>. . . nomment la frontière entre l</w:t>
      </w:r>
      <w:r>
        <w:rPr>
          <w:bCs/>
          <w:sz w:val="18"/>
          <w:szCs w:val="18"/>
          <w:lang w:val="fr-FR"/>
        </w:rPr>
        <w:t xml:space="preserve">es Etats-Unis et le Mexique “la ligne imaginaire” – une frontière invisible créée par les puissances </w:t>
      </w:r>
      <w:r w:rsidRPr="00CB7077">
        <w:rPr>
          <w:bCs/>
          <w:sz w:val="18"/>
          <w:szCs w:val="18"/>
          <w:lang w:val="fr-FR"/>
        </w:rPr>
        <w:t>colonial</w:t>
      </w:r>
      <w:r>
        <w:rPr>
          <w:bCs/>
          <w:sz w:val="18"/>
          <w:szCs w:val="18"/>
          <w:lang w:val="fr-FR"/>
        </w:rPr>
        <w:t xml:space="preserve">es, et demandent une reconnaissance de leurs propres territoires autochtones souverains </w:t>
      </w:r>
      <w:r w:rsidRPr="00CB7077">
        <w:rPr>
          <w:bCs/>
          <w:sz w:val="18"/>
          <w:szCs w:val="18"/>
          <w:lang w:val="fr-FR"/>
        </w:rPr>
        <w:t>. .</w:t>
      </w:r>
      <w:r>
        <w:rPr>
          <w:bCs/>
          <w:sz w:val="18"/>
          <w:szCs w:val="18"/>
          <w:lang w:val="fr-FR"/>
        </w:rPr>
        <w:t xml:space="preserve"> . . Officiellement, plusieurs</w:t>
      </w:r>
      <w:r w:rsidRPr="00CB7077">
        <w:rPr>
          <w:bCs/>
          <w:sz w:val="18"/>
          <w:szCs w:val="18"/>
          <w:lang w:val="fr-FR"/>
        </w:rPr>
        <w:t xml:space="preserve"> l</w:t>
      </w:r>
      <w:r>
        <w:rPr>
          <w:bCs/>
          <w:sz w:val="18"/>
          <w:szCs w:val="18"/>
          <w:lang w:val="fr-FR"/>
        </w:rPr>
        <w:t>ois et traités fédéraux consacrent le droit</w:t>
      </w:r>
      <w:r w:rsidRPr="00CB7077">
        <w:rPr>
          <w:bCs/>
          <w:sz w:val="18"/>
          <w:szCs w:val="18"/>
          <w:lang w:val="fr-FR"/>
        </w:rPr>
        <w:t xml:space="preserve"> des</w:t>
      </w:r>
      <w:r>
        <w:rPr>
          <w:bCs/>
          <w:sz w:val="18"/>
          <w:szCs w:val="18"/>
          <w:lang w:val="fr-FR"/>
        </w:rPr>
        <w:t xml:space="preserve"> tribus officiellement reconnues à traverser la frontière entre les Etats-Unis, le Mexique et le</w:t>
      </w:r>
      <w:r w:rsidRPr="00CB7077">
        <w:rPr>
          <w:bCs/>
          <w:sz w:val="18"/>
          <w:szCs w:val="18"/>
          <w:lang w:val="fr-FR"/>
        </w:rPr>
        <w:t xml:space="preserve"> Canada.”</w:t>
      </w:r>
    </w:p>
  </w:footnote>
  <w:footnote w:id="189">
    <w:p w14:paraId="29978EC9" w14:textId="7302B76E" w:rsidR="008A77A6" w:rsidRPr="00FB0054"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FB0054">
        <w:rPr>
          <w:sz w:val="18"/>
          <w:szCs w:val="18"/>
          <w:lang w:val="fr-FR"/>
        </w:rPr>
        <w:t xml:space="preserve"> FPW, Entretien avec </w:t>
      </w:r>
      <w:r>
        <w:rPr>
          <w:sz w:val="18"/>
          <w:szCs w:val="18"/>
          <w:lang w:val="fr-FR"/>
        </w:rPr>
        <w:t>un expert e</w:t>
      </w:r>
      <w:r w:rsidRPr="00FB0054">
        <w:rPr>
          <w:sz w:val="18"/>
          <w:szCs w:val="18"/>
          <w:lang w:val="fr-FR"/>
        </w:rPr>
        <w:t>n ethnobota</w:t>
      </w:r>
      <w:r>
        <w:rPr>
          <w:sz w:val="18"/>
          <w:szCs w:val="18"/>
          <w:lang w:val="fr-FR"/>
        </w:rPr>
        <w:t>nique</w:t>
      </w:r>
      <w:r w:rsidRPr="00FB0054">
        <w:rPr>
          <w:sz w:val="18"/>
          <w:szCs w:val="18"/>
          <w:lang w:val="fr-FR"/>
        </w:rPr>
        <w:t xml:space="preserve"> (2020). </w:t>
      </w:r>
    </w:p>
  </w:footnote>
  <w:footnote w:id="190">
    <w:p w14:paraId="3545DE39" w14:textId="6FB5D513" w:rsidR="008A77A6" w:rsidRPr="0002675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02675E">
        <w:rPr>
          <w:sz w:val="18"/>
          <w:szCs w:val="18"/>
          <w:lang w:val="fr-FR"/>
        </w:rPr>
        <w:t xml:space="preserve"> </w:t>
      </w:r>
      <w:r w:rsidRPr="00F43F79">
        <w:rPr>
          <w:sz w:val="18"/>
          <w:szCs w:val="18"/>
        </w:rPr>
        <w:fldChar w:fldCharType="begin"/>
      </w:r>
      <w:r w:rsidRPr="0002675E">
        <w:rPr>
          <w:sz w:val="18"/>
          <w:szCs w:val="18"/>
          <w:lang w:val="fr-FR"/>
        </w:rPr>
        <w:instrText xml:space="preserve"> ADDIN ZOTERO_ITEM CSL_CITATION {"citationID":"nA0kb4iQ","properties":{"formattedCitation":"Dutfield (n 32) 262\\uc0\\u8211{}63.","plainCitation":"Dutfield (n 32) 262–63.","noteIndex":186},"citationItems":[{"id":592,"uris":["http://zotero.org/users/local/dU5rpCrq/items/B5JY57IW"],"uri":["http://zotero.org/users/local/dU5rpCrq/items/B5JY57IW"],"itemData":{"id":592,"type":"article-journal","multi":{"main":{},"_keys":{}},"container-title":"Law, Environment and Development Journal","issue":"2","page":"259","title":"Transboundary Resources, Consent and Customary Law","volume":"9","author":[{"family":"Dutfield","given":"Graham","multi":{"_key":{}}}],"issued":{"date-parts":[["2013"]]},"seeAlso":[]},"locator":"262-263"}],"schema":"https://github.com/citation-style-language/schema/raw/master/csl-citation.json"} </w:instrText>
      </w:r>
      <w:r w:rsidRPr="00F43F79">
        <w:rPr>
          <w:sz w:val="18"/>
          <w:szCs w:val="18"/>
        </w:rPr>
        <w:fldChar w:fldCharType="separate"/>
      </w:r>
      <w:r w:rsidRPr="0002675E">
        <w:rPr>
          <w:sz w:val="18"/>
          <w:szCs w:val="18"/>
          <w:lang w:val="fr-FR"/>
        </w:rPr>
        <w:t>Dutfield (n 34) 262–63.</w:t>
      </w:r>
      <w:r w:rsidRPr="00F43F79">
        <w:rPr>
          <w:sz w:val="18"/>
          <w:szCs w:val="18"/>
        </w:rPr>
        <w:fldChar w:fldCharType="end"/>
      </w:r>
    </w:p>
  </w:footnote>
  <w:footnote w:id="191">
    <w:p w14:paraId="4F1FE4E0" w14:textId="2DBC1A09" w:rsidR="008A77A6" w:rsidRPr="0002675E" w:rsidRDefault="008A77A6" w:rsidP="00F43F79">
      <w:pPr>
        <w:pStyle w:val="FootnoteText"/>
        <w:spacing w:before="20" w:after="20"/>
        <w:ind w:left="284" w:hanging="288"/>
        <w:rPr>
          <w:sz w:val="18"/>
          <w:szCs w:val="18"/>
          <w:lang w:val="fr-FR"/>
        </w:rPr>
      </w:pPr>
      <w:r w:rsidRPr="00F43F79">
        <w:rPr>
          <w:rStyle w:val="FootnoteReference"/>
          <w:sz w:val="18"/>
          <w:szCs w:val="18"/>
        </w:rPr>
        <w:footnoteRef/>
      </w:r>
      <w:r w:rsidRPr="00F43F79">
        <w:rPr>
          <w:sz w:val="18"/>
          <w:szCs w:val="18"/>
        </w:rPr>
        <w:fldChar w:fldCharType="begin"/>
      </w:r>
      <w:r w:rsidRPr="0002675E">
        <w:rPr>
          <w:sz w:val="18"/>
          <w:szCs w:val="18"/>
          <w:lang w:val="fr-FR"/>
        </w:rPr>
        <w:instrText xml:space="preserve"> ADDIN ZOTERO_ITEM CSL_CITATION {"citationID":"6X0khK7U","properties":{"formattedCitation":"ibid.","plainCitation":"ibid.","noteIndex":187},"citationItems":[{"id":592,"uris":["http://zotero.org/users/local/dU5rpCrq/items/B5JY57IW"],"uri":["http://zotero.org/users/local/dU5rpCrq/items/B5JY57IW"],"itemData":{"id":592,"type":"article-journal","multi":{"main":{},"_keys":{}},"container-title":"Law, Environment and Development Journal","issue":"2","page":"259","title":"Transboundary Resources, Consent and Customary Law","volume":"9","author":[{"family":"Dutfield","given":"Graham","multi":{"_key":{}}}],"issued":{"date-parts":[["2013"]]},"seeAlso":[]},"locator":"262-263"}],"schema":"https://github.com/citation-style-language/schema/raw/master/csl-citation.json"} </w:instrText>
      </w:r>
      <w:r w:rsidRPr="00F43F79">
        <w:rPr>
          <w:sz w:val="18"/>
          <w:szCs w:val="18"/>
        </w:rPr>
        <w:fldChar w:fldCharType="separate"/>
      </w:r>
      <w:r w:rsidRPr="0002675E">
        <w:rPr>
          <w:sz w:val="18"/>
          <w:szCs w:val="18"/>
          <w:lang w:val="fr-FR"/>
        </w:rPr>
        <w:t>Ibid.</w:t>
      </w:r>
      <w:r w:rsidRPr="00F43F79">
        <w:rPr>
          <w:sz w:val="18"/>
          <w:szCs w:val="18"/>
        </w:rPr>
        <w:fldChar w:fldCharType="end"/>
      </w:r>
    </w:p>
  </w:footnote>
  <w:footnote w:id="192">
    <w:p w14:paraId="48F62BF9" w14:textId="683BAFB2" w:rsidR="008A77A6" w:rsidRPr="00F27467" w:rsidRDefault="008A77A6" w:rsidP="00F43F79">
      <w:pPr>
        <w:pStyle w:val="FootnoteText"/>
        <w:spacing w:before="20" w:after="20"/>
        <w:rPr>
          <w:sz w:val="18"/>
          <w:szCs w:val="18"/>
          <w:lang w:val="fr-FR"/>
        </w:rPr>
      </w:pPr>
      <w:r w:rsidRPr="00F43F79">
        <w:rPr>
          <w:rStyle w:val="FootnoteReference"/>
          <w:sz w:val="18"/>
          <w:szCs w:val="18"/>
        </w:rPr>
        <w:footnoteRef/>
      </w:r>
      <w:r w:rsidRPr="0002675E">
        <w:rPr>
          <w:sz w:val="18"/>
          <w:szCs w:val="18"/>
          <w:lang w:val="fr-FR"/>
        </w:rPr>
        <w:t xml:space="preserve"> Il convient de noter q</w:t>
      </w:r>
      <w:r>
        <w:rPr>
          <w:sz w:val="18"/>
          <w:szCs w:val="18"/>
          <w:lang w:val="fr-FR"/>
        </w:rPr>
        <w:t>ue d</w:t>
      </w:r>
      <w:r w:rsidRPr="0002675E">
        <w:rPr>
          <w:sz w:val="18"/>
          <w:szCs w:val="18"/>
          <w:lang w:val="fr-FR"/>
        </w:rPr>
        <w:t xml:space="preserve">es informations </w:t>
      </w:r>
      <w:r>
        <w:rPr>
          <w:sz w:val="18"/>
          <w:szCs w:val="18"/>
          <w:lang w:val="fr-FR"/>
        </w:rPr>
        <w:t>sont souvent incluses à titre de notes dans les fichiers d’herbier</w:t>
      </w:r>
      <w:r w:rsidRPr="0002675E">
        <w:rPr>
          <w:sz w:val="18"/>
          <w:szCs w:val="18"/>
          <w:lang w:val="fr-FR"/>
        </w:rPr>
        <w:t xml:space="preserve">. </w:t>
      </w:r>
      <w:r>
        <w:rPr>
          <w:sz w:val="18"/>
          <w:szCs w:val="18"/>
          <w:lang w:val="fr-FR"/>
        </w:rPr>
        <w:t>Pour les nouvelles</w:t>
      </w:r>
      <w:r w:rsidRPr="00F27467">
        <w:rPr>
          <w:sz w:val="18"/>
          <w:szCs w:val="18"/>
          <w:lang w:val="fr-FR"/>
        </w:rPr>
        <w:t xml:space="preserve"> acquisitions</w:t>
      </w:r>
      <w:r>
        <w:rPr>
          <w:sz w:val="18"/>
          <w:szCs w:val="18"/>
          <w:lang w:val="fr-FR"/>
        </w:rPr>
        <w:t xml:space="preserve">, il est possible de chercher à obtenir un consentement préalable donné en connaissance de cause auprès </w:t>
      </w:r>
      <w:r w:rsidRPr="00F27467">
        <w:rPr>
          <w:sz w:val="18"/>
          <w:szCs w:val="18"/>
          <w:lang w:val="fr-FR"/>
        </w:rPr>
        <w:t>des peuples autochtones et communautés locales</w:t>
      </w:r>
      <w:r>
        <w:rPr>
          <w:sz w:val="18"/>
          <w:szCs w:val="18"/>
          <w:lang w:val="fr-FR"/>
        </w:rPr>
        <w:t> ;</w:t>
      </w:r>
      <w:r w:rsidRPr="00F27467">
        <w:rPr>
          <w:sz w:val="18"/>
          <w:szCs w:val="18"/>
          <w:lang w:val="fr-FR"/>
        </w:rPr>
        <w:t xml:space="preserve"> </w:t>
      </w:r>
      <w:r>
        <w:rPr>
          <w:sz w:val="18"/>
          <w:szCs w:val="18"/>
          <w:lang w:val="fr-FR"/>
        </w:rPr>
        <w:t>ceci est généralement considéré comme une bonne pratique</w:t>
      </w:r>
      <w:r w:rsidRPr="00F27467">
        <w:rPr>
          <w:sz w:val="18"/>
          <w:szCs w:val="18"/>
          <w:lang w:val="fr-FR"/>
        </w:rPr>
        <w:t xml:space="preserve"> </w:t>
      </w:r>
      <w:r>
        <w:rPr>
          <w:sz w:val="18"/>
          <w:szCs w:val="18"/>
          <w:lang w:val="fr-FR"/>
        </w:rPr>
        <w:t>(voir</w:t>
      </w:r>
      <w:r w:rsidRPr="00F27467">
        <w:rPr>
          <w:sz w:val="18"/>
          <w:szCs w:val="18"/>
          <w:lang w:val="fr-FR"/>
        </w:rPr>
        <w:t xml:space="preserve"> </w:t>
      </w:r>
      <w:r>
        <w:rPr>
          <w:sz w:val="18"/>
          <w:szCs w:val="18"/>
          <w:lang w:val="fr-FR"/>
        </w:rPr>
        <w:t>Code de conduite</w:t>
      </w:r>
      <w:r w:rsidRPr="00733CB0">
        <w:rPr>
          <w:sz w:val="18"/>
          <w:szCs w:val="18"/>
          <w:lang w:val="fr-FR"/>
        </w:rPr>
        <w:t xml:space="preserve"> </w:t>
      </w:r>
      <w:r w:rsidRPr="00F27467">
        <w:rPr>
          <w:sz w:val="18"/>
          <w:szCs w:val="18"/>
          <w:lang w:val="fr-FR"/>
        </w:rPr>
        <w:t>CETAF</w:t>
      </w:r>
      <w:r>
        <w:rPr>
          <w:sz w:val="18"/>
          <w:szCs w:val="18"/>
          <w:lang w:val="fr-FR"/>
        </w:rPr>
        <w:t>, page 6 not</w:t>
      </w:r>
      <w:r w:rsidRPr="00F27467">
        <w:rPr>
          <w:sz w:val="18"/>
          <w:szCs w:val="18"/>
          <w:lang w:val="fr-FR"/>
        </w:rPr>
        <w:t>e</w:t>
      </w:r>
      <w:r>
        <w:rPr>
          <w:sz w:val="18"/>
          <w:szCs w:val="18"/>
          <w:lang w:val="fr-FR"/>
        </w:rPr>
        <w:t xml:space="preserve"> de bas de page</w:t>
      </w:r>
      <w:r w:rsidRPr="00F27467">
        <w:rPr>
          <w:sz w:val="18"/>
          <w:szCs w:val="18"/>
          <w:lang w:val="fr-FR"/>
        </w:rPr>
        <w:t xml:space="preserve"> 10</w:t>
      </w:r>
      <w:r>
        <w:rPr>
          <w:sz w:val="18"/>
          <w:szCs w:val="18"/>
          <w:lang w:val="fr-FR"/>
        </w:rPr>
        <w:t>,</w:t>
      </w:r>
      <w:r w:rsidRPr="00F27467">
        <w:rPr>
          <w:sz w:val="18"/>
          <w:szCs w:val="18"/>
          <w:lang w:val="fr-FR"/>
        </w:rPr>
        <w:t xml:space="preserve"> et Annex</w:t>
      </w:r>
      <w:r>
        <w:rPr>
          <w:sz w:val="18"/>
          <w:szCs w:val="18"/>
          <w:lang w:val="fr-FR"/>
        </w:rPr>
        <w:t>e</w:t>
      </w:r>
      <w:r w:rsidRPr="00F27467">
        <w:rPr>
          <w:sz w:val="18"/>
          <w:szCs w:val="18"/>
          <w:lang w:val="fr-FR"/>
        </w:rPr>
        <w:t xml:space="preserve"> 2 Partie 1).</w:t>
      </w:r>
    </w:p>
  </w:footnote>
  <w:footnote w:id="193">
    <w:p w14:paraId="2A0529D5" w14:textId="4A43FE0E" w:rsidR="008A77A6" w:rsidRPr="00FB0054" w:rsidRDefault="008A77A6" w:rsidP="00F43F79">
      <w:pPr>
        <w:spacing w:before="20" w:after="20"/>
        <w:ind w:left="284" w:hanging="288"/>
        <w:rPr>
          <w:rFonts w:cs="Times New Roman"/>
          <w:sz w:val="18"/>
          <w:szCs w:val="18"/>
          <w:lang w:val="fr-FR"/>
        </w:rPr>
      </w:pPr>
      <w:r w:rsidRPr="00F43F79">
        <w:rPr>
          <w:rStyle w:val="FootnoteReference"/>
          <w:rFonts w:cs="Times New Roman"/>
          <w:sz w:val="18"/>
          <w:szCs w:val="18"/>
        </w:rPr>
        <w:footnoteRef/>
      </w:r>
      <w:r w:rsidRPr="00FB0054">
        <w:rPr>
          <w:rFonts w:cs="Times New Roman"/>
          <w:sz w:val="18"/>
          <w:szCs w:val="18"/>
          <w:lang w:val="fr-FR"/>
        </w:rPr>
        <w:t xml:space="preserve"> </w:t>
      </w:r>
      <w:r w:rsidRPr="00FB0054">
        <w:rPr>
          <w:rFonts w:cs="Times New Roman"/>
          <w:color w:val="000000" w:themeColor="text1"/>
          <w:sz w:val="18"/>
          <w:szCs w:val="18"/>
          <w:lang w:val="fr-FR"/>
        </w:rPr>
        <w:t>MB, Entretien avec</w:t>
      </w:r>
      <w:r>
        <w:rPr>
          <w:rFonts w:cs="Times New Roman"/>
          <w:color w:val="000000" w:themeColor="text1"/>
          <w:sz w:val="18"/>
          <w:szCs w:val="18"/>
          <w:lang w:val="fr-FR"/>
        </w:rPr>
        <w:t xml:space="preserve"> un expert en ethnobotanique</w:t>
      </w:r>
      <w:r w:rsidRPr="00FB0054" w:rsidDel="007612B8">
        <w:rPr>
          <w:rFonts w:cs="Times New Roman"/>
          <w:color w:val="000000" w:themeColor="text1"/>
          <w:sz w:val="18"/>
          <w:szCs w:val="18"/>
          <w:lang w:val="fr-FR"/>
        </w:rPr>
        <w:t xml:space="preserve"> </w:t>
      </w:r>
      <w:r w:rsidRPr="00FB0054">
        <w:rPr>
          <w:rFonts w:cs="Times New Roman"/>
          <w:color w:val="000000" w:themeColor="text1"/>
          <w:sz w:val="18"/>
          <w:szCs w:val="18"/>
          <w:lang w:val="fr-FR"/>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379B" w14:textId="77777777" w:rsidR="008A77A6" w:rsidRPr="00A2063C" w:rsidRDefault="008A77A6" w:rsidP="0029684B">
    <w:pPr>
      <w:pStyle w:val="Header"/>
      <w:rPr>
        <w:sz w:val="22"/>
      </w:rPr>
    </w:pPr>
    <w:r w:rsidRPr="00A2063C">
      <w:rPr>
        <w:sz w:val="22"/>
      </w:rPr>
      <w:t>CBD/SBI/3/15/Add.1</w:t>
    </w:r>
  </w:p>
  <w:p w14:paraId="16821A78" w14:textId="1D8EE494" w:rsidR="008A77A6" w:rsidRPr="00A2063C" w:rsidRDefault="008A77A6" w:rsidP="00A2063C">
    <w:pPr>
      <w:pStyle w:val="Header"/>
      <w:spacing w:after="240"/>
      <w:rPr>
        <w:sz w:val="22"/>
      </w:rPr>
    </w:pPr>
    <w:r w:rsidRPr="00A2063C">
      <w:rPr>
        <w:sz w:val="22"/>
      </w:rPr>
      <w:t xml:space="preserve">Page </w:t>
    </w:r>
    <w:r w:rsidRPr="00A2063C">
      <w:rPr>
        <w:sz w:val="22"/>
      </w:rPr>
      <w:fldChar w:fldCharType="begin"/>
    </w:r>
    <w:r w:rsidRPr="00A2063C">
      <w:rPr>
        <w:sz w:val="22"/>
      </w:rPr>
      <w:instrText xml:space="preserve"> PAGE   \* MERGEFORMAT </w:instrText>
    </w:r>
    <w:r w:rsidRPr="00A2063C">
      <w:rPr>
        <w:sz w:val="22"/>
      </w:rPr>
      <w:fldChar w:fldCharType="separate"/>
    </w:r>
    <w:r>
      <w:rPr>
        <w:noProof/>
        <w:sz w:val="22"/>
      </w:rPr>
      <w:t>20</w:t>
    </w:r>
    <w:r w:rsidRPr="00A2063C">
      <w:rPr>
        <w:noProof/>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2694" w14:textId="7556CB36" w:rsidR="008A77A6" w:rsidRPr="00A2063C" w:rsidRDefault="008A77A6" w:rsidP="00A2063C">
    <w:pPr>
      <w:pStyle w:val="Header"/>
      <w:jc w:val="right"/>
      <w:rPr>
        <w:sz w:val="22"/>
      </w:rPr>
    </w:pPr>
    <w:r w:rsidRPr="00A2063C">
      <w:rPr>
        <w:sz w:val="22"/>
      </w:rPr>
      <w:t>CBD/SBI/3/15/Add.1</w:t>
    </w:r>
  </w:p>
  <w:p w14:paraId="1DBED70C" w14:textId="210350BF" w:rsidR="008A77A6" w:rsidRPr="00A2063C" w:rsidRDefault="008A77A6" w:rsidP="00A2063C">
    <w:pPr>
      <w:pStyle w:val="Header"/>
      <w:spacing w:after="240"/>
      <w:jc w:val="right"/>
      <w:rPr>
        <w:sz w:val="22"/>
      </w:rPr>
    </w:pPr>
    <w:r w:rsidRPr="00A2063C">
      <w:rPr>
        <w:sz w:val="22"/>
      </w:rPr>
      <w:t xml:space="preserve">Page </w:t>
    </w:r>
    <w:r w:rsidRPr="00A2063C">
      <w:rPr>
        <w:sz w:val="22"/>
      </w:rPr>
      <w:fldChar w:fldCharType="begin"/>
    </w:r>
    <w:r w:rsidRPr="00A2063C">
      <w:rPr>
        <w:sz w:val="22"/>
      </w:rPr>
      <w:instrText xml:space="preserve"> PAGE   \* MERGEFORMAT </w:instrText>
    </w:r>
    <w:r w:rsidRPr="00A2063C">
      <w:rPr>
        <w:sz w:val="22"/>
      </w:rPr>
      <w:fldChar w:fldCharType="separate"/>
    </w:r>
    <w:r>
      <w:rPr>
        <w:noProof/>
        <w:sz w:val="22"/>
      </w:rPr>
      <w:t>21</w:t>
    </w:r>
    <w:r w:rsidRPr="00A2063C">
      <w:rPr>
        <w:noProo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4DD"/>
    <w:multiLevelType w:val="hybridMultilevel"/>
    <w:tmpl w:val="D2F8EE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E7011B"/>
    <w:multiLevelType w:val="hybridMultilevel"/>
    <w:tmpl w:val="45F06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2" w15:restartNumberingAfterBreak="0">
    <w:nsid w:val="0A730517"/>
    <w:multiLevelType w:val="hybridMultilevel"/>
    <w:tmpl w:val="7C62206A"/>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6F51"/>
    <w:multiLevelType w:val="hybridMultilevel"/>
    <w:tmpl w:val="EBFE16CA"/>
    <w:lvl w:ilvl="0" w:tplc="D75EAFE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324519"/>
    <w:multiLevelType w:val="hybridMultilevel"/>
    <w:tmpl w:val="267CAC78"/>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22788D"/>
    <w:multiLevelType w:val="hybridMultilevel"/>
    <w:tmpl w:val="F6B067E6"/>
    <w:lvl w:ilvl="0" w:tplc="FB105554">
      <w:start w:val="6"/>
      <w:numFmt w:val="bullet"/>
      <w:lvlText w:val="-"/>
      <w:lvlJc w:val="left"/>
      <w:pPr>
        <w:ind w:left="1152" w:hanging="360"/>
      </w:pPr>
      <w:rPr>
        <w:rFonts w:ascii="Times New Roman" w:eastAsiaTheme="majorEastAsia" w:hAnsi="Times New Roman" w:cs="Times New Roman"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6" w15:restartNumberingAfterBreak="0">
    <w:nsid w:val="20DB16F3"/>
    <w:multiLevelType w:val="multilevel"/>
    <w:tmpl w:val="19260F1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1E75B61"/>
    <w:multiLevelType w:val="hybridMultilevel"/>
    <w:tmpl w:val="C46044B2"/>
    <w:lvl w:ilvl="0" w:tplc="FB105554">
      <w:start w:val="6"/>
      <w:numFmt w:val="bullet"/>
      <w:lvlText w:val="-"/>
      <w:lvlJc w:val="left"/>
      <w:pPr>
        <w:ind w:left="720" w:hanging="360"/>
      </w:pPr>
      <w:rPr>
        <w:rFonts w:ascii="Times New Roman" w:eastAsiaTheme="majorEastAsia" w:hAnsi="Times New Roman" w:cs="Times New Roman"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8" w15:restartNumberingAfterBreak="0">
    <w:nsid w:val="27CD2DE1"/>
    <w:multiLevelType w:val="hybridMultilevel"/>
    <w:tmpl w:val="AFF4A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F5451B"/>
    <w:multiLevelType w:val="multilevel"/>
    <w:tmpl w:val="7228F9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3FF856D1"/>
    <w:multiLevelType w:val="multilevel"/>
    <w:tmpl w:val="F7565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CD6F87"/>
    <w:multiLevelType w:val="hybridMultilevel"/>
    <w:tmpl w:val="B6963F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234223"/>
    <w:multiLevelType w:val="hybridMultilevel"/>
    <w:tmpl w:val="B6F8D782"/>
    <w:lvl w:ilvl="0" w:tplc="A2AC274A">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0442B4"/>
    <w:multiLevelType w:val="multilevel"/>
    <w:tmpl w:val="8CAAF44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FBE78B6"/>
    <w:multiLevelType w:val="multilevel"/>
    <w:tmpl w:val="613A428A"/>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9345830"/>
    <w:multiLevelType w:val="hybridMultilevel"/>
    <w:tmpl w:val="DD187E44"/>
    <w:lvl w:ilvl="0" w:tplc="47225FD4">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3E4B87"/>
    <w:multiLevelType w:val="multilevel"/>
    <w:tmpl w:val="7CF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F5B6C"/>
    <w:multiLevelType w:val="hybridMultilevel"/>
    <w:tmpl w:val="28385252"/>
    <w:lvl w:ilvl="0" w:tplc="A3CA13CA">
      <w:start w:val="1"/>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F38A2"/>
    <w:multiLevelType w:val="hybridMultilevel"/>
    <w:tmpl w:val="4DF87E2A"/>
    <w:lvl w:ilvl="0" w:tplc="6FDCD0F2">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D34BA9"/>
    <w:multiLevelType w:val="hybridMultilevel"/>
    <w:tmpl w:val="B666FF4C"/>
    <w:lvl w:ilvl="0" w:tplc="38A0A4B2">
      <w:numFmt w:val="bullet"/>
      <w:lvlText w:val="-"/>
      <w:lvlJc w:val="left"/>
      <w:pPr>
        <w:ind w:left="720" w:hanging="360"/>
      </w:pPr>
      <w:rPr>
        <w:rFonts w:ascii="Roboto" w:eastAsiaTheme="minorHAnsi" w:hAnsi="Robot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D7571F3"/>
    <w:multiLevelType w:val="multilevel"/>
    <w:tmpl w:val="E7427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F1F4190"/>
    <w:multiLevelType w:val="hybridMultilevel"/>
    <w:tmpl w:val="97D4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D10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845D3E"/>
    <w:multiLevelType w:val="multilevel"/>
    <w:tmpl w:val="674AD988"/>
    <w:lvl w:ilvl="0">
      <w:start w:val="1"/>
      <w:numFmt w:val="decimal"/>
      <w:lvlText w:val="%1."/>
      <w:lvlJc w:val="left"/>
      <w:pPr>
        <w:ind w:left="360" w:hanging="360"/>
      </w:pPr>
      <w:rPr>
        <w:rFonts w:hint="default"/>
      </w:rPr>
    </w:lvl>
    <w:lvl w:ilvl="1">
      <w:start w:val="1"/>
      <w:numFmt w:val="decimal"/>
      <w:pStyle w:val="Heading2"/>
      <w:lvlText w:val="%1.%2."/>
      <w:lvlJc w:val="left"/>
      <w:pPr>
        <w:ind w:left="716"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BE6B8F"/>
    <w:multiLevelType w:val="hybridMultilevel"/>
    <w:tmpl w:val="63369B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E820EDF"/>
    <w:multiLevelType w:val="hybridMultilevel"/>
    <w:tmpl w:val="D7E05628"/>
    <w:lvl w:ilvl="0" w:tplc="5214409C">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5"/>
  </w:num>
  <w:num w:numId="4">
    <w:abstractNumId w:val="25"/>
  </w:num>
  <w:num w:numId="5">
    <w:abstractNumId w:val="2"/>
  </w:num>
  <w:num w:numId="6">
    <w:abstractNumId w:val="9"/>
  </w:num>
  <w:num w:numId="7">
    <w:abstractNumId w:val="9"/>
    <w:lvlOverride w:ilvl="0">
      <w:startOverride w:val="1"/>
    </w:lvlOverride>
  </w:num>
  <w:num w:numId="8">
    <w:abstractNumId w:val="13"/>
  </w:num>
  <w:num w:numId="9">
    <w:abstractNumId w:val="9"/>
    <w:lvlOverride w:ilvl="0">
      <w:startOverride w:val="4"/>
    </w:lvlOverride>
    <w:lvlOverride w:ilvl="1">
      <w:startOverride w:val="2"/>
    </w:lvlOverride>
    <w:lvlOverride w:ilvl="2">
      <w:startOverride w:val="3"/>
    </w:lvlOverride>
  </w:num>
  <w:num w:numId="10">
    <w:abstractNumId w:val="6"/>
  </w:num>
  <w:num w:numId="11">
    <w:abstractNumId w:val="5"/>
  </w:num>
  <w:num w:numId="12">
    <w:abstractNumId w:val="7"/>
  </w:num>
  <w:num w:numId="13">
    <w:abstractNumId w:val="1"/>
  </w:num>
  <w:num w:numId="14">
    <w:abstractNumId w:val="27"/>
  </w:num>
  <w:num w:numId="15">
    <w:abstractNumId w:val="27"/>
  </w:num>
  <w:num w:numId="16">
    <w:abstractNumId w:val="19"/>
  </w:num>
  <w:num w:numId="17">
    <w:abstractNumId w:val="26"/>
  </w:num>
  <w:num w:numId="18">
    <w:abstractNumId w:val="18"/>
  </w:num>
  <w:num w:numId="19">
    <w:abstractNumId w:val="0"/>
  </w:num>
  <w:num w:numId="20">
    <w:abstractNumId w:val="8"/>
  </w:num>
  <w:num w:numId="21">
    <w:abstractNumId w:val="11"/>
  </w:num>
  <w:num w:numId="22">
    <w:abstractNumId w:val="12"/>
  </w:num>
  <w:num w:numId="23">
    <w:abstractNumId w:val="3"/>
  </w:num>
  <w:num w:numId="24">
    <w:abstractNumId w:val="17"/>
  </w:num>
  <w:num w:numId="25">
    <w:abstractNumId w:val="21"/>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num>
  <w:num w:numId="34">
    <w:abstractNumId w:val="14"/>
  </w:num>
  <w:num w:numId="35">
    <w:abstractNumId w:val="1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fr-CH"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s-PE" w:vendorID="64" w:dllVersion="6" w:nlCheck="1" w:checkStyle="1"/>
  <w:activeWritingStyle w:appName="MSWord" w:lang="en-US" w:vendorID="64" w:dllVersion="0" w:nlCheck="1" w:checkStyle="0"/>
  <w:activeWritingStyle w:appName="MSWord" w:lang="en-CA" w:vendorID="64" w:dllVersion="0" w:nlCheck="1" w:checkStyle="0"/>
  <w:activeWritingStyle w:appName="MSWord" w:lang="es-PE" w:vendorID="64" w:dllVersion="0" w:nlCheck="1" w:checkStyle="0"/>
  <w:activeWritingStyle w:appName="MSWord" w:lang="fr-CH" w:vendorID="64" w:dllVersion="0" w:nlCheck="1" w:checkStyle="0"/>
  <w:activeWritingStyle w:appName="MSWord" w:lang="pt-BR" w:vendorID="64" w:dllVersion="0" w:nlCheck="1" w:checkStyle="0"/>
  <w:activeWritingStyle w:appName="MSWord" w:lang="es-419" w:vendorID="64" w:dllVersion="0" w:nlCheck="1" w:checkStyle="0"/>
  <w:activeWritingStyle w:appName="MSWord" w:lang="es-419" w:vendorID="64" w:dllVersion="6" w:nlCheck="1" w:checkStyle="0"/>
  <w:activeWritingStyle w:appName="MSWord" w:lang="fr-CA"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CB"/>
    <w:rsid w:val="00000296"/>
    <w:rsid w:val="000007D2"/>
    <w:rsid w:val="00000F5B"/>
    <w:rsid w:val="00001CA5"/>
    <w:rsid w:val="00001E80"/>
    <w:rsid w:val="00002237"/>
    <w:rsid w:val="0000240C"/>
    <w:rsid w:val="00002A23"/>
    <w:rsid w:val="00003143"/>
    <w:rsid w:val="000034CF"/>
    <w:rsid w:val="000035FD"/>
    <w:rsid w:val="0000385D"/>
    <w:rsid w:val="00003B53"/>
    <w:rsid w:val="00003C45"/>
    <w:rsid w:val="00004A52"/>
    <w:rsid w:val="0000564B"/>
    <w:rsid w:val="000065F4"/>
    <w:rsid w:val="0000663C"/>
    <w:rsid w:val="000068AE"/>
    <w:rsid w:val="0000766A"/>
    <w:rsid w:val="00007BFB"/>
    <w:rsid w:val="00010C4A"/>
    <w:rsid w:val="00010E0B"/>
    <w:rsid w:val="00010FD6"/>
    <w:rsid w:val="000112C2"/>
    <w:rsid w:val="000114D5"/>
    <w:rsid w:val="000118F2"/>
    <w:rsid w:val="00012185"/>
    <w:rsid w:val="000122FE"/>
    <w:rsid w:val="000124D5"/>
    <w:rsid w:val="00013020"/>
    <w:rsid w:val="0001332F"/>
    <w:rsid w:val="0001337F"/>
    <w:rsid w:val="00013DDB"/>
    <w:rsid w:val="0001410A"/>
    <w:rsid w:val="00016809"/>
    <w:rsid w:val="00016D6C"/>
    <w:rsid w:val="000173EB"/>
    <w:rsid w:val="000178F6"/>
    <w:rsid w:val="00020DEF"/>
    <w:rsid w:val="00020EA7"/>
    <w:rsid w:val="000222FB"/>
    <w:rsid w:val="00022BA5"/>
    <w:rsid w:val="00022CC1"/>
    <w:rsid w:val="000232D2"/>
    <w:rsid w:val="000240BF"/>
    <w:rsid w:val="0002440E"/>
    <w:rsid w:val="00025446"/>
    <w:rsid w:val="00025590"/>
    <w:rsid w:val="00025A3F"/>
    <w:rsid w:val="000263F4"/>
    <w:rsid w:val="00026617"/>
    <w:rsid w:val="0002672C"/>
    <w:rsid w:val="0002675E"/>
    <w:rsid w:val="00026AE8"/>
    <w:rsid w:val="000270D1"/>
    <w:rsid w:val="000272F9"/>
    <w:rsid w:val="000274F4"/>
    <w:rsid w:val="00027572"/>
    <w:rsid w:val="00027627"/>
    <w:rsid w:val="00027648"/>
    <w:rsid w:val="00027911"/>
    <w:rsid w:val="00027BDD"/>
    <w:rsid w:val="00027D65"/>
    <w:rsid w:val="00027F16"/>
    <w:rsid w:val="00030EFE"/>
    <w:rsid w:val="000311D4"/>
    <w:rsid w:val="00031EF0"/>
    <w:rsid w:val="000326AB"/>
    <w:rsid w:val="000326BA"/>
    <w:rsid w:val="000334B0"/>
    <w:rsid w:val="00034041"/>
    <w:rsid w:val="00034EF8"/>
    <w:rsid w:val="00035231"/>
    <w:rsid w:val="00035551"/>
    <w:rsid w:val="00035946"/>
    <w:rsid w:val="000365A8"/>
    <w:rsid w:val="00036CB5"/>
    <w:rsid w:val="00036E21"/>
    <w:rsid w:val="00036FB3"/>
    <w:rsid w:val="000370B4"/>
    <w:rsid w:val="00037E3D"/>
    <w:rsid w:val="000402AC"/>
    <w:rsid w:val="0004036A"/>
    <w:rsid w:val="0004047D"/>
    <w:rsid w:val="00040554"/>
    <w:rsid w:val="000411F6"/>
    <w:rsid w:val="000429A5"/>
    <w:rsid w:val="000429B8"/>
    <w:rsid w:val="000431D0"/>
    <w:rsid w:val="000439F1"/>
    <w:rsid w:val="000441F6"/>
    <w:rsid w:val="00044FC5"/>
    <w:rsid w:val="0004506F"/>
    <w:rsid w:val="000465EB"/>
    <w:rsid w:val="00046603"/>
    <w:rsid w:val="00046703"/>
    <w:rsid w:val="00046E20"/>
    <w:rsid w:val="000474D3"/>
    <w:rsid w:val="00047BBB"/>
    <w:rsid w:val="00047F88"/>
    <w:rsid w:val="00051012"/>
    <w:rsid w:val="00052E6D"/>
    <w:rsid w:val="00053AA9"/>
    <w:rsid w:val="00053E0E"/>
    <w:rsid w:val="000548E2"/>
    <w:rsid w:val="00055966"/>
    <w:rsid w:val="00055B5A"/>
    <w:rsid w:val="00055BEE"/>
    <w:rsid w:val="00056144"/>
    <w:rsid w:val="000561F0"/>
    <w:rsid w:val="000565D8"/>
    <w:rsid w:val="000569A1"/>
    <w:rsid w:val="00056B61"/>
    <w:rsid w:val="0005750E"/>
    <w:rsid w:val="00057A1A"/>
    <w:rsid w:val="00057BE5"/>
    <w:rsid w:val="00057D0B"/>
    <w:rsid w:val="0006089A"/>
    <w:rsid w:val="00060B66"/>
    <w:rsid w:val="00061128"/>
    <w:rsid w:val="00061470"/>
    <w:rsid w:val="0006156C"/>
    <w:rsid w:val="0006174A"/>
    <w:rsid w:val="00061AD5"/>
    <w:rsid w:val="00062063"/>
    <w:rsid w:val="0006244B"/>
    <w:rsid w:val="00062503"/>
    <w:rsid w:val="000625B4"/>
    <w:rsid w:val="000625BB"/>
    <w:rsid w:val="00062849"/>
    <w:rsid w:val="00062B7C"/>
    <w:rsid w:val="00062B7E"/>
    <w:rsid w:val="00062CB8"/>
    <w:rsid w:val="000630CC"/>
    <w:rsid w:val="0006319F"/>
    <w:rsid w:val="000634AC"/>
    <w:rsid w:val="00063CA6"/>
    <w:rsid w:val="00063E83"/>
    <w:rsid w:val="000648B0"/>
    <w:rsid w:val="00064A84"/>
    <w:rsid w:val="00064A8E"/>
    <w:rsid w:val="000652BE"/>
    <w:rsid w:val="00065E2D"/>
    <w:rsid w:val="00066081"/>
    <w:rsid w:val="00066181"/>
    <w:rsid w:val="00066563"/>
    <w:rsid w:val="00066698"/>
    <w:rsid w:val="00066BB1"/>
    <w:rsid w:val="00066BD7"/>
    <w:rsid w:val="00066C91"/>
    <w:rsid w:val="0006734D"/>
    <w:rsid w:val="000679A7"/>
    <w:rsid w:val="00067F0E"/>
    <w:rsid w:val="0007035B"/>
    <w:rsid w:val="00070B49"/>
    <w:rsid w:val="00070BCA"/>
    <w:rsid w:val="00071295"/>
    <w:rsid w:val="000719AF"/>
    <w:rsid w:val="000721F5"/>
    <w:rsid w:val="000725C0"/>
    <w:rsid w:val="000733F3"/>
    <w:rsid w:val="00073444"/>
    <w:rsid w:val="00073C95"/>
    <w:rsid w:val="00074C59"/>
    <w:rsid w:val="00074EFA"/>
    <w:rsid w:val="0007575A"/>
    <w:rsid w:val="00075E61"/>
    <w:rsid w:val="00075E8B"/>
    <w:rsid w:val="000760F0"/>
    <w:rsid w:val="000764BC"/>
    <w:rsid w:val="00076C87"/>
    <w:rsid w:val="000770EA"/>
    <w:rsid w:val="0007718A"/>
    <w:rsid w:val="000771C8"/>
    <w:rsid w:val="000776D2"/>
    <w:rsid w:val="00077813"/>
    <w:rsid w:val="00077A51"/>
    <w:rsid w:val="00077DB3"/>
    <w:rsid w:val="00077E18"/>
    <w:rsid w:val="000803D5"/>
    <w:rsid w:val="00080998"/>
    <w:rsid w:val="00080B47"/>
    <w:rsid w:val="00080BD7"/>
    <w:rsid w:val="0008155A"/>
    <w:rsid w:val="00081AD1"/>
    <w:rsid w:val="00081B3D"/>
    <w:rsid w:val="00082187"/>
    <w:rsid w:val="00082384"/>
    <w:rsid w:val="00083E1A"/>
    <w:rsid w:val="000853B5"/>
    <w:rsid w:val="00086964"/>
    <w:rsid w:val="00086E0A"/>
    <w:rsid w:val="00087211"/>
    <w:rsid w:val="0008769C"/>
    <w:rsid w:val="00087C3A"/>
    <w:rsid w:val="00087FBE"/>
    <w:rsid w:val="00090361"/>
    <w:rsid w:val="00090C4C"/>
    <w:rsid w:val="0009181B"/>
    <w:rsid w:val="00092035"/>
    <w:rsid w:val="00092C4D"/>
    <w:rsid w:val="00093519"/>
    <w:rsid w:val="0009361E"/>
    <w:rsid w:val="00093953"/>
    <w:rsid w:val="00093E5A"/>
    <w:rsid w:val="000945CF"/>
    <w:rsid w:val="00094BA0"/>
    <w:rsid w:val="00095B4B"/>
    <w:rsid w:val="00096291"/>
    <w:rsid w:val="000968D2"/>
    <w:rsid w:val="000977A1"/>
    <w:rsid w:val="00097C11"/>
    <w:rsid w:val="000A085D"/>
    <w:rsid w:val="000A0B87"/>
    <w:rsid w:val="000A118A"/>
    <w:rsid w:val="000A1718"/>
    <w:rsid w:val="000A2069"/>
    <w:rsid w:val="000A4A09"/>
    <w:rsid w:val="000A4BBF"/>
    <w:rsid w:val="000A4D3E"/>
    <w:rsid w:val="000A4FC1"/>
    <w:rsid w:val="000A5049"/>
    <w:rsid w:val="000A5136"/>
    <w:rsid w:val="000A5F88"/>
    <w:rsid w:val="000A6072"/>
    <w:rsid w:val="000B0175"/>
    <w:rsid w:val="000B0401"/>
    <w:rsid w:val="000B07B7"/>
    <w:rsid w:val="000B089E"/>
    <w:rsid w:val="000B0A85"/>
    <w:rsid w:val="000B1073"/>
    <w:rsid w:val="000B154B"/>
    <w:rsid w:val="000B16C0"/>
    <w:rsid w:val="000B2145"/>
    <w:rsid w:val="000B2352"/>
    <w:rsid w:val="000B293B"/>
    <w:rsid w:val="000B2951"/>
    <w:rsid w:val="000B2B2F"/>
    <w:rsid w:val="000B36BE"/>
    <w:rsid w:val="000B36D3"/>
    <w:rsid w:val="000B37A1"/>
    <w:rsid w:val="000B37EC"/>
    <w:rsid w:val="000B3E85"/>
    <w:rsid w:val="000B44EF"/>
    <w:rsid w:val="000B5016"/>
    <w:rsid w:val="000B5E02"/>
    <w:rsid w:val="000B6128"/>
    <w:rsid w:val="000B62EC"/>
    <w:rsid w:val="000B6975"/>
    <w:rsid w:val="000B6ABF"/>
    <w:rsid w:val="000B705A"/>
    <w:rsid w:val="000B7070"/>
    <w:rsid w:val="000B723E"/>
    <w:rsid w:val="000B7436"/>
    <w:rsid w:val="000B76D3"/>
    <w:rsid w:val="000B7963"/>
    <w:rsid w:val="000C03C2"/>
    <w:rsid w:val="000C0622"/>
    <w:rsid w:val="000C11D6"/>
    <w:rsid w:val="000C2DA7"/>
    <w:rsid w:val="000C33D6"/>
    <w:rsid w:val="000C3696"/>
    <w:rsid w:val="000C3996"/>
    <w:rsid w:val="000C3B3B"/>
    <w:rsid w:val="000C3B82"/>
    <w:rsid w:val="000C3E30"/>
    <w:rsid w:val="000C4357"/>
    <w:rsid w:val="000C435D"/>
    <w:rsid w:val="000C4E10"/>
    <w:rsid w:val="000C522B"/>
    <w:rsid w:val="000C5621"/>
    <w:rsid w:val="000C5E68"/>
    <w:rsid w:val="000C5F33"/>
    <w:rsid w:val="000C70B5"/>
    <w:rsid w:val="000C7687"/>
    <w:rsid w:val="000C7CBD"/>
    <w:rsid w:val="000D03F4"/>
    <w:rsid w:val="000D042F"/>
    <w:rsid w:val="000D093A"/>
    <w:rsid w:val="000D1782"/>
    <w:rsid w:val="000D1B1A"/>
    <w:rsid w:val="000D2624"/>
    <w:rsid w:val="000D26FB"/>
    <w:rsid w:val="000D27B7"/>
    <w:rsid w:val="000D34C5"/>
    <w:rsid w:val="000D42CB"/>
    <w:rsid w:val="000D4759"/>
    <w:rsid w:val="000D4A45"/>
    <w:rsid w:val="000D5072"/>
    <w:rsid w:val="000D59DB"/>
    <w:rsid w:val="000D5A1F"/>
    <w:rsid w:val="000D5BFB"/>
    <w:rsid w:val="000D5D68"/>
    <w:rsid w:val="000D5E73"/>
    <w:rsid w:val="000D6F06"/>
    <w:rsid w:val="000D71E6"/>
    <w:rsid w:val="000D75CB"/>
    <w:rsid w:val="000D7E90"/>
    <w:rsid w:val="000E0D7D"/>
    <w:rsid w:val="000E0F4E"/>
    <w:rsid w:val="000E151C"/>
    <w:rsid w:val="000E22C8"/>
    <w:rsid w:val="000E2484"/>
    <w:rsid w:val="000E3236"/>
    <w:rsid w:val="000E3251"/>
    <w:rsid w:val="000E3E9F"/>
    <w:rsid w:val="000E4091"/>
    <w:rsid w:val="000E46A2"/>
    <w:rsid w:val="000E4AC5"/>
    <w:rsid w:val="000E50B6"/>
    <w:rsid w:val="000E51CA"/>
    <w:rsid w:val="000E53C0"/>
    <w:rsid w:val="000E540B"/>
    <w:rsid w:val="000E6890"/>
    <w:rsid w:val="000E6D3E"/>
    <w:rsid w:val="000E795F"/>
    <w:rsid w:val="000F018B"/>
    <w:rsid w:val="000F0601"/>
    <w:rsid w:val="000F0707"/>
    <w:rsid w:val="000F0833"/>
    <w:rsid w:val="000F0DCC"/>
    <w:rsid w:val="000F118A"/>
    <w:rsid w:val="000F155E"/>
    <w:rsid w:val="000F1743"/>
    <w:rsid w:val="000F1B2B"/>
    <w:rsid w:val="000F1CEE"/>
    <w:rsid w:val="000F202E"/>
    <w:rsid w:val="000F20E1"/>
    <w:rsid w:val="000F2623"/>
    <w:rsid w:val="000F2A77"/>
    <w:rsid w:val="000F2DE8"/>
    <w:rsid w:val="000F35E3"/>
    <w:rsid w:val="000F370A"/>
    <w:rsid w:val="000F3D2E"/>
    <w:rsid w:val="000F40F5"/>
    <w:rsid w:val="000F4797"/>
    <w:rsid w:val="000F506F"/>
    <w:rsid w:val="000F5FF0"/>
    <w:rsid w:val="000F6269"/>
    <w:rsid w:val="000F6720"/>
    <w:rsid w:val="000F6D2A"/>
    <w:rsid w:val="000F7574"/>
    <w:rsid w:val="000F7990"/>
    <w:rsid w:val="000F7A81"/>
    <w:rsid w:val="00100087"/>
    <w:rsid w:val="001000E5"/>
    <w:rsid w:val="001007E8"/>
    <w:rsid w:val="001008FA"/>
    <w:rsid w:val="00100D16"/>
    <w:rsid w:val="001028E6"/>
    <w:rsid w:val="001029D1"/>
    <w:rsid w:val="00103AFF"/>
    <w:rsid w:val="00103BB3"/>
    <w:rsid w:val="0010415A"/>
    <w:rsid w:val="00104852"/>
    <w:rsid w:val="00104883"/>
    <w:rsid w:val="001049FE"/>
    <w:rsid w:val="0010507D"/>
    <w:rsid w:val="00105124"/>
    <w:rsid w:val="001054DB"/>
    <w:rsid w:val="0010576F"/>
    <w:rsid w:val="00106224"/>
    <w:rsid w:val="001064D0"/>
    <w:rsid w:val="001067B1"/>
    <w:rsid w:val="00106C76"/>
    <w:rsid w:val="0010709D"/>
    <w:rsid w:val="0010733A"/>
    <w:rsid w:val="00107E77"/>
    <w:rsid w:val="00110587"/>
    <w:rsid w:val="001110B0"/>
    <w:rsid w:val="00111557"/>
    <w:rsid w:val="0011189B"/>
    <w:rsid w:val="00111AF2"/>
    <w:rsid w:val="00111C2E"/>
    <w:rsid w:val="001129FF"/>
    <w:rsid w:val="00112AA9"/>
    <w:rsid w:val="00112AD2"/>
    <w:rsid w:val="00113174"/>
    <w:rsid w:val="00113330"/>
    <w:rsid w:val="00113BA7"/>
    <w:rsid w:val="00114025"/>
    <w:rsid w:val="00114144"/>
    <w:rsid w:val="0011445D"/>
    <w:rsid w:val="0011455A"/>
    <w:rsid w:val="00114A0F"/>
    <w:rsid w:val="00114AA4"/>
    <w:rsid w:val="00114BDD"/>
    <w:rsid w:val="00114C99"/>
    <w:rsid w:val="0011503B"/>
    <w:rsid w:val="00115662"/>
    <w:rsid w:val="001156D2"/>
    <w:rsid w:val="001159E6"/>
    <w:rsid w:val="00115F76"/>
    <w:rsid w:val="001166CB"/>
    <w:rsid w:val="00116765"/>
    <w:rsid w:val="00116918"/>
    <w:rsid w:val="001206F4"/>
    <w:rsid w:val="001212F0"/>
    <w:rsid w:val="001219B5"/>
    <w:rsid w:val="001219E9"/>
    <w:rsid w:val="00121FCD"/>
    <w:rsid w:val="001220E6"/>
    <w:rsid w:val="00122644"/>
    <w:rsid w:val="00122A40"/>
    <w:rsid w:val="00122A5F"/>
    <w:rsid w:val="001234CA"/>
    <w:rsid w:val="00123D59"/>
    <w:rsid w:val="0012462D"/>
    <w:rsid w:val="001250EC"/>
    <w:rsid w:val="00125516"/>
    <w:rsid w:val="00125874"/>
    <w:rsid w:val="00125AB3"/>
    <w:rsid w:val="00125C0E"/>
    <w:rsid w:val="00125FAD"/>
    <w:rsid w:val="00126716"/>
    <w:rsid w:val="001267BD"/>
    <w:rsid w:val="00126D45"/>
    <w:rsid w:val="001271C4"/>
    <w:rsid w:val="00127E2F"/>
    <w:rsid w:val="00127E48"/>
    <w:rsid w:val="00130781"/>
    <w:rsid w:val="00130D0F"/>
    <w:rsid w:val="001329F7"/>
    <w:rsid w:val="0013342A"/>
    <w:rsid w:val="00133891"/>
    <w:rsid w:val="00133B54"/>
    <w:rsid w:val="0013412B"/>
    <w:rsid w:val="0013432E"/>
    <w:rsid w:val="001343CE"/>
    <w:rsid w:val="001344C2"/>
    <w:rsid w:val="001344DE"/>
    <w:rsid w:val="0013470C"/>
    <w:rsid w:val="00134CBC"/>
    <w:rsid w:val="00135824"/>
    <w:rsid w:val="00136AAE"/>
    <w:rsid w:val="00136D8E"/>
    <w:rsid w:val="00136E93"/>
    <w:rsid w:val="0013742B"/>
    <w:rsid w:val="00137848"/>
    <w:rsid w:val="001378FF"/>
    <w:rsid w:val="00137B43"/>
    <w:rsid w:val="00137BB9"/>
    <w:rsid w:val="00137F86"/>
    <w:rsid w:val="00140D39"/>
    <w:rsid w:val="001410F8"/>
    <w:rsid w:val="00141830"/>
    <w:rsid w:val="00141E71"/>
    <w:rsid w:val="001423FA"/>
    <w:rsid w:val="00142796"/>
    <w:rsid w:val="001428BA"/>
    <w:rsid w:val="0014291A"/>
    <w:rsid w:val="00142D5A"/>
    <w:rsid w:val="00142E23"/>
    <w:rsid w:val="001437F2"/>
    <w:rsid w:val="001439DA"/>
    <w:rsid w:val="00143A37"/>
    <w:rsid w:val="00143AB8"/>
    <w:rsid w:val="00143AE9"/>
    <w:rsid w:val="00143B8B"/>
    <w:rsid w:val="00144659"/>
    <w:rsid w:val="00144AE9"/>
    <w:rsid w:val="00144AED"/>
    <w:rsid w:val="00144BBF"/>
    <w:rsid w:val="00144E5D"/>
    <w:rsid w:val="00144EA2"/>
    <w:rsid w:val="00145411"/>
    <w:rsid w:val="001456B3"/>
    <w:rsid w:val="00145A93"/>
    <w:rsid w:val="00145AC9"/>
    <w:rsid w:val="00145CA6"/>
    <w:rsid w:val="00145E68"/>
    <w:rsid w:val="00145EFB"/>
    <w:rsid w:val="00146139"/>
    <w:rsid w:val="0014695E"/>
    <w:rsid w:val="00146E5E"/>
    <w:rsid w:val="00147007"/>
    <w:rsid w:val="00147087"/>
    <w:rsid w:val="00147105"/>
    <w:rsid w:val="001473D2"/>
    <w:rsid w:val="00147AC2"/>
    <w:rsid w:val="00150179"/>
    <w:rsid w:val="00150769"/>
    <w:rsid w:val="001514BA"/>
    <w:rsid w:val="0015198D"/>
    <w:rsid w:val="00151E17"/>
    <w:rsid w:val="00153847"/>
    <w:rsid w:val="00153B74"/>
    <w:rsid w:val="00153EB6"/>
    <w:rsid w:val="001546B0"/>
    <w:rsid w:val="00154E87"/>
    <w:rsid w:val="001562C2"/>
    <w:rsid w:val="00157256"/>
    <w:rsid w:val="0015773C"/>
    <w:rsid w:val="00157AD6"/>
    <w:rsid w:val="001601B0"/>
    <w:rsid w:val="001602C9"/>
    <w:rsid w:val="001607F6"/>
    <w:rsid w:val="00160F63"/>
    <w:rsid w:val="001610E7"/>
    <w:rsid w:val="00161A07"/>
    <w:rsid w:val="00161C5B"/>
    <w:rsid w:val="00162131"/>
    <w:rsid w:val="001624A4"/>
    <w:rsid w:val="00162514"/>
    <w:rsid w:val="00162A3A"/>
    <w:rsid w:val="00162B37"/>
    <w:rsid w:val="0016399B"/>
    <w:rsid w:val="001649C2"/>
    <w:rsid w:val="001649E6"/>
    <w:rsid w:val="00164DB3"/>
    <w:rsid w:val="00166511"/>
    <w:rsid w:val="00166863"/>
    <w:rsid w:val="001668AB"/>
    <w:rsid w:val="00166A99"/>
    <w:rsid w:val="00166BEB"/>
    <w:rsid w:val="00166D3B"/>
    <w:rsid w:val="00166FF6"/>
    <w:rsid w:val="001671EC"/>
    <w:rsid w:val="0016794C"/>
    <w:rsid w:val="0017009E"/>
    <w:rsid w:val="00170613"/>
    <w:rsid w:val="00170A62"/>
    <w:rsid w:val="00170D50"/>
    <w:rsid w:val="001714C2"/>
    <w:rsid w:val="00172653"/>
    <w:rsid w:val="001729A3"/>
    <w:rsid w:val="0017333B"/>
    <w:rsid w:val="0017354A"/>
    <w:rsid w:val="001738E7"/>
    <w:rsid w:val="00174216"/>
    <w:rsid w:val="001743B0"/>
    <w:rsid w:val="0017449A"/>
    <w:rsid w:val="001745D5"/>
    <w:rsid w:val="00174C17"/>
    <w:rsid w:val="00176298"/>
    <w:rsid w:val="00176487"/>
    <w:rsid w:val="001766D7"/>
    <w:rsid w:val="001767AF"/>
    <w:rsid w:val="00176E6C"/>
    <w:rsid w:val="00177470"/>
    <w:rsid w:val="0017771C"/>
    <w:rsid w:val="00177805"/>
    <w:rsid w:val="00177A45"/>
    <w:rsid w:val="001806CF"/>
    <w:rsid w:val="00180A82"/>
    <w:rsid w:val="00180BB6"/>
    <w:rsid w:val="00180EFA"/>
    <w:rsid w:val="00180F6E"/>
    <w:rsid w:val="00182251"/>
    <w:rsid w:val="001824D4"/>
    <w:rsid w:val="001828BA"/>
    <w:rsid w:val="00182DBA"/>
    <w:rsid w:val="00183AE4"/>
    <w:rsid w:val="00183DFE"/>
    <w:rsid w:val="00184291"/>
    <w:rsid w:val="001842A4"/>
    <w:rsid w:val="00184A0A"/>
    <w:rsid w:val="00184AC8"/>
    <w:rsid w:val="001851A1"/>
    <w:rsid w:val="001855F6"/>
    <w:rsid w:val="00186500"/>
    <w:rsid w:val="00186738"/>
    <w:rsid w:val="00187A70"/>
    <w:rsid w:val="00187C47"/>
    <w:rsid w:val="00187EEF"/>
    <w:rsid w:val="0019051C"/>
    <w:rsid w:val="001905F4"/>
    <w:rsid w:val="0019071D"/>
    <w:rsid w:val="00190A44"/>
    <w:rsid w:val="00190A94"/>
    <w:rsid w:val="00190E6D"/>
    <w:rsid w:val="001911FB"/>
    <w:rsid w:val="0019195C"/>
    <w:rsid w:val="00191EEE"/>
    <w:rsid w:val="00191F72"/>
    <w:rsid w:val="001923E5"/>
    <w:rsid w:val="00192CFB"/>
    <w:rsid w:val="00193273"/>
    <w:rsid w:val="00194BAA"/>
    <w:rsid w:val="00194D02"/>
    <w:rsid w:val="00194E94"/>
    <w:rsid w:val="0019596D"/>
    <w:rsid w:val="001960BE"/>
    <w:rsid w:val="001964E6"/>
    <w:rsid w:val="0019728D"/>
    <w:rsid w:val="001975BB"/>
    <w:rsid w:val="00197AE6"/>
    <w:rsid w:val="00197D46"/>
    <w:rsid w:val="00197DB2"/>
    <w:rsid w:val="00197E77"/>
    <w:rsid w:val="001A0816"/>
    <w:rsid w:val="001A0A60"/>
    <w:rsid w:val="001A0A7F"/>
    <w:rsid w:val="001A0CD7"/>
    <w:rsid w:val="001A0CE6"/>
    <w:rsid w:val="001A0F3E"/>
    <w:rsid w:val="001A0FAA"/>
    <w:rsid w:val="001A1D06"/>
    <w:rsid w:val="001A1D45"/>
    <w:rsid w:val="001A200E"/>
    <w:rsid w:val="001A2047"/>
    <w:rsid w:val="001A2094"/>
    <w:rsid w:val="001A2751"/>
    <w:rsid w:val="001A2830"/>
    <w:rsid w:val="001A30E5"/>
    <w:rsid w:val="001A3D6A"/>
    <w:rsid w:val="001A444B"/>
    <w:rsid w:val="001A462C"/>
    <w:rsid w:val="001A4769"/>
    <w:rsid w:val="001A4ED8"/>
    <w:rsid w:val="001A534B"/>
    <w:rsid w:val="001A5C95"/>
    <w:rsid w:val="001A5DD7"/>
    <w:rsid w:val="001A62A4"/>
    <w:rsid w:val="001A6670"/>
    <w:rsid w:val="001A7A7D"/>
    <w:rsid w:val="001B058C"/>
    <w:rsid w:val="001B093A"/>
    <w:rsid w:val="001B0A0C"/>
    <w:rsid w:val="001B0F89"/>
    <w:rsid w:val="001B1630"/>
    <w:rsid w:val="001B188D"/>
    <w:rsid w:val="001B1942"/>
    <w:rsid w:val="001B1DA7"/>
    <w:rsid w:val="001B1DE5"/>
    <w:rsid w:val="001B1E25"/>
    <w:rsid w:val="001B1F26"/>
    <w:rsid w:val="001B24DF"/>
    <w:rsid w:val="001B25BB"/>
    <w:rsid w:val="001B2853"/>
    <w:rsid w:val="001B2CC8"/>
    <w:rsid w:val="001B335F"/>
    <w:rsid w:val="001B38D4"/>
    <w:rsid w:val="001B4D3F"/>
    <w:rsid w:val="001B4D5A"/>
    <w:rsid w:val="001B527C"/>
    <w:rsid w:val="001B532D"/>
    <w:rsid w:val="001B5596"/>
    <w:rsid w:val="001B5741"/>
    <w:rsid w:val="001B5921"/>
    <w:rsid w:val="001B5B7F"/>
    <w:rsid w:val="001B5D12"/>
    <w:rsid w:val="001B67E0"/>
    <w:rsid w:val="001B6AFA"/>
    <w:rsid w:val="001B6B31"/>
    <w:rsid w:val="001B6EDD"/>
    <w:rsid w:val="001B7028"/>
    <w:rsid w:val="001B70B7"/>
    <w:rsid w:val="001B71CA"/>
    <w:rsid w:val="001B759F"/>
    <w:rsid w:val="001B7868"/>
    <w:rsid w:val="001B7BB3"/>
    <w:rsid w:val="001C00BF"/>
    <w:rsid w:val="001C047A"/>
    <w:rsid w:val="001C0C42"/>
    <w:rsid w:val="001C0F1F"/>
    <w:rsid w:val="001C1097"/>
    <w:rsid w:val="001C10B5"/>
    <w:rsid w:val="001C144C"/>
    <w:rsid w:val="001C1B6C"/>
    <w:rsid w:val="001C1B94"/>
    <w:rsid w:val="001C1BBF"/>
    <w:rsid w:val="001C1C45"/>
    <w:rsid w:val="001C245F"/>
    <w:rsid w:val="001C3CE6"/>
    <w:rsid w:val="001C3E55"/>
    <w:rsid w:val="001C49CB"/>
    <w:rsid w:val="001C49CF"/>
    <w:rsid w:val="001C4CD9"/>
    <w:rsid w:val="001C4F55"/>
    <w:rsid w:val="001C4F8A"/>
    <w:rsid w:val="001C530D"/>
    <w:rsid w:val="001C54F6"/>
    <w:rsid w:val="001C58BD"/>
    <w:rsid w:val="001C597D"/>
    <w:rsid w:val="001C5F3D"/>
    <w:rsid w:val="001C5F9F"/>
    <w:rsid w:val="001C6610"/>
    <w:rsid w:val="001C6D9D"/>
    <w:rsid w:val="001C7996"/>
    <w:rsid w:val="001C7A12"/>
    <w:rsid w:val="001D0331"/>
    <w:rsid w:val="001D045E"/>
    <w:rsid w:val="001D059A"/>
    <w:rsid w:val="001D0E49"/>
    <w:rsid w:val="001D1123"/>
    <w:rsid w:val="001D1AE6"/>
    <w:rsid w:val="001D2A0A"/>
    <w:rsid w:val="001D2B0E"/>
    <w:rsid w:val="001D391B"/>
    <w:rsid w:val="001D3B00"/>
    <w:rsid w:val="001D3EE4"/>
    <w:rsid w:val="001D49D3"/>
    <w:rsid w:val="001D49FD"/>
    <w:rsid w:val="001D4A8D"/>
    <w:rsid w:val="001D5041"/>
    <w:rsid w:val="001D556C"/>
    <w:rsid w:val="001D6670"/>
    <w:rsid w:val="001D6B4D"/>
    <w:rsid w:val="001D6CCB"/>
    <w:rsid w:val="001D722F"/>
    <w:rsid w:val="001D7389"/>
    <w:rsid w:val="001D77C9"/>
    <w:rsid w:val="001E0139"/>
    <w:rsid w:val="001E0603"/>
    <w:rsid w:val="001E07A8"/>
    <w:rsid w:val="001E1B45"/>
    <w:rsid w:val="001E1D86"/>
    <w:rsid w:val="001E1E6F"/>
    <w:rsid w:val="001E2195"/>
    <w:rsid w:val="001E266A"/>
    <w:rsid w:val="001E2716"/>
    <w:rsid w:val="001E3000"/>
    <w:rsid w:val="001E3368"/>
    <w:rsid w:val="001E33B7"/>
    <w:rsid w:val="001E3B1D"/>
    <w:rsid w:val="001E3C09"/>
    <w:rsid w:val="001E3D30"/>
    <w:rsid w:val="001E3D86"/>
    <w:rsid w:val="001E3E2F"/>
    <w:rsid w:val="001E3F1C"/>
    <w:rsid w:val="001E3F9C"/>
    <w:rsid w:val="001E4CDA"/>
    <w:rsid w:val="001E4EFF"/>
    <w:rsid w:val="001E582A"/>
    <w:rsid w:val="001E5990"/>
    <w:rsid w:val="001E631E"/>
    <w:rsid w:val="001E6419"/>
    <w:rsid w:val="001E66D1"/>
    <w:rsid w:val="001E6A2B"/>
    <w:rsid w:val="001E6A61"/>
    <w:rsid w:val="001E6A9F"/>
    <w:rsid w:val="001E7182"/>
    <w:rsid w:val="001E76AA"/>
    <w:rsid w:val="001F0547"/>
    <w:rsid w:val="001F09AF"/>
    <w:rsid w:val="001F0A2A"/>
    <w:rsid w:val="001F0B74"/>
    <w:rsid w:val="001F0C8B"/>
    <w:rsid w:val="001F0DED"/>
    <w:rsid w:val="001F0F74"/>
    <w:rsid w:val="001F10AA"/>
    <w:rsid w:val="001F14DD"/>
    <w:rsid w:val="001F1A27"/>
    <w:rsid w:val="001F45FF"/>
    <w:rsid w:val="001F490D"/>
    <w:rsid w:val="001F5054"/>
    <w:rsid w:val="001F55A4"/>
    <w:rsid w:val="001F55AB"/>
    <w:rsid w:val="001F5784"/>
    <w:rsid w:val="001F5A36"/>
    <w:rsid w:val="001F5E8A"/>
    <w:rsid w:val="001F5F9D"/>
    <w:rsid w:val="001F61D2"/>
    <w:rsid w:val="001F65AD"/>
    <w:rsid w:val="001F6F60"/>
    <w:rsid w:val="001F7829"/>
    <w:rsid w:val="001F7ED2"/>
    <w:rsid w:val="00200442"/>
    <w:rsid w:val="00200798"/>
    <w:rsid w:val="0020084B"/>
    <w:rsid w:val="00201410"/>
    <w:rsid w:val="002017B4"/>
    <w:rsid w:val="00201813"/>
    <w:rsid w:val="00201A0A"/>
    <w:rsid w:val="00202126"/>
    <w:rsid w:val="00202885"/>
    <w:rsid w:val="002040C0"/>
    <w:rsid w:val="002044BA"/>
    <w:rsid w:val="00204DDB"/>
    <w:rsid w:val="00205AC5"/>
    <w:rsid w:val="00205C52"/>
    <w:rsid w:val="002061B5"/>
    <w:rsid w:val="00206AEA"/>
    <w:rsid w:val="0020703A"/>
    <w:rsid w:val="002076FC"/>
    <w:rsid w:val="002077C6"/>
    <w:rsid w:val="002079AF"/>
    <w:rsid w:val="002079BD"/>
    <w:rsid w:val="00207E9A"/>
    <w:rsid w:val="00210110"/>
    <w:rsid w:val="002106B8"/>
    <w:rsid w:val="00211747"/>
    <w:rsid w:val="00211C6F"/>
    <w:rsid w:val="00212069"/>
    <w:rsid w:val="002122EE"/>
    <w:rsid w:val="00212AD3"/>
    <w:rsid w:val="00212B34"/>
    <w:rsid w:val="00212E84"/>
    <w:rsid w:val="00213F0B"/>
    <w:rsid w:val="00214AF0"/>
    <w:rsid w:val="00214D1A"/>
    <w:rsid w:val="00215241"/>
    <w:rsid w:val="002157AD"/>
    <w:rsid w:val="00215945"/>
    <w:rsid w:val="0021637E"/>
    <w:rsid w:val="002164FF"/>
    <w:rsid w:val="00216AB4"/>
    <w:rsid w:val="00216DEE"/>
    <w:rsid w:val="00216EC3"/>
    <w:rsid w:val="0021706C"/>
    <w:rsid w:val="00217388"/>
    <w:rsid w:val="0021792B"/>
    <w:rsid w:val="00217A13"/>
    <w:rsid w:val="00217A78"/>
    <w:rsid w:val="0022044D"/>
    <w:rsid w:val="002204F6"/>
    <w:rsid w:val="00220E5A"/>
    <w:rsid w:val="002215E6"/>
    <w:rsid w:val="00221D84"/>
    <w:rsid w:val="00222268"/>
    <w:rsid w:val="00222E7D"/>
    <w:rsid w:val="00222F1F"/>
    <w:rsid w:val="00223595"/>
    <w:rsid w:val="00223E14"/>
    <w:rsid w:val="00223E6F"/>
    <w:rsid w:val="0022423C"/>
    <w:rsid w:val="002243C8"/>
    <w:rsid w:val="0022459E"/>
    <w:rsid w:val="00224788"/>
    <w:rsid w:val="00224E94"/>
    <w:rsid w:val="00225395"/>
    <w:rsid w:val="00225E10"/>
    <w:rsid w:val="00225FDD"/>
    <w:rsid w:val="002264F8"/>
    <w:rsid w:val="00226641"/>
    <w:rsid w:val="00227EB4"/>
    <w:rsid w:val="00227EEF"/>
    <w:rsid w:val="00230F5C"/>
    <w:rsid w:val="002315E4"/>
    <w:rsid w:val="0023161D"/>
    <w:rsid w:val="00231786"/>
    <w:rsid w:val="00231C59"/>
    <w:rsid w:val="002320C1"/>
    <w:rsid w:val="00232157"/>
    <w:rsid w:val="0023215E"/>
    <w:rsid w:val="00232239"/>
    <w:rsid w:val="0023245F"/>
    <w:rsid w:val="0023364A"/>
    <w:rsid w:val="00234A3E"/>
    <w:rsid w:val="00234B3A"/>
    <w:rsid w:val="00235553"/>
    <w:rsid w:val="00235A91"/>
    <w:rsid w:val="00235AEA"/>
    <w:rsid w:val="00235F03"/>
    <w:rsid w:val="002364AB"/>
    <w:rsid w:val="00237748"/>
    <w:rsid w:val="00237A42"/>
    <w:rsid w:val="002409CA"/>
    <w:rsid w:val="002412D6"/>
    <w:rsid w:val="00241762"/>
    <w:rsid w:val="002417FB"/>
    <w:rsid w:val="00241DA7"/>
    <w:rsid w:val="00242703"/>
    <w:rsid w:val="002430F6"/>
    <w:rsid w:val="00243399"/>
    <w:rsid w:val="00244904"/>
    <w:rsid w:val="00244934"/>
    <w:rsid w:val="002456E0"/>
    <w:rsid w:val="00245B94"/>
    <w:rsid w:val="00245CA5"/>
    <w:rsid w:val="00245E2A"/>
    <w:rsid w:val="00245F67"/>
    <w:rsid w:val="002463F0"/>
    <w:rsid w:val="002466CA"/>
    <w:rsid w:val="0024710A"/>
    <w:rsid w:val="002500FC"/>
    <w:rsid w:val="00250166"/>
    <w:rsid w:val="00250268"/>
    <w:rsid w:val="00250471"/>
    <w:rsid w:val="0025058E"/>
    <w:rsid w:val="00250901"/>
    <w:rsid w:val="00250E48"/>
    <w:rsid w:val="00250EB2"/>
    <w:rsid w:val="0025164E"/>
    <w:rsid w:val="002518EB"/>
    <w:rsid w:val="00252194"/>
    <w:rsid w:val="00252886"/>
    <w:rsid w:val="00252931"/>
    <w:rsid w:val="00252B22"/>
    <w:rsid w:val="00252B46"/>
    <w:rsid w:val="00253305"/>
    <w:rsid w:val="00253783"/>
    <w:rsid w:val="00253931"/>
    <w:rsid w:val="0025459D"/>
    <w:rsid w:val="00255422"/>
    <w:rsid w:val="002557A5"/>
    <w:rsid w:val="0025592A"/>
    <w:rsid w:val="002566B0"/>
    <w:rsid w:val="002569B1"/>
    <w:rsid w:val="00256AEF"/>
    <w:rsid w:val="002574FE"/>
    <w:rsid w:val="00257764"/>
    <w:rsid w:val="00257A85"/>
    <w:rsid w:val="002610D1"/>
    <w:rsid w:val="0026174B"/>
    <w:rsid w:val="00261F0A"/>
    <w:rsid w:val="00262216"/>
    <w:rsid w:val="00262289"/>
    <w:rsid w:val="0026236C"/>
    <w:rsid w:val="0026281D"/>
    <w:rsid w:val="0026293A"/>
    <w:rsid w:val="00263230"/>
    <w:rsid w:val="00263B52"/>
    <w:rsid w:val="00263B62"/>
    <w:rsid w:val="002644CC"/>
    <w:rsid w:val="00264C73"/>
    <w:rsid w:val="00265B83"/>
    <w:rsid w:val="00265CEE"/>
    <w:rsid w:val="00265EBA"/>
    <w:rsid w:val="00266B88"/>
    <w:rsid w:val="00266BA3"/>
    <w:rsid w:val="00266C29"/>
    <w:rsid w:val="002671C6"/>
    <w:rsid w:val="00267294"/>
    <w:rsid w:val="002675C3"/>
    <w:rsid w:val="00267C50"/>
    <w:rsid w:val="002706D1"/>
    <w:rsid w:val="0027082F"/>
    <w:rsid w:val="00270E09"/>
    <w:rsid w:val="00271360"/>
    <w:rsid w:val="002717CE"/>
    <w:rsid w:val="0027188D"/>
    <w:rsid w:val="00271A63"/>
    <w:rsid w:val="00272186"/>
    <w:rsid w:val="00275557"/>
    <w:rsid w:val="00275C12"/>
    <w:rsid w:val="00276046"/>
    <w:rsid w:val="00276153"/>
    <w:rsid w:val="002764FB"/>
    <w:rsid w:val="00276F9C"/>
    <w:rsid w:val="0027740C"/>
    <w:rsid w:val="00277CD9"/>
    <w:rsid w:val="00280004"/>
    <w:rsid w:val="00280084"/>
    <w:rsid w:val="00281295"/>
    <w:rsid w:val="002818C3"/>
    <w:rsid w:val="00282D39"/>
    <w:rsid w:val="00282EEF"/>
    <w:rsid w:val="00283ACC"/>
    <w:rsid w:val="0028411F"/>
    <w:rsid w:val="002844AF"/>
    <w:rsid w:val="00285025"/>
    <w:rsid w:val="002851C4"/>
    <w:rsid w:val="00285452"/>
    <w:rsid w:val="0028560D"/>
    <w:rsid w:val="0028610A"/>
    <w:rsid w:val="002866B3"/>
    <w:rsid w:val="00286DB2"/>
    <w:rsid w:val="0028742E"/>
    <w:rsid w:val="00287A87"/>
    <w:rsid w:val="00290292"/>
    <w:rsid w:val="0029050F"/>
    <w:rsid w:val="002907E5"/>
    <w:rsid w:val="00290910"/>
    <w:rsid w:val="002909C9"/>
    <w:rsid w:val="00290CF5"/>
    <w:rsid w:val="0029102A"/>
    <w:rsid w:val="00291907"/>
    <w:rsid w:val="00292014"/>
    <w:rsid w:val="0029204A"/>
    <w:rsid w:val="00292644"/>
    <w:rsid w:val="00292B7B"/>
    <w:rsid w:val="0029307D"/>
    <w:rsid w:val="002939C0"/>
    <w:rsid w:val="00294E8E"/>
    <w:rsid w:val="002951BD"/>
    <w:rsid w:val="0029559F"/>
    <w:rsid w:val="00295CD1"/>
    <w:rsid w:val="0029649B"/>
    <w:rsid w:val="0029684B"/>
    <w:rsid w:val="0029756C"/>
    <w:rsid w:val="002975B6"/>
    <w:rsid w:val="002A04DF"/>
    <w:rsid w:val="002A11F7"/>
    <w:rsid w:val="002A127F"/>
    <w:rsid w:val="002A1FAA"/>
    <w:rsid w:val="002A3598"/>
    <w:rsid w:val="002A3DE5"/>
    <w:rsid w:val="002A3FD1"/>
    <w:rsid w:val="002A40E3"/>
    <w:rsid w:val="002A4668"/>
    <w:rsid w:val="002A47FE"/>
    <w:rsid w:val="002A5382"/>
    <w:rsid w:val="002A5A38"/>
    <w:rsid w:val="002A62A7"/>
    <w:rsid w:val="002A6947"/>
    <w:rsid w:val="002A6DA6"/>
    <w:rsid w:val="002A6F68"/>
    <w:rsid w:val="002B055C"/>
    <w:rsid w:val="002B0A23"/>
    <w:rsid w:val="002B0AD0"/>
    <w:rsid w:val="002B19BD"/>
    <w:rsid w:val="002B1CDA"/>
    <w:rsid w:val="002B1D4C"/>
    <w:rsid w:val="002B38D5"/>
    <w:rsid w:val="002B3989"/>
    <w:rsid w:val="002B3F72"/>
    <w:rsid w:val="002B408B"/>
    <w:rsid w:val="002B4A06"/>
    <w:rsid w:val="002B4CEF"/>
    <w:rsid w:val="002B4E5A"/>
    <w:rsid w:val="002B4FB1"/>
    <w:rsid w:val="002B54E1"/>
    <w:rsid w:val="002B54FF"/>
    <w:rsid w:val="002B5505"/>
    <w:rsid w:val="002B550F"/>
    <w:rsid w:val="002B569B"/>
    <w:rsid w:val="002B62D5"/>
    <w:rsid w:val="002B64B7"/>
    <w:rsid w:val="002B66F1"/>
    <w:rsid w:val="002B67B7"/>
    <w:rsid w:val="002B728D"/>
    <w:rsid w:val="002B7A6A"/>
    <w:rsid w:val="002B7AA7"/>
    <w:rsid w:val="002B7F87"/>
    <w:rsid w:val="002C012D"/>
    <w:rsid w:val="002C02F8"/>
    <w:rsid w:val="002C035D"/>
    <w:rsid w:val="002C0A2A"/>
    <w:rsid w:val="002C1492"/>
    <w:rsid w:val="002C1652"/>
    <w:rsid w:val="002C1667"/>
    <w:rsid w:val="002C17A6"/>
    <w:rsid w:val="002C1ABB"/>
    <w:rsid w:val="002C2819"/>
    <w:rsid w:val="002C2C49"/>
    <w:rsid w:val="002C317C"/>
    <w:rsid w:val="002C40C7"/>
    <w:rsid w:val="002C4747"/>
    <w:rsid w:val="002C52D9"/>
    <w:rsid w:val="002C5450"/>
    <w:rsid w:val="002C56A5"/>
    <w:rsid w:val="002C5CB3"/>
    <w:rsid w:val="002C6223"/>
    <w:rsid w:val="002C67BF"/>
    <w:rsid w:val="002C7360"/>
    <w:rsid w:val="002C7457"/>
    <w:rsid w:val="002D02A0"/>
    <w:rsid w:val="002D05E9"/>
    <w:rsid w:val="002D1600"/>
    <w:rsid w:val="002D1B57"/>
    <w:rsid w:val="002D2189"/>
    <w:rsid w:val="002D26CC"/>
    <w:rsid w:val="002D2770"/>
    <w:rsid w:val="002D2BE6"/>
    <w:rsid w:val="002D37D1"/>
    <w:rsid w:val="002D4971"/>
    <w:rsid w:val="002D4EF6"/>
    <w:rsid w:val="002D5480"/>
    <w:rsid w:val="002D56D9"/>
    <w:rsid w:val="002D5881"/>
    <w:rsid w:val="002D6116"/>
    <w:rsid w:val="002D64B9"/>
    <w:rsid w:val="002D69A5"/>
    <w:rsid w:val="002D6C8B"/>
    <w:rsid w:val="002D7073"/>
    <w:rsid w:val="002D7C1D"/>
    <w:rsid w:val="002E003D"/>
    <w:rsid w:val="002E032B"/>
    <w:rsid w:val="002E07A9"/>
    <w:rsid w:val="002E1353"/>
    <w:rsid w:val="002E16EE"/>
    <w:rsid w:val="002E1A47"/>
    <w:rsid w:val="002E1DDA"/>
    <w:rsid w:val="002E1F6D"/>
    <w:rsid w:val="002E233C"/>
    <w:rsid w:val="002E26CC"/>
    <w:rsid w:val="002E3014"/>
    <w:rsid w:val="002E32B7"/>
    <w:rsid w:val="002E33B3"/>
    <w:rsid w:val="002E360F"/>
    <w:rsid w:val="002E361F"/>
    <w:rsid w:val="002E38B8"/>
    <w:rsid w:val="002E3A0E"/>
    <w:rsid w:val="002E3E9B"/>
    <w:rsid w:val="002E4925"/>
    <w:rsid w:val="002E585D"/>
    <w:rsid w:val="002E59C2"/>
    <w:rsid w:val="002E62EE"/>
    <w:rsid w:val="002E6922"/>
    <w:rsid w:val="002E6A67"/>
    <w:rsid w:val="002E7ABB"/>
    <w:rsid w:val="002E7B26"/>
    <w:rsid w:val="002F00F4"/>
    <w:rsid w:val="002F00FB"/>
    <w:rsid w:val="002F016B"/>
    <w:rsid w:val="002F0A53"/>
    <w:rsid w:val="002F101B"/>
    <w:rsid w:val="002F160C"/>
    <w:rsid w:val="002F188C"/>
    <w:rsid w:val="002F20A8"/>
    <w:rsid w:val="002F310E"/>
    <w:rsid w:val="002F3363"/>
    <w:rsid w:val="002F366E"/>
    <w:rsid w:val="002F3920"/>
    <w:rsid w:val="002F3D4E"/>
    <w:rsid w:val="002F3DE4"/>
    <w:rsid w:val="002F459C"/>
    <w:rsid w:val="002F47C3"/>
    <w:rsid w:val="002F4910"/>
    <w:rsid w:val="002F4B16"/>
    <w:rsid w:val="002F4DE6"/>
    <w:rsid w:val="002F510F"/>
    <w:rsid w:val="002F517D"/>
    <w:rsid w:val="002F602D"/>
    <w:rsid w:val="002F6612"/>
    <w:rsid w:val="002F785A"/>
    <w:rsid w:val="00300A9E"/>
    <w:rsid w:val="00300ACA"/>
    <w:rsid w:val="003011CF"/>
    <w:rsid w:val="003015AB"/>
    <w:rsid w:val="00301906"/>
    <w:rsid w:val="00301BD5"/>
    <w:rsid w:val="003021A8"/>
    <w:rsid w:val="003021BC"/>
    <w:rsid w:val="00303F76"/>
    <w:rsid w:val="00303F8C"/>
    <w:rsid w:val="00304AB7"/>
    <w:rsid w:val="00304B33"/>
    <w:rsid w:val="003050E0"/>
    <w:rsid w:val="003058FC"/>
    <w:rsid w:val="00305B28"/>
    <w:rsid w:val="00305C49"/>
    <w:rsid w:val="00305EEC"/>
    <w:rsid w:val="00306121"/>
    <w:rsid w:val="00306184"/>
    <w:rsid w:val="003067F9"/>
    <w:rsid w:val="003069A8"/>
    <w:rsid w:val="003074E0"/>
    <w:rsid w:val="003077E9"/>
    <w:rsid w:val="0030782E"/>
    <w:rsid w:val="00307E86"/>
    <w:rsid w:val="003102A2"/>
    <w:rsid w:val="0031034A"/>
    <w:rsid w:val="00310BF4"/>
    <w:rsid w:val="00310FB8"/>
    <w:rsid w:val="00311569"/>
    <w:rsid w:val="00311CD2"/>
    <w:rsid w:val="00312001"/>
    <w:rsid w:val="003126C1"/>
    <w:rsid w:val="003136CD"/>
    <w:rsid w:val="00313EF0"/>
    <w:rsid w:val="003141F6"/>
    <w:rsid w:val="00314357"/>
    <w:rsid w:val="00314E06"/>
    <w:rsid w:val="003150A7"/>
    <w:rsid w:val="003151D7"/>
    <w:rsid w:val="0031533B"/>
    <w:rsid w:val="0031595A"/>
    <w:rsid w:val="00315A80"/>
    <w:rsid w:val="00315FA9"/>
    <w:rsid w:val="003166D9"/>
    <w:rsid w:val="00316823"/>
    <w:rsid w:val="003169D6"/>
    <w:rsid w:val="00317455"/>
    <w:rsid w:val="00317B94"/>
    <w:rsid w:val="00317EA9"/>
    <w:rsid w:val="00320313"/>
    <w:rsid w:val="003203DF"/>
    <w:rsid w:val="00320C3B"/>
    <w:rsid w:val="00321737"/>
    <w:rsid w:val="00321CA0"/>
    <w:rsid w:val="00322400"/>
    <w:rsid w:val="0032284E"/>
    <w:rsid w:val="00322AB2"/>
    <w:rsid w:val="00322F02"/>
    <w:rsid w:val="00323670"/>
    <w:rsid w:val="00323771"/>
    <w:rsid w:val="0032396B"/>
    <w:rsid w:val="00324C66"/>
    <w:rsid w:val="00324CF5"/>
    <w:rsid w:val="00325134"/>
    <w:rsid w:val="0032532A"/>
    <w:rsid w:val="00325375"/>
    <w:rsid w:val="00325385"/>
    <w:rsid w:val="00326233"/>
    <w:rsid w:val="0032658E"/>
    <w:rsid w:val="003267F2"/>
    <w:rsid w:val="00326925"/>
    <w:rsid w:val="00326EB5"/>
    <w:rsid w:val="003270CB"/>
    <w:rsid w:val="003276C0"/>
    <w:rsid w:val="00327B09"/>
    <w:rsid w:val="00327C6F"/>
    <w:rsid w:val="0033169F"/>
    <w:rsid w:val="00332143"/>
    <w:rsid w:val="00332623"/>
    <w:rsid w:val="00332D1F"/>
    <w:rsid w:val="00334BA0"/>
    <w:rsid w:val="00334BDA"/>
    <w:rsid w:val="00334C26"/>
    <w:rsid w:val="00334CC9"/>
    <w:rsid w:val="0033537F"/>
    <w:rsid w:val="00335F30"/>
    <w:rsid w:val="003361A7"/>
    <w:rsid w:val="00336333"/>
    <w:rsid w:val="0033687E"/>
    <w:rsid w:val="003369AE"/>
    <w:rsid w:val="00336A4D"/>
    <w:rsid w:val="0033775C"/>
    <w:rsid w:val="00340197"/>
    <w:rsid w:val="0034090B"/>
    <w:rsid w:val="00340C45"/>
    <w:rsid w:val="00341393"/>
    <w:rsid w:val="00341792"/>
    <w:rsid w:val="00341B24"/>
    <w:rsid w:val="00341D85"/>
    <w:rsid w:val="00341DC9"/>
    <w:rsid w:val="003429EC"/>
    <w:rsid w:val="00343B62"/>
    <w:rsid w:val="0034431B"/>
    <w:rsid w:val="00344C0B"/>
    <w:rsid w:val="00345817"/>
    <w:rsid w:val="003458FA"/>
    <w:rsid w:val="00345C2D"/>
    <w:rsid w:val="00345C7A"/>
    <w:rsid w:val="00345F44"/>
    <w:rsid w:val="00346846"/>
    <w:rsid w:val="003468F9"/>
    <w:rsid w:val="00346A0C"/>
    <w:rsid w:val="00346EFE"/>
    <w:rsid w:val="003474B6"/>
    <w:rsid w:val="00347504"/>
    <w:rsid w:val="0034759A"/>
    <w:rsid w:val="0034761C"/>
    <w:rsid w:val="0034779D"/>
    <w:rsid w:val="00347C7E"/>
    <w:rsid w:val="00347F84"/>
    <w:rsid w:val="00350ECE"/>
    <w:rsid w:val="00351346"/>
    <w:rsid w:val="003517D0"/>
    <w:rsid w:val="003523ED"/>
    <w:rsid w:val="00352656"/>
    <w:rsid w:val="00352682"/>
    <w:rsid w:val="00353130"/>
    <w:rsid w:val="00353B05"/>
    <w:rsid w:val="00353BC6"/>
    <w:rsid w:val="00353E27"/>
    <w:rsid w:val="00354317"/>
    <w:rsid w:val="0035561D"/>
    <w:rsid w:val="0035591E"/>
    <w:rsid w:val="00355C57"/>
    <w:rsid w:val="00355CFF"/>
    <w:rsid w:val="00356397"/>
    <w:rsid w:val="00356893"/>
    <w:rsid w:val="00356B51"/>
    <w:rsid w:val="003576C4"/>
    <w:rsid w:val="00360449"/>
    <w:rsid w:val="0036073C"/>
    <w:rsid w:val="00360C73"/>
    <w:rsid w:val="00361CB9"/>
    <w:rsid w:val="00362A06"/>
    <w:rsid w:val="00362A84"/>
    <w:rsid w:val="00362F53"/>
    <w:rsid w:val="003635C3"/>
    <w:rsid w:val="003636A6"/>
    <w:rsid w:val="00363FFE"/>
    <w:rsid w:val="003648DD"/>
    <w:rsid w:val="003648E1"/>
    <w:rsid w:val="00364FD5"/>
    <w:rsid w:val="00365572"/>
    <w:rsid w:val="003655F7"/>
    <w:rsid w:val="00365FF4"/>
    <w:rsid w:val="00366342"/>
    <w:rsid w:val="00367266"/>
    <w:rsid w:val="0036729F"/>
    <w:rsid w:val="00367430"/>
    <w:rsid w:val="0037079A"/>
    <w:rsid w:val="0037081B"/>
    <w:rsid w:val="00370F1F"/>
    <w:rsid w:val="00372AD7"/>
    <w:rsid w:val="00372B4C"/>
    <w:rsid w:val="00373C82"/>
    <w:rsid w:val="00373D89"/>
    <w:rsid w:val="0037478D"/>
    <w:rsid w:val="00374B24"/>
    <w:rsid w:val="00374D48"/>
    <w:rsid w:val="00375A71"/>
    <w:rsid w:val="00375A7E"/>
    <w:rsid w:val="00375C37"/>
    <w:rsid w:val="00376029"/>
    <w:rsid w:val="0037620C"/>
    <w:rsid w:val="0037679F"/>
    <w:rsid w:val="00376937"/>
    <w:rsid w:val="00376BFE"/>
    <w:rsid w:val="00377144"/>
    <w:rsid w:val="00377BF2"/>
    <w:rsid w:val="00377C42"/>
    <w:rsid w:val="00380935"/>
    <w:rsid w:val="003813BD"/>
    <w:rsid w:val="00381940"/>
    <w:rsid w:val="00381D7E"/>
    <w:rsid w:val="003821F8"/>
    <w:rsid w:val="003823C0"/>
    <w:rsid w:val="00382707"/>
    <w:rsid w:val="00382C90"/>
    <w:rsid w:val="00383DE9"/>
    <w:rsid w:val="00384773"/>
    <w:rsid w:val="00384DD8"/>
    <w:rsid w:val="003850C1"/>
    <w:rsid w:val="0038580A"/>
    <w:rsid w:val="00385B89"/>
    <w:rsid w:val="00386291"/>
    <w:rsid w:val="00386F82"/>
    <w:rsid w:val="00387002"/>
    <w:rsid w:val="003876DD"/>
    <w:rsid w:val="00387B84"/>
    <w:rsid w:val="0039025A"/>
    <w:rsid w:val="00390326"/>
    <w:rsid w:val="00390549"/>
    <w:rsid w:val="00390EC2"/>
    <w:rsid w:val="003915AA"/>
    <w:rsid w:val="0039239D"/>
    <w:rsid w:val="00392414"/>
    <w:rsid w:val="00392E34"/>
    <w:rsid w:val="00393571"/>
    <w:rsid w:val="00394640"/>
    <w:rsid w:val="00394871"/>
    <w:rsid w:val="00395017"/>
    <w:rsid w:val="00395533"/>
    <w:rsid w:val="00396518"/>
    <w:rsid w:val="00396EF9"/>
    <w:rsid w:val="003972E6"/>
    <w:rsid w:val="00397452"/>
    <w:rsid w:val="003976FC"/>
    <w:rsid w:val="003A0608"/>
    <w:rsid w:val="003A0D5A"/>
    <w:rsid w:val="003A11D7"/>
    <w:rsid w:val="003A123B"/>
    <w:rsid w:val="003A26E2"/>
    <w:rsid w:val="003A2EC2"/>
    <w:rsid w:val="003A3811"/>
    <w:rsid w:val="003A4143"/>
    <w:rsid w:val="003A42DE"/>
    <w:rsid w:val="003A43AE"/>
    <w:rsid w:val="003A45D8"/>
    <w:rsid w:val="003A49ED"/>
    <w:rsid w:val="003A4E2C"/>
    <w:rsid w:val="003A4F46"/>
    <w:rsid w:val="003A579A"/>
    <w:rsid w:val="003A5B05"/>
    <w:rsid w:val="003A6037"/>
    <w:rsid w:val="003A65C2"/>
    <w:rsid w:val="003A679A"/>
    <w:rsid w:val="003A6D32"/>
    <w:rsid w:val="003A6E53"/>
    <w:rsid w:val="003A7408"/>
    <w:rsid w:val="003A7909"/>
    <w:rsid w:val="003A7DE8"/>
    <w:rsid w:val="003B02B0"/>
    <w:rsid w:val="003B02B6"/>
    <w:rsid w:val="003B099D"/>
    <w:rsid w:val="003B0E53"/>
    <w:rsid w:val="003B1070"/>
    <w:rsid w:val="003B1246"/>
    <w:rsid w:val="003B13A3"/>
    <w:rsid w:val="003B1461"/>
    <w:rsid w:val="003B216D"/>
    <w:rsid w:val="003B220E"/>
    <w:rsid w:val="003B23DE"/>
    <w:rsid w:val="003B2641"/>
    <w:rsid w:val="003B2D54"/>
    <w:rsid w:val="003B3A25"/>
    <w:rsid w:val="003B40FB"/>
    <w:rsid w:val="003B41E5"/>
    <w:rsid w:val="003B43D8"/>
    <w:rsid w:val="003B461A"/>
    <w:rsid w:val="003B4DEF"/>
    <w:rsid w:val="003B4E66"/>
    <w:rsid w:val="003B4F2D"/>
    <w:rsid w:val="003B5B81"/>
    <w:rsid w:val="003B5E70"/>
    <w:rsid w:val="003B6051"/>
    <w:rsid w:val="003B6A60"/>
    <w:rsid w:val="003B6AFA"/>
    <w:rsid w:val="003B6C39"/>
    <w:rsid w:val="003B7289"/>
    <w:rsid w:val="003B754E"/>
    <w:rsid w:val="003B7AE1"/>
    <w:rsid w:val="003C0817"/>
    <w:rsid w:val="003C0CA9"/>
    <w:rsid w:val="003C11B5"/>
    <w:rsid w:val="003C1CC4"/>
    <w:rsid w:val="003C20E1"/>
    <w:rsid w:val="003C2578"/>
    <w:rsid w:val="003C2B2D"/>
    <w:rsid w:val="003C2C8E"/>
    <w:rsid w:val="003C416D"/>
    <w:rsid w:val="003C563F"/>
    <w:rsid w:val="003C5664"/>
    <w:rsid w:val="003C5CB6"/>
    <w:rsid w:val="003C630F"/>
    <w:rsid w:val="003C6ED3"/>
    <w:rsid w:val="003C7259"/>
    <w:rsid w:val="003C7275"/>
    <w:rsid w:val="003C734B"/>
    <w:rsid w:val="003D0878"/>
    <w:rsid w:val="003D0A75"/>
    <w:rsid w:val="003D0AF0"/>
    <w:rsid w:val="003D1451"/>
    <w:rsid w:val="003D15F7"/>
    <w:rsid w:val="003D2F31"/>
    <w:rsid w:val="003D307D"/>
    <w:rsid w:val="003D30BB"/>
    <w:rsid w:val="003D3380"/>
    <w:rsid w:val="003D3A07"/>
    <w:rsid w:val="003D3AD5"/>
    <w:rsid w:val="003D4064"/>
    <w:rsid w:val="003D40BC"/>
    <w:rsid w:val="003D43B9"/>
    <w:rsid w:val="003D47DB"/>
    <w:rsid w:val="003D53E2"/>
    <w:rsid w:val="003D62DD"/>
    <w:rsid w:val="003D657F"/>
    <w:rsid w:val="003D690E"/>
    <w:rsid w:val="003D72DA"/>
    <w:rsid w:val="003D7485"/>
    <w:rsid w:val="003D75B3"/>
    <w:rsid w:val="003D7D73"/>
    <w:rsid w:val="003D7E2E"/>
    <w:rsid w:val="003D7FCD"/>
    <w:rsid w:val="003E01E9"/>
    <w:rsid w:val="003E0AC8"/>
    <w:rsid w:val="003E10AC"/>
    <w:rsid w:val="003E16FE"/>
    <w:rsid w:val="003E1E8F"/>
    <w:rsid w:val="003E273A"/>
    <w:rsid w:val="003E29F3"/>
    <w:rsid w:val="003E2C98"/>
    <w:rsid w:val="003E3075"/>
    <w:rsid w:val="003E31F7"/>
    <w:rsid w:val="003E3A50"/>
    <w:rsid w:val="003E3AA5"/>
    <w:rsid w:val="003E3BF5"/>
    <w:rsid w:val="003E3CFA"/>
    <w:rsid w:val="003E3FA1"/>
    <w:rsid w:val="003E5624"/>
    <w:rsid w:val="003E5841"/>
    <w:rsid w:val="003E5D9F"/>
    <w:rsid w:val="003E6894"/>
    <w:rsid w:val="003E774F"/>
    <w:rsid w:val="003E784F"/>
    <w:rsid w:val="003E7F8C"/>
    <w:rsid w:val="003F078F"/>
    <w:rsid w:val="003F0E65"/>
    <w:rsid w:val="003F1CDF"/>
    <w:rsid w:val="003F2CE6"/>
    <w:rsid w:val="003F2DA3"/>
    <w:rsid w:val="003F3823"/>
    <w:rsid w:val="003F38F2"/>
    <w:rsid w:val="003F3FD2"/>
    <w:rsid w:val="003F41C1"/>
    <w:rsid w:val="003F50D5"/>
    <w:rsid w:val="003F589D"/>
    <w:rsid w:val="003F5A4A"/>
    <w:rsid w:val="003F60D8"/>
    <w:rsid w:val="003F6331"/>
    <w:rsid w:val="003F6586"/>
    <w:rsid w:val="003F675F"/>
    <w:rsid w:val="003F6952"/>
    <w:rsid w:val="003F6B4A"/>
    <w:rsid w:val="003F6CC2"/>
    <w:rsid w:val="003F79AF"/>
    <w:rsid w:val="00400045"/>
    <w:rsid w:val="00400EBF"/>
    <w:rsid w:val="004011E1"/>
    <w:rsid w:val="004013D9"/>
    <w:rsid w:val="004015E0"/>
    <w:rsid w:val="0040191E"/>
    <w:rsid w:val="004019ED"/>
    <w:rsid w:val="00401E32"/>
    <w:rsid w:val="004028A0"/>
    <w:rsid w:val="00402F2E"/>
    <w:rsid w:val="00403261"/>
    <w:rsid w:val="00403A2F"/>
    <w:rsid w:val="00403B4F"/>
    <w:rsid w:val="004046DE"/>
    <w:rsid w:val="00405185"/>
    <w:rsid w:val="00405B8D"/>
    <w:rsid w:val="00405EC6"/>
    <w:rsid w:val="00405F69"/>
    <w:rsid w:val="0040650C"/>
    <w:rsid w:val="00406D5F"/>
    <w:rsid w:val="00407A41"/>
    <w:rsid w:val="00411020"/>
    <w:rsid w:val="00411421"/>
    <w:rsid w:val="00411844"/>
    <w:rsid w:val="0041259B"/>
    <w:rsid w:val="004130A7"/>
    <w:rsid w:val="004134A9"/>
    <w:rsid w:val="0041352B"/>
    <w:rsid w:val="004135BC"/>
    <w:rsid w:val="00414104"/>
    <w:rsid w:val="00414105"/>
    <w:rsid w:val="004145A7"/>
    <w:rsid w:val="0041482C"/>
    <w:rsid w:val="004151E7"/>
    <w:rsid w:val="00415D0E"/>
    <w:rsid w:val="00415D35"/>
    <w:rsid w:val="00417A6A"/>
    <w:rsid w:val="00417AF2"/>
    <w:rsid w:val="004202DD"/>
    <w:rsid w:val="00420A75"/>
    <w:rsid w:val="00420B96"/>
    <w:rsid w:val="00420CE2"/>
    <w:rsid w:val="0042246C"/>
    <w:rsid w:val="00422A93"/>
    <w:rsid w:val="00422C43"/>
    <w:rsid w:val="00423035"/>
    <w:rsid w:val="004243F4"/>
    <w:rsid w:val="00424B6E"/>
    <w:rsid w:val="00424CC0"/>
    <w:rsid w:val="00424DB3"/>
    <w:rsid w:val="00424DC6"/>
    <w:rsid w:val="00425448"/>
    <w:rsid w:val="00425630"/>
    <w:rsid w:val="004259B5"/>
    <w:rsid w:val="004263E4"/>
    <w:rsid w:val="0042700C"/>
    <w:rsid w:val="004275C8"/>
    <w:rsid w:val="00427F0F"/>
    <w:rsid w:val="004306A4"/>
    <w:rsid w:val="00430B33"/>
    <w:rsid w:val="00431141"/>
    <w:rsid w:val="004311ED"/>
    <w:rsid w:val="00431408"/>
    <w:rsid w:val="00431687"/>
    <w:rsid w:val="00431C85"/>
    <w:rsid w:val="00431D7C"/>
    <w:rsid w:val="004320A3"/>
    <w:rsid w:val="004321E7"/>
    <w:rsid w:val="00432496"/>
    <w:rsid w:val="00432925"/>
    <w:rsid w:val="00432DE9"/>
    <w:rsid w:val="0043340E"/>
    <w:rsid w:val="00433642"/>
    <w:rsid w:val="00433B4C"/>
    <w:rsid w:val="00434464"/>
    <w:rsid w:val="0043578C"/>
    <w:rsid w:val="00435987"/>
    <w:rsid w:val="004363DF"/>
    <w:rsid w:val="00436894"/>
    <w:rsid w:val="00436F01"/>
    <w:rsid w:val="00436F15"/>
    <w:rsid w:val="0043743C"/>
    <w:rsid w:val="00437662"/>
    <w:rsid w:val="00437A43"/>
    <w:rsid w:val="00437ACB"/>
    <w:rsid w:val="004407ED"/>
    <w:rsid w:val="004411E7"/>
    <w:rsid w:val="004417B0"/>
    <w:rsid w:val="00441EF9"/>
    <w:rsid w:val="00442FE9"/>
    <w:rsid w:val="00443671"/>
    <w:rsid w:val="0044369C"/>
    <w:rsid w:val="0044399E"/>
    <w:rsid w:val="00443D03"/>
    <w:rsid w:val="00444117"/>
    <w:rsid w:val="0044417D"/>
    <w:rsid w:val="0044481E"/>
    <w:rsid w:val="00444D62"/>
    <w:rsid w:val="00444ECC"/>
    <w:rsid w:val="004452CD"/>
    <w:rsid w:val="004456FB"/>
    <w:rsid w:val="00445987"/>
    <w:rsid w:val="0044644A"/>
    <w:rsid w:val="004464E6"/>
    <w:rsid w:val="00446874"/>
    <w:rsid w:val="00446C2F"/>
    <w:rsid w:val="00447265"/>
    <w:rsid w:val="004478A5"/>
    <w:rsid w:val="00447CBA"/>
    <w:rsid w:val="00450392"/>
    <w:rsid w:val="00450CAE"/>
    <w:rsid w:val="00450F80"/>
    <w:rsid w:val="00452436"/>
    <w:rsid w:val="004527B4"/>
    <w:rsid w:val="0045286B"/>
    <w:rsid w:val="0045306E"/>
    <w:rsid w:val="00453211"/>
    <w:rsid w:val="00453523"/>
    <w:rsid w:val="00453ACB"/>
    <w:rsid w:val="0045464F"/>
    <w:rsid w:val="004547A9"/>
    <w:rsid w:val="00454CD6"/>
    <w:rsid w:val="00455CF4"/>
    <w:rsid w:val="00456561"/>
    <w:rsid w:val="00456BB0"/>
    <w:rsid w:val="0045719C"/>
    <w:rsid w:val="00457480"/>
    <w:rsid w:val="00457783"/>
    <w:rsid w:val="00457A4B"/>
    <w:rsid w:val="00460F3E"/>
    <w:rsid w:val="00461377"/>
    <w:rsid w:val="00461823"/>
    <w:rsid w:val="004622BA"/>
    <w:rsid w:val="00462325"/>
    <w:rsid w:val="00463103"/>
    <w:rsid w:val="0046328B"/>
    <w:rsid w:val="004636D5"/>
    <w:rsid w:val="00463CBE"/>
    <w:rsid w:val="0046412C"/>
    <w:rsid w:val="00464810"/>
    <w:rsid w:val="0046549B"/>
    <w:rsid w:val="00465B61"/>
    <w:rsid w:val="00465F8E"/>
    <w:rsid w:val="0046672D"/>
    <w:rsid w:val="004672D0"/>
    <w:rsid w:val="00467CF8"/>
    <w:rsid w:val="00470005"/>
    <w:rsid w:val="00470104"/>
    <w:rsid w:val="0047144C"/>
    <w:rsid w:val="004717B4"/>
    <w:rsid w:val="00471F84"/>
    <w:rsid w:val="0047227D"/>
    <w:rsid w:val="004732C3"/>
    <w:rsid w:val="00473377"/>
    <w:rsid w:val="004733EB"/>
    <w:rsid w:val="0047349C"/>
    <w:rsid w:val="00473745"/>
    <w:rsid w:val="00473CBA"/>
    <w:rsid w:val="00474129"/>
    <w:rsid w:val="00474230"/>
    <w:rsid w:val="004742B3"/>
    <w:rsid w:val="0047435C"/>
    <w:rsid w:val="004744CB"/>
    <w:rsid w:val="00474BAB"/>
    <w:rsid w:val="00475E54"/>
    <w:rsid w:val="00475FA5"/>
    <w:rsid w:val="004762D9"/>
    <w:rsid w:val="004766CB"/>
    <w:rsid w:val="00476FD1"/>
    <w:rsid w:val="00477018"/>
    <w:rsid w:val="004772BA"/>
    <w:rsid w:val="004772D4"/>
    <w:rsid w:val="004775A7"/>
    <w:rsid w:val="00477D5D"/>
    <w:rsid w:val="00477F13"/>
    <w:rsid w:val="00480821"/>
    <w:rsid w:val="00480943"/>
    <w:rsid w:val="0048105A"/>
    <w:rsid w:val="00481538"/>
    <w:rsid w:val="004815F5"/>
    <w:rsid w:val="0048195A"/>
    <w:rsid w:val="00481F8B"/>
    <w:rsid w:val="004824B1"/>
    <w:rsid w:val="00482506"/>
    <w:rsid w:val="00482A10"/>
    <w:rsid w:val="00482C10"/>
    <w:rsid w:val="004834CE"/>
    <w:rsid w:val="00483D63"/>
    <w:rsid w:val="00483FC4"/>
    <w:rsid w:val="0048447E"/>
    <w:rsid w:val="004846C5"/>
    <w:rsid w:val="00486101"/>
    <w:rsid w:val="0048664F"/>
    <w:rsid w:val="00486985"/>
    <w:rsid w:val="00486A7C"/>
    <w:rsid w:val="00486C63"/>
    <w:rsid w:val="00486E87"/>
    <w:rsid w:val="00486F49"/>
    <w:rsid w:val="0048766A"/>
    <w:rsid w:val="00487D93"/>
    <w:rsid w:val="00490107"/>
    <w:rsid w:val="00490548"/>
    <w:rsid w:val="00490709"/>
    <w:rsid w:val="00490A6C"/>
    <w:rsid w:val="00490CB5"/>
    <w:rsid w:val="0049205A"/>
    <w:rsid w:val="004920C1"/>
    <w:rsid w:val="004928AC"/>
    <w:rsid w:val="004929D8"/>
    <w:rsid w:val="00493368"/>
    <w:rsid w:val="00493D48"/>
    <w:rsid w:val="00494502"/>
    <w:rsid w:val="004947B5"/>
    <w:rsid w:val="00494B25"/>
    <w:rsid w:val="0049564A"/>
    <w:rsid w:val="0049565B"/>
    <w:rsid w:val="00495C0B"/>
    <w:rsid w:val="00496A17"/>
    <w:rsid w:val="00496C91"/>
    <w:rsid w:val="004971A6"/>
    <w:rsid w:val="00497994"/>
    <w:rsid w:val="00497F4A"/>
    <w:rsid w:val="004A037C"/>
    <w:rsid w:val="004A0679"/>
    <w:rsid w:val="004A0785"/>
    <w:rsid w:val="004A0A38"/>
    <w:rsid w:val="004A0D85"/>
    <w:rsid w:val="004A1148"/>
    <w:rsid w:val="004A1286"/>
    <w:rsid w:val="004A144F"/>
    <w:rsid w:val="004A1F58"/>
    <w:rsid w:val="004A249A"/>
    <w:rsid w:val="004A2B97"/>
    <w:rsid w:val="004A2BDC"/>
    <w:rsid w:val="004A33E2"/>
    <w:rsid w:val="004A35A5"/>
    <w:rsid w:val="004A3877"/>
    <w:rsid w:val="004A3A90"/>
    <w:rsid w:val="004A4141"/>
    <w:rsid w:val="004A4A78"/>
    <w:rsid w:val="004A4BD8"/>
    <w:rsid w:val="004A51E0"/>
    <w:rsid w:val="004A56F4"/>
    <w:rsid w:val="004A581B"/>
    <w:rsid w:val="004A5820"/>
    <w:rsid w:val="004A66A1"/>
    <w:rsid w:val="004A6937"/>
    <w:rsid w:val="004A6A59"/>
    <w:rsid w:val="004A6BEA"/>
    <w:rsid w:val="004A6C32"/>
    <w:rsid w:val="004A6D9E"/>
    <w:rsid w:val="004A715B"/>
    <w:rsid w:val="004A74CC"/>
    <w:rsid w:val="004A7911"/>
    <w:rsid w:val="004A7D73"/>
    <w:rsid w:val="004B1C5A"/>
    <w:rsid w:val="004B1F1E"/>
    <w:rsid w:val="004B2605"/>
    <w:rsid w:val="004B2C45"/>
    <w:rsid w:val="004B33D5"/>
    <w:rsid w:val="004B3534"/>
    <w:rsid w:val="004B3F35"/>
    <w:rsid w:val="004B4018"/>
    <w:rsid w:val="004B467F"/>
    <w:rsid w:val="004B4AB1"/>
    <w:rsid w:val="004B5073"/>
    <w:rsid w:val="004B5594"/>
    <w:rsid w:val="004B563D"/>
    <w:rsid w:val="004B5870"/>
    <w:rsid w:val="004B59B5"/>
    <w:rsid w:val="004B5C27"/>
    <w:rsid w:val="004B6535"/>
    <w:rsid w:val="004B682C"/>
    <w:rsid w:val="004B791E"/>
    <w:rsid w:val="004B7FBD"/>
    <w:rsid w:val="004C06F1"/>
    <w:rsid w:val="004C0931"/>
    <w:rsid w:val="004C0B9C"/>
    <w:rsid w:val="004C0DC0"/>
    <w:rsid w:val="004C1A58"/>
    <w:rsid w:val="004C1AD4"/>
    <w:rsid w:val="004C1CB4"/>
    <w:rsid w:val="004C258C"/>
    <w:rsid w:val="004C271A"/>
    <w:rsid w:val="004C28E5"/>
    <w:rsid w:val="004C2C06"/>
    <w:rsid w:val="004C32BF"/>
    <w:rsid w:val="004C3400"/>
    <w:rsid w:val="004C40F1"/>
    <w:rsid w:val="004C4432"/>
    <w:rsid w:val="004C46EE"/>
    <w:rsid w:val="004C51D0"/>
    <w:rsid w:val="004C5340"/>
    <w:rsid w:val="004C5613"/>
    <w:rsid w:val="004C5B2B"/>
    <w:rsid w:val="004C5C41"/>
    <w:rsid w:val="004C60E6"/>
    <w:rsid w:val="004C71D7"/>
    <w:rsid w:val="004C72A3"/>
    <w:rsid w:val="004C7524"/>
    <w:rsid w:val="004C75A2"/>
    <w:rsid w:val="004D0309"/>
    <w:rsid w:val="004D08EF"/>
    <w:rsid w:val="004D09DE"/>
    <w:rsid w:val="004D0BEC"/>
    <w:rsid w:val="004D1332"/>
    <w:rsid w:val="004D1931"/>
    <w:rsid w:val="004D1D76"/>
    <w:rsid w:val="004D20EF"/>
    <w:rsid w:val="004D266C"/>
    <w:rsid w:val="004D2694"/>
    <w:rsid w:val="004D27A3"/>
    <w:rsid w:val="004D3337"/>
    <w:rsid w:val="004D3451"/>
    <w:rsid w:val="004D3FF2"/>
    <w:rsid w:val="004D425E"/>
    <w:rsid w:val="004D49D7"/>
    <w:rsid w:val="004D4C47"/>
    <w:rsid w:val="004D4CEA"/>
    <w:rsid w:val="004D515A"/>
    <w:rsid w:val="004D5B7E"/>
    <w:rsid w:val="004D5CF5"/>
    <w:rsid w:val="004D7971"/>
    <w:rsid w:val="004D7B14"/>
    <w:rsid w:val="004D7D06"/>
    <w:rsid w:val="004D7FB5"/>
    <w:rsid w:val="004E15B1"/>
    <w:rsid w:val="004E23B1"/>
    <w:rsid w:val="004E2779"/>
    <w:rsid w:val="004E3364"/>
    <w:rsid w:val="004E3EE4"/>
    <w:rsid w:val="004E4BD7"/>
    <w:rsid w:val="004E53C2"/>
    <w:rsid w:val="004E54B6"/>
    <w:rsid w:val="004E6739"/>
    <w:rsid w:val="004E6C67"/>
    <w:rsid w:val="004E7608"/>
    <w:rsid w:val="004F00AE"/>
    <w:rsid w:val="004F0101"/>
    <w:rsid w:val="004F0253"/>
    <w:rsid w:val="004F02A9"/>
    <w:rsid w:val="004F02DE"/>
    <w:rsid w:val="004F050A"/>
    <w:rsid w:val="004F074E"/>
    <w:rsid w:val="004F1032"/>
    <w:rsid w:val="004F16A7"/>
    <w:rsid w:val="004F1D8A"/>
    <w:rsid w:val="004F2576"/>
    <w:rsid w:val="004F329F"/>
    <w:rsid w:val="004F3A92"/>
    <w:rsid w:val="004F3B72"/>
    <w:rsid w:val="004F3B8D"/>
    <w:rsid w:val="004F436B"/>
    <w:rsid w:val="004F4CA9"/>
    <w:rsid w:val="004F53D1"/>
    <w:rsid w:val="004F54DA"/>
    <w:rsid w:val="004F5CDC"/>
    <w:rsid w:val="004F7230"/>
    <w:rsid w:val="004F7AB9"/>
    <w:rsid w:val="004F7E6A"/>
    <w:rsid w:val="005001A3"/>
    <w:rsid w:val="005003F8"/>
    <w:rsid w:val="00500E95"/>
    <w:rsid w:val="00501089"/>
    <w:rsid w:val="00501257"/>
    <w:rsid w:val="005014FA"/>
    <w:rsid w:val="00501789"/>
    <w:rsid w:val="0050199C"/>
    <w:rsid w:val="00502755"/>
    <w:rsid w:val="005027FC"/>
    <w:rsid w:val="00502805"/>
    <w:rsid w:val="0050280F"/>
    <w:rsid w:val="0050285B"/>
    <w:rsid w:val="005035CB"/>
    <w:rsid w:val="0050376C"/>
    <w:rsid w:val="00503B72"/>
    <w:rsid w:val="0050470A"/>
    <w:rsid w:val="00504C80"/>
    <w:rsid w:val="00505696"/>
    <w:rsid w:val="00505AC0"/>
    <w:rsid w:val="0050683D"/>
    <w:rsid w:val="0051008A"/>
    <w:rsid w:val="005101A2"/>
    <w:rsid w:val="00510766"/>
    <w:rsid w:val="005110B7"/>
    <w:rsid w:val="00511FF4"/>
    <w:rsid w:val="00512116"/>
    <w:rsid w:val="00512788"/>
    <w:rsid w:val="00512806"/>
    <w:rsid w:val="00512ABA"/>
    <w:rsid w:val="00512B07"/>
    <w:rsid w:val="00512F9B"/>
    <w:rsid w:val="0051327A"/>
    <w:rsid w:val="005132AB"/>
    <w:rsid w:val="005133E9"/>
    <w:rsid w:val="005158C1"/>
    <w:rsid w:val="00516390"/>
    <w:rsid w:val="00516417"/>
    <w:rsid w:val="00516613"/>
    <w:rsid w:val="0051663C"/>
    <w:rsid w:val="00516877"/>
    <w:rsid w:val="005169FC"/>
    <w:rsid w:val="00516AEE"/>
    <w:rsid w:val="00516E19"/>
    <w:rsid w:val="005172FE"/>
    <w:rsid w:val="00520185"/>
    <w:rsid w:val="005201E8"/>
    <w:rsid w:val="00520C17"/>
    <w:rsid w:val="00520C39"/>
    <w:rsid w:val="00520E6F"/>
    <w:rsid w:val="005212DE"/>
    <w:rsid w:val="00521A84"/>
    <w:rsid w:val="00521CB9"/>
    <w:rsid w:val="00521E9A"/>
    <w:rsid w:val="005222DE"/>
    <w:rsid w:val="00522902"/>
    <w:rsid w:val="00523AD0"/>
    <w:rsid w:val="005241E2"/>
    <w:rsid w:val="00524294"/>
    <w:rsid w:val="00524705"/>
    <w:rsid w:val="00524BD5"/>
    <w:rsid w:val="00525AC0"/>
    <w:rsid w:val="00525DD7"/>
    <w:rsid w:val="0052680E"/>
    <w:rsid w:val="00526C39"/>
    <w:rsid w:val="00526C97"/>
    <w:rsid w:val="005276C4"/>
    <w:rsid w:val="00527AA2"/>
    <w:rsid w:val="00530944"/>
    <w:rsid w:val="00530EC5"/>
    <w:rsid w:val="00530EE9"/>
    <w:rsid w:val="00531067"/>
    <w:rsid w:val="005310F1"/>
    <w:rsid w:val="0053111D"/>
    <w:rsid w:val="005311B3"/>
    <w:rsid w:val="00531804"/>
    <w:rsid w:val="00531D3F"/>
    <w:rsid w:val="0053215C"/>
    <w:rsid w:val="00532562"/>
    <w:rsid w:val="00532B9C"/>
    <w:rsid w:val="005335AD"/>
    <w:rsid w:val="005352F1"/>
    <w:rsid w:val="0053534C"/>
    <w:rsid w:val="00535643"/>
    <w:rsid w:val="005365A5"/>
    <w:rsid w:val="00537E93"/>
    <w:rsid w:val="00540085"/>
    <w:rsid w:val="00540490"/>
    <w:rsid w:val="00540614"/>
    <w:rsid w:val="00540A93"/>
    <w:rsid w:val="00540FDF"/>
    <w:rsid w:val="00541795"/>
    <w:rsid w:val="00541E0B"/>
    <w:rsid w:val="00542097"/>
    <w:rsid w:val="005427C1"/>
    <w:rsid w:val="00542EFA"/>
    <w:rsid w:val="0054313B"/>
    <w:rsid w:val="0054340A"/>
    <w:rsid w:val="00543A23"/>
    <w:rsid w:val="00543C3B"/>
    <w:rsid w:val="00543ECF"/>
    <w:rsid w:val="00543F3A"/>
    <w:rsid w:val="005451FB"/>
    <w:rsid w:val="00545C4B"/>
    <w:rsid w:val="0054678D"/>
    <w:rsid w:val="00547020"/>
    <w:rsid w:val="00547305"/>
    <w:rsid w:val="00547D92"/>
    <w:rsid w:val="00547F09"/>
    <w:rsid w:val="00550704"/>
    <w:rsid w:val="00550AF1"/>
    <w:rsid w:val="00550ECF"/>
    <w:rsid w:val="00551033"/>
    <w:rsid w:val="00552599"/>
    <w:rsid w:val="005527CC"/>
    <w:rsid w:val="00552D34"/>
    <w:rsid w:val="00552D6D"/>
    <w:rsid w:val="005532B0"/>
    <w:rsid w:val="0055420B"/>
    <w:rsid w:val="00554551"/>
    <w:rsid w:val="00554A98"/>
    <w:rsid w:val="00554B28"/>
    <w:rsid w:val="00555A99"/>
    <w:rsid w:val="00555EC5"/>
    <w:rsid w:val="005563BC"/>
    <w:rsid w:val="0055651E"/>
    <w:rsid w:val="0055701C"/>
    <w:rsid w:val="005571A2"/>
    <w:rsid w:val="00557362"/>
    <w:rsid w:val="0055759F"/>
    <w:rsid w:val="0055794C"/>
    <w:rsid w:val="0056077E"/>
    <w:rsid w:val="00560851"/>
    <w:rsid w:val="00560B92"/>
    <w:rsid w:val="00560DB1"/>
    <w:rsid w:val="00560EBE"/>
    <w:rsid w:val="005611D1"/>
    <w:rsid w:val="005613D6"/>
    <w:rsid w:val="005613F7"/>
    <w:rsid w:val="005615E5"/>
    <w:rsid w:val="005616E5"/>
    <w:rsid w:val="00561DFE"/>
    <w:rsid w:val="00561F9C"/>
    <w:rsid w:val="00562E61"/>
    <w:rsid w:val="00562EBC"/>
    <w:rsid w:val="00563605"/>
    <w:rsid w:val="00563612"/>
    <w:rsid w:val="00563924"/>
    <w:rsid w:val="005640B1"/>
    <w:rsid w:val="0056425D"/>
    <w:rsid w:val="005645F7"/>
    <w:rsid w:val="00565296"/>
    <w:rsid w:val="005664CF"/>
    <w:rsid w:val="0056684B"/>
    <w:rsid w:val="0056764C"/>
    <w:rsid w:val="00567684"/>
    <w:rsid w:val="00567B7E"/>
    <w:rsid w:val="00570523"/>
    <w:rsid w:val="0057071D"/>
    <w:rsid w:val="0057084F"/>
    <w:rsid w:val="00570BCF"/>
    <w:rsid w:val="00570DB2"/>
    <w:rsid w:val="00570E6B"/>
    <w:rsid w:val="00570F44"/>
    <w:rsid w:val="005710A3"/>
    <w:rsid w:val="005713A3"/>
    <w:rsid w:val="00571503"/>
    <w:rsid w:val="005726F0"/>
    <w:rsid w:val="00572CD7"/>
    <w:rsid w:val="00572F07"/>
    <w:rsid w:val="005741B5"/>
    <w:rsid w:val="00574352"/>
    <w:rsid w:val="00574501"/>
    <w:rsid w:val="005745BE"/>
    <w:rsid w:val="005749B7"/>
    <w:rsid w:val="00575F13"/>
    <w:rsid w:val="00576FBB"/>
    <w:rsid w:val="0057789B"/>
    <w:rsid w:val="00577A7D"/>
    <w:rsid w:val="00577EA9"/>
    <w:rsid w:val="00580345"/>
    <w:rsid w:val="005804E8"/>
    <w:rsid w:val="0058068A"/>
    <w:rsid w:val="0058080D"/>
    <w:rsid w:val="0058095E"/>
    <w:rsid w:val="00580DB7"/>
    <w:rsid w:val="00582646"/>
    <w:rsid w:val="00582B52"/>
    <w:rsid w:val="00582D24"/>
    <w:rsid w:val="005832BE"/>
    <w:rsid w:val="00583561"/>
    <w:rsid w:val="0058403F"/>
    <w:rsid w:val="0058416D"/>
    <w:rsid w:val="005845C5"/>
    <w:rsid w:val="00584738"/>
    <w:rsid w:val="005852BB"/>
    <w:rsid w:val="005857AB"/>
    <w:rsid w:val="00585AD8"/>
    <w:rsid w:val="00585F10"/>
    <w:rsid w:val="0058634A"/>
    <w:rsid w:val="00586A41"/>
    <w:rsid w:val="00587697"/>
    <w:rsid w:val="00587854"/>
    <w:rsid w:val="00590161"/>
    <w:rsid w:val="00590960"/>
    <w:rsid w:val="00590D68"/>
    <w:rsid w:val="00590F6B"/>
    <w:rsid w:val="00591792"/>
    <w:rsid w:val="00592155"/>
    <w:rsid w:val="0059266E"/>
    <w:rsid w:val="00592915"/>
    <w:rsid w:val="005938C7"/>
    <w:rsid w:val="0059397C"/>
    <w:rsid w:val="005939AB"/>
    <w:rsid w:val="005946DA"/>
    <w:rsid w:val="0059528E"/>
    <w:rsid w:val="00595448"/>
    <w:rsid w:val="00595E84"/>
    <w:rsid w:val="00595FDE"/>
    <w:rsid w:val="00596587"/>
    <w:rsid w:val="005A077D"/>
    <w:rsid w:val="005A0877"/>
    <w:rsid w:val="005A093A"/>
    <w:rsid w:val="005A2016"/>
    <w:rsid w:val="005A20CE"/>
    <w:rsid w:val="005A215C"/>
    <w:rsid w:val="005A25F0"/>
    <w:rsid w:val="005A33DF"/>
    <w:rsid w:val="005A43DE"/>
    <w:rsid w:val="005A4848"/>
    <w:rsid w:val="005A4A51"/>
    <w:rsid w:val="005A5529"/>
    <w:rsid w:val="005A6384"/>
    <w:rsid w:val="005A63E9"/>
    <w:rsid w:val="005A64B0"/>
    <w:rsid w:val="005A68BA"/>
    <w:rsid w:val="005A698C"/>
    <w:rsid w:val="005A6C99"/>
    <w:rsid w:val="005A716A"/>
    <w:rsid w:val="005A75D7"/>
    <w:rsid w:val="005A7D0C"/>
    <w:rsid w:val="005B0215"/>
    <w:rsid w:val="005B0359"/>
    <w:rsid w:val="005B0DEA"/>
    <w:rsid w:val="005B1487"/>
    <w:rsid w:val="005B150E"/>
    <w:rsid w:val="005B1645"/>
    <w:rsid w:val="005B1B7E"/>
    <w:rsid w:val="005B25D7"/>
    <w:rsid w:val="005B26A0"/>
    <w:rsid w:val="005B4173"/>
    <w:rsid w:val="005B4333"/>
    <w:rsid w:val="005B457B"/>
    <w:rsid w:val="005B47A9"/>
    <w:rsid w:val="005B4D79"/>
    <w:rsid w:val="005B5286"/>
    <w:rsid w:val="005B571B"/>
    <w:rsid w:val="005B61E7"/>
    <w:rsid w:val="005B6698"/>
    <w:rsid w:val="005B7751"/>
    <w:rsid w:val="005B7A92"/>
    <w:rsid w:val="005C0079"/>
    <w:rsid w:val="005C00E9"/>
    <w:rsid w:val="005C0351"/>
    <w:rsid w:val="005C0734"/>
    <w:rsid w:val="005C0CA0"/>
    <w:rsid w:val="005C183C"/>
    <w:rsid w:val="005C18A1"/>
    <w:rsid w:val="005C1DF3"/>
    <w:rsid w:val="005C2213"/>
    <w:rsid w:val="005C237B"/>
    <w:rsid w:val="005C2517"/>
    <w:rsid w:val="005C2A2F"/>
    <w:rsid w:val="005C2C68"/>
    <w:rsid w:val="005C31A0"/>
    <w:rsid w:val="005C3341"/>
    <w:rsid w:val="005C34C4"/>
    <w:rsid w:val="005C4828"/>
    <w:rsid w:val="005C52B7"/>
    <w:rsid w:val="005C59BA"/>
    <w:rsid w:val="005C66BD"/>
    <w:rsid w:val="005C682E"/>
    <w:rsid w:val="005C6E08"/>
    <w:rsid w:val="005C6E82"/>
    <w:rsid w:val="005C6F28"/>
    <w:rsid w:val="005C70CA"/>
    <w:rsid w:val="005D06DA"/>
    <w:rsid w:val="005D0704"/>
    <w:rsid w:val="005D088F"/>
    <w:rsid w:val="005D11BF"/>
    <w:rsid w:val="005D12A5"/>
    <w:rsid w:val="005D1369"/>
    <w:rsid w:val="005D1519"/>
    <w:rsid w:val="005D2424"/>
    <w:rsid w:val="005D29DF"/>
    <w:rsid w:val="005D2B7A"/>
    <w:rsid w:val="005D2C98"/>
    <w:rsid w:val="005D3472"/>
    <w:rsid w:val="005D3E03"/>
    <w:rsid w:val="005D47DF"/>
    <w:rsid w:val="005D524B"/>
    <w:rsid w:val="005D52F5"/>
    <w:rsid w:val="005D53EB"/>
    <w:rsid w:val="005D55C7"/>
    <w:rsid w:val="005D5B66"/>
    <w:rsid w:val="005D5CAC"/>
    <w:rsid w:val="005D5D5D"/>
    <w:rsid w:val="005D5F79"/>
    <w:rsid w:val="005D63A9"/>
    <w:rsid w:val="005D6998"/>
    <w:rsid w:val="005D6C73"/>
    <w:rsid w:val="005D7A6F"/>
    <w:rsid w:val="005E00EB"/>
    <w:rsid w:val="005E0716"/>
    <w:rsid w:val="005E0E0F"/>
    <w:rsid w:val="005E16DD"/>
    <w:rsid w:val="005E1761"/>
    <w:rsid w:val="005E5B9D"/>
    <w:rsid w:val="005E600C"/>
    <w:rsid w:val="005E6291"/>
    <w:rsid w:val="005E6A74"/>
    <w:rsid w:val="005E6B9C"/>
    <w:rsid w:val="005E76A5"/>
    <w:rsid w:val="005E7766"/>
    <w:rsid w:val="005E77DC"/>
    <w:rsid w:val="005E7818"/>
    <w:rsid w:val="005F0145"/>
    <w:rsid w:val="005F0890"/>
    <w:rsid w:val="005F0D5A"/>
    <w:rsid w:val="005F0E99"/>
    <w:rsid w:val="005F1B9B"/>
    <w:rsid w:val="005F28FA"/>
    <w:rsid w:val="005F3358"/>
    <w:rsid w:val="005F4428"/>
    <w:rsid w:val="005F449C"/>
    <w:rsid w:val="005F46CC"/>
    <w:rsid w:val="005F47BC"/>
    <w:rsid w:val="005F4C1E"/>
    <w:rsid w:val="005F53F5"/>
    <w:rsid w:val="005F5991"/>
    <w:rsid w:val="005F6589"/>
    <w:rsid w:val="005F73AD"/>
    <w:rsid w:val="00600E50"/>
    <w:rsid w:val="006011EF"/>
    <w:rsid w:val="006020C2"/>
    <w:rsid w:val="006021CC"/>
    <w:rsid w:val="00602472"/>
    <w:rsid w:val="006030C1"/>
    <w:rsid w:val="00603147"/>
    <w:rsid w:val="006036E7"/>
    <w:rsid w:val="00603913"/>
    <w:rsid w:val="00603D67"/>
    <w:rsid w:val="00603D97"/>
    <w:rsid w:val="00603F78"/>
    <w:rsid w:val="00604105"/>
    <w:rsid w:val="006045F1"/>
    <w:rsid w:val="00604721"/>
    <w:rsid w:val="00604912"/>
    <w:rsid w:val="00605CAF"/>
    <w:rsid w:val="00605DB9"/>
    <w:rsid w:val="00606111"/>
    <w:rsid w:val="00606B50"/>
    <w:rsid w:val="00607069"/>
    <w:rsid w:val="006078A3"/>
    <w:rsid w:val="00607E40"/>
    <w:rsid w:val="00610399"/>
    <w:rsid w:val="00610687"/>
    <w:rsid w:val="006107B4"/>
    <w:rsid w:val="00610E79"/>
    <w:rsid w:val="006111BC"/>
    <w:rsid w:val="00611D59"/>
    <w:rsid w:val="0061214D"/>
    <w:rsid w:val="006122C7"/>
    <w:rsid w:val="00612C0B"/>
    <w:rsid w:val="0061354B"/>
    <w:rsid w:val="00613634"/>
    <w:rsid w:val="0061387F"/>
    <w:rsid w:val="00614793"/>
    <w:rsid w:val="00614F33"/>
    <w:rsid w:val="006154A2"/>
    <w:rsid w:val="0061559A"/>
    <w:rsid w:val="00615676"/>
    <w:rsid w:val="0061587D"/>
    <w:rsid w:val="006159AE"/>
    <w:rsid w:val="00615BA0"/>
    <w:rsid w:val="0061610A"/>
    <w:rsid w:val="006163A7"/>
    <w:rsid w:val="00616527"/>
    <w:rsid w:val="00616684"/>
    <w:rsid w:val="0061761E"/>
    <w:rsid w:val="0062035A"/>
    <w:rsid w:val="00620A68"/>
    <w:rsid w:val="00621D8F"/>
    <w:rsid w:val="00621FB0"/>
    <w:rsid w:val="0062212E"/>
    <w:rsid w:val="0062267D"/>
    <w:rsid w:val="00622C89"/>
    <w:rsid w:val="00623209"/>
    <w:rsid w:val="006232E4"/>
    <w:rsid w:val="00624056"/>
    <w:rsid w:val="00624356"/>
    <w:rsid w:val="006245F2"/>
    <w:rsid w:val="00625E7E"/>
    <w:rsid w:val="006260EC"/>
    <w:rsid w:val="006271DC"/>
    <w:rsid w:val="006274EA"/>
    <w:rsid w:val="00630586"/>
    <w:rsid w:val="006306C4"/>
    <w:rsid w:val="006311A0"/>
    <w:rsid w:val="00631691"/>
    <w:rsid w:val="00631B9B"/>
    <w:rsid w:val="006322B0"/>
    <w:rsid w:val="006324FF"/>
    <w:rsid w:val="00633911"/>
    <w:rsid w:val="0063421F"/>
    <w:rsid w:val="00634665"/>
    <w:rsid w:val="0063474E"/>
    <w:rsid w:val="00635331"/>
    <w:rsid w:val="00635636"/>
    <w:rsid w:val="00636524"/>
    <w:rsid w:val="006368FC"/>
    <w:rsid w:val="00636F7E"/>
    <w:rsid w:val="006373CB"/>
    <w:rsid w:val="0063782A"/>
    <w:rsid w:val="00637AAA"/>
    <w:rsid w:val="00640AD3"/>
    <w:rsid w:val="00640E8F"/>
    <w:rsid w:val="0064142E"/>
    <w:rsid w:val="00641E7B"/>
    <w:rsid w:val="00642E45"/>
    <w:rsid w:val="006433D7"/>
    <w:rsid w:val="00643A7D"/>
    <w:rsid w:val="00643D3E"/>
    <w:rsid w:val="00644701"/>
    <w:rsid w:val="00646637"/>
    <w:rsid w:val="006466F3"/>
    <w:rsid w:val="00646F82"/>
    <w:rsid w:val="00647351"/>
    <w:rsid w:val="00647B6B"/>
    <w:rsid w:val="006500A0"/>
    <w:rsid w:val="006504FA"/>
    <w:rsid w:val="00650FEF"/>
    <w:rsid w:val="00651190"/>
    <w:rsid w:val="00651202"/>
    <w:rsid w:val="00651632"/>
    <w:rsid w:val="006519D2"/>
    <w:rsid w:val="00651BB8"/>
    <w:rsid w:val="00651FB0"/>
    <w:rsid w:val="00652727"/>
    <w:rsid w:val="00652ACC"/>
    <w:rsid w:val="00652B2D"/>
    <w:rsid w:val="00652EAF"/>
    <w:rsid w:val="006531D6"/>
    <w:rsid w:val="006536AC"/>
    <w:rsid w:val="00653DF9"/>
    <w:rsid w:val="0065401E"/>
    <w:rsid w:val="00654D64"/>
    <w:rsid w:val="00654EE8"/>
    <w:rsid w:val="00655239"/>
    <w:rsid w:val="00655753"/>
    <w:rsid w:val="006557EB"/>
    <w:rsid w:val="0065626F"/>
    <w:rsid w:val="0065685F"/>
    <w:rsid w:val="006568BD"/>
    <w:rsid w:val="00656C95"/>
    <w:rsid w:val="006570A0"/>
    <w:rsid w:val="006570B7"/>
    <w:rsid w:val="0065758F"/>
    <w:rsid w:val="0065787F"/>
    <w:rsid w:val="00657952"/>
    <w:rsid w:val="00657E88"/>
    <w:rsid w:val="00660266"/>
    <w:rsid w:val="00660D4F"/>
    <w:rsid w:val="006615CE"/>
    <w:rsid w:val="0066165B"/>
    <w:rsid w:val="0066194E"/>
    <w:rsid w:val="00661974"/>
    <w:rsid w:val="00661F9D"/>
    <w:rsid w:val="006627C9"/>
    <w:rsid w:val="00662ACB"/>
    <w:rsid w:val="00663664"/>
    <w:rsid w:val="006638C8"/>
    <w:rsid w:val="00664998"/>
    <w:rsid w:val="00664BD5"/>
    <w:rsid w:val="00664CCD"/>
    <w:rsid w:val="006650B3"/>
    <w:rsid w:val="00665C5A"/>
    <w:rsid w:val="00666130"/>
    <w:rsid w:val="00666975"/>
    <w:rsid w:val="00666EC9"/>
    <w:rsid w:val="0066738B"/>
    <w:rsid w:val="00667B67"/>
    <w:rsid w:val="00667D8F"/>
    <w:rsid w:val="00670310"/>
    <w:rsid w:val="00670F44"/>
    <w:rsid w:val="00671219"/>
    <w:rsid w:val="0067138E"/>
    <w:rsid w:val="00671BA8"/>
    <w:rsid w:val="00671BE4"/>
    <w:rsid w:val="0067226A"/>
    <w:rsid w:val="0067270D"/>
    <w:rsid w:val="00672D3D"/>
    <w:rsid w:val="00672E0B"/>
    <w:rsid w:val="00672E74"/>
    <w:rsid w:val="00672EB7"/>
    <w:rsid w:val="00672F9C"/>
    <w:rsid w:val="0067369A"/>
    <w:rsid w:val="00673FEB"/>
    <w:rsid w:val="00674282"/>
    <w:rsid w:val="00674D86"/>
    <w:rsid w:val="00674EC9"/>
    <w:rsid w:val="00675453"/>
    <w:rsid w:val="00675504"/>
    <w:rsid w:val="006755B9"/>
    <w:rsid w:val="006755C7"/>
    <w:rsid w:val="00675B2E"/>
    <w:rsid w:val="00676270"/>
    <w:rsid w:val="006764ED"/>
    <w:rsid w:val="00676594"/>
    <w:rsid w:val="006768F0"/>
    <w:rsid w:val="00677370"/>
    <w:rsid w:val="00677519"/>
    <w:rsid w:val="00677C66"/>
    <w:rsid w:val="00677E78"/>
    <w:rsid w:val="00677EC8"/>
    <w:rsid w:val="006802AC"/>
    <w:rsid w:val="00680607"/>
    <w:rsid w:val="006810EA"/>
    <w:rsid w:val="0068118E"/>
    <w:rsid w:val="006818D9"/>
    <w:rsid w:val="0068240C"/>
    <w:rsid w:val="00682474"/>
    <w:rsid w:val="00682A5B"/>
    <w:rsid w:val="00682DD7"/>
    <w:rsid w:val="00684398"/>
    <w:rsid w:val="0068447C"/>
    <w:rsid w:val="00684B05"/>
    <w:rsid w:val="0068502E"/>
    <w:rsid w:val="0068505D"/>
    <w:rsid w:val="006852F5"/>
    <w:rsid w:val="006870E0"/>
    <w:rsid w:val="00687461"/>
    <w:rsid w:val="00687982"/>
    <w:rsid w:val="00687B51"/>
    <w:rsid w:val="00687F49"/>
    <w:rsid w:val="00690469"/>
    <w:rsid w:val="0069073E"/>
    <w:rsid w:val="00690A5A"/>
    <w:rsid w:val="00690AA3"/>
    <w:rsid w:val="0069104F"/>
    <w:rsid w:val="0069146C"/>
    <w:rsid w:val="006915E7"/>
    <w:rsid w:val="00692862"/>
    <w:rsid w:val="00693011"/>
    <w:rsid w:val="006932BE"/>
    <w:rsid w:val="006934DB"/>
    <w:rsid w:val="006934DD"/>
    <w:rsid w:val="00693D29"/>
    <w:rsid w:val="00693D9D"/>
    <w:rsid w:val="00693EF0"/>
    <w:rsid w:val="006949DB"/>
    <w:rsid w:val="00694C34"/>
    <w:rsid w:val="00694E7E"/>
    <w:rsid w:val="00695005"/>
    <w:rsid w:val="00695B61"/>
    <w:rsid w:val="006965B7"/>
    <w:rsid w:val="006967E8"/>
    <w:rsid w:val="00696FDA"/>
    <w:rsid w:val="0069726E"/>
    <w:rsid w:val="00697946"/>
    <w:rsid w:val="006A0038"/>
    <w:rsid w:val="006A0294"/>
    <w:rsid w:val="006A0379"/>
    <w:rsid w:val="006A09D2"/>
    <w:rsid w:val="006A1731"/>
    <w:rsid w:val="006A18D9"/>
    <w:rsid w:val="006A1ED0"/>
    <w:rsid w:val="006A2300"/>
    <w:rsid w:val="006A28C0"/>
    <w:rsid w:val="006A3290"/>
    <w:rsid w:val="006A32B8"/>
    <w:rsid w:val="006A4498"/>
    <w:rsid w:val="006A4542"/>
    <w:rsid w:val="006A4DB0"/>
    <w:rsid w:val="006A4E70"/>
    <w:rsid w:val="006A55B7"/>
    <w:rsid w:val="006A568B"/>
    <w:rsid w:val="006A647E"/>
    <w:rsid w:val="006A6E74"/>
    <w:rsid w:val="006A6ECE"/>
    <w:rsid w:val="006A6FC9"/>
    <w:rsid w:val="006A7321"/>
    <w:rsid w:val="006A77B9"/>
    <w:rsid w:val="006A7A38"/>
    <w:rsid w:val="006A7F94"/>
    <w:rsid w:val="006A7F99"/>
    <w:rsid w:val="006B18EC"/>
    <w:rsid w:val="006B2412"/>
    <w:rsid w:val="006B2D98"/>
    <w:rsid w:val="006B2E78"/>
    <w:rsid w:val="006B36D8"/>
    <w:rsid w:val="006B3A00"/>
    <w:rsid w:val="006B3B7B"/>
    <w:rsid w:val="006B43C0"/>
    <w:rsid w:val="006B4676"/>
    <w:rsid w:val="006B4EDE"/>
    <w:rsid w:val="006B504F"/>
    <w:rsid w:val="006B5262"/>
    <w:rsid w:val="006B57A2"/>
    <w:rsid w:val="006B60AE"/>
    <w:rsid w:val="006B614D"/>
    <w:rsid w:val="006B6352"/>
    <w:rsid w:val="006B6D89"/>
    <w:rsid w:val="006B765F"/>
    <w:rsid w:val="006B7C35"/>
    <w:rsid w:val="006B7FD7"/>
    <w:rsid w:val="006C0733"/>
    <w:rsid w:val="006C0D18"/>
    <w:rsid w:val="006C1459"/>
    <w:rsid w:val="006C1A32"/>
    <w:rsid w:val="006C1EA0"/>
    <w:rsid w:val="006C2276"/>
    <w:rsid w:val="006C2508"/>
    <w:rsid w:val="006C2B5B"/>
    <w:rsid w:val="006C3137"/>
    <w:rsid w:val="006C3DA4"/>
    <w:rsid w:val="006C47E7"/>
    <w:rsid w:val="006C47F5"/>
    <w:rsid w:val="006C4A00"/>
    <w:rsid w:val="006C562D"/>
    <w:rsid w:val="006C57D5"/>
    <w:rsid w:val="006C5B1E"/>
    <w:rsid w:val="006C6388"/>
    <w:rsid w:val="006C6A67"/>
    <w:rsid w:val="006C6B95"/>
    <w:rsid w:val="006C74E1"/>
    <w:rsid w:val="006C750E"/>
    <w:rsid w:val="006C7A46"/>
    <w:rsid w:val="006C7B51"/>
    <w:rsid w:val="006D060D"/>
    <w:rsid w:val="006D06F5"/>
    <w:rsid w:val="006D0769"/>
    <w:rsid w:val="006D09C3"/>
    <w:rsid w:val="006D13BD"/>
    <w:rsid w:val="006D168B"/>
    <w:rsid w:val="006D1AAB"/>
    <w:rsid w:val="006D1EC2"/>
    <w:rsid w:val="006D2457"/>
    <w:rsid w:val="006D31CA"/>
    <w:rsid w:val="006D397C"/>
    <w:rsid w:val="006D3BE8"/>
    <w:rsid w:val="006D4707"/>
    <w:rsid w:val="006D4A79"/>
    <w:rsid w:val="006D4AAC"/>
    <w:rsid w:val="006D5DEC"/>
    <w:rsid w:val="006D5E12"/>
    <w:rsid w:val="006D5F9A"/>
    <w:rsid w:val="006D6314"/>
    <w:rsid w:val="006D6E4D"/>
    <w:rsid w:val="006D7AAD"/>
    <w:rsid w:val="006D7DB9"/>
    <w:rsid w:val="006E026F"/>
    <w:rsid w:val="006E0572"/>
    <w:rsid w:val="006E0824"/>
    <w:rsid w:val="006E0B7D"/>
    <w:rsid w:val="006E0C95"/>
    <w:rsid w:val="006E10DB"/>
    <w:rsid w:val="006E1115"/>
    <w:rsid w:val="006E1E0B"/>
    <w:rsid w:val="006E20C9"/>
    <w:rsid w:val="006E21CF"/>
    <w:rsid w:val="006E2482"/>
    <w:rsid w:val="006E24BD"/>
    <w:rsid w:val="006E24E2"/>
    <w:rsid w:val="006E261B"/>
    <w:rsid w:val="006E2977"/>
    <w:rsid w:val="006E2991"/>
    <w:rsid w:val="006E2D18"/>
    <w:rsid w:val="006E2F5A"/>
    <w:rsid w:val="006E330F"/>
    <w:rsid w:val="006E378D"/>
    <w:rsid w:val="006E3ABD"/>
    <w:rsid w:val="006E42C8"/>
    <w:rsid w:val="006E47A2"/>
    <w:rsid w:val="006E4980"/>
    <w:rsid w:val="006E4A8A"/>
    <w:rsid w:val="006E5B3B"/>
    <w:rsid w:val="006E5C9D"/>
    <w:rsid w:val="006E5F1B"/>
    <w:rsid w:val="006E6040"/>
    <w:rsid w:val="006E62C2"/>
    <w:rsid w:val="006E6A2D"/>
    <w:rsid w:val="006E70A4"/>
    <w:rsid w:val="006E731B"/>
    <w:rsid w:val="006E742F"/>
    <w:rsid w:val="006E74D8"/>
    <w:rsid w:val="006E752A"/>
    <w:rsid w:val="006E7A2D"/>
    <w:rsid w:val="006E7C91"/>
    <w:rsid w:val="006F0451"/>
    <w:rsid w:val="006F0580"/>
    <w:rsid w:val="006F0DE9"/>
    <w:rsid w:val="006F0F70"/>
    <w:rsid w:val="006F139D"/>
    <w:rsid w:val="006F1A45"/>
    <w:rsid w:val="006F2006"/>
    <w:rsid w:val="006F351B"/>
    <w:rsid w:val="006F35BB"/>
    <w:rsid w:val="006F3EA4"/>
    <w:rsid w:val="006F40A5"/>
    <w:rsid w:val="006F5515"/>
    <w:rsid w:val="006F561C"/>
    <w:rsid w:val="006F59E2"/>
    <w:rsid w:val="006F60A0"/>
    <w:rsid w:val="006F6424"/>
    <w:rsid w:val="006F707A"/>
    <w:rsid w:val="006F7A6F"/>
    <w:rsid w:val="006F7DD6"/>
    <w:rsid w:val="00700977"/>
    <w:rsid w:val="00700BAA"/>
    <w:rsid w:val="00700E77"/>
    <w:rsid w:val="0070237C"/>
    <w:rsid w:val="00702BA1"/>
    <w:rsid w:val="00702BF7"/>
    <w:rsid w:val="00703BE4"/>
    <w:rsid w:val="00703C5C"/>
    <w:rsid w:val="00703C5F"/>
    <w:rsid w:val="00703C73"/>
    <w:rsid w:val="00703D1B"/>
    <w:rsid w:val="00703FD7"/>
    <w:rsid w:val="00704498"/>
    <w:rsid w:val="0070461A"/>
    <w:rsid w:val="0070497F"/>
    <w:rsid w:val="00704ADF"/>
    <w:rsid w:val="00704CA2"/>
    <w:rsid w:val="007053C3"/>
    <w:rsid w:val="00705D11"/>
    <w:rsid w:val="00706AB2"/>
    <w:rsid w:val="00706D1C"/>
    <w:rsid w:val="00706EDB"/>
    <w:rsid w:val="007075B4"/>
    <w:rsid w:val="00707D5F"/>
    <w:rsid w:val="00707D9C"/>
    <w:rsid w:val="00707F7D"/>
    <w:rsid w:val="007108CC"/>
    <w:rsid w:val="00710DF4"/>
    <w:rsid w:val="0071102D"/>
    <w:rsid w:val="00711BD3"/>
    <w:rsid w:val="00711C6C"/>
    <w:rsid w:val="007121E8"/>
    <w:rsid w:val="00712361"/>
    <w:rsid w:val="00712675"/>
    <w:rsid w:val="00712772"/>
    <w:rsid w:val="00712D00"/>
    <w:rsid w:val="00713618"/>
    <w:rsid w:val="0071435D"/>
    <w:rsid w:val="00714FBB"/>
    <w:rsid w:val="00715208"/>
    <w:rsid w:val="00715818"/>
    <w:rsid w:val="007161B5"/>
    <w:rsid w:val="00716A8B"/>
    <w:rsid w:val="007171C9"/>
    <w:rsid w:val="0072015E"/>
    <w:rsid w:val="00720178"/>
    <w:rsid w:val="007203B7"/>
    <w:rsid w:val="00720460"/>
    <w:rsid w:val="00720739"/>
    <w:rsid w:val="007211EE"/>
    <w:rsid w:val="00721699"/>
    <w:rsid w:val="00722B52"/>
    <w:rsid w:val="00722BA3"/>
    <w:rsid w:val="00722DF2"/>
    <w:rsid w:val="0072393B"/>
    <w:rsid w:val="00724222"/>
    <w:rsid w:val="00724BF0"/>
    <w:rsid w:val="00724EF4"/>
    <w:rsid w:val="00725E94"/>
    <w:rsid w:val="00726555"/>
    <w:rsid w:val="007267BB"/>
    <w:rsid w:val="00726899"/>
    <w:rsid w:val="00726D70"/>
    <w:rsid w:val="0073001D"/>
    <w:rsid w:val="00730D57"/>
    <w:rsid w:val="007311AD"/>
    <w:rsid w:val="0073126F"/>
    <w:rsid w:val="007313F8"/>
    <w:rsid w:val="00731A8D"/>
    <w:rsid w:val="007320BA"/>
    <w:rsid w:val="007320D3"/>
    <w:rsid w:val="00732615"/>
    <w:rsid w:val="00732686"/>
    <w:rsid w:val="00733234"/>
    <w:rsid w:val="00733B3E"/>
    <w:rsid w:val="00733CB0"/>
    <w:rsid w:val="00733DB1"/>
    <w:rsid w:val="00734253"/>
    <w:rsid w:val="007347A1"/>
    <w:rsid w:val="007347F7"/>
    <w:rsid w:val="007348AA"/>
    <w:rsid w:val="00734F57"/>
    <w:rsid w:val="0073500E"/>
    <w:rsid w:val="0073512B"/>
    <w:rsid w:val="00736301"/>
    <w:rsid w:val="007367B7"/>
    <w:rsid w:val="0073684C"/>
    <w:rsid w:val="0073685B"/>
    <w:rsid w:val="0073693E"/>
    <w:rsid w:val="007375A8"/>
    <w:rsid w:val="007375F2"/>
    <w:rsid w:val="007377FE"/>
    <w:rsid w:val="00737FE8"/>
    <w:rsid w:val="00740332"/>
    <w:rsid w:val="007407DA"/>
    <w:rsid w:val="00740860"/>
    <w:rsid w:val="007408B7"/>
    <w:rsid w:val="00741346"/>
    <w:rsid w:val="007414E1"/>
    <w:rsid w:val="00741841"/>
    <w:rsid w:val="00742011"/>
    <w:rsid w:val="00742037"/>
    <w:rsid w:val="00743023"/>
    <w:rsid w:val="00743247"/>
    <w:rsid w:val="00743401"/>
    <w:rsid w:val="00743AEE"/>
    <w:rsid w:val="00743C4F"/>
    <w:rsid w:val="0074446E"/>
    <w:rsid w:val="007448F6"/>
    <w:rsid w:val="00744AC6"/>
    <w:rsid w:val="00745244"/>
    <w:rsid w:val="007452CA"/>
    <w:rsid w:val="007455DB"/>
    <w:rsid w:val="007457FB"/>
    <w:rsid w:val="007457FF"/>
    <w:rsid w:val="00745A7E"/>
    <w:rsid w:val="00746150"/>
    <w:rsid w:val="0074643C"/>
    <w:rsid w:val="007466E1"/>
    <w:rsid w:val="00746791"/>
    <w:rsid w:val="00746C06"/>
    <w:rsid w:val="007474A3"/>
    <w:rsid w:val="007476E9"/>
    <w:rsid w:val="007500F9"/>
    <w:rsid w:val="00750351"/>
    <w:rsid w:val="00750AE1"/>
    <w:rsid w:val="00750DAB"/>
    <w:rsid w:val="00750F69"/>
    <w:rsid w:val="0075109D"/>
    <w:rsid w:val="007511AF"/>
    <w:rsid w:val="00751306"/>
    <w:rsid w:val="00752105"/>
    <w:rsid w:val="00752272"/>
    <w:rsid w:val="0075261E"/>
    <w:rsid w:val="007526A8"/>
    <w:rsid w:val="00752B4F"/>
    <w:rsid w:val="00752F6A"/>
    <w:rsid w:val="007530C1"/>
    <w:rsid w:val="007533F3"/>
    <w:rsid w:val="0075378E"/>
    <w:rsid w:val="00753845"/>
    <w:rsid w:val="00753B0E"/>
    <w:rsid w:val="00753F67"/>
    <w:rsid w:val="00753F69"/>
    <w:rsid w:val="007542EB"/>
    <w:rsid w:val="00754E8D"/>
    <w:rsid w:val="0075509E"/>
    <w:rsid w:val="0075511F"/>
    <w:rsid w:val="00755381"/>
    <w:rsid w:val="00755909"/>
    <w:rsid w:val="00755B2D"/>
    <w:rsid w:val="007560F9"/>
    <w:rsid w:val="00756875"/>
    <w:rsid w:val="00756F08"/>
    <w:rsid w:val="00756F66"/>
    <w:rsid w:val="007574B3"/>
    <w:rsid w:val="00757B3C"/>
    <w:rsid w:val="00757C51"/>
    <w:rsid w:val="00757F9A"/>
    <w:rsid w:val="00760288"/>
    <w:rsid w:val="00760E8B"/>
    <w:rsid w:val="00760F9F"/>
    <w:rsid w:val="007612B8"/>
    <w:rsid w:val="00762120"/>
    <w:rsid w:val="00762209"/>
    <w:rsid w:val="007624E9"/>
    <w:rsid w:val="007628DA"/>
    <w:rsid w:val="00762D8C"/>
    <w:rsid w:val="00762F51"/>
    <w:rsid w:val="0076368B"/>
    <w:rsid w:val="00763CF5"/>
    <w:rsid w:val="00764759"/>
    <w:rsid w:val="007651DE"/>
    <w:rsid w:val="007663A7"/>
    <w:rsid w:val="007666DE"/>
    <w:rsid w:val="0076689D"/>
    <w:rsid w:val="00766FCD"/>
    <w:rsid w:val="00767527"/>
    <w:rsid w:val="0076770C"/>
    <w:rsid w:val="00767783"/>
    <w:rsid w:val="007707ED"/>
    <w:rsid w:val="00770891"/>
    <w:rsid w:val="00770AB8"/>
    <w:rsid w:val="00770BB5"/>
    <w:rsid w:val="00770EE1"/>
    <w:rsid w:val="0077132D"/>
    <w:rsid w:val="00771498"/>
    <w:rsid w:val="007719B5"/>
    <w:rsid w:val="007725BE"/>
    <w:rsid w:val="00772E59"/>
    <w:rsid w:val="007732EE"/>
    <w:rsid w:val="00773306"/>
    <w:rsid w:val="007733B3"/>
    <w:rsid w:val="00774420"/>
    <w:rsid w:val="007746C2"/>
    <w:rsid w:val="007751D6"/>
    <w:rsid w:val="00775976"/>
    <w:rsid w:val="007759FA"/>
    <w:rsid w:val="00775D3A"/>
    <w:rsid w:val="00775F60"/>
    <w:rsid w:val="007761EA"/>
    <w:rsid w:val="007772A4"/>
    <w:rsid w:val="007775F9"/>
    <w:rsid w:val="007777A8"/>
    <w:rsid w:val="00777C4D"/>
    <w:rsid w:val="0078063A"/>
    <w:rsid w:val="007807EE"/>
    <w:rsid w:val="00780864"/>
    <w:rsid w:val="00780956"/>
    <w:rsid w:val="00780F0C"/>
    <w:rsid w:val="007810AD"/>
    <w:rsid w:val="007813E2"/>
    <w:rsid w:val="0078229E"/>
    <w:rsid w:val="0078399D"/>
    <w:rsid w:val="00784576"/>
    <w:rsid w:val="00784787"/>
    <w:rsid w:val="007847E4"/>
    <w:rsid w:val="00784AE0"/>
    <w:rsid w:val="007856DC"/>
    <w:rsid w:val="0078589F"/>
    <w:rsid w:val="00785AFA"/>
    <w:rsid w:val="00785AFE"/>
    <w:rsid w:val="00785FBB"/>
    <w:rsid w:val="0078605E"/>
    <w:rsid w:val="00786EC5"/>
    <w:rsid w:val="00786FC2"/>
    <w:rsid w:val="00786FCF"/>
    <w:rsid w:val="00787493"/>
    <w:rsid w:val="00790147"/>
    <w:rsid w:val="0079048F"/>
    <w:rsid w:val="007906D4"/>
    <w:rsid w:val="00790ACB"/>
    <w:rsid w:val="00790B4A"/>
    <w:rsid w:val="00790DA2"/>
    <w:rsid w:val="0079111A"/>
    <w:rsid w:val="007914DC"/>
    <w:rsid w:val="007917A9"/>
    <w:rsid w:val="00791921"/>
    <w:rsid w:val="00791E02"/>
    <w:rsid w:val="007923F2"/>
    <w:rsid w:val="007924D8"/>
    <w:rsid w:val="007927AA"/>
    <w:rsid w:val="00792C23"/>
    <w:rsid w:val="007931C9"/>
    <w:rsid w:val="00793F1D"/>
    <w:rsid w:val="00794887"/>
    <w:rsid w:val="00795211"/>
    <w:rsid w:val="00795896"/>
    <w:rsid w:val="007969B8"/>
    <w:rsid w:val="00796A5E"/>
    <w:rsid w:val="00796B8E"/>
    <w:rsid w:val="00796CAA"/>
    <w:rsid w:val="00797378"/>
    <w:rsid w:val="007974D8"/>
    <w:rsid w:val="0079796B"/>
    <w:rsid w:val="007A073B"/>
    <w:rsid w:val="007A0894"/>
    <w:rsid w:val="007A0A07"/>
    <w:rsid w:val="007A0B5B"/>
    <w:rsid w:val="007A166E"/>
    <w:rsid w:val="007A1761"/>
    <w:rsid w:val="007A19A6"/>
    <w:rsid w:val="007A2A93"/>
    <w:rsid w:val="007A4120"/>
    <w:rsid w:val="007A438A"/>
    <w:rsid w:val="007A44C3"/>
    <w:rsid w:val="007A4557"/>
    <w:rsid w:val="007A4CE9"/>
    <w:rsid w:val="007A5BE1"/>
    <w:rsid w:val="007A5D3E"/>
    <w:rsid w:val="007A6B72"/>
    <w:rsid w:val="007A74D1"/>
    <w:rsid w:val="007A758E"/>
    <w:rsid w:val="007A7A1C"/>
    <w:rsid w:val="007B0179"/>
    <w:rsid w:val="007B08FD"/>
    <w:rsid w:val="007B0ACD"/>
    <w:rsid w:val="007B247D"/>
    <w:rsid w:val="007B31A0"/>
    <w:rsid w:val="007B31A5"/>
    <w:rsid w:val="007B3BF7"/>
    <w:rsid w:val="007B3F9D"/>
    <w:rsid w:val="007B45A7"/>
    <w:rsid w:val="007B4B52"/>
    <w:rsid w:val="007B5A68"/>
    <w:rsid w:val="007B5F4A"/>
    <w:rsid w:val="007B61E2"/>
    <w:rsid w:val="007B6A64"/>
    <w:rsid w:val="007B7197"/>
    <w:rsid w:val="007B7236"/>
    <w:rsid w:val="007B7830"/>
    <w:rsid w:val="007B7ABE"/>
    <w:rsid w:val="007B7B8F"/>
    <w:rsid w:val="007C07D7"/>
    <w:rsid w:val="007C0DF7"/>
    <w:rsid w:val="007C1DC1"/>
    <w:rsid w:val="007C25CD"/>
    <w:rsid w:val="007C29CF"/>
    <w:rsid w:val="007C2A4B"/>
    <w:rsid w:val="007C2AB8"/>
    <w:rsid w:val="007C2F1B"/>
    <w:rsid w:val="007C2F38"/>
    <w:rsid w:val="007C334A"/>
    <w:rsid w:val="007C35AF"/>
    <w:rsid w:val="007C40B0"/>
    <w:rsid w:val="007C4C2A"/>
    <w:rsid w:val="007C4FCE"/>
    <w:rsid w:val="007C6698"/>
    <w:rsid w:val="007C6C69"/>
    <w:rsid w:val="007C709F"/>
    <w:rsid w:val="007C71FF"/>
    <w:rsid w:val="007C77E2"/>
    <w:rsid w:val="007D012F"/>
    <w:rsid w:val="007D015B"/>
    <w:rsid w:val="007D03C2"/>
    <w:rsid w:val="007D05DD"/>
    <w:rsid w:val="007D06E6"/>
    <w:rsid w:val="007D0D8F"/>
    <w:rsid w:val="007D10F9"/>
    <w:rsid w:val="007D118D"/>
    <w:rsid w:val="007D1722"/>
    <w:rsid w:val="007D1A23"/>
    <w:rsid w:val="007D1E9C"/>
    <w:rsid w:val="007D2372"/>
    <w:rsid w:val="007D2463"/>
    <w:rsid w:val="007D24E6"/>
    <w:rsid w:val="007D276E"/>
    <w:rsid w:val="007D2C01"/>
    <w:rsid w:val="007D2D10"/>
    <w:rsid w:val="007D313C"/>
    <w:rsid w:val="007D320F"/>
    <w:rsid w:val="007D440B"/>
    <w:rsid w:val="007D457B"/>
    <w:rsid w:val="007D4B04"/>
    <w:rsid w:val="007D4CE8"/>
    <w:rsid w:val="007D5EB9"/>
    <w:rsid w:val="007D6581"/>
    <w:rsid w:val="007D65BE"/>
    <w:rsid w:val="007D678D"/>
    <w:rsid w:val="007D7338"/>
    <w:rsid w:val="007D73D7"/>
    <w:rsid w:val="007D7733"/>
    <w:rsid w:val="007D7761"/>
    <w:rsid w:val="007D77B1"/>
    <w:rsid w:val="007D7AE6"/>
    <w:rsid w:val="007E0145"/>
    <w:rsid w:val="007E0463"/>
    <w:rsid w:val="007E0A46"/>
    <w:rsid w:val="007E0BC9"/>
    <w:rsid w:val="007E0EB2"/>
    <w:rsid w:val="007E1159"/>
    <w:rsid w:val="007E1442"/>
    <w:rsid w:val="007E16DB"/>
    <w:rsid w:val="007E1C41"/>
    <w:rsid w:val="007E1C9E"/>
    <w:rsid w:val="007E2B2A"/>
    <w:rsid w:val="007E3258"/>
    <w:rsid w:val="007E34B5"/>
    <w:rsid w:val="007E3816"/>
    <w:rsid w:val="007E3E3A"/>
    <w:rsid w:val="007E40BF"/>
    <w:rsid w:val="007E411A"/>
    <w:rsid w:val="007E4DC3"/>
    <w:rsid w:val="007E5234"/>
    <w:rsid w:val="007E531D"/>
    <w:rsid w:val="007E5698"/>
    <w:rsid w:val="007E591A"/>
    <w:rsid w:val="007E61D3"/>
    <w:rsid w:val="007E668F"/>
    <w:rsid w:val="007E7462"/>
    <w:rsid w:val="007E7F81"/>
    <w:rsid w:val="007F0196"/>
    <w:rsid w:val="007F11C8"/>
    <w:rsid w:val="007F135E"/>
    <w:rsid w:val="007F1E3A"/>
    <w:rsid w:val="007F218A"/>
    <w:rsid w:val="007F21E0"/>
    <w:rsid w:val="007F22C1"/>
    <w:rsid w:val="007F3A2C"/>
    <w:rsid w:val="007F4813"/>
    <w:rsid w:val="007F49C7"/>
    <w:rsid w:val="007F4D9D"/>
    <w:rsid w:val="007F529B"/>
    <w:rsid w:val="007F5353"/>
    <w:rsid w:val="007F5451"/>
    <w:rsid w:val="007F5DDB"/>
    <w:rsid w:val="007F5EB6"/>
    <w:rsid w:val="007F6512"/>
    <w:rsid w:val="007F70F7"/>
    <w:rsid w:val="007F7775"/>
    <w:rsid w:val="007F7C6C"/>
    <w:rsid w:val="007F7D99"/>
    <w:rsid w:val="00800103"/>
    <w:rsid w:val="00800250"/>
    <w:rsid w:val="0080051B"/>
    <w:rsid w:val="0080089F"/>
    <w:rsid w:val="008008B4"/>
    <w:rsid w:val="00800BE0"/>
    <w:rsid w:val="00800FC4"/>
    <w:rsid w:val="00801749"/>
    <w:rsid w:val="0080219D"/>
    <w:rsid w:val="008023B8"/>
    <w:rsid w:val="00802903"/>
    <w:rsid w:val="00803416"/>
    <w:rsid w:val="00804809"/>
    <w:rsid w:val="008048F1"/>
    <w:rsid w:val="00804F8F"/>
    <w:rsid w:val="00805085"/>
    <w:rsid w:val="008060C7"/>
    <w:rsid w:val="00807424"/>
    <w:rsid w:val="008102E3"/>
    <w:rsid w:val="008104FC"/>
    <w:rsid w:val="00810874"/>
    <w:rsid w:val="00811642"/>
    <w:rsid w:val="00811667"/>
    <w:rsid w:val="00812751"/>
    <w:rsid w:val="00812B5B"/>
    <w:rsid w:val="00813487"/>
    <w:rsid w:val="00813739"/>
    <w:rsid w:val="00814B21"/>
    <w:rsid w:val="00814E28"/>
    <w:rsid w:val="00814F8F"/>
    <w:rsid w:val="00814FA8"/>
    <w:rsid w:val="008153EC"/>
    <w:rsid w:val="008158F1"/>
    <w:rsid w:val="00815AFE"/>
    <w:rsid w:val="00815F70"/>
    <w:rsid w:val="00817109"/>
    <w:rsid w:val="008179AA"/>
    <w:rsid w:val="00820132"/>
    <w:rsid w:val="008206B3"/>
    <w:rsid w:val="008207B9"/>
    <w:rsid w:val="00820D7E"/>
    <w:rsid w:val="00821539"/>
    <w:rsid w:val="00821565"/>
    <w:rsid w:val="008215D2"/>
    <w:rsid w:val="008218C1"/>
    <w:rsid w:val="00821C47"/>
    <w:rsid w:val="00821CEA"/>
    <w:rsid w:val="008223AE"/>
    <w:rsid w:val="00822439"/>
    <w:rsid w:val="0082282F"/>
    <w:rsid w:val="00822BA4"/>
    <w:rsid w:val="00822EA8"/>
    <w:rsid w:val="00822F16"/>
    <w:rsid w:val="008233B0"/>
    <w:rsid w:val="008240A7"/>
    <w:rsid w:val="0082451D"/>
    <w:rsid w:val="0082462B"/>
    <w:rsid w:val="00824A77"/>
    <w:rsid w:val="00824E58"/>
    <w:rsid w:val="008250F3"/>
    <w:rsid w:val="0082599C"/>
    <w:rsid w:val="008266FD"/>
    <w:rsid w:val="00826C3F"/>
    <w:rsid w:val="00826EDA"/>
    <w:rsid w:val="00827B65"/>
    <w:rsid w:val="0083034C"/>
    <w:rsid w:val="00830BE4"/>
    <w:rsid w:val="00830CC7"/>
    <w:rsid w:val="00830F65"/>
    <w:rsid w:val="00831237"/>
    <w:rsid w:val="008314BC"/>
    <w:rsid w:val="008319A5"/>
    <w:rsid w:val="00831B09"/>
    <w:rsid w:val="00832285"/>
    <w:rsid w:val="00832B8E"/>
    <w:rsid w:val="00832FC0"/>
    <w:rsid w:val="00833C5B"/>
    <w:rsid w:val="00833D05"/>
    <w:rsid w:val="008345C0"/>
    <w:rsid w:val="00834BE5"/>
    <w:rsid w:val="008353F2"/>
    <w:rsid w:val="0083557F"/>
    <w:rsid w:val="00835E93"/>
    <w:rsid w:val="00836043"/>
    <w:rsid w:val="00836428"/>
    <w:rsid w:val="00836880"/>
    <w:rsid w:val="008370BE"/>
    <w:rsid w:val="0083751B"/>
    <w:rsid w:val="0083762A"/>
    <w:rsid w:val="00837838"/>
    <w:rsid w:val="00837A6A"/>
    <w:rsid w:val="00837DBB"/>
    <w:rsid w:val="0084126B"/>
    <w:rsid w:val="0084128B"/>
    <w:rsid w:val="00841730"/>
    <w:rsid w:val="008417DF"/>
    <w:rsid w:val="008418E7"/>
    <w:rsid w:val="00841B63"/>
    <w:rsid w:val="00841EC3"/>
    <w:rsid w:val="0084203C"/>
    <w:rsid w:val="00842C78"/>
    <w:rsid w:val="00844117"/>
    <w:rsid w:val="00844201"/>
    <w:rsid w:val="00844971"/>
    <w:rsid w:val="00844BEA"/>
    <w:rsid w:val="00844E63"/>
    <w:rsid w:val="008452E8"/>
    <w:rsid w:val="008454C3"/>
    <w:rsid w:val="0084621C"/>
    <w:rsid w:val="00846780"/>
    <w:rsid w:val="00846B0C"/>
    <w:rsid w:val="00846B4B"/>
    <w:rsid w:val="008471A9"/>
    <w:rsid w:val="00847823"/>
    <w:rsid w:val="00847973"/>
    <w:rsid w:val="0085032C"/>
    <w:rsid w:val="00850DD3"/>
    <w:rsid w:val="00851055"/>
    <w:rsid w:val="008511D5"/>
    <w:rsid w:val="008516F9"/>
    <w:rsid w:val="00851721"/>
    <w:rsid w:val="00851C66"/>
    <w:rsid w:val="00851F45"/>
    <w:rsid w:val="00852674"/>
    <w:rsid w:val="00852FBB"/>
    <w:rsid w:val="008533FE"/>
    <w:rsid w:val="00853D47"/>
    <w:rsid w:val="00853E3B"/>
    <w:rsid w:val="008542A4"/>
    <w:rsid w:val="00854406"/>
    <w:rsid w:val="00854BAD"/>
    <w:rsid w:val="00854BFA"/>
    <w:rsid w:val="00855408"/>
    <w:rsid w:val="008557C9"/>
    <w:rsid w:val="00855833"/>
    <w:rsid w:val="00855D7A"/>
    <w:rsid w:val="00856274"/>
    <w:rsid w:val="0085659B"/>
    <w:rsid w:val="00856A7C"/>
    <w:rsid w:val="008600B5"/>
    <w:rsid w:val="00860395"/>
    <w:rsid w:val="008606E6"/>
    <w:rsid w:val="00861CA9"/>
    <w:rsid w:val="00861D2A"/>
    <w:rsid w:val="00861FE4"/>
    <w:rsid w:val="00862686"/>
    <w:rsid w:val="008627A9"/>
    <w:rsid w:val="00862934"/>
    <w:rsid w:val="00862A73"/>
    <w:rsid w:val="00862C28"/>
    <w:rsid w:val="0086347E"/>
    <w:rsid w:val="0086352B"/>
    <w:rsid w:val="008637E3"/>
    <w:rsid w:val="00863D32"/>
    <w:rsid w:val="00864049"/>
    <w:rsid w:val="008648DA"/>
    <w:rsid w:val="00864EFA"/>
    <w:rsid w:val="00865215"/>
    <w:rsid w:val="00865493"/>
    <w:rsid w:val="00865D16"/>
    <w:rsid w:val="008661ED"/>
    <w:rsid w:val="00866610"/>
    <w:rsid w:val="00867112"/>
    <w:rsid w:val="0086721C"/>
    <w:rsid w:val="00867493"/>
    <w:rsid w:val="008674B3"/>
    <w:rsid w:val="008701AD"/>
    <w:rsid w:val="00870E71"/>
    <w:rsid w:val="008713DC"/>
    <w:rsid w:val="00871808"/>
    <w:rsid w:val="00871CCA"/>
    <w:rsid w:val="008721E7"/>
    <w:rsid w:val="0087253A"/>
    <w:rsid w:val="00872AEA"/>
    <w:rsid w:val="008732D8"/>
    <w:rsid w:val="008735FC"/>
    <w:rsid w:val="00874B20"/>
    <w:rsid w:val="00874BCE"/>
    <w:rsid w:val="0087740A"/>
    <w:rsid w:val="008801D7"/>
    <w:rsid w:val="00880ED0"/>
    <w:rsid w:val="00881185"/>
    <w:rsid w:val="008811C9"/>
    <w:rsid w:val="008811EE"/>
    <w:rsid w:val="008816BF"/>
    <w:rsid w:val="00881829"/>
    <w:rsid w:val="008818CD"/>
    <w:rsid w:val="00881902"/>
    <w:rsid w:val="00881C38"/>
    <w:rsid w:val="00882115"/>
    <w:rsid w:val="00882F00"/>
    <w:rsid w:val="00882FBF"/>
    <w:rsid w:val="008830CA"/>
    <w:rsid w:val="008841E0"/>
    <w:rsid w:val="008845AD"/>
    <w:rsid w:val="00884D18"/>
    <w:rsid w:val="0088537C"/>
    <w:rsid w:val="00885C69"/>
    <w:rsid w:val="00886B36"/>
    <w:rsid w:val="0088737F"/>
    <w:rsid w:val="00887553"/>
    <w:rsid w:val="00887574"/>
    <w:rsid w:val="008877FF"/>
    <w:rsid w:val="00887F64"/>
    <w:rsid w:val="0089005C"/>
    <w:rsid w:val="00891F8E"/>
    <w:rsid w:val="008929B8"/>
    <w:rsid w:val="008932DF"/>
    <w:rsid w:val="0089359A"/>
    <w:rsid w:val="00893600"/>
    <w:rsid w:val="00893D37"/>
    <w:rsid w:val="00893EC4"/>
    <w:rsid w:val="00894272"/>
    <w:rsid w:val="00894498"/>
    <w:rsid w:val="008945A9"/>
    <w:rsid w:val="00894757"/>
    <w:rsid w:val="00895D03"/>
    <w:rsid w:val="00895EB1"/>
    <w:rsid w:val="0089621A"/>
    <w:rsid w:val="00896324"/>
    <w:rsid w:val="008968C1"/>
    <w:rsid w:val="00896C4D"/>
    <w:rsid w:val="00897535"/>
    <w:rsid w:val="008A049D"/>
    <w:rsid w:val="008A0686"/>
    <w:rsid w:val="008A07BD"/>
    <w:rsid w:val="008A0D4F"/>
    <w:rsid w:val="008A134C"/>
    <w:rsid w:val="008A1CFB"/>
    <w:rsid w:val="008A26E0"/>
    <w:rsid w:val="008A2C94"/>
    <w:rsid w:val="008A2CF2"/>
    <w:rsid w:val="008A317E"/>
    <w:rsid w:val="008A32BF"/>
    <w:rsid w:val="008A362D"/>
    <w:rsid w:val="008A3DC9"/>
    <w:rsid w:val="008A3DD4"/>
    <w:rsid w:val="008A472E"/>
    <w:rsid w:val="008A4E23"/>
    <w:rsid w:val="008A4E39"/>
    <w:rsid w:val="008A5476"/>
    <w:rsid w:val="008A550C"/>
    <w:rsid w:val="008A5ADF"/>
    <w:rsid w:val="008A5BE1"/>
    <w:rsid w:val="008A5DD3"/>
    <w:rsid w:val="008A5DDA"/>
    <w:rsid w:val="008A604C"/>
    <w:rsid w:val="008A62D4"/>
    <w:rsid w:val="008A6525"/>
    <w:rsid w:val="008A66E5"/>
    <w:rsid w:val="008A69BE"/>
    <w:rsid w:val="008A6A77"/>
    <w:rsid w:val="008A74E1"/>
    <w:rsid w:val="008A77A6"/>
    <w:rsid w:val="008A7A60"/>
    <w:rsid w:val="008A7BBA"/>
    <w:rsid w:val="008A7F78"/>
    <w:rsid w:val="008B008A"/>
    <w:rsid w:val="008B0DF7"/>
    <w:rsid w:val="008B1052"/>
    <w:rsid w:val="008B1D3A"/>
    <w:rsid w:val="008B1E9F"/>
    <w:rsid w:val="008B1F01"/>
    <w:rsid w:val="008B2033"/>
    <w:rsid w:val="008B253A"/>
    <w:rsid w:val="008B259F"/>
    <w:rsid w:val="008B2C0C"/>
    <w:rsid w:val="008B2E1C"/>
    <w:rsid w:val="008B34D2"/>
    <w:rsid w:val="008B3537"/>
    <w:rsid w:val="008B38AB"/>
    <w:rsid w:val="008B3B8B"/>
    <w:rsid w:val="008B3C5B"/>
    <w:rsid w:val="008B41F4"/>
    <w:rsid w:val="008B46F4"/>
    <w:rsid w:val="008B4D1C"/>
    <w:rsid w:val="008B5184"/>
    <w:rsid w:val="008B55E0"/>
    <w:rsid w:val="008B57E9"/>
    <w:rsid w:val="008B5BA7"/>
    <w:rsid w:val="008B5BCA"/>
    <w:rsid w:val="008B5BF9"/>
    <w:rsid w:val="008B5CC7"/>
    <w:rsid w:val="008B66DA"/>
    <w:rsid w:val="008B6831"/>
    <w:rsid w:val="008B699B"/>
    <w:rsid w:val="008B6B79"/>
    <w:rsid w:val="008B6DAA"/>
    <w:rsid w:val="008B714F"/>
    <w:rsid w:val="008B72CB"/>
    <w:rsid w:val="008B7419"/>
    <w:rsid w:val="008B765E"/>
    <w:rsid w:val="008C0583"/>
    <w:rsid w:val="008C0AE1"/>
    <w:rsid w:val="008C205E"/>
    <w:rsid w:val="008C22D2"/>
    <w:rsid w:val="008C230A"/>
    <w:rsid w:val="008C2A2A"/>
    <w:rsid w:val="008C2D3B"/>
    <w:rsid w:val="008C3199"/>
    <w:rsid w:val="008C3D9D"/>
    <w:rsid w:val="008C43FB"/>
    <w:rsid w:val="008C4523"/>
    <w:rsid w:val="008C4783"/>
    <w:rsid w:val="008C48D2"/>
    <w:rsid w:val="008C5013"/>
    <w:rsid w:val="008C5C41"/>
    <w:rsid w:val="008C61A1"/>
    <w:rsid w:val="008C6280"/>
    <w:rsid w:val="008C68D8"/>
    <w:rsid w:val="008C6E0C"/>
    <w:rsid w:val="008C6ED9"/>
    <w:rsid w:val="008C6FD3"/>
    <w:rsid w:val="008C70BE"/>
    <w:rsid w:val="008C7343"/>
    <w:rsid w:val="008C7ACB"/>
    <w:rsid w:val="008D019F"/>
    <w:rsid w:val="008D07C7"/>
    <w:rsid w:val="008D1018"/>
    <w:rsid w:val="008D1045"/>
    <w:rsid w:val="008D1260"/>
    <w:rsid w:val="008D1B27"/>
    <w:rsid w:val="008D32AF"/>
    <w:rsid w:val="008D37D7"/>
    <w:rsid w:val="008D3B04"/>
    <w:rsid w:val="008D3BFA"/>
    <w:rsid w:val="008D3FAC"/>
    <w:rsid w:val="008D43E2"/>
    <w:rsid w:val="008D465F"/>
    <w:rsid w:val="008D51E0"/>
    <w:rsid w:val="008D5C40"/>
    <w:rsid w:val="008D6234"/>
    <w:rsid w:val="008D6E38"/>
    <w:rsid w:val="008D7043"/>
    <w:rsid w:val="008D7E01"/>
    <w:rsid w:val="008D7FDA"/>
    <w:rsid w:val="008E01A8"/>
    <w:rsid w:val="008E0C9C"/>
    <w:rsid w:val="008E0FC8"/>
    <w:rsid w:val="008E13CD"/>
    <w:rsid w:val="008E19E0"/>
    <w:rsid w:val="008E1E7A"/>
    <w:rsid w:val="008E2D21"/>
    <w:rsid w:val="008E2E51"/>
    <w:rsid w:val="008E2F81"/>
    <w:rsid w:val="008E36E0"/>
    <w:rsid w:val="008E4688"/>
    <w:rsid w:val="008E5170"/>
    <w:rsid w:val="008E5483"/>
    <w:rsid w:val="008E5FFC"/>
    <w:rsid w:val="008E6DD3"/>
    <w:rsid w:val="008E7F88"/>
    <w:rsid w:val="008F0340"/>
    <w:rsid w:val="008F11D7"/>
    <w:rsid w:val="008F1E1C"/>
    <w:rsid w:val="008F2CDC"/>
    <w:rsid w:val="008F2F1F"/>
    <w:rsid w:val="008F3119"/>
    <w:rsid w:val="008F3638"/>
    <w:rsid w:val="008F38B0"/>
    <w:rsid w:val="008F3A77"/>
    <w:rsid w:val="008F3B2E"/>
    <w:rsid w:val="008F3D87"/>
    <w:rsid w:val="008F40FD"/>
    <w:rsid w:val="008F41E4"/>
    <w:rsid w:val="008F4760"/>
    <w:rsid w:val="008F4C5F"/>
    <w:rsid w:val="008F4F6A"/>
    <w:rsid w:val="008F5161"/>
    <w:rsid w:val="008F5828"/>
    <w:rsid w:val="008F62DF"/>
    <w:rsid w:val="008F63AD"/>
    <w:rsid w:val="008F664E"/>
    <w:rsid w:val="008F6C09"/>
    <w:rsid w:val="008F6CC5"/>
    <w:rsid w:val="008F6D02"/>
    <w:rsid w:val="008F6E4F"/>
    <w:rsid w:val="008F6F34"/>
    <w:rsid w:val="008F7315"/>
    <w:rsid w:val="008F73AA"/>
    <w:rsid w:val="008F780C"/>
    <w:rsid w:val="008F78BA"/>
    <w:rsid w:val="008F7A76"/>
    <w:rsid w:val="008F7B74"/>
    <w:rsid w:val="009003CE"/>
    <w:rsid w:val="00900E0B"/>
    <w:rsid w:val="00900FD9"/>
    <w:rsid w:val="00901075"/>
    <w:rsid w:val="009015CC"/>
    <w:rsid w:val="00901A1F"/>
    <w:rsid w:val="00901B8E"/>
    <w:rsid w:val="00901E2B"/>
    <w:rsid w:val="0090271A"/>
    <w:rsid w:val="0090294E"/>
    <w:rsid w:val="00902A24"/>
    <w:rsid w:val="00902A95"/>
    <w:rsid w:val="00902E0E"/>
    <w:rsid w:val="009035FF"/>
    <w:rsid w:val="00903A86"/>
    <w:rsid w:val="00903BB0"/>
    <w:rsid w:val="00903CB0"/>
    <w:rsid w:val="00904F0E"/>
    <w:rsid w:val="00905210"/>
    <w:rsid w:val="00905231"/>
    <w:rsid w:val="0090543F"/>
    <w:rsid w:val="00905ED9"/>
    <w:rsid w:val="00906782"/>
    <w:rsid w:val="00906E81"/>
    <w:rsid w:val="00907532"/>
    <w:rsid w:val="00907725"/>
    <w:rsid w:val="009102C0"/>
    <w:rsid w:val="00910976"/>
    <w:rsid w:val="00910D24"/>
    <w:rsid w:val="009116B1"/>
    <w:rsid w:val="0091206B"/>
    <w:rsid w:val="00912566"/>
    <w:rsid w:val="00913B71"/>
    <w:rsid w:val="00913E9F"/>
    <w:rsid w:val="0091409E"/>
    <w:rsid w:val="00914A64"/>
    <w:rsid w:val="009157EB"/>
    <w:rsid w:val="00916955"/>
    <w:rsid w:val="00917DB4"/>
    <w:rsid w:val="009202F9"/>
    <w:rsid w:val="009207F7"/>
    <w:rsid w:val="00921024"/>
    <w:rsid w:val="0092154A"/>
    <w:rsid w:val="00921D85"/>
    <w:rsid w:val="00921D8E"/>
    <w:rsid w:val="00921E16"/>
    <w:rsid w:val="00921F57"/>
    <w:rsid w:val="00922259"/>
    <w:rsid w:val="009226B6"/>
    <w:rsid w:val="00922B58"/>
    <w:rsid w:val="00923698"/>
    <w:rsid w:val="009237CE"/>
    <w:rsid w:val="00923804"/>
    <w:rsid w:val="00923D83"/>
    <w:rsid w:val="009244E6"/>
    <w:rsid w:val="009245E9"/>
    <w:rsid w:val="00925041"/>
    <w:rsid w:val="009252D6"/>
    <w:rsid w:val="009252ED"/>
    <w:rsid w:val="009254F0"/>
    <w:rsid w:val="00926566"/>
    <w:rsid w:val="00926E28"/>
    <w:rsid w:val="0092735F"/>
    <w:rsid w:val="00927709"/>
    <w:rsid w:val="00927B9D"/>
    <w:rsid w:val="00930282"/>
    <w:rsid w:val="00930564"/>
    <w:rsid w:val="00930669"/>
    <w:rsid w:val="009311A4"/>
    <w:rsid w:val="00931285"/>
    <w:rsid w:val="0093175B"/>
    <w:rsid w:val="009317CD"/>
    <w:rsid w:val="00931BCA"/>
    <w:rsid w:val="00931C05"/>
    <w:rsid w:val="00931FA2"/>
    <w:rsid w:val="009323F0"/>
    <w:rsid w:val="009333C6"/>
    <w:rsid w:val="0093385E"/>
    <w:rsid w:val="009338BA"/>
    <w:rsid w:val="0093406E"/>
    <w:rsid w:val="0093430D"/>
    <w:rsid w:val="00934A20"/>
    <w:rsid w:val="00935CF3"/>
    <w:rsid w:val="00935D81"/>
    <w:rsid w:val="00935EE2"/>
    <w:rsid w:val="009366B7"/>
    <w:rsid w:val="0093678C"/>
    <w:rsid w:val="00936D9F"/>
    <w:rsid w:val="009370F0"/>
    <w:rsid w:val="009374E7"/>
    <w:rsid w:val="009376B7"/>
    <w:rsid w:val="00937CF9"/>
    <w:rsid w:val="00937D49"/>
    <w:rsid w:val="00937EA8"/>
    <w:rsid w:val="00940078"/>
    <w:rsid w:val="009405BB"/>
    <w:rsid w:val="009413D4"/>
    <w:rsid w:val="009418AF"/>
    <w:rsid w:val="00941C05"/>
    <w:rsid w:val="009420A5"/>
    <w:rsid w:val="0094218A"/>
    <w:rsid w:val="00942753"/>
    <w:rsid w:val="009436BE"/>
    <w:rsid w:val="00943CD8"/>
    <w:rsid w:val="00943E32"/>
    <w:rsid w:val="00943FC5"/>
    <w:rsid w:val="00944BA8"/>
    <w:rsid w:val="00944C53"/>
    <w:rsid w:val="00945D30"/>
    <w:rsid w:val="00945E73"/>
    <w:rsid w:val="0094629C"/>
    <w:rsid w:val="00946AC2"/>
    <w:rsid w:val="00946B56"/>
    <w:rsid w:val="00946F3E"/>
    <w:rsid w:val="00947254"/>
    <w:rsid w:val="009472F3"/>
    <w:rsid w:val="00947660"/>
    <w:rsid w:val="00947B78"/>
    <w:rsid w:val="00947CDD"/>
    <w:rsid w:val="009502E9"/>
    <w:rsid w:val="00950786"/>
    <w:rsid w:val="00950AE0"/>
    <w:rsid w:val="00951052"/>
    <w:rsid w:val="009511A7"/>
    <w:rsid w:val="0095153B"/>
    <w:rsid w:val="00952746"/>
    <w:rsid w:val="00953512"/>
    <w:rsid w:val="00954CC5"/>
    <w:rsid w:val="00955306"/>
    <w:rsid w:val="00957116"/>
    <w:rsid w:val="009573F5"/>
    <w:rsid w:val="009574A7"/>
    <w:rsid w:val="009600C5"/>
    <w:rsid w:val="00960149"/>
    <w:rsid w:val="009607FB"/>
    <w:rsid w:val="00960D96"/>
    <w:rsid w:val="00960E02"/>
    <w:rsid w:val="00960FE2"/>
    <w:rsid w:val="009620A7"/>
    <w:rsid w:val="009621E8"/>
    <w:rsid w:val="00962CF0"/>
    <w:rsid w:val="00963009"/>
    <w:rsid w:val="009642A7"/>
    <w:rsid w:val="009642D1"/>
    <w:rsid w:val="009644F2"/>
    <w:rsid w:val="00964615"/>
    <w:rsid w:val="00964616"/>
    <w:rsid w:val="0096482E"/>
    <w:rsid w:val="00964954"/>
    <w:rsid w:val="00964C2A"/>
    <w:rsid w:val="00964D75"/>
    <w:rsid w:val="00966223"/>
    <w:rsid w:val="0096630E"/>
    <w:rsid w:val="00966EFA"/>
    <w:rsid w:val="0096702F"/>
    <w:rsid w:val="0096714A"/>
    <w:rsid w:val="009673C7"/>
    <w:rsid w:val="00967A5C"/>
    <w:rsid w:val="00970070"/>
    <w:rsid w:val="00970195"/>
    <w:rsid w:val="009704E0"/>
    <w:rsid w:val="009706B0"/>
    <w:rsid w:val="009708A2"/>
    <w:rsid w:val="00970DC7"/>
    <w:rsid w:val="00970E51"/>
    <w:rsid w:val="00970EDA"/>
    <w:rsid w:val="00971102"/>
    <w:rsid w:val="0097166B"/>
    <w:rsid w:val="00972053"/>
    <w:rsid w:val="009729EB"/>
    <w:rsid w:val="00972A34"/>
    <w:rsid w:val="00972CA0"/>
    <w:rsid w:val="00972D65"/>
    <w:rsid w:val="00973762"/>
    <w:rsid w:val="009741F4"/>
    <w:rsid w:val="00974B88"/>
    <w:rsid w:val="00974DA4"/>
    <w:rsid w:val="009750C3"/>
    <w:rsid w:val="0097534F"/>
    <w:rsid w:val="00975D76"/>
    <w:rsid w:val="00975FE5"/>
    <w:rsid w:val="009761E8"/>
    <w:rsid w:val="0097651A"/>
    <w:rsid w:val="00976AD8"/>
    <w:rsid w:val="009770C4"/>
    <w:rsid w:val="00977C30"/>
    <w:rsid w:val="00980979"/>
    <w:rsid w:val="00981477"/>
    <w:rsid w:val="009826F7"/>
    <w:rsid w:val="00982CCF"/>
    <w:rsid w:val="00983052"/>
    <w:rsid w:val="0098354B"/>
    <w:rsid w:val="00983773"/>
    <w:rsid w:val="00983F37"/>
    <w:rsid w:val="0098486D"/>
    <w:rsid w:val="00984A58"/>
    <w:rsid w:val="00984E6C"/>
    <w:rsid w:val="00984EC8"/>
    <w:rsid w:val="009851C9"/>
    <w:rsid w:val="00985877"/>
    <w:rsid w:val="00986166"/>
    <w:rsid w:val="009863A7"/>
    <w:rsid w:val="00986602"/>
    <w:rsid w:val="00986792"/>
    <w:rsid w:val="00986D1B"/>
    <w:rsid w:val="00986F48"/>
    <w:rsid w:val="00987BEA"/>
    <w:rsid w:val="00987C79"/>
    <w:rsid w:val="009908A5"/>
    <w:rsid w:val="00990DC7"/>
    <w:rsid w:val="00990F2D"/>
    <w:rsid w:val="00992130"/>
    <w:rsid w:val="00992181"/>
    <w:rsid w:val="009924F1"/>
    <w:rsid w:val="00992B0E"/>
    <w:rsid w:val="009939BA"/>
    <w:rsid w:val="0099414D"/>
    <w:rsid w:val="00994181"/>
    <w:rsid w:val="00994299"/>
    <w:rsid w:val="00994524"/>
    <w:rsid w:val="0099462B"/>
    <w:rsid w:val="00994CBE"/>
    <w:rsid w:val="00995452"/>
    <w:rsid w:val="00995E34"/>
    <w:rsid w:val="00995F56"/>
    <w:rsid w:val="00996092"/>
    <w:rsid w:val="009960FA"/>
    <w:rsid w:val="0099665D"/>
    <w:rsid w:val="009966AB"/>
    <w:rsid w:val="009969B2"/>
    <w:rsid w:val="009A0431"/>
    <w:rsid w:val="009A0E3B"/>
    <w:rsid w:val="009A1833"/>
    <w:rsid w:val="009A1893"/>
    <w:rsid w:val="009A2ACC"/>
    <w:rsid w:val="009A2E10"/>
    <w:rsid w:val="009A2E9B"/>
    <w:rsid w:val="009A31D2"/>
    <w:rsid w:val="009A31EC"/>
    <w:rsid w:val="009A3259"/>
    <w:rsid w:val="009A35A3"/>
    <w:rsid w:val="009A3627"/>
    <w:rsid w:val="009A3CF5"/>
    <w:rsid w:val="009A405F"/>
    <w:rsid w:val="009A440F"/>
    <w:rsid w:val="009A45DD"/>
    <w:rsid w:val="009A496B"/>
    <w:rsid w:val="009A4F1B"/>
    <w:rsid w:val="009A5016"/>
    <w:rsid w:val="009A56F0"/>
    <w:rsid w:val="009A60A2"/>
    <w:rsid w:val="009A61E1"/>
    <w:rsid w:val="009A6A8C"/>
    <w:rsid w:val="009A6F6E"/>
    <w:rsid w:val="009A72B0"/>
    <w:rsid w:val="009A761A"/>
    <w:rsid w:val="009A7D42"/>
    <w:rsid w:val="009A7EAB"/>
    <w:rsid w:val="009A7FB3"/>
    <w:rsid w:val="009B023A"/>
    <w:rsid w:val="009B0CE8"/>
    <w:rsid w:val="009B1435"/>
    <w:rsid w:val="009B15A6"/>
    <w:rsid w:val="009B1ED2"/>
    <w:rsid w:val="009B2107"/>
    <w:rsid w:val="009B295A"/>
    <w:rsid w:val="009B2B98"/>
    <w:rsid w:val="009B2E05"/>
    <w:rsid w:val="009B32FD"/>
    <w:rsid w:val="009B39FD"/>
    <w:rsid w:val="009B3D68"/>
    <w:rsid w:val="009B3F11"/>
    <w:rsid w:val="009B41AE"/>
    <w:rsid w:val="009B4397"/>
    <w:rsid w:val="009B471E"/>
    <w:rsid w:val="009B4910"/>
    <w:rsid w:val="009B49C7"/>
    <w:rsid w:val="009B57F0"/>
    <w:rsid w:val="009B6350"/>
    <w:rsid w:val="009B645F"/>
    <w:rsid w:val="009B65B0"/>
    <w:rsid w:val="009B745B"/>
    <w:rsid w:val="009B7BDB"/>
    <w:rsid w:val="009C0657"/>
    <w:rsid w:val="009C10A5"/>
    <w:rsid w:val="009C1187"/>
    <w:rsid w:val="009C1640"/>
    <w:rsid w:val="009C1A35"/>
    <w:rsid w:val="009C1D53"/>
    <w:rsid w:val="009C24C9"/>
    <w:rsid w:val="009C26BA"/>
    <w:rsid w:val="009C2940"/>
    <w:rsid w:val="009C29DD"/>
    <w:rsid w:val="009C2A5C"/>
    <w:rsid w:val="009C2C15"/>
    <w:rsid w:val="009C3275"/>
    <w:rsid w:val="009C41AD"/>
    <w:rsid w:val="009C44ED"/>
    <w:rsid w:val="009C4800"/>
    <w:rsid w:val="009C4839"/>
    <w:rsid w:val="009C4D6E"/>
    <w:rsid w:val="009C5174"/>
    <w:rsid w:val="009C5A02"/>
    <w:rsid w:val="009C5C9C"/>
    <w:rsid w:val="009C6F8C"/>
    <w:rsid w:val="009C760B"/>
    <w:rsid w:val="009D00A7"/>
    <w:rsid w:val="009D09D5"/>
    <w:rsid w:val="009D1D0D"/>
    <w:rsid w:val="009D2874"/>
    <w:rsid w:val="009D2DCA"/>
    <w:rsid w:val="009D3211"/>
    <w:rsid w:val="009D35B2"/>
    <w:rsid w:val="009D37AC"/>
    <w:rsid w:val="009D3848"/>
    <w:rsid w:val="009D392C"/>
    <w:rsid w:val="009D3A81"/>
    <w:rsid w:val="009D42F6"/>
    <w:rsid w:val="009D43D9"/>
    <w:rsid w:val="009D43F1"/>
    <w:rsid w:val="009D44F3"/>
    <w:rsid w:val="009D4AFE"/>
    <w:rsid w:val="009D4BCD"/>
    <w:rsid w:val="009D4DF3"/>
    <w:rsid w:val="009D507A"/>
    <w:rsid w:val="009D55E1"/>
    <w:rsid w:val="009D5980"/>
    <w:rsid w:val="009D6CEA"/>
    <w:rsid w:val="009D6FAD"/>
    <w:rsid w:val="009D7229"/>
    <w:rsid w:val="009D7DF8"/>
    <w:rsid w:val="009E0077"/>
    <w:rsid w:val="009E009F"/>
    <w:rsid w:val="009E0148"/>
    <w:rsid w:val="009E0950"/>
    <w:rsid w:val="009E0E4F"/>
    <w:rsid w:val="009E13B8"/>
    <w:rsid w:val="009E147C"/>
    <w:rsid w:val="009E1762"/>
    <w:rsid w:val="009E187F"/>
    <w:rsid w:val="009E1FDA"/>
    <w:rsid w:val="009E27E4"/>
    <w:rsid w:val="009E2E67"/>
    <w:rsid w:val="009E42F7"/>
    <w:rsid w:val="009E4883"/>
    <w:rsid w:val="009E4F13"/>
    <w:rsid w:val="009E5D4F"/>
    <w:rsid w:val="009E5E92"/>
    <w:rsid w:val="009E6376"/>
    <w:rsid w:val="009E6C63"/>
    <w:rsid w:val="009E708F"/>
    <w:rsid w:val="009E717C"/>
    <w:rsid w:val="009E71E9"/>
    <w:rsid w:val="009E7716"/>
    <w:rsid w:val="009E7B7F"/>
    <w:rsid w:val="009F0065"/>
    <w:rsid w:val="009F0C7E"/>
    <w:rsid w:val="009F1100"/>
    <w:rsid w:val="009F168A"/>
    <w:rsid w:val="009F1FFF"/>
    <w:rsid w:val="009F26F7"/>
    <w:rsid w:val="009F2966"/>
    <w:rsid w:val="009F36A5"/>
    <w:rsid w:val="009F3ADA"/>
    <w:rsid w:val="009F3C1A"/>
    <w:rsid w:val="009F3C3A"/>
    <w:rsid w:val="009F3F78"/>
    <w:rsid w:val="009F4D85"/>
    <w:rsid w:val="009F4FD3"/>
    <w:rsid w:val="009F5DB5"/>
    <w:rsid w:val="009F61DF"/>
    <w:rsid w:val="009F6E98"/>
    <w:rsid w:val="009F708C"/>
    <w:rsid w:val="009F7141"/>
    <w:rsid w:val="009F7651"/>
    <w:rsid w:val="009F76BD"/>
    <w:rsid w:val="009F7A3E"/>
    <w:rsid w:val="009F7B75"/>
    <w:rsid w:val="00A00005"/>
    <w:rsid w:val="00A007BB"/>
    <w:rsid w:val="00A0092F"/>
    <w:rsid w:val="00A00AAE"/>
    <w:rsid w:val="00A01588"/>
    <w:rsid w:val="00A0264D"/>
    <w:rsid w:val="00A02816"/>
    <w:rsid w:val="00A028A0"/>
    <w:rsid w:val="00A02E69"/>
    <w:rsid w:val="00A02F56"/>
    <w:rsid w:val="00A032D0"/>
    <w:rsid w:val="00A033F8"/>
    <w:rsid w:val="00A0478C"/>
    <w:rsid w:val="00A05949"/>
    <w:rsid w:val="00A05FC4"/>
    <w:rsid w:val="00A06845"/>
    <w:rsid w:val="00A06F58"/>
    <w:rsid w:val="00A07142"/>
    <w:rsid w:val="00A0778C"/>
    <w:rsid w:val="00A077AC"/>
    <w:rsid w:val="00A10679"/>
    <w:rsid w:val="00A10870"/>
    <w:rsid w:val="00A10F90"/>
    <w:rsid w:val="00A111A7"/>
    <w:rsid w:val="00A111DE"/>
    <w:rsid w:val="00A11474"/>
    <w:rsid w:val="00A1186F"/>
    <w:rsid w:val="00A11A9B"/>
    <w:rsid w:val="00A11DE8"/>
    <w:rsid w:val="00A11E05"/>
    <w:rsid w:val="00A120A1"/>
    <w:rsid w:val="00A1212B"/>
    <w:rsid w:val="00A12780"/>
    <w:rsid w:val="00A13D75"/>
    <w:rsid w:val="00A13E9A"/>
    <w:rsid w:val="00A1413E"/>
    <w:rsid w:val="00A144CC"/>
    <w:rsid w:val="00A1470E"/>
    <w:rsid w:val="00A14BDE"/>
    <w:rsid w:val="00A14CF0"/>
    <w:rsid w:val="00A14F5F"/>
    <w:rsid w:val="00A15805"/>
    <w:rsid w:val="00A15898"/>
    <w:rsid w:val="00A16041"/>
    <w:rsid w:val="00A179DF"/>
    <w:rsid w:val="00A179F1"/>
    <w:rsid w:val="00A20160"/>
    <w:rsid w:val="00A2022C"/>
    <w:rsid w:val="00A20374"/>
    <w:rsid w:val="00A205BA"/>
    <w:rsid w:val="00A2063C"/>
    <w:rsid w:val="00A2132F"/>
    <w:rsid w:val="00A21722"/>
    <w:rsid w:val="00A21D79"/>
    <w:rsid w:val="00A21E24"/>
    <w:rsid w:val="00A2222E"/>
    <w:rsid w:val="00A2273D"/>
    <w:rsid w:val="00A2287D"/>
    <w:rsid w:val="00A22DA8"/>
    <w:rsid w:val="00A22FB9"/>
    <w:rsid w:val="00A2305F"/>
    <w:rsid w:val="00A232FB"/>
    <w:rsid w:val="00A233A2"/>
    <w:rsid w:val="00A23687"/>
    <w:rsid w:val="00A23812"/>
    <w:rsid w:val="00A24087"/>
    <w:rsid w:val="00A2431C"/>
    <w:rsid w:val="00A24AE5"/>
    <w:rsid w:val="00A24D8B"/>
    <w:rsid w:val="00A25260"/>
    <w:rsid w:val="00A263BC"/>
    <w:rsid w:val="00A273AB"/>
    <w:rsid w:val="00A274DA"/>
    <w:rsid w:val="00A27542"/>
    <w:rsid w:val="00A27BD1"/>
    <w:rsid w:val="00A3113A"/>
    <w:rsid w:val="00A32E84"/>
    <w:rsid w:val="00A33101"/>
    <w:rsid w:val="00A33204"/>
    <w:rsid w:val="00A334C7"/>
    <w:rsid w:val="00A33911"/>
    <w:rsid w:val="00A33A2B"/>
    <w:rsid w:val="00A33C32"/>
    <w:rsid w:val="00A33C52"/>
    <w:rsid w:val="00A349E9"/>
    <w:rsid w:val="00A34CD5"/>
    <w:rsid w:val="00A34EF3"/>
    <w:rsid w:val="00A35C87"/>
    <w:rsid w:val="00A35CD7"/>
    <w:rsid w:val="00A35E2D"/>
    <w:rsid w:val="00A36186"/>
    <w:rsid w:val="00A37263"/>
    <w:rsid w:val="00A373F0"/>
    <w:rsid w:val="00A377D4"/>
    <w:rsid w:val="00A3783B"/>
    <w:rsid w:val="00A40643"/>
    <w:rsid w:val="00A407CF"/>
    <w:rsid w:val="00A40C95"/>
    <w:rsid w:val="00A4105A"/>
    <w:rsid w:val="00A4175A"/>
    <w:rsid w:val="00A41840"/>
    <w:rsid w:val="00A419B5"/>
    <w:rsid w:val="00A41F84"/>
    <w:rsid w:val="00A42CA5"/>
    <w:rsid w:val="00A43105"/>
    <w:rsid w:val="00A43804"/>
    <w:rsid w:val="00A438A2"/>
    <w:rsid w:val="00A439B4"/>
    <w:rsid w:val="00A43B7D"/>
    <w:rsid w:val="00A44117"/>
    <w:rsid w:val="00A442F5"/>
    <w:rsid w:val="00A4472A"/>
    <w:rsid w:val="00A448B0"/>
    <w:rsid w:val="00A4490A"/>
    <w:rsid w:val="00A455AE"/>
    <w:rsid w:val="00A46714"/>
    <w:rsid w:val="00A467AF"/>
    <w:rsid w:val="00A4729C"/>
    <w:rsid w:val="00A47497"/>
    <w:rsid w:val="00A478C1"/>
    <w:rsid w:val="00A511E8"/>
    <w:rsid w:val="00A51ACF"/>
    <w:rsid w:val="00A51F5E"/>
    <w:rsid w:val="00A529F8"/>
    <w:rsid w:val="00A52C44"/>
    <w:rsid w:val="00A52EFD"/>
    <w:rsid w:val="00A53AC8"/>
    <w:rsid w:val="00A540E1"/>
    <w:rsid w:val="00A54366"/>
    <w:rsid w:val="00A54FA0"/>
    <w:rsid w:val="00A55155"/>
    <w:rsid w:val="00A5561D"/>
    <w:rsid w:val="00A5597C"/>
    <w:rsid w:val="00A55D01"/>
    <w:rsid w:val="00A55D17"/>
    <w:rsid w:val="00A56579"/>
    <w:rsid w:val="00A56803"/>
    <w:rsid w:val="00A56A63"/>
    <w:rsid w:val="00A56FDB"/>
    <w:rsid w:val="00A57277"/>
    <w:rsid w:val="00A575FC"/>
    <w:rsid w:val="00A5798A"/>
    <w:rsid w:val="00A609E3"/>
    <w:rsid w:val="00A60B08"/>
    <w:rsid w:val="00A60F50"/>
    <w:rsid w:val="00A62F8D"/>
    <w:rsid w:val="00A63404"/>
    <w:rsid w:val="00A63A30"/>
    <w:rsid w:val="00A63A42"/>
    <w:rsid w:val="00A6437F"/>
    <w:rsid w:val="00A64673"/>
    <w:rsid w:val="00A64EC9"/>
    <w:rsid w:val="00A65179"/>
    <w:rsid w:val="00A651F5"/>
    <w:rsid w:val="00A65869"/>
    <w:rsid w:val="00A66B87"/>
    <w:rsid w:val="00A678D1"/>
    <w:rsid w:val="00A67BB5"/>
    <w:rsid w:val="00A67C4B"/>
    <w:rsid w:val="00A67F10"/>
    <w:rsid w:val="00A700B4"/>
    <w:rsid w:val="00A706B8"/>
    <w:rsid w:val="00A70C90"/>
    <w:rsid w:val="00A70D69"/>
    <w:rsid w:val="00A70F9B"/>
    <w:rsid w:val="00A71085"/>
    <w:rsid w:val="00A710D3"/>
    <w:rsid w:val="00A71176"/>
    <w:rsid w:val="00A711EC"/>
    <w:rsid w:val="00A71285"/>
    <w:rsid w:val="00A714AF"/>
    <w:rsid w:val="00A71D2C"/>
    <w:rsid w:val="00A7226A"/>
    <w:rsid w:val="00A7243F"/>
    <w:rsid w:val="00A727A1"/>
    <w:rsid w:val="00A72AEF"/>
    <w:rsid w:val="00A72B85"/>
    <w:rsid w:val="00A72C57"/>
    <w:rsid w:val="00A72DA1"/>
    <w:rsid w:val="00A72DD0"/>
    <w:rsid w:val="00A72FB0"/>
    <w:rsid w:val="00A72FFF"/>
    <w:rsid w:val="00A73525"/>
    <w:rsid w:val="00A7390D"/>
    <w:rsid w:val="00A73A84"/>
    <w:rsid w:val="00A73B5B"/>
    <w:rsid w:val="00A73CA9"/>
    <w:rsid w:val="00A73EB5"/>
    <w:rsid w:val="00A7429D"/>
    <w:rsid w:val="00A7440F"/>
    <w:rsid w:val="00A7471B"/>
    <w:rsid w:val="00A750C6"/>
    <w:rsid w:val="00A75261"/>
    <w:rsid w:val="00A75973"/>
    <w:rsid w:val="00A75BE3"/>
    <w:rsid w:val="00A76221"/>
    <w:rsid w:val="00A76399"/>
    <w:rsid w:val="00A763AF"/>
    <w:rsid w:val="00A76596"/>
    <w:rsid w:val="00A76A05"/>
    <w:rsid w:val="00A77723"/>
    <w:rsid w:val="00A7782D"/>
    <w:rsid w:val="00A77BB8"/>
    <w:rsid w:val="00A77E20"/>
    <w:rsid w:val="00A77E43"/>
    <w:rsid w:val="00A81326"/>
    <w:rsid w:val="00A815BE"/>
    <w:rsid w:val="00A81AA7"/>
    <w:rsid w:val="00A81D4A"/>
    <w:rsid w:val="00A8248A"/>
    <w:rsid w:val="00A82C6C"/>
    <w:rsid w:val="00A83219"/>
    <w:rsid w:val="00A83821"/>
    <w:rsid w:val="00A83E46"/>
    <w:rsid w:val="00A84514"/>
    <w:rsid w:val="00A8487F"/>
    <w:rsid w:val="00A85403"/>
    <w:rsid w:val="00A856FB"/>
    <w:rsid w:val="00A86111"/>
    <w:rsid w:val="00A8622B"/>
    <w:rsid w:val="00A86383"/>
    <w:rsid w:val="00A8707E"/>
    <w:rsid w:val="00A87D5B"/>
    <w:rsid w:val="00A87DBF"/>
    <w:rsid w:val="00A87F9A"/>
    <w:rsid w:val="00A902BE"/>
    <w:rsid w:val="00A90382"/>
    <w:rsid w:val="00A90E4B"/>
    <w:rsid w:val="00A9139D"/>
    <w:rsid w:val="00A9201E"/>
    <w:rsid w:val="00A92B33"/>
    <w:rsid w:val="00A9305C"/>
    <w:rsid w:val="00A9392D"/>
    <w:rsid w:val="00A940A2"/>
    <w:rsid w:val="00A94DB7"/>
    <w:rsid w:val="00A95246"/>
    <w:rsid w:val="00A95503"/>
    <w:rsid w:val="00A95BDD"/>
    <w:rsid w:val="00A95DE1"/>
    <w:rsid w:val="00A96F3D"/>
    <w:rsid w:val="00A970CB"/>
    <w:rsid w:val="00A97213"/>
    <w:rsid w:val="00AA0368"/>
    <w:rsid w:val="00AA0482"/>
    <w:rsid w:val="00AA0E58"/>
    <w:rsid w:val="00AA14D6"/>
    <w:rsid w:val="00AA165A"/>
    <w:rsid w:val="00AA166C"/>
    <w:rsid w:val="00AA1854"/>
    <w:rsid w:val="00AA1DDA"/>
    <w:rsid w:val="00AA1E48"/>
    <w:rsid w:val="00AA271F"/>
    <w:rsid w:val="00AA29D0"/>
    <w:rsid w:val="00AA2FE9"/>
    <w:rsid w:val="00AA3665"/>
    <w:rsid w:val="00AA4119"/>
    <w:rsid w:val="00AA4253"/>
    <w:rsid w:val="00AA4653"/>
    <w:rsid w:val="00AA4709"/>
    <w:rsid w:val="00AA4796"/>
    <w:rsid w:val="00AA5919"/>
    <w:rsid w:val="00AA5927"/>
    <w:rsid w:val="00AA59DD"/>
    <w:rsid w:val="00AA5B00"/>
    <w:rsid w:val="00AA644F"/>
    <w:rsid w:val="00AA64AF"/>
    <w:rsid w:val="00AA68B5"/>
    <w:rsid w:val="00AA72E8"/>
    <w:rsid w:val="00AA76B6"/>
    <w:rsid w:val="00AA7A0C"/>
    <w:rsid w:val="00AA7C6B"/>
    <w:rsid w:val="00AB0F43"/>
    <w:rsid w:val="00AB1186"/>
    <w:rsid w:val="00AB198C"/>
    <w:rsid w:val="00AB28E8"/>
    <w:rsid w:val="00AB2992"/>
    <w:rsid w:val="00AB2B68"/>
    <w:rsid w:val="00AB2CE4"/>
    <w:rsid w:val="00AB34A5"/>
    <w:rsid w:val="00AB3BFA"/>
    <w:rsid w:val="00AB4115"/>
    <w:rsid w:val="00AB4548"/>
    <w:rsid w:val="00AB4AC1"/>
    <w:rsid w:val="00AB4E1C"/>
    <w:rsid w:val="00AB505C"/>
    <w:rsid w:val="00AB5116"/>
    <w:rsid w:val="00AB51F3"/>
    <w:rsid w:val="00AB52B2"/>
    <w:rsid w:val="00AB5CE8"/>
    <w:rsid w:val="00AB619D"/>
    <w:rsid w:val="00AB6344"/>
    <w:rsid w:val="00AB69F5"/>
    <w:rsid w:val="00AB69FA"/>
    <w:rsid w:val="00AB6A02"/>
    <w:rsid w:val="00AB6B12"/>
    <w:rsid w:val="00AB6C21"/>
    <w:rsid w:val="00AB7E36"/>
    <w:rsid w:val="00AC0341"/>
    <w:rsid w:val="00AC03FE"/>
    <w:rsid w:val="00AC099D"/>
    <w:rsid w:val="00AC0D8F"/>
    <w:rsid w:val="00AC0F62"/>
    <w:rsid w:val="00AC14EE"/>
    <w:rsid w:val="00AC1CF7"/>
    <w:rsid w:val="00AC267A"/>
    <w:rsid w:val="00AC2785"/>
    <w:rsid w:val="00AC2BB8"/>
    <w:rsid w:val="00AC2D6D"/>
    <w:rsid w:val="00AC30F3"/>
    <w:rsid w:val="00AC3CC4"/>
    <w:rsid w:val="00AC3D59"/>
    <w:rsid w:val="00AC3EE4"/>
    <w:rsid w:val="00AC4475"/>
    <w:rsid w:val="00AC44BD"/>
    <w:rsid w:val="00AC44F7"/>
    <w:rsid w:val="00AC5411"/>
    <w:rsid w:val="00AC58E9"/>
    <w:rsid w:val="00AC5B38"/>
    <w:rsid w:val="00AC5CD2"/>
    <w:rsid w:val="00AC675C"/>
    <w:rsid w:val="00AC6AD9"/>
    <w:rsid w:val="00AC6E54"/>
    <w:rsid w:val="00AC7011"/>
    <w:rsid w:val="00AC77BB"/>
    <w:rsid w:val="00AC7A52"/>
    <w:rsid w:val="00AD02FE"/>
    <w:rsid w:val="00AD03C9"/>
    <w:rsid w:val="00AD05C4"/>
    <w:rsid w:val="00AD14F2"/>
    <w:rsid w:val="00AD1766"/>
    <w:rsid w:val="00AD1A14"/>
    <w:rsid w:val="00AD1A59"/>
    <w:rsid w:val="00AD2118"/>
    <w:rsid w:val="00AD22DD"/>
    <w:rsid w:val="00AD3023"/>
    <w:rsid w:val="00AD3091"/>
    <w:rsid w:val="00AD344E"/>
    <w:rsid w:val="00AD364C"/>
    <w:rsid w:val="00AD37E2"/>
    <w:rsid w:val="00AD39B4"/>
    <w:rsid w:val="00AD4CA0"/>
    <w:rsid w:val="00AD5D0F"/>
    <w:rsid w:val="00AD613A"/>
    <w:rsid w:val="00AD63D7"/>
    <w:rsid w:val="00AD6861"/>
    <w:rsid w:val="00AE0276"/>
    <w:rsid w:val="00AE0803"/>
    <w:rsid w:val="00AE0E59"/>
    <w:rsid w:val="00AE1039"/>
    <w:rsid w:val="00AE1A35"/>
    <w:rsid w:val="00AE1ECB"/>
    <w:rsid w:val="00AE2298"/>
    <w:rsid w:val="00AE2633"/>
    <w:rsid w:val="00AE26AF"/>
    <w:rsid w:val="00AE2881"/>
    <w:rsid w:val="00AE2B5F"/>
    <w:rsid w:val="00AE2B67"/>
    <w:rsid w:val="00AE313B"/>
    <w:rsid w:val="00AE4864"/>
    <w:rsid w:val="00AE4C09"/>
    <w:rsid w:val="00AE4F2C"/>
    <w:rsid w:val="00AE5322"/>
    <w:rsid w:val="00AE532D"/>
    <w:rsid w:val="00AE5B5E"/>
    <w:rsid w:val="00AE6443"/>
    <w:rsid w:val="00AE6BA4"/>
    <w:rsid w:val="00AE7AF7"/>
    <w:rsid w:val="00AE7EA1"/>
    <w:rsid w:val="00AF0676"/>
    <w:rsid w:val="00AF0A79"/>
    <w:rsid w:val="00AF161F"/>
    <w:rsid w:val="00AF1CA7"/>
    <w:rsid w:val="00AF22E1"/>
    <w:rsid w:val="00AF24D8"/>
    <w:rsid w:val="00AF257C"/>
    <w:rsid w:val="00AF3057"/>
    <w:rsid w:val="00AF3B80"/>
    <w:rsid w:val="00AF3C31"/>
    <w:rsid w:val="00AF4CB6"/>
    <w:rsid w:val="00AF5031"/>
    <w:rsid w:val="00AF5481"/>
    <w:rsid w:val="00AF5954"/>
    <w:rsid w:val="00AF5A77"/>
    <w:rsid w:val="00AF5FAF"/>
    <w:rsid w:val="00AF6396"/>
    <w:rsid w:val="00AF6B60"/>
    <w:rsid w:val="00AF74D1"/>
    <w:rsid w:val="00AF7591"/>
    <w:rsid w:val="00B00B43"/>
    <w:rsid w:val="00B00B91"/>
    <w:rsid w:val="00B00CC2"/>
    <w:rsid w:val="00B012A4"/>
    <w:rsid w:val="00B0171A"/>
    <w:rsid w:val="00B0190A"/>
    <w:rsid w:val="00B01A7E"/>
    <w:rsid w:val="00B026E3"/>
    <w:rsid w:val="00B031A1"/>
    <w:rsid w:val="00B03C9C"/>
    <w:rsid w:val="00B040A9"/>
    <w:rsid w:val="00B04A7E"/>
    <w:rsid w:val="00B04B31"/>
    <w:rsid w:val="00B04C49"/>
    <w:rsid w:val="00B0526C"/>
    <w:rsid w:val="00B05E0A"/>
    <w:rsid w:val="00B05E9D"/>
    <w:rsid w:val="00B05EC9"/>
    <w:rsid w:val="00B06009"/>
    <w:rsid w:val="00B0608A"/>
    <w:rsid w:val="00B07076"/>
    <w:rsid w:val="00B075CC"/>
    <w:rsid w:val="00B07697"/>
    <w:rsid w:val="00B07D6E"/>
    <w:rsid w:val="00B07DCD"/>
    <w:rsid w:val="00B07F1E"/>
    <w:rsid w:val="00B100DA"/>
    <w:rsid w:val="00B10132"/>
    <w:rsid w:val="00B10B7E"/>
    <w:rsid w:val="00B10BB3"/>
    <w:rsid w:val="00B110DC"/>
    <w:rsid w:val="00B11C02"/>
    <w:rsid w:val="00B124F8"/>
    <w:rsid w:val="00B13A08"/>
    <w:rsid w:val="00B13BC8"/>
    <w:rsid w:val="00B14375"/>
    <w:rsid w:val="00B143C2"/>
    <w:rsid w:val="00B14EC4"/>
    <w:rsid w:val="00B15483"/>
    <w:rsid w:val="00B159B2"/>
    <w:rsid w:val="00B15AA9"/>
    <w:rsid w:val="00B15CF9"/>
    <w:rsid w:val="00B16103"/>
    <w:rsid w:val="00B1673D"/>
    <w:rsid w:val="00B16A57"/>
    <w:rsid w:val="00B16A7A"/>
    <w:rsid w:val="00B16C22"/>
    <w:rsid w:val="00B16C79"/>
    <w:rsid w:val="00B16D53"/>
    <w:rsid w:val="00B1751B"/>
    <w:rsid w:val="00B17894"/>
    <w:rsid w:val="00B17C35"/>
    <w:rsid w:val="00B17E05"/>
    <w:rsid w:val="00B202B4"/>
    <w:rsid w:val="00B20AEA"/>
    <w:rsid w:val="00B20EEA"/>
    <w:rsid w:val="00B212E7"/>
    <w:rsid w:val="00B2154D"/>
    <w:rsid w:val="00B23225"/>
    <w:rsid w:val="00B23971"/>
    <w:rsid w:val="00B2464B"/>
    <w:rsid w:val="00B248FD"/>
    <w:rsid w:val="00B24E37"/>
    <w:rsid w:val="00B25A20"/>
    <w:rsid w:val="00B25F0B"/>
    <w:rsid w:val="00B2630F"/>
    <w:rsid w:val="00B26367"/>
    <w:rsid w:val="00B26451"/>
    <w:rsid w:val="00B27085"/>
    <w:rsid w:val="00B27557"/>
    <w:rsid w:val="00B27950"/>
    <w:rsid w:val="00B27B7D"/>
    <w:rsid w:val="00B3088F"/>
    <w:rsid w:val="00B31320"/>
    <w:rsid w:val="00B31A03"/>
    <w:rsid w:val="00B3214B"/>
    <w:rsid w:val="00B32384"/>
    <w:rsid w:val="00B32556"/>
    <w:rsid w:val="00B329CA"/>
    <w:rsid w:val="00B32A1A"/>
    <w:rsid w:val="00B33405"/>
    <w:rsid w:val="00B33CF3"/>
    <w:rsid w:val="00B33D16"/>
    <w:rsid w:val="00B35566"/>
    <w:rsid w:val="00B357E3"/>
    <w:rsid w:val="00B35A04"/>
    <w:rsid w:val="00B361E0"/>
    <w:rsid w:val="00B36506"/>
    <w:rsid w:val="00B36AFF"/>
    <w:rsid w:val="00B373D9"/>
    <w:rsid w:val="00B401B5"/>
    <w:rsid w:val="00B4047C"/>
    <w:rsid w:val="00B40800"/>
    <w:rsid w:val="00B40C10"/>
    <w:rsid w:val="00B40FE3"/>
    <w:rsid w:val="00B4177B"/>
    <w:rsid w:val="00B41D9F"/>
    <w:rsid w:val="00B422EF"/>
    <w:rsid w:val="00B42C52"/>
    <w:rsid w:val="00B43D61"/>
    <w:rsid w:val="00B43E38"/>
    <w:rsid w:val="00B43FF6"/>
    <w:rsid w:val="00B4432F"/>
    <w:rsid w:val="00B44973"/>
    <w:rsid w:val="00B452DC"/>
    <w:rsid w:val="00B45B7F"/>
    <w:rsid w:val="00B4650B"/>
    <w:rsid w:val="00B465A8"/>
    <w:rsid w:val="00B46836"/>
    <w:rsid w:val="00B468DC"/>
    <w:rsid w:val="00B46D70"/>
    <w:rsid w:val="00B47217"/>
    <w:rsid w:val="00B47251"/>
    <w:rsid w:val="00B47759"/>
    <w:rsid w:val="00B501C4"/>
    <w:rsid w:val="00B51100"/>
    <w:rsid w:val="00B51912"/>
    <w:rsid w:val="00B51F1F"/>
    <w:rsid w:val="00B52170"/>
    <w:rsid w:val="00B52A56"/>
    <w:rsid w:val="00B53156"/>
    <w:rsid w:val="00B53815"/>
    <w:rsid w:val="00B53E9B"/>
    <w:rsid w:val="00B53EA6"/>
    <w:rsid w:val="00B53ED9"/>
    <w:rsid w:val="00B53EEB"/>
    <w:rsid w:val="00B545AA"/>
    <w:rsid w:val="00B54773"/>
    <w:rsid w:val="00B5488E"/>
    <w:rsid w:val="00B54A45"/>
    <w:rsid w:val="00B54F54"/>
    <w:rsid w:val="00B550D5"/>
    <w:rsid w:val="00B55292"/>
    <w:rsid w:val="00B55790"/>
    <w:rsid w:val="00B557BA"/>
    <w:rsid w:val="00B55C84"/>
    <w:rsid w:val="00B55DE4"/>
    <w:rsid w:val="00B572E7"/>
    <w:rsid w:val="00B5747F"/>
    <w:rsid w:val="00B57C62"/>
    <w:rsid w:val="00B6002D"/>
    <w:rsid w:val="00B6011E"/>
    <w:rsid w:val="00B602D0"/>
    <w:rsid w:val="00B60308"/>
    <w:rsid w:val="00B609A1"/>
    <w:rsid w:val="00B6153D"/>
    <w:rsid w:val="00B62ACB"/>
    <w:rsid w:val="00B62BD3"/>
    <w:rsid w:val="00B62DE9"/>
    <w:rsid w:val="00B63460"/>
    <w:rsid w:val="00B643D8"/>
    <w:rsid w:val="00B65233"/>
    <w:rsid w:val="00B65849"/>
    <w:rsid w:val="00B65E91"/>
    <w:rsid w:val="00B66049"/>
    <w:rsid w:val="00B66F64"/>
    <w:rsid w:val="00B67419"/>
    <w:rsid w:val="00B679BA"/>
    <w:rsid w:val="00B67DC1"/>
    <w:rsid w:val="00B67E3E"/>
    <w:rsid w:val="00B70511"/>
    <w:rsid w:val="00B70989"/>
    <w:rsid w:val="00B70996"/>
    <w:rsid w:val="00B70D98"/>
    <w:rsid w:val="00B7100C"/>
    <w:rsid w:val="00B71193"/>
    <w:rsid w:val="00B71313"/>
    <w:rsid w:val="00B71A60"/>
    <w:rsid w:val="00B72699"/>
    <w:rsid w:val="00B73114"/>
    <w:rsid w:val="00B734AB"/>
    <w:rsid w:val="00B73838"/>
    <w:rsid w:val="00B74262"/>
    <w:rsid w:val="00B757E6"/>
    <w:rsid w:val="00B7601F"/>
    <w:rsid w:val="00B761FC"/>
    <w:rsid w:val="00B76E27"/>
    <w:rsid w:val="00B770E1"/>
    <w:rsid w:val="00B80028"/>
    <w:rsid w:val="00B805AA"/>
    <w:rsid w:val="00B80668"/>
    <w:rsid w:val="00B80A8B"/>
    <w:rsid w:val="00B81293"/>
    <w:rsid w:val="00B81BA1"/>
    <w:rsid w:val="00B838FC"/>
    <w:rsid w:val="00B83E01"/>
    <w:rsid w:val="00B83E8C"/>
    <w:rsid w:val="00B84111"/>
    <w:rsid w:val="00B84470"/>
    <w:rsid w:val="00B8487B"/>
    <w:rsid w:val="00B84F22"/>
    <w:rsid w:val="00B85A09"/>
    <w:rsid w:val="00B86389"/>
    <w:rsid w:val="00B86406"/>
    <w:rsid w:val="00B86787"/>
    <w:rsid w:val="00B86A16"/>
    <w:rsid w:val="00B86B9B"/>
    <w:rsid w:val="00B86D4F"/>
    <w:rsid w:val="00B87020"/>
    <w:rsid w:val="00B8747B"/>
    <w:rsid w:val="00B8756B"/>
    <w:rsid w:val="00B87DAB"/>
    <w:rsid w:val="00B90B53"/>
    <w:rsid w:val="00B90BCC"/>
    <w:rsid w:val="00B90E3D"/>
    <w:rsid w:val="00B90EF3"/>
    <w:rsid w:val="00B91140"/>
    <w:rsid w:val="00B9137B"/>
    <w:rsid w:val="00B914D2"/>
    <w:rsid w:val="00B91CB2"/>
    <w:rsid w:val="00B91CDE"/>
    <w:rsid w:val="00B9305B"/>
    <w:rsid w:val="00B9391D"/>
    <w:rsid w:val="00B94366"/>
    <w:rsid w:val="00B94890"/>
    <w:rsid w:val="00B94A6D"/>
    <w:rsid w:val="00B952A9"/>
    <w:rsid w:val="00B95A10"/>
    <w:rsid w:val="00B95AEA"/>
    <w:rsid w:val="00B95C8F"/>
    <w:rsid w:val="00B96603"/>
    <w:rsid w:val="00B96D9E"/>
    <w:rsid w:val="00B9764A"/>
    <w:rsid w:val="00B97D85"/>
    <w:rsid w:val="00B97F03"/>
    <w:rsid w:val="00B97FF4"/>
    <w:rsid w:val="00BA0289"/>
    <w:rsid w:val="00BA0A20"/>
    <w:rsid w:val="00BA145C"/>
    <w:rsid w:val="00BA147B"/>
    <w:rsid w:val="00BA203A"/>
    <w:rsid w:val="00BA2566"/>
    <w:rsid w:val="00BA26FC"/>
    <w:rsid w:val="00BA3CF0"/>
    <w:rsid w:val="00BA3FCA"/>
    <w:rsid w:val="00BA4C54"/>
    <w:rsid w:val="00BA546E"/>
    <w:rsid w:val="00BA5494"/>
    <w:rsid w:val="00BA58EA"/>
    <w:rsid w:val="00BA6079"/>
    <w:rsid w:val="00BA6496"/>
    <w:rsid w:val="00BA6D0B"/>
    <w:rsid w:val="00BA734E"/>
    <w:rsid w:val="00BA7514"/>
    <w:rsid w:val="00BA760E"/>
    <w:rsid w:val="00BA773B"/>
    <w:rsid w:val="00BB0D4E"/>
    <w:rsid w:val="00BB105C"/>
    <w:rsid w:val="00BB10C3"/>
    <w:rsid w:val="00BB18FD"/>
    <w:rsid w:val="00BB1E46"/>
    <w:rsid w:val="00BB3419"/>
    <w:rsid w:val="00BB3445"/>
    <w:rsid w:val="00BB3972"/>
    <w:rsid w:val="00BB4BCE"/>
    <w:rsid w:val="00BB4EBC"/>
    <w:rsid w:val="00BB52D3"/>
    <w:rsid w:val="00BB580D"/>
    <w:rsid w:val="00BB5BC6"/>
    <w:rsid w:val="00BB5C3F"/>
    <w:rsid w:val="00BB5F22"/>
    <w:rsid w:val="00BB6DE6"/>
    <w:rsid w:val="00BB7475"/>
    <w:rsid w:val="00BB786E"/>
    <w:rsid w:val="00BB7AFE"/>
    <w:rsid w:val="00BB7B40"/>
    <w:rsid w:val="00BB7CD7"/>
    <w:rsid w:val="00BC0012"/>
    <w:rsid w:val="00BC0196"/>
    <w:rsid w:val="00BC029B"/>
    <w:rsid w:val="00BC07D8"/>
    <w:rsid w:val="00BC16E0"/>
    <w:rsid w:val="00BC174F"/>
    <w:rsid w:val="00BC1955"/>
    <w:rsid w:val="00BC1B39"/>
    <w:rsid w:val="00BC1D4C"/>
    <w:rsid w:val="00BC1DD0"/>
    <w:rsid w:val="00BC25EB"/>
    <w:rsid w:val="00BC29E8"/>
    <w:rsid w:val="00BC37F1"/>
    <w:rsid w:val="00BC3946"/>
    <w:rsid w:val="00BC39F8"/>
    <w:rsid w:val="00BC4326"/>
    <w:rsid w:val="00BC4B42"/>
    <w:rsid w:val="00BC4CEC"/>
    <w:rsid w:val="00BC5D35"/>
    <w:rsid w:val="00BC5F0A"/>
    <w:rsid w:val="00BC5F40"/>
    <w:rsid w:val="00BC5FC0"/>
    <w:rsid w:val="00BC626A"/>
    <w:rsid w:val="00BC6297"/>
    <w:rsid w:val="00BC6774"/>
    <w:rsid w:val="00BC6E44"/>
    <w:rsid w:val="00BC7371"/>
    <w:rsid w:val="00BD0571"/>
    <w:rsid w:val="00BD0DA6"/>
    <w:rsid w:val="00BD1400"/>
    <w:rsid w:val="00BD250C"/>
    <w:rsid w:val="00BD29B6"/>
    <w:rsid w:val="00BD327D"/>
    <w:rsid w:val="00BD3658"/>
    <w:rsid w:val="00BD36E2"/>
    <w:rsid w:val="00BD383D"/>
    <w:rsid w:val="00BD3A57"/>
    <w:rsid w:val="00BD402E"/>
    <w:rsid w:val="00BD563C"/>
    <w:rsid w:val="00BD56A9"/>
    <w:rsid w:val="00BD56CE"/>
    <w:rsid w:val="00BD6C37"/>
    <w:rsid w:val="00BD78BF"/>
    <w:rsid w:val="00BD7BF3"/>
    <w:rsid w:val="00BD7C11"/>
    <w:rsid w:val="00BE00B4"/>
    <w:rsid w:val="00BE04B7"/>
    <w:rsid w:val="00BE065A"/>
    <w:rsid w:val="00BE1A73"/>
    <w:rsid w:val="00BE1ADD"/>
    <w:rsid w:val="00BE23B2"/>
    <w:rsid w:val="00BE23D6"/>
    <w:rsid w:val="00BE247F"/>
    <w:rsid w:val="00BE292A"/>
    <w:rsid w:val="00BE2DC0"/>
    <w:rsid w:val="00BE2FC0"/>
    <w:rsid w:val="00BE372E"/>
    <w:rsid w:val="00BE386D"/>
    <w:rsid w:val="00BE3909"/>
    <w:rsid w:val="00BE3DBB"/>
    <w:rsid w:val="00BE44AA"/>
    <w:rsid w:val="00BE4772"/>
    <w:rsid w:val="00BE4F86"/>
    <w:rsid w:val="00BE55C0"/>
    <w:rsid w:val="00BE5611"/>
    <w:rsid w:val="00BE62E8"/>
    <w:rsid w:val="00BE650D"/>
    <w:rsid w:val="00BE6788"/>
    <w:rsid w:val="00BE6C28"/>
    <w:rsid w:val="00BE708D"/>
    <w:rsid w:val="00BE70B6"/>
    <w:rsid w:val="00BE7149"/>
    <w:rsid w:val="00BE77C9"/>
    <w:rsid w:val="00BE7AEF"/>
    <w:rsid w:val="00BF027A"/>
    <w:rsid w:val="00BF07A5"/>
    <w:rsid w:val="00BF11E5"/>
    <w:rsid w:val="00BF1599"/>
    <w:rsid w:val="00BF1F4D"/>
    <w:rsid w:val="00BF20CF"/>
    <w:rsid w:val="00BF28D0"/>
    <w:rsid w:val="00BF2A7F"/>
    <w:rsid w:val="00BF316D"/>
    <w:rsid w:val="00BF3BF4"/>
    <w:rsid w:val="00BF4423"/>
    <w:rsid w:val="00BF4BB0"/>
    <w:rsid w:val="00BF4F84"/>
    <w:rsid w:val="00BF4FF7"/>
    <w:rsid w:val="00BF55EA"/>
    <w:rsid w:val="00BF59A6"/>
    <w:rsid w:val="00BF624A"/>
    <w:rsid w:val="00BF7123"/>
    <w:rsid w:val="00BF7B85"/>
    <w:rsid w:val="00C0021E"/>
    <w:rsid w:val="00C00AC8"/>
    <w:rsid w:val="00C0120E"/>
    <w:rsid w:val="00C025FD"/>
    <w:rsid w:val="00C029BF"/>
    <w:rsid w:val="00C02C49"/>
    <w:rsid w:val="00C03AE0"/>
    <w:rsid w:val="00C0482B"/>
    <w:rsid w:val="00C04C2A"/>
    <w:rsid w:val="00C04DAA"/>
    <w:rsid w:val="00C04EF6"/>
    <w:rsid w:val="00C050EB"/>
    <w:rsid w:val="00C052C3"/>
    <w:rsid w:val="00C057C0"/>
    <w:rsid w:val="00C05AD9"/>
    <w:rsid w:val="00C06081"/>
    <w:rsid w:val="00C06974"/>
    <w:rsid w:val="00C0699B"/>
    <w:rsid w:val="00C06E0F"/>
    <w:rsid w:val="00C06EBB"/>
    <w:rsid w:val="00C074E7"/>
    <w:rsid w:val="00C07D23"/>
    <w:rsid w:val="00C106C5"/>
    <w:rsid w:val="00C109F8"/>
    <w:rsid w:val="00C10ABC"/>
    <w:rsid w:val="00C10B4F"/>
    <w:rsid w:val="00C10E63"/>
    <w:rsid w:val="00C11216"/>
    <w:rsid w:val="00C1126E"/>
    <w:rsid w:val="00C118EE"/>
    <w:rsid w:val="00C1208C"/>
    <w:rsid w:val="00C12215"/>
    <w:rsid w:val="00C1249E"/>
    <w:rsid w:val="00C1286D"/>
    <w:rsid w:val="00C1348C"/>
    <w:rsid w:val="00C1349A"/>
    <w:rsid w:val="00C1352D"/>
    <w:rsid w:val="00C13584"/>
    <w:rsid w:val="00C13FF2"/>
    <w:rsid w:val="00C1485E"/>
    <w:rsid w:val="00C14E66"/>
    <w:rsid w:val="00C151EC"/>
    <w:rsid w:val="00C15236"/>
    <w:rsid w:val="00C15832"/>
    <w:rsid w:val="00C1689B"/>
    <w:rsid w:val="00C16FBB"/>
    <w:rsid w:val="00C17640"/>
    <w:rsid w:val="00C176A0"/>
    <w:rsid w:val="00C17836"/>
    <w:rsid w:val="00C202D4"/>
    <w:rsid w:val="00C205D0"/>
    <w:rsid w:val="00C20748"/>
    <w:rsid w:val="00C20C2F"/>
    <w:rsid w:val="00C20C58"/>
    <w:rsid w:val="00C20FD0"/>
    <w:rsid w:val="00C211C1"/>
    <w:rsid w:val="00C21508"/>
    <w:rsid w:val="00C21954"/>
    <w:rsid w:val="00C22CA0"/>
    <w:rsid w:val="00C22F8D"/>
    <w:rsid w:val="00C23801"/>
    <w:rsid w:val="00C239B7"/>
    <w:rsid w:val="00C24AB7"/>
    <w:rsid w:val="00C24E0F"/>
    <w:rsid w:val="00C25209"/>
    <w:rsid w:val="00C256C9"/>
    <w:rsid w:val="00C25985"/>
    <w:rsid w:val="00C25F5C"/>
    <w:rsid w:val="00C261EC"/>
    <w:rsid w:val="00C2652A"/>
    <w:rsid w:val="00C26D80"/>
    <w:rsid w:val="00C2768A"/>
    <w:rsid w:val="00C27785"/>
    <w:rsid w:val="00C277B0"/>
    <w:rsid w:val="00C30030"/>
    <w:rsid w:val="00C30170"/>
    <w:rsid w:val="00C301C9"/>
    <w:rsid w:val="00C309CE"/>
    <w:rsid w:val="00C309F4"/>
    <w:rsid w:val="00C31ABE"/>
    <w:rsid w:val="00C322FF"/>
    <w:rsid w:val="00C328C9"/>
    <w:rsid w:val="00C330FB"/>
    <w:rsid w:val="00C33920"/>
    <w:rsid w:val="00C33E5E"/>
    <w:rsid w:val="00C34A20"/>
    <w:rsid w:val="00C35466"/>
    <w:rsid w:val="00C35F0A"/>
    <w:rsid w:val="00C36AB3"/>
    <w:rsid w:val="00C378D9"/>
    <w:rsid w:val="00C404E1"/>
    <w:rsid w:val="00C407A7"/>
    <w:rsid w:val="00C40879"/>
    <w:rsid w:val="00C40FFF"/>
    <w:rsid w:val="00C4113F"/>
    <w:rsid w:val="00C41503"/>
    <w:rsid w:val="00C41738"/>
    <w:rsid w:val="00C41E81"/>
    <w:rsid w:val="00C42844"/>
    <w:rsid w:val="00C42C03"/>
    <w:rsid w:val="00C43502"/>
    <w:rsid w:val="00C435D1"/>
    <w:rsid w:val="00C43841"/>
    <w:rsid w:val="00C43FDA"/>
    <w:rsid w:val="00C444B8"/>
    <w:rsid w:val="00C44681"/>
    <w:rsid w:val="00C44856"/>
    <w:rsid w:val="00C4487C"/>
    <w:rsid w:val="00C44C86"/>
    <w:rsid w:val="00C44EBD"/>
    <w:rsid w:val="00C457CE"/>
    <w:rsid w:val="00C45B75"/>
    <w:rsid w:val="00C465DE"/>
    <w:rsid w:val="00C46B68"/>
    <w:rsid w:val="00C46BED"/>
    <w:rsid w:val="00C47978"/>
    <w:rsid w:val="00C47F63"/>
    <w:rsid w:val="00C501DC"/>
    <w:rsid w:val="00C50762"/>
    <w:rsid w:val="00C50A0B"/>
    <w:rsid w:val="00C50ABD"/>
    <w:rsid w:val="00C50B4F"/>
    <w:rsid w:val="00C51257"/>
    <w:rsid w:val="00C51702"/>
    <w:rsid w:val="00C51A5D"/>
    <w:rsid w:val="00C51D86"/>
    <w:rsid w:val="00C51FAA"/>
    <w:rsid w:val="00C52735"/>
    <w:rsid w:val="00C537FF"/>
    <w:rsid w:val="00C53929"/>
    <w:rsid w:val="00C53BDB"/>
    <w:rsid w:val="00C53C36"/>
    <w:rsid w:val="00C54939"/>
    <w:rsid w:val="00C54B6B"/>
    <w:rsid w:val="00C54BB0"/>
    <w:rsid w:val="00C550E0"/>
    <w:rsid w:val="00C55525"/>
    <w:rsid w:val="00C55629"/>
    <w:rsid w:val="00C55B1C"/>
    <w:rsid w:val="00C56005"/>
    <w:rsid w:val="00C56FFA"/>
    <w:rsid w:val="00C5719F"/>
    <w:rsid w:val="00C574A2"/>
    <w:rsid w:val="00C577AE"/>
    <w:rsid w:val="00C57A11"/>
    <w:rsid w:val="00C57FAE"/>
    <w:rsid w:val="00C6092C"/>
    <w:rsid w:val="00C60F2C"/>
    <w:rsid w:val="00C61126"/>
    <w:rsid w:val="00C61D8E"/>
    <w:rsid w:val="00C6319F"/>
    <w:rsid w:val="00C63331"/>
    <w:rsid w:val="00C6389B"/>
    <w:rsid w:val="00C6430B"/>
    <w:rsid w:val="00C651DC"/>
    <w:rsid w:val="00C65315"/>
    <w:rsid w:val="00C6562A"/>
    <w:rsid w:val="00C6563E"/>
    <w:rsid w:val="00C6602F"/>
    <w:rsid w:val="00C6671C"/>
    <w:rsid w:val="00C66921"/>
    <w:rsid w:val="00C66947"/>
    <w:rsid w:val="00C66EBC"/>
    <w:rsid w:val="00C66F3D"/>
    <w:rsid w:val="00C6711C"/>
    <w:rsid w:val="00C67360"/>
    <w:rsid w:val="00C67E14"/>
    <w:rsid w:val="00C67F51"/>
    <w:rsid w:val="00C67F61"/>
    <w:rsid w:val="00C70746"/>
    <w:rsid w:val="00C70A25"/>
    <w:rsid w:val="00C715C7"/>
    <w:rsid w:val="00C71968"/>
    <w:rsid w:val="00C7198A"/>
    <w:rsid w:val="00C7207A"/>
    <w:rsid w:val="00C7286F"/>
    <w:rsid w:val="00C72F14"/>
    <w:rsid w:val="00C73336"/>
    <w:rsid w:val="00C73707"/>
    <w:rsid w:val="00C74087"/>
    <w:rsid w:val="00C7575F"/>
    <w:rsid w:val="00C757D7"/>
    <w:rsid w:val="00C75986"/>
    <w:rsid w:val="00C75CC6"/>
    <w:rsid w:val="00C75D1C"/>
    <w:rsid w:val="00C7636A"/>
    <w:rsid w:val="00C76410"/>
    <w:rsid w:val="00C7666E"/>
    <w:rsid w:val="00C76BB2"/>
    <w:rsid w:val="00C76D95"/>
    <w:rsid w:val="00C775A7"/>
    <w:rsid w:val="00C77607"/>
    <w:rsid w:val="00C77AE8"/>
    <w:rsid w:val="00C80811"/>
    <w:rsid w:val="00C80E9E"/>
    <w:rsid w:val="00C8141F"/>
    <w:rsid w:val="00C814CD"/>
    <w:rsid w:val="00C82FC4"/>
    <w:rsid w:val="00C82FE7"/>
    <w:rsid w:val="00C840C5"/>
    <w:rsid w:val="00C841B4"/>
    <w:rsid w:val="00C844BC"/>
    <w:rsid w:val="00C8505C"/>
    <w:rsid w:val="00C854B0"/>
    <w:rsid w:val="00C85D44"/>
    <w:rsid w:val="00C85DFF"/>
    <w:rsid w:val="00C85FD4"/>
    <w:rsid w:val="00C86215"/>
    <w:rsid w:val="00C87158"/>
    <w:rsid w:val="00C873C9"/>
    <w:rsid w:val="00C879A0"/>
    <w:rsid w:val="00C87A09"/>
    <w:rsid w:val="00C87A77"/>
    <w:rsid w:val="00C87D79"/>
    <w:rsid w:val="00C90068"/>
    <w:rsid w:val="00C90240"/>
    <w:rsid w:val="00C902AB"/>
    <w:rsid w:val="00C9063C"/>
    <w:rsid w:val="00C9107E"/>
    <w:rsid w:val="00C918FB"/>
    <w:rsid w:val="00C91AE9"/>
    <w:rsid w:val="00C91D60"/>
    <w:rsid w:val="00C92141"/>
    <w:rsid w:val="00C9238A"/>
    <w:rsid w:val="00C923A7"/>
    <w:rsid w:val="00C928C2"/>
    <w:rsid w:val="00C92BE1"/>
    <w:rsid w:val="00C92FB6"/>
    <w:rsid w:val="00C93144"/>
    <w:rsid w:val="00C93236"/>
    <w:rsid w:val="00C93E2C"/>
    <w:rsid w:val="00C93F1D"/>
    <w:rsid w:val="00C940DD"/>
    <w:rsid w:val="00C945EC"/>
    <w:rsid w:val="00C94CC7"/>
    <w:rsid w:val="00C94EE5"/>
    <w:rsid w:val="00C951EB"/>
    <w:rsid w:val="00C95360"/>
    <w:rsid w:val="00C95529"/>
    <w:rsid w:val="00C96126"/>
    <w:rsid w:val="00C961FD"/>
    <w:rsid w:val="00C96485"/>
    <w:rsid w:val="00C970BB"/>
    <w:rsid w:val="00C9753F"/>
    <w:rsid w:val="00C976D2"/>
    <w:rsid w:val="00C977B3"/>
    <w:rsid w:val="00C97D61"/>
    <w:rsid w:val="00CA009E"/>
    <w:rsid w:val="00CA04A5"/>
    <w:rsid w:val="00CA0F21"/>
    <w:rsid w:val="00CA0F7A"/>
    <w:rsid w:val="00CA0FC6"/>
    <w:rsid w:val="00CA1188"/>
    <w:rsid w:val="00CA1435"/>
    <w:rsid w:val="00CA2010"/>
    <w:rsid w:val="00CA21E2"/>
    <w:rsid w:val="00CA25E0"/>
    <w:rsid w:val="00CA29C9"/>
    <w:rsid w:val="00CA2F1D"/>
    <w:rsid w:val="00CA314F"/>
    <w:rsid w:val="00CA3230"/>
    <w:rsid w:val="00CA3524"/>
    <w:rsid w:val="00CA37E1"/>
    <w:rsid w:val="00CA3E9B"/>
    <w:rsid w:val="00CA4576"/>
    <w:rsid w:val="00CA5BB8"/>
    <w:rsid w:val="00CA5D1F"/>
    <w:rsid w:val="00CA5E2B"/>
    <w:rsid w:val="00CA6057"/>
    <w:rsid w:val="00CA60E6"/>
    <w:rsid w:val="00CA62CB"/>
    <w:rsid w:val="00CA644E"/>
    <w:rsid w:val="00CA6D40"/>
    <w:rsid w:val="00CA6EE4"/>
    <w:rsid w:val="00CA74CD"/>
    <w:rsid w:val="00CA7759"/>
    <w:rsid w:val="00CA7A0E"/>
    <w:rsid w:val="00CB01E1"/>
    <w:rsid w:val="00CB1011"/>
    <w:rsid w:val="00CB134C"/>
    <w:rsid w:val="00CB13D2"/>
    <w:rsid w:val="00CB14A3"/>
    <w:rsid w:val="00CB178F"/>
    <w:rsid w:val="00CB192B"/>
    <w:rsid w:val="00CB1C5E"/>
    <w:rsid w:val="00CB1D90"/>
    <w:rsid w:val="00CB208C"/>
    <w:rsid w:val="00CB2C30"/>
    <w:rsid w:val="00CB2DAD"/>
    <w:rsid w:val="00CB2DFD"/>
    <w:rsid w:val="00CB307A"/>
    <w:rsid w:val="00CB323D"/>
    <w:rsid w:val="00CB3D6E"/>
    <w:rsid w:val="00CB3F42"/>
    <w:rsid w:val="00CB452D"/>
    <w:rsid w:val="00CB4568"/>
    <w:rsid w:val="00CB4B66"/>
    <w:rsid w:val="00CB4F8A"/>
    <w:rsid w:val="00CB579D"/>
    <w:rsid w:val="00CB5803"/>
    <w:rsid w:val="00CB5D22"/>
    <w:rsid w:val="00CB5F59"/>
    <w:rsid w:val="00CB62A9"/>
    <w:rsid w:val="00CB6335"/>
    <w:rsid w:val="00CB6BE1"/>
    <w:rsid w:val="00CB6EA7"/>
    <w:rsid w:val="00CB7077"/>
    <w:rsid w:val="00CB7183"/>
    <w:rsid w:val="00CB7814"/>
    <w:rsid w:val="00CB794B"/>
    <w:rsid w:val="00CC04E8"/>
    <w:rsid w:val="00CC17BC"/>
    <w:rsid w:val="00CC19B1"/>
    <w:rsid w:val="00CC2EFA"/>
    <w:rsid w:val="00CC3521"/>
    <w:rsid w:val="00CC3644"/>
    <w:rsid w:val="00CC3ABC"/>
    <w:rsid w:val="00CC3AFD"/>
    <w:rsid w:val="00CC3FC5"/>
    <w:rsid w:val="00CC3FEF"/>
    <w:rsid w:val="00CC44B3"/>
    <w:rsid w:val="00CC4D98"/>
    <w:rsid w:val="00CC4E82"/>
    <w:rsid w:val="00CC4F68"/>
    <w:rsid w:val="00CC50B9"/>
    <w:rsid w:val="00CC51E7"/>
    <w:rsid w:val="00CC568B"/>
    <w:rsid w:val="00CC6756"/>
    <w:rsid w:val="00CC67FE"/>
    <w:rsid w:val="00CC6C7A"/>
    <w:rsid w:val="00CC7BFE"/>
    <w:rsid w:val="00CD01A7"/>
    <w:rsid w:val="00CD0897"/>
    <w:rsid w:val="00CD0A34"/>
    <w:rsid w:val="00CD0DD6"/>
    <w:rsid w:val="00CD0E86"/>
    <w:rsid w:val="00CD1466"/>
    <w:rsid w:val="00CD14CF"/>
    <w:rsid w:val="00CD1539"/>
    <w:rsid w:val="00CD181E"/>
    <w:rsid w:val="00CD1EE7"/>
    <w:rsid w:val="00CD239B"/>
    <w:rsid w:val="00CD239D"/>
    <w:rsid w:val="00CD23F7"/>
    <w:rsid w:val="00CD2C47"/>
    <w:rsid w:val="00CD345B"/>
    <w:rsid w:val="00CD3625"/>
    <w:rsid w:val="00CD37F1"/>
    <w:rsid w:val="00CD3E17"/>
    <w:rsid w:val="00CD4042"/>
    <w:rsid w:val="00CD43BB"/>
    <w:rsid w:val="00CD43C7"/>
    <w:rsid w:val="00CD519A"/>
    <w:rsid w:val="00CD5F0F"/>
    <w:rsid w:val="00CD5F68"/>
    <w:rsid w:val="00CD6338"/>
    <w:rsid w:val="00CD644A"/>
    <w:rsid w:val="00CD6F5A"/>
    <w:rsid w:val="00CD6F8C"/>
    <w:rsid w:val="00CD76FB"/>
    <w:rsid w:val="00CD78D5"/>
    <w:rsid w:val="00CD7912"/>
    <w:rsid w:val="00CE04F8"/>
    <w:rsid w:val="00CE098F"/>
    <w:rsid w:val="00CE0B21"/>
    <w:rsid w:val="00CE0D38"/>
    <w:rsid w:val="00CE110F"/>
    <w:rsid w:val="00CE1152"/>
    <w:rsid w:val="00CE11BC"/>
    <w:rsid w:val="00CE136B"/>
    <w:rsid w:val="00CE14D6"/>
    <w:rsid w:val="00CE23B5"/>
    <w:rsid w:val="00CE248E"/>
    <w:rsid w:val="00CE26DA"/>
    <w:rsid w:val="00CE3083"/>
    <w:rsid w:val="00CE30D8"/>
    <w:rsid w:val="00CE3598"/>
    <w:rsid w:val="00CE3A0E"/>
    <w:rsid w:val="00CE3B8A"/>
    <w:rsid w:val="00CE3C52"/>
    <w:rsid w:val="00CE3E65"/>
    <w:rsid w:val="00CE475D"/>
    <w:rsid w:val="00CE47AA"/>
    <w:rsid w:val="00CE54FF"/>
    <w:rsid w:val="00CE5A1C"/>
    <w:rsid w:val="00CE5CBD"/>
    <w:rsid w:val="00CE5D3E"/>
    <w:rsid w:val="00CE606E"/>
    <w:rsid w:val="00CE648F"/>
    <w:rsid w:val="00CE68F3"/>
    <w:rsid w:val="00CF079E"/>
    <w:rsid w:val="00CF0846"/>
    <w:rsid w:val="00CF09F2"/>
    <w:rsid w:val="00CF0CC5"/>
    <w:rsid w:val="00CF0EE2"/>
    <w:rsid w:val="00CF1172"/>
    <w:rsid w:val="00CF1B8F"/>
    <w:rsid w:val="00CF1CA8"/>
    <w:rsid w:val="00CF3227"/>
    <w:rsid w:val="00CF3362"/>
    <w:rsid w:val="00CF3784"/>
    <w:rsid w:val="00CF3D56"/>
    <w:rsid w:val="00CF461E"/>
    <w:rsid w:val="00CF4D9C"/>
    <w:rsid w:val="00CF5040"/>
    <w:rsid w:val="00CF5423"/>
    <w:rsid w:val="00CF58D4"/>
    <w:rsid w:val="00CF5BFD"/>
    <w:rsid w:val="00CF5FAC"/>
    <w:rsid w:val="00CF6333"/>
    <w:rsid w:val="00CF6C37"/>
    <w:rsid w:val="00CF6C45"/>
    <w:rsid w:val="00CF7C7A"/>
    <w:rsid w:val="00D003F2"/>
    <w:rsid w:val="00D005E9"/>
    <w:rsid w:val="00D015F0"/>
    <w:rsid w:val="00D018EA"/>
    <w:rsid w:val="00D01C22"/>
    <w:rsid w:val="00D01FF8"/>
    <w:rsid w:val="00D023F7"/>
    <w:rsid w:val="00D025C3"/>
    <w:rsid w:val="00D0265F"/>
    <w:rsid w:val="00D02A2D"/>
    <w:rsid w:val="00D02E3A"/>
    <w:rsid w:val="00D02E7D"/>
    <w:rsid w:val="00D0306A"/>
    <w:rsid w:val="00D037B8"/>
    <w:rsid w:val="00D03C63"/>
    <w:rsid w:val="00D04EC6"/>
    <w:rsid w:val="00D05D49"/>
    <w:rsid w:val="00D05EB8"/>
    <w:rsid w:val="00D05F8E"/>
    <w:rsid w:val="00D0628A"/>
    <w:rsid w:val="00D06290"/>
    <w:rsid w:val="00D068B6"/>
    <w:rsid w:val="00D07367"/>
    <w:rsid w:val="00D07714"/>
    <w:rsid w:val="00D0775E"/>
    <w:rsid w:val="00D0776F"/>
    <w:rsid w:val="00D07AF7"/>
    <w:rsid w:val="00D105A9"/>
    <w:rsid w:val="00D10719"/>
    <w:rsid w:val="00D10765"/>
    <w:rsid w:val="00D1090E"/>
    <w:rsid w:val="00D11C1C"/>
    <w:rsid w:val="00D11DD1"/>
    <w:rsid w:val="00D12D2C"/>
    <w:rsid w:val="00D12DA4"/>
    <w:rsid w:val="00D12F34"/>
    <w:rsid w:val="00D1321F"/>
    <w:rsid w:val="00D13327"/>
    <w:rsid w:val="00D13603"/>
    <w:rsid w:val="00D13861"/>
    <w:rsid w:val="00D1391F"/>
    <w:rsid w:val="00D14241"/>
    <w:rsid w:val="00D142B3"/>
    <w:rsid w:val="00D14599"/>
    <w:rsid w:val="00D152CA"/>
    <w:rsid w:val="00D1547B"/>
    <w:rsid w:val="00D15F20"/>
    <w:rsid w:val="00D162EB"/>
    <w:rsid w:val="00D16543"/>
    <w:rsid w:val="00D16B03"/>
    <w:rsid w:val="00D16EDA"/>
    <w:rsid w:val="00D177C2"/>
    <w:rsid w:val="00D2015A"/>
    <w:rsid w:val="00D202E5"/>
    <w:rsid w:val="00D20312"/>
    <w:rsid w:val="00D2031E"/>
    <w:rsid w:val="00D20E61"/>
    <w:rsid w:val="00D2104D"/>
    <w:rsid w:val="00D2110F"/>
    <w:rsid w:val="00D21547"/>
    <w:rsid w:val="00D21A8C"/>
    <w:rsid w:val="00D21F11"/>
    <w:rsid w:val="00D224DF"/>
    <w:rsid w:val="00D2252F"/>
    <w:rsid w:val="00D22AAB"/>
    <w:rsid w:val="00D22AF9"/>
    <w:rsid w:val="00D22B17"/>
    <w:rsid w:val="00D22DAB"/>
    <w:rsid w:val="00D23061"/>
    <w:rsid w:val="00D238DE"/>
    <w:rsid w:val="00D23B76"/>
    <w:rsid w:val="00D24827"/>
    <w:rsid w:val="00D248B1"/>
    <w:rsid w:val="00D24A4F"/>
    <w:rsid w:val="00D25D80"/>
    <w:rsid w:val="00D264F5"/>
    <w:rsid w:val="00D267E4"/>
    <w:rsid w:val="00D26892"/>
    <w:rsid w:val="00D26A17"/>
    <w:rsid w:val="00D26FCF"/>
    <w:rsid w:val="00D27A95"/>
    <w:rsid w:val="00D27CE8"/>
    <w:rsid w:val="00D3003D"/>
    <w:rsid w:val="00D30047"/>
    <w:rsid w:val="00D305D2"/>
    <w:rsid w:val="00D30C2C"/>
    <w:rsid w:val="00D30D8C"/>
    <w:rsid w:val="00D31902"/>
    <w:rsid w:val="00D31DA6"/>
    <w:rsid w:val="00D328F6"/>
    <w:rsid w:val="00D32954"/>
    <w:rsid w:val="00D334C8"/>
    <w:rsid w:val="00D3393D"/>
    <w:rsid w:val="00D34223"/>
    <w:rsid w:val="00D348F1"/>
    <w:rsid w:val="00D3557D"/>
    <w:rsid w:val="00D366FE"/>
    <w:rsid w:val="00D3678C"/>
    <w:rsid w:val="00D36D2B"/>
    <w:rsid w:val="00D37033"/>
    <w:rsid w:val="00D3726B"/>
    <w:rsid w:val="00D37743"/>
    <w:rsid w:val="00D40086"/>
    <w:rsid w:val="00D4010C"/>
    <w:rsid w:val="00D401E7"/>
    <w:rsid w:val="00D405D7"/>
    <w:rsid w:val="00D406EA"/>
    <w:rsid w:val="00D407D6"/>
    <w:rsid w:val="00D414C7"/>
    <w:rsid w:val="00D4175E"/>
    <w:rsid w:val="00D4237A"/>
    <w:rsid w:val="00D423D0"/>
    <w:rsid w:val="00D426FA"/>
    <w:rsid w:val="00D42A73"/>
    <w:rsid w:val="00D43399"/>
    <w:rsid w:val="00D43553"/>
    <w:rsid w:val="00D439FB"/>
    <w:rsid w:val="00D447F5"/>
    <w:rsid w:val="00D44E96"/>
    <w:rsid w:val="00D468E3"/>
    <w:rsid w:val="00D469EF"/>
    <w:rsid w:val="00D4711B"/>
    <w:rsid w:val="00D476D0"/>
    <w:rsid w:val="00D479DF"/>
    <w:rsid w:val="00D50CEE"/>
    <w:rsid w:val="00D51025"/>
    <w:rsid w:val="00D51136"/>
    <w:rsid w:val="00D51AD8"/>
    <w:rsid w:val="00D51CCC"/>
    <w:rsid w:val="00D51D48"/>
    <w:rsid w:val="00D5202C"/>
    <w:rsid w:val="00D5234E"/>
    <w:rsid w:val="00D530A5"/>
    <w:rsid w:val="00D53255"/>
    <w:rsid w:val="00D533AA"/>
    <w:rsid w:val="00D545E0"/>
    <w:rsid w:val="00D54FD1"/>
    <w:rsid w:val="00D55918"/>
    <w:rsid w:val="00D55A0F"/>
    <w:rsid w:val="00D55B04"/>
    <w:rsid w:val="00D55ED7"/>
    <w:rsid w:val="00D55F1F"/>
    <w:rsid w:val="00D5646F"/>
    <w:rsid w:val="00D56508"/>
    <w:rsid w:val="00D56559"/>
    <w:rsid w:val="00D5677D"/>
    <w:rsid w:val="00D56B8D"/>
    <w:rsid w:val="00D56BC3"/>
    <w:rsid w:val="00D57299"/>
    <w:rsid w:val="00D574E1"/>
    <w:rsid w:val="00D578AE"/>
    <w:rsid w:val="00D578F6"/>
    <w:rsid w:val="00D602A3"/>
    <w:rsid w:val="00D604B8"/>
    <w:rsid w:val="00D6055C"/>
    <w:rsid w:val="00D60650"/>
    <w:rsid w:val="00D6074A"/>
    <w:rsid w:val="00D609D4"/>
    <w:rsid w:val="00D60A0D"/>
    <w:rsid w:val="00D60FDF"/>
    <w:rsid w:val="00D61076"/>
    <w:rsid w:val="00D6147B"/>
    <w:rsid w:val="00D6185A"/>
    <w:rsid w:val="00D61C6A"/>
    <w:rsid w:val="00D61D6B"/>
    <w:rsid w:val="00D6232E"/>
    <w:rsid w:val="00D62BDE"/>
    <w:rsid w:val="00D637D1"/>
    <w:rsid w:val="00D63966"/>
    <w:rsid w:val="00D63A5B"/>
    <w:rsid w:val="00D63AF0"/>
    <w:rsid w:val="00D63CB7"/>
    <w:rsid w:val="00D64237"/>
    <w:rsid w:val="00D64647"/>
    <w:rsid w:val="00D65109"/>
    <w:rsid w:val="00D65E2D"/>
    <w:rsid w:val="00D65EBE"/>
    <w:rsid w:val="00D6600F"/>
    <w:rsid w:val="00D660E9"/>
    <w:rsid w:val="00D6629E"/>
    <w:rsid w:val="00D662D6"/>
    <w:rsid w:val="00D662EF"/>
    <w:rsid w:val="00D66423"/>
    <w:rsid w:val="00D66E1E"/>
    <w:rsid w:val="00D66E34"/>
    <w:rsid w:val="00D678BC"/>
    <w:rsid w:val="00D679B3"/>
    <w:rsid w:val="00D67C7E"/>
    <w:rsid w:val="00D701F2"/>
    <w:rsid w:val="00D70471"/>
    <w:rsid w:val="00D706E3"/>
    <w:rsid w:val="00D70B39"/>
    <w:rsid w:val="00D70CE8"/>
    <w:rsid w:val="00D70DCD"/>
    <w:rsid w:val="00D711BD"/>
    <w:rsid w:val="00D71678"/>
    <w:rsid w:val="00D718EE"/>
    <w:rsid w:val="00D71F4E"/>
    <w:rsid w:val="00D72E22"/>
    <w:rsid w:val="00D7363C"/>
    <w:rsid w:val="00D737BD"/>
    <w:rsid w:val="00D73B64"/>
    <w:rsid w:val="00D74412"/>
    <w:rsid w:val="00D74521"/>
    <w:rsid w:val="00D749C6"/>
    <w:rsid w:val="00D749EE"/>
    <w:rsid w:val="00D74A0C"/>
    <w:rsid w:val="00D74FBB"/>
    <w:rsid w:val="00D75497"/>
    <w:rsid w:val="00D76105"/>
    <w:rsid w:val="00D7655F"/>
    <w:rsid w:val="00D76F0A"/>
    <w:rsid w:val="00D772B9"/>
    <w:rsid w:val="00D77796"/>
    <w:rsid w:val="00D77B24"/>
    <w:rsid w:val="00D8084B"/>
    <w:rsid w:val="00D80D37"/>
    <w:rsid w:val="00D80E07"/>
    <w:rsid w:val="00D8167B"/>
    <w:rsid w:val="00D82464"/>
    <w:rsid w:val="00D82F71"/>
    <w:rsid w:val="00D83046"/>
    <w:rsid w:val="00D8317B"/>
    <w:rsid w:val="00D834CA"/>
    <w:rsid w:val="00D84388"/>
    <w:rsid w:val="00D8460E"/>
    <w:rsid w:val="00D84B31"/>
    <w:rsid w:val="00D87901"/>
    <w:rsid w:val="00D87D30"/>
    <w:rsid w:val="00D9080D"/>
    <w:rsid w:val="00D9090B"/>
    <w:rsid w:val="00D9092F"/>
    <w:rsid w:val="00D90DB3"/>
    <w:rsid w:val="00D9144F"/>
    <w:rsid w:val="00D916C7"/>
    <w:rsid w:val="00D91FFA"/>
    <w:rsid w:val="00D92082"/>
    <w:rsid w:val="00D9209C"/>
    <w:rsid w:val="00D92373"/>
    <w:rsid w:val="00D93886"/>
    <w:rsid w:val="00D94093"/>
    <w:rsid w:val="00D94A36"/>
    <w:rsid w:val="00D94C7C"/>
    <w:rsid w:val="00D9510C"/>
    <w:rsid w:val="00D95195"/>
    <w:rsid w:val="00D953C6"/>
    <w:rsid w:val="00D957C9"/>
    <w:rsid w:val="00D95B15"/>
    <w:rsid w:val="00D9610A"/>
    <w:rsid w:val="00D9629D"/>
    <w:rsid w:val="00D96766"/>
    <w:rsid w:val="00D97365"/>
    <w:rsid w:val="00D97833"/>
    <w:rsid w:val="00D979E9"/>
    <w:rsid w:val="00D97B63"/>
    <w:rsid w:val="00D97DCD"/>
    <w:rsid w:val="00DA051F"/>
    <w:rsid w:val="00DA08E0"/>
    <w:rsid w:val="00DA0D34"/>
    <w:rsid w:val="00DA1404"/>
    <w:rsid w:val="00DA1547"/>
    <w:rsid w:val="00DA16BD"/>
    <w:rsid w:val="00DA1A1A"/>
    <w:rsid w:val="00DA1EE9"/>
    <w:rsid w:val="00DA2031"/>
    <w:rsid w:val="00DA29EB"/>
    <w:rsid w:val="00DA2D17"/>
    <w:rsid w:val="00DA2D7F"/>
    <w:rsid w:val="00DA367A"/>
    <w:rsid w:val="00DA47C0"/>
    <w:rsid w:val="00DA4C10"/>
    <w:rsid w:val="00DA57CE"/>
    <w:rsid w:val="00DA5B37"/>
    <w:rsid w:val="00DA5B96"/>
    <w:rsid w:val="00DA62E5"/>
    <w:rsid w:val="00DA68F2"/>
    <w:rsid w:val="00DA733B"/>
    <w:rsid w:val="00DA75A3"/>
    <w:rsid w:val="00DB07EC"/>
    <w:rsid w:val="00DB08F9"/>
    <w:rsid w:val="00DB0F41"/>
    <w:rsid w:val="00DB180F"/>
    <w:rsid w:val="00DB1D88"/>
    <w:rsid w:val="00DB1D95"/>
    <w:rsid w:val="00DB2476"/>
    <w:rsid w:val="00DB27FC"/>
    <w:rsid w:val="00DB2A70"/>
    <w:rsid w:val="00DB2D77"/>
    <w:rsid w:val="00DB319E"/>
    <w:rsid w:val="00DB3A46"/>
    <w:rsid w:val="00DB47DB"/>
    <w:rsid w:val="00DB49E7"/>
    <w:rsid w:val="00DB4D9F"/>
    <w:rsid w:val="00DB54F6"/>
    <w:rsid w:val="00DB5669"/>
    <w:rsid w:val="00DB5F4A"/>
    <w:rsid w:val="00DB6A7D"/>
    <w:rsid w:val="00DB6BF2"/>
    <w:rsid w:val="00DB7174"/>
    <w:rsid w:val="00DB7325"/>
    <w:rsid w:val="00DB7D3E"/>
    <w:rsid w:val="00DC050F"/>
    <w:rsid w:val="00DC1135"/>
    <w:rsid w:val="00DC1931"/>
    <w:rsid w:val="00DC2B7E"/>
    <w:rsid w:val="00DC30AA"/>
    <w:rsid w:val="00DC3145"/>
    <w:rsid w:val="00DC32BA"/>
    <w:rsid w:val="00DC47FA"/>
    <w:rsid w:val="00DC4E0A"/>
    <w:rsid w:val="00DC5320"/>
    <w:rsid w:val="00DC57F6"/>
    <w:rsid w:val="00DC69F9"/>
    <w:rsid w:val="00DC6B75"/>
    <w:rsid w:val="00DC6D8E"/>
    <w:rsid w:val="00DD020C"/>
    <w:rsid w:val="00DD0486"/>
    <w:rsid w:val="00DD0852"/>
    <w:rsid w:val="00DD1710"/>
    <w:rsid w:val="00DD1A9B"/>
    <w:rsid w:val="00DD1AD5"/>
    <w:rsid w:val="00DD1CB9"/>
    <w:rsid w:val="00DD2332"/>
    <w:rsid w:val="00DD288E"/>
    <w:rsid w:val="00DD2923"/>
    <w:rsid w:val="00DD2EFD"/>
    <w:rsid w:val="00DD3200"/>
    <w:rsid w:val="00DD3345"/>
    <w:rsid w:val="00DD3D57"/>
    <w:rsid w:val="00DD3D83"/>
    <w:rsid w:val="00DD416C"/>
    <w:rsid w:val="00DD41AE"/>
    <w:rsid w:val="00DD4E81"/>
    <w:rsid w:val="00DD5467"/>
    <w:rsid w:val="00DD6515"/>
    <w:rsid w:val="00DD6577"/>
    <w:rsid w:val="00DD68D8"/>
    <w:rsid w:val="00DD6D27"/>
    <w:rsid w:val="00DD6D5C"/>
    <w:rsid w:val="00DD6ECA"/>
    <w:rsid w:val="00DD752B"/>
    <w:rsid w:val="00DE109E"/>
    <w:rsid w:val="00DE1495"/>
    <w:rsid w:val="00DE29A4"/>
    <w:rsid w:val="00DE2A83"/>
    <w:rsid w:val="00DE2E94"/>
    <w:rsid w:val="00DE31CE"/>
    <w:rsid w:val="00DE34BC"/>
    <w:rsid w:val="00DE3BFF"/>
    <w:rsid w:val="00DE3D61"/>
    <w:rsid w:val="00DE3D9D"/>
    <w:rsid w:val="00DE4140"/>
    <w:rsid w:val="00DE41A5"/>
    <w:rsid w:val="00DE44F5"/>
    <w:rsid w:val="00DE459E"/>
    <w:rsid w:val="00DE45EF"/>
    <w:rsid w:val="00DE51C3"/>
    <w:rsid w:val="00DE55BC"/>
    <w:rsid w:val="00DE5785"/>
    <w:rsid w:val="00DE5835"/>
    <w:rsid w:val="00DE6136"/>
    <w:rsid w:val="00DE6476"/>
    <w:rsid w:val="00DE64FA"/>
    <w:rsid w:val="00DE66E5"/>
    <w:rsid w:val="00DE6B9A"/>
    <w:rsid w:val="00DE7478"/>
    <w:rsid w:val="00DF00EA"/>
    <w:rsid w:val="00DF03CB"/>
    <w:rsid w:val="00DF03E2"/>
    <w:rsid w:val="00DF0FC1"/>
    <w:rsid w:val="00DF1B6C"/>
    <w:rsid w:val="00DF1B99"/>
    <w:rsid w:val="00DF2052"/>
    <w:rsid w:val="00DF271C"/>
    <w:rsid w:val="00DF27E5"/>
    <w:rsid w:val="00DF27F0"/>
    <w:rsid w:val="00DF2FE9"/>
    <w:rsid w:val="00DF399E"/>
    <w:rsid w:val="00DF3EA0"/>
    <w:rsid w:val="00DF3ED6"/>
    <w:rsid w:val="00DF40AB"/>
    <w:rsid w:val="00DF4806"/>
    <w:rsid w:val="00DF5419"/>
    <w:rsid w:val="00DF5A58"/>
    <w:rsid w:val="00DF5D1E"/>
    <w:rsid w:val="00DF688E"/>
    <w:rsid w:val="00DF6FAC"/>
    <w:rsid w:val="00DF7917"/>
    <w:rsid w:val="00E00D3D"/>
    <w:rsid w:val="00E00FAA"/>
    <w:rsid w:val="00E02158"/>
    <w:rsid w:val="00E02F4A"/>
    <w:rsid w:val="00E03143"/>
    <w:rsid w:val="00E0349E"/>
    <w:rsid w:val="00E034D6"/>
    <w:rsid w:val="00E0429F"/>
    <w:rsid w:val="00E0498A"/>
    <w:rsid w:val="00E04B0E"/>
    <w:rsid w:val="00E052CF"/>
    <w:rsid w:val="00E05607"/>
    <w:rsid w:val="00E05AE6"/>
    <w:rsid w:val="00E06525"/>
    <w:rsid w:val="00E06D0B"/>
    <w:rsid w:val="00E06E95"/>
    <w:rsid w:val="00E06FEB"/>
    <w:rsid w:val="00E10025"/>
    <w:rsid w:val="00E10A2A"/>
    <w:rsid w:val="00E10FE4"/>
    <w:rsid w:val="00E110C9"/>
    <w:rsid w:val="00E1114F"/>
    <w:rsid w:val="00E1171D"/>
    <w:rsid w:val="00E11737"/>
    <w:rsid w:val="00E11B20"/>
    <w:rsid w:val="00E1230C"/>
    <w:rsid w:val="00E12EFF"/>
    <w:rsid w:val="00E132EA"/>
    <w:rsid w:val="00E13637"/>
    <w:rsid w:val="00E13646"/>
    <w:rsid w:val="00E13867"/>
    <w:rsid w:val="00E140D7"/>
    <w:rsid w:val="00E142CF"/>
    <w:rsid w:val="00E1518A"/>
    <w:rsid w:val="00E15AC0"/>
    <w:rsid w:val="00E15FD2"/>
    <w:rsid w:val="00E161C6"/>
    <w:rsid w:val="00E161CE"/>
    <w:rsid w:val="00E162EE"/>
    <w:rsid w:val="00E1645E"/>
    <w:rsid w:val="00E16C06"/>
    <w:rsid w:val="00E16EA2"/>
    <w:rsid w:val="00E17A00"/>
    <w:rsid w:val="00E20715"/>
    <w:rsid w:val="00E20B91"/>
    <w:rsid w:val="00E2110B"/>
    <w:rsid w:val="00E21313"/>
    <w:rsid w:val="00E2173F"/>
    <w:rsid w:val="00E21997"/>
    <w:rsid w:val="00E22499"/>
    <w:rsid w:val="00E227DC"/>
    <w:rsid w:val="00E22BE4"/>
    <w:rsid w:val="00E22C8B"/>
    <w:rsid w:val="00E2329E"/>
    <w:rsid w:val="00E23482"/>
    <w:rsid w:val="00E239E1"/>
    <w:rsid w:val="00E2455E"/>
    <w:rsid w:val="00E24D96"/>
    <w:rsid w:val="00E2535C"/>
    <w:rsid w:val="00E254CF"/>
    <w:rsid w:val="00E257A6"/>
    <w:rsid w:val="00E25C99"/>
    <w:rsid w:val="00E25E6F"/>
    <w:rsid w:val="00E25EF6"/>
    <w:rsid w:val="00E2610D"/>
    <w:rsid w:val="00E267F9"/>
    <w:rsid w:val="00E268BD"/>
    <w:rsid w:val="00E26E16"/>
    <w:rsid w:val="00E306DC"/>
    <w:rsid w:val="00E3081E"/>
    <w:rsid w:val="00E30A86"/>
    <w:rsid w:val="00E312BB"/>
    <w:rsid w:val="00E31A4F"/>
    <w:rsid w:val="00E3206A"/>
    <w:rsid w:val="00E32994"/>
    <w:rsid w:val="00E33631"/>
    <w:rsid w:val="00E3364D"/>
    <w:rsid w:val="00E36158"/>
    <w:rsid w:val="00E3674F"/>
    <w:rsid w:val="00E368FD"/>
    <w:rsid w:val="00E36D15"/>
    <w:rsid w:val="00E37427"/>
    <w:rsid w:val="00E3742A"/>
    <w:rsid w:val="00E37864"/>
    <w:rsid w:val="00E3788A"/>
    <w:rsid w:val="00E37D1C"/>
    <w:rsid w:val="00E40437"/>
    <w:rsid w:val="00E40444"/>
    <w:rsid w:val="00E40510"/>
    <w:rsid w:val="00E40A6C"/>
    <w:rsid w:val="00E411BF"/>
    <w:rsid w:val="00E4192B"/>
    <w:rsid w:val="00E42682"/>
    <w:rsid w:val="00E42714"/>
    <w:rsid w:val="00E42917"/>
    <w:rsid w:val="00E42B5E"/>
    <w:rsid w:val="00E42BD6"/>
    <w:rsid w:val="00E42DC6"/>
    <w:rsid w:val="00E430BA"/>
    <w:rsid w:val="00E438C5"/>
    <w:rsid w:val="00E43DF6"/>
    <w:rsid w:val="00E44E58"/>
    <w:rsid w:val="00E459F9"/>
    <w:rsid w:val="00E45D61"/>
    <w:rsid w:val="00E46712"/>
    <w:rsid w:val="00E46DF1"/>
    <w:rsid w:val="00E47E70"/>
    <w:rsid w:val="00E47F44"/>
    <w:rsid w:val="00E50499"/>
    <w:rsid w:val="00E505CD"/>
    <w:rsid w:val="00E50649"/>
    <w:rsid w:val="00E507BC"/>
    <w:rsid w:val="00E516E0"/>
    <w:rsid w:val="00E52526"/>
    <w:rsid w:val="00E528B8"/>
    <w:rsid w:val="00E52DDD"/>
    <w:rsid w:val="00E530E1"/>
    <w:rsid w:val="00E53548"/>
    <w:rsid w:val="00E537A8"/>
    <w:rsid w:val="00E5449A"/>
    <w:rsid w:val="00E54B89"/>
    <w:rsid w:val="00E551EB"/>
    <w:rsid w:val="00E558B3"/>
    <w:rsid w:val="00E55AC6"/>
    <w:rsid w:val="00E55FA3"/>
    <w:rsid w:val="00E5603D"/>
    <w:rsid w:val="00E56334"/>
    <w:rsid w:val="00E5645E"/>
    <w:rsid w:val="00E568B7"/>
    <w:rsid w:val="00E600A0"/>
    <w:rsid w:val="00E600C8"/>
    <w:rsid w:val="00E602F6"/>
    <w:rsid w:val="00E60B2A"/>
    <w:rsid w:val="00E60FD2"/>
    <w:rsid w:val="00E61BCF"/>
    <w:rsid w:val="00E61CA6"/>
    <w:rsid w:val="00E61E6C"/>
    <w:rsid w:val="00E620DC"/>
    <w:rsid w:val="00E62493"/>
    <w:rsid w:val="00E62A19"/>
    <w:rsid w:val="00E62A5B"/>
    <w:rsid w:val="00E62B1B"/>
    <w:rsid w:val="00E62C17"/>
    <w:rsid w:val="00E62F2C"/>
    <w:rsid w:val="00E63200"/>
    <w:rsid w:val="00E6345D"/>
    <w:rsid w:val="00E64395"/>
    <w:rsid w:val="00E645A8"/>
    <w:rsid w:val="00E6462A"/>
    <w:rsid w:val="00E65900"/>
    <w:rsid w:val="00E65ACE"/>
    <w:rsid w:val="00E65AD8"/>
    <w:rsid w:val="00E66598"/>
    <w:rsid w:val="00E66909"/>
    <w:rsid w:val="00E66B78"/>
    <w:rsid w:val="00E66D20"/>
    <w:rsid w:val="00E66F9A"/>
    <w:rsid w:val="00E66FFF"/>
    <w:rsid w:val="00E67A11"/>
    <w:rsid w:val="00E67B26"/>
    <w:rsid w:val="00E67C9B"/>
    <w:rsid w:val="00E67D71"/>
    <w:rsid w:val="00E67E3A"/>
    <w:rsid w:val="00E67EAC"/>
    <w:rsid w:val="00E7011F"/>
    <w:rsid w:val="00E70512"/>
    <w:rsid w:val="00E7078A"/>
    <w:rsid w:val="00E70939"/>
    <w:rsid w:val="00E709D5"/>
    <w:rsid w:val="00E71435"/>
    <w:rsid w:val="00E720EE"/>
    <w:rsid w:val="00E72487"/>
    <w:rsid w:val="00E729E8"/>
    <w:rsid w:val="00E72C61"/>
    <w:rsid w:val="00E739AA"/>
    <w:rsid w:val="00E73CBF"/>
    <w:rsid w:val="00E73D33"/>
    <w:rsid w:val="00E74B6A"/>
    <w:rsid w:val="00E74E25"/>
    <w:rsid w:val="00E752CB"/>
    <w:rsid w:val="00E753A3"/>
    <w:rsid w:val="00E764CB"/>
    <w:rsid w:val="00E77020"/>
    <w:rsid w:val="00E77475"/>
    <w:rsid w:val="00E77B2D"/>
    <w:rsid w:val="00E77D8D"/>
    <w:rsid w:val="00E77FB4"/>
    <w:rsid w:val="00E80381"/>
    <w:rsid w:val="00E8078A"/>
    <w:rsid w:val="00E808AB"/>
    <w:rsid w:val="00E809BF"/>
    <w:rsid w:val="00E80BA6"/>
    <w:rsid w:val="00E80EF5"/>
    <w:rsid w:val="00E810A6"/>
    <w:rsid w:val="00E815EC"/>
    <w:rsid w:val="00E823F2"/>
    <w:rsid w:val="00E824B0"/>
    <w:rsid w:val="00E82531"/>
    <w:rsid w:val="00E82996"/>
    <w:rsid w:val="00E82CFA"/>
    <w:rsid w:val="00E83104"/>
    <w:rsid w:val="00E83479"/>
    <w:rsid w:val="00E838C3"/>
    <w:rsid w:val="00E839EC"/>
    <w:rsid w:val="00E83A90"/>
    <w:rsid w:val="00E84134"/>
    <w:rsid w:val="00E84374"/>
    <w:rsid w:val="00E8454C"/>
    <w:rsid w:val="00E846C4"/>
    <w:rsid w:val="00E84863"/>
    <w:rsid w:val="00E84937"/>
    <w:rsid w:val="00E8561D"/>
    <w:rsid w:val="00E8595E"/>
    <w:rsid w:val="00E860E3"/>
    <w:rsid w:val="00E86974"/>
    <w:rsid w:val="00E86BBE"/>
    <w:rsid w:val="00E904A0"/>
    <w:rsid w:val="00E90B84"/>
    <w:rsid w:val="00E91064"/>
    <w:rsid w:val="00E92815"/>
    <w:rsid w:val="00E92E66"/>
    <w:rsid w:val="00E9334F"/>
    <w:rsid w:val="00E935AC"/>
    <w:rsid w:val="00E93A04"/>
    <w:rsid w:val="00E93A5A"/>
    <w:rsid w:val="00E93E93"/>
    <w:rsid w:val="00E93EBE"/>
    <w:rsid w:val="00E94126"/>
    <w:rsid w:val="00E947BE"/>
    <w:rsid w:val="00E95396"/>
    <w:rsid w:val="00E95821"/>
    <w:rsid w:val="00E95A61"/>
    <w:rsid w:val="00E966E0"/>
    <w:rsid w:val="00E96E4F"/>
    <w:rsid w:val="00E972A6"/>
    <w:rsid w:val="00E97559"/>
    <w:rsid w:val="00EA0D00"/>
    <w:rsid w:val="00EA0D6C"/>
    <w:rsid w:val="00EA0EC9"/>
    <w:rsid w:val="00EA1281"/>
    <w:rsid w:val="00EA15AC"/>
    <w:rsid w:val="00EA16E3"/>
    <w:rsid w:val="00EA190C"/>
    <w:rsid w:val="00EA1A2C"/>
    <w:rsid w:val="00EA201A"/>
    <w:rsid w:val="00EA2111"/>
    <w:rsid w:val="00EA2596"/>
    <w:rsid w:val="00EA2C55"/>
    <w:rsid w:val="00EA2FF5"/>
    <w:rsid w:val="00EA346F"/>
    <w:rsid w:val="00EA3845"/>
    <w:rsid w:val="00EA4B52"/>
    <w:rsid w:val="00EA59A8"/>
    <w:rsid w:val="00EA5C6D"/>
    <w:rsid w:val="00EA5EB3"/>
    <w:rsid w:val="00EA608E"/>
    <w:rsid w:val="00EA6562"/>
    <w:rsid w:val="00EA6775"/>
    <w:rsid w:val="00EA68F6"/>
    <w:rsid w:val="00EA7AFF"/>
    <w:rsid w:val="00EA7B61"/>
    <w:rsid w:val="00EA7C48"/>
    <w:rsid w:val="00EB026C"/>
    <w:rsid w:val="00EB0584"/>
    <w:rsid w:val="00EB0ADC"/>
    <w:rsid w:val="00EB21D5"/>
    <w:rsid w:val="00EB264C"/>
    <w:rsid w:val="00EB280E"/>
    <w:rsid w:val="00EB2A79"/>
    <w:rsid w:val="00EB2B1B"/>
    <w:rsid w:val="00EB301F"/>
    <w:rsid w:val="00EB3120"/>
    <w:rsid w:val="00EB31AB"/>
    <w:rsid w:val="00EB3B22"/>
    <w:rsid w:val="00EB41E5"/>
    <w:rsid w:val="00EB4299"/>
    <w:rsid w:val="00EB5176"/>
    <w:rsid w:val="00EB599D"/>
    <w:rsid w:val="00EB5AB6"/>
    <w:rsid w:val="00EB5FCB"/>
    <w:rsid w:val="00EB618A"/>
    <w:rsid w:val="00EB6499"/>
    <w:rsid w:val="00EB6B2D"/>
    <w:rsid w:val="00EB6F97"/>
    <w:rsid w:val="00EB7A2B"/>
    <w:rsid w:val="00EB7EED"/>
    <w:rsid w:val="00EC0010"/>
    <w:rsid w:val="00EC0047"/>
    <w:rsid w:val="00EC0108"/>
    <w:rsid w:val="00EC0138"/>
    <w:rsid w:val="00EC10E3"/>
    <w:rsid w:val="00EC132F"/>
    <w:rsid w:val="00EC15BE"/>
    <w:rsid w:val="00EC1C11"/>
    <w:rsid w:val="00EC216A"/>
    <w:rsid w:val="00EC2648"/>
    <w:rsid w:val="00EC2701"/>
    <w:rsid w:val="00EC29F6"/>
    <w:rsid w:val="00EC2C07"/>
    <w:rsid w:val="00EC337C"/>
    <w:rsid w:val="00EC3954"/>
    <w:rsid w:val="00EC454B"/>
    <w:rsid w:val="00EC497A"/>
    <w:rsid w:val="00EC5142"/>
    <w:rsid w:val="00EC5FD2"/>
    <w:rsid w:val="00EC61EC"/>
    <w:rsid w:val="00EC6E71"/>
    <w:rsid w:val="00EC7CA6"/>
    <w:rsid w:val="00ED049B"/>
    <w:rsid w:val="00ED05C0"/>
    <w:rsid w:val="00ED0EE0"/>
    <w:rsid w:val="00ED1074"/>
    <w:rsid w:val="00ED1286"/>
    <w:rsid w:val="00ED173E"/>
    <w:rsid w:val="00ED1A2B"/>
    <w:rsid w:val="00ED1ED1"/>
    <w:rsid w:val="00ED261D"/>
    <w:rsid w:val="00ED3AC3"/>
    <w:rsid w:val="00ED3D14"/>
    <w:rsid w:val="00ED4542"/>
    <w:rsid w:val="00ED4BD2"/>
    <w:rsid w:val="00ED5026"/>
    <w:rsid w:val="00ED526E"/>
    <w:rsid w:val="00ED6191"/>
    <w:rsid w:val="00ED6E22"/>
    <w:rsid w:val="00ED6E54"/>
    <w:rsid w:val="00ED75E9"/>
    <w:rsid w:val="00ED7D5B"/>
    <w:rsid w:val="00ED7FA1"/>
    <w:rsid w:val="00EE043A"/>
    <w:rsid w:val="00EE087D"/>
    <w:rsid w:val="00EE098D"/>
    <w:rsid w:val="00EE0B2C"/>
    <w:rsid w:val="00EE0D98"/>
    <w:rsid w:val="00EE1FE9"/>
    <w:rsid w:val="00EE22C3"/>
    <w:rsid w:val="00EE2EB4"/>
    <w:rsid w:val="00EE3031"/>
    <w:rsid w:val="00EE36CB"/>
    <w:rsid w:val="00EE3744"/>
    <w:rsid w:val="00EE3776"/>
    <w:rsid w:val="00EE5C63"/>
    <w:rsid w:val="00EE62B3"/>
    <w:rsid w:val="00EE6622"/>
    <w:rsid w:val="00EE6D07"/>
    <w:rsid w:val="00EE7473"/>
    <w:rsid w:val="00EE7661"/>
    <w:rsid w:val="00EE7A76"/>
    <w:rsid w:val="00EE7B03"/>
    <w:rsid w:val="00EF03A8"/>
    <w:rsid w:val="00EF0B66"/>
    <w:rsid w:val="00EF1474"/>
    <w:rsid w:val="00EF1A69"/>
    <w:rsid w:val="00EF2E71"/>
    <w:rsid w:val="00EF32E1"/>
    <w:rsid w:val="00EF3476"/>
    <w:rsid w:val="00EF4150"/>
    <w:rsid w:val="00EF4445"/>
    <w:rsid w:val="00EF48A8"/>
    <w:rsid w:val="00EF4982"/>
    <w:rsid w:val="00EF5DD7"/>
    <w:rsid w:val="00EF5FC9"/>
    <w:rsid w:val="00EF60B7"/>
    <w:rsid w:val="00EF6505"/>
    <w:rsid w:val="00EF6B8B"/>
    <w:rsid w:val="00EF7988"/>
    <w:rsid w:val="00EF7B1B"/>
    <w:rsid w:val="00F00074"/>
    <w:rsid w:val="00F00512"/>
    <w:rsid w:val="00F00705"/>
    <w:rsid w:val="00F01D61"/>
    <w:rsid w:val="00F02494"/>
    <w:rsid w:val="00F024F0"/>
    <w:rsid w:val="00F0296B"/>
    <w:rsid w:val="00F03336"/>
    <w:rsid w:val="00F042BE"/>
    <w:rsid w:val="00F04709"/>
    <w:rsid w:val="00F0481E"/>
    <w:rsid w:val="00F04971"/>
    <w:rsid w:val="00F0543B"/>
    <w:rsid w:val="00F05960"/>
    <w:rsid w:val="00F05B0D"/>
    <w:rsid w:val="00F06305"/>
    <w:rsid w:val="00F06314"/>
    <w:rsid w:val="00F064A3"/>
    <w:rsid w:val="00F06725"/>
    <w:rsid w:val="00F0674D"/>
    <w:rsid w:val="00F06F60"/>
    <w:rsid w:val="00F071DC"/>
    <w:rsid w:val="00F072A4"/>
    <w:rsid w:val="00F07444"/>
    <w:rsid w:val="00F07BAB"/>
    <w:rsid w:val="00F07C1A"/>
    <w:rsid w:val="00F07C60"/>
    <w:rsid w:val="00F104DF"/>
    <w:rsid w:val="00F106D9"/>
    <w:rsid w:val="00F10CC4"/>
    <w:rsid w:val="00F10E21"/>
    <w:rsid w:val="00F10E5A"/>
    <w:rsid w:val="00F1101C"/>
    <w:rsid w:val="00F1171F"/>
    <w:rsid w:val="00F11B1D"/>
    <w:rsid w:val="00F12097"/>
    <w:rsid w:val="00F12547"/>
    <w:rsid w:val="00F12CD6"/>
    <w:rsid w:val="00F12D8A"/>
    <w:rsid w:val="00F12F9D"/>
    <w:rsid w:val="00F130B5"/>
    <w:rsid w:val="00F13123"/>
    <w:rsid w:val="00F1328D"/>
    <w:rsid w:val="00F132F3"/>
    <w:rsid w:val="00F137BE"/>
    <w:rsid w:val="00F13F30"/>
    <w:rsid w:val="00F13F51"/>
    <w:rsid w:val="00F143DA"/>
    <w:rsid w:val="00F14716"/>
    <w:rsid w:val="00F1524C"/>
    <w:rsid w:val="00F154B8"/>
    <w:rsid w:val="00F1558E"/>
    <w:rsid w:val="00F15982"/>
    <w:rsid w:val="00F15AFE"/>
    <w:rsid w:val="00F15EAD"/>
    <w:rsid w:val="00F15FDB"/>
    <w:rsid w:val="00F1660A"/>
    <w:rsid w:val="00F168C9"/>
    <w:rsid w:val="00F16AAA"/>
    <w:rsid w:val="00F16CA7"/>
    <w:rsid w:val="00F176A2"/>
    <w:rsid w:val="00F177D1"/>
    <w:rsid w:val="00F2029D"/>
    <w:rsid w:val="00F20534"/>
    <w:rsid w:val="00F205F6"/>
    <w:rsid w:val="00F20732"/>
    <w:rsid w:val="00F21183"/>
    <w:rsid w:val="00F212E3"/>
    <w:rsid w:val="00F214BD"/>
    <w:rsid w:val="00F2155E"/>
    <w:rsid w:val="00F2185E"/>
    <w:rsid w:val="00F21A27"/>
    <w:rsid w:val="00F21F4B"/>
    <w:rsid w:val="00F22B5D"/>
    <w:rsid w:val="00F23296"/>
    <w:rsid w:val="00F23299"/>
    <w:rsid w:val="00F239E0"/>
    <w:rsid w:val="00F24361"/>
    <w:rsid w:val="00F247B6"/>
    <w:rsid w:val="00F25163"/>
    <w:rsid w:val="00F2516A"/>
    <w:rsid w:val="00F2636C"/>
    <w:rsid w:val="00F2681D"/>
    <w:rsid w:val="00F26C37"/>
    <w:rsid w:val="00F27467"/>
    <w:rsid w:val="00F30AED"/>
    <w:rsid w:val="00F30BF1"/>
    <w:rsid w:val="00F318FC"/>
    <w:rsid w:val="00F31FED"/>
    <w:rsid w:val="00F3205A"/>
    <w:rsid w:val="00F32099"/>
    <w:rsid w:val="00F32C24"/>
    <w:rsid w:val="00F331B6"/>
    <w:rsid w:val="00F33CFC"/>
    <w:rsid w:val="00F33F4B"/>
    <w:rsid w:val="00F34102"/>
    <w:rsid w:val="00F34505"/>
    <w:rsid w:val="00F35E38"/>
    <w:rsid w:val="00F35F25"/>
    <w:rsid w:val="00F35F8B"/>
    <w:rsid w:val="00F36583"/>
    <w:rsid w:val="00F37192"/>
    <w:rsid w:val="00F373F1"/>
    <w:rsid w:val="00F375B8"/>
    <w:rsid w:val="00F3769D"/>
    <w:rsid w:val="00F40687"/>
    <w:rsid w:val="00F40876"/>
    <w:rsid w:val="00F40ECB"/>
    <w:rsid w:val="00F40F7B"/>
    <w:rsid w:val="00F411B6"/>
    <w:rsid w:val="00F4156B"/>
    <w:rsid w:val="00F41D22"/>
    <w:rsid w:val="00F42255"/>
    <w:rsid w:val="00F42267"/>
    <w:rsid w:val="00F4343A"/>
    <w:rsid w:val="00F43799"/>
    <w:rsid w:val="00F43EA9"/>
    <w:rsid w:val="00F43F79"/>
    <w:rsid w:val="00F440FC"/>
    <w:rsid w:val="00F44FCA"/>
    <w:rsid w:val="00F458A2"/>
    <w:rsid w:val="00F460A9"/>
    <w:rsid w:val="00F46AA3"/>
    <w:rsid w:val="00F46B25"/>
    <w:rsid w:val="00F46CE0"/>
    <w:rsid w:val="00F46E39"/>
    <w:rsid w:val="00F46F51"/>
    <w:rsid w:val="00F47263"/>
    <w:rsid w:val="00F47962"/>
    <w:rsid w:val="00F47CC9"/>
    <w:rsid w:val="00F50533"/>
    <w:rsid w:val="00F506A9"/>
    <w:rsid w:val="00F508C4"/>
    <w:rsid w:val="00F50B31"/>
    <w:rsid w:val="00F50BFC"/>
    <w:rsid w:val="00F50CEF"/>
    <w:rsid w:val="00F50D9C"/>
    <w:rsid w:val="00F514F8"/>
    <w:rsid w:val="00F51E00"/>
    <w:rsid w:val="00F520ED"/>
    <w:rsid w:val="00F524AF"/>
    <w:rsid w:val="00F52659"/>
    <w:rsid w:val="00F53374"/>
    <w:rsid w:val="00F54084"/>
    <w:rsid w:val="00F544CA"/>
    <w:rsid w:val="00F54B2C"/>
    <w:rsid w:val="00F55C10"/>
    <w:rsid w:val="00F55D13"/>
    <w:rsid w:val="00F560DC"/>
    <w:rsid w:val="00F56B60"/>
    <w:rsid w:val="00F56D6B"/>
    <w:rsid w:val="00F570B6"/>
    <w:rsid w:val="00F573D3"/>
    <w:rsid w:val="00F577BF"/>
    <w:rsid w:val="00F57B96"/>
    <w:rsid w:val="00F57E36"/>
    <w:rsid w:val="00F57F9A"/>
    <w:rsid w:val="00F6007F"/>
    <w:rsid w:val="00F60342"/>
    <w:rsid w:val="00F60525"/>
    <w:rsid w:val="00F607B0"/>
    <w:rsid w:val="00F60A2E"/>
    <w:rsid w:val="00F60E0E"/>
    <w:rsid w:val="00F61502"/>
    <w:rsid w:val="00F61993"/>
    <w:rsid w:val="00F6263C"/>
    <w:rsid w:val="00F63091"/>
    <w:rsid w:val="00F633BA"/>
    <w:rsid w:val="00F63C0E"/>
    <w:rsid w:val="00F64D83"/>
    <w:rsid w:val="00F65B10"/>
    <w:rsid w:val="00F6622A"/>
    <w:rsid w:val="00F669F0"/>
    <w:rsid w:val="00F67406"/>
    <w:rsid w:val="00F676AA"/>
    <w:rsid w:val="00F67BA5"/>
    <w:rsid w:val="00F67EAC"/>
    <w:rsid w:val="00F67F80"/>
    <w:rsid w:val="00F70AD8"/>
    <w:rsid w:val="00F7120F"/>
    <w:rsid w:val="00F71582"/>
    <w:rsid w:val="00F71B44"/>
    <w:rsid w:val="00F71CCB"/>
    <w:rsid w:val="00F723F5"/>
    <w:rsid w:val="00F72F26"/>
    <w:rsid w:val="00F73242"/>
    <w:rsid w:val="00F7374E"/>
    <w:rsid w:val="00F742DD"/>
    <w:rsid w:val="00F743D4"/>
    <w:rsid w:val="00F759E7"/>
    <w:rsid w:val="00F75B5D"/>
    <w:rsid w:val="00F76DD9"/>
    <w:rsid w:val="00F77185"/>
    <w:rsid w:val="00F77FB6"/>
    <w:rsid w:val="00F8024A"/>
    <w:rsid w:val="00F806A6"/>
    <w:rsid w:val="00F80F4D"/>
    <w:rsid w:val="00F81123"/>
    <w:rsid w:val="00F81432"/>
    <w:rsid w:val="00F8209E"/>
    <w:rsid w:val="00F82800"/>
    <w:rsid w:val="00F831C1"/>
    <w:rsid w:val="00F8399C"/>
    <w:rsid w:val="00F84F8C"/>
    <w:rsid w:val="00F8539F"/>
    <w:rsid w:val="00F85C5A"/>
    <w:rsid w:val="00F86442"/>
    <w:rsid w:val="00F8676A"/>
    <w:rsid w:val="00F86834"/>
    <w:rsid w:val="00F86971"/>
    <w:rsid w:val="00F86EB1"/>
    <w:rsid w:val="00F8700A"/>
    <w:rsid w:val="00F87544"/>
    <w:rsid w:val="00F87A64"/>
    <w:rsid w:val="00F87B2B"/>
    <w:rsid w:val="00F90251"/>
    <w:rsid w:val="00F9071E"/>
    <w:rsid w:val="00F90930"/>
    <w:rsid w:val="00F909E6"/>
    <w:rsid w:val="00F91427"/>
    <w:rsid w:val="00F920F6"/>
    <w:rsid w:val="00F9212F"/>
    <w:rsid w:val="00F9219A"/>
    <w:rsid w:val="00F92AB3"/>
    <w:rsid w:val="00F92ADB"/>
    <w:rsid w:val="00F92EB6"/>
    <w:rsid w:val="00F92FFC"/>
    <w:rsid w:val="00F934BD"/>
    <w:rsid w:val="00F94CF4"/>
    <w:rsid w:val="00F94F8A"/>
    <w:rsid w:val="00F95048"/>
    <w:rsid w:val="00F9515F"/>
    <w:rsid w:val="00F95256"/>
    <w:rsid w:val="00F96273"/>
    <w:rsid w:val="00F9642E"/>
    <w:rsid w:val="00F967D4"/>
    <w:rsid w:val="00F96E8A"/>
    <w:rsid w:val="00FA01E4"/>
    <w:rsid w:val="00FA1455"/>
    <w:rsid w:val="00FA1F17"/>
    <w:rsid w:val="00FA2719"/>
    <w:rsid w:val="00FA28AC"/>
    <w:rsid w:val="00FA2BB7"/>
    <w:rsid w:val="00FA2BDE"/>
    <w:rsid w:val="00FA2D32"/>
    <w:rsid w:val="00FA38A8"/>
    <w:rsid w:val="00FA3950"/>
    <w:rsid w:val="00FA3A34"/>
    <w:rsid w:val="00FA44D0"/>
    <w:rsid w:val="00FA4E1F"/>
    <w:rsid w:val="00FA62CD"/>
    <w:rsid w:val="00FA67C5"/>
    <w:rsid w:val="00FA6E68"/>
    <w:rsid w:val="00FA74DB"/>
    <w:rsid w:val="00FA751C"/>
    <w:rsid w:val="00FA7F07"/>
    <w:rsid w:val="00FB0054"/>
    <w:rsid w:val="00FB02A4"/>
    <w:rsid w:val="00FB033A"/>
    <w:rsid w:val="00FB08FE"/>
    <w:rsid w:val="00FB0C98"/>
    <w:rsid w:val="00FB0CF4"/>
    <w:rsid w:val="00FB1061"/>
    <w:rsid w:val="00FB1195"/>
    <w:rsid w:val="00FB1B65"/>
    <w:rsid w:val="00FB23D4"/>
    <w:rsid w:val="00FB2403"/>
    <w:rsid w:val="00FB25B7"/>
    <w:rsid w:val="00FB2D93"/>
    <w:rsid w:val="00FB2FE9"/>
    <w:rsid w:val="00FB3877"/>
    <w:rsid w:val="00FB422A"/>
    <w:rsid w:val="00FB4556"/>
    <w:rsid w:val="00FB463A"/>
    <w:rsid w:val="00FB4908"/>
    <w:rsid w:val="00FB4D74"/>
    <w:rsid w:val="00FB518C"/>
    <w:rsid w:val="00FB59C5"/>
    <w:rsid w:val="00FB5AF9"/>
    <w:rsid w:val="00FB5D4A"/>
    <w:rsid w:val="00FB6014"/>
    <w:rsid w:val="00FB6181"/>
    <w:rsid w:val="00FB6665"/>
    <w:rsid w:val="00FB6D02"/>
    <w:rsid w:val="00FB6E0D"/>
    <w:rsid w:val="00FB7481"/>
    <w:rsid w:val="00FB7876"/>
    <w:rsid w:val="00FB7B70"/>
    <w:rsid w:val="00FC0404"/>
    <w:rsid w:val="00FC0C65"/>
    <w:rsid w:val="00FC0E39"/>
    <w:rsid w:val="00FC117A"/>
    <w:rsid w:val="00FC1311"/>
    <w:rsid w:val="00FC1719"/>
    <w:rsid w:val="00FC1A8B"/>
    <w:rsid w:val="00FC1F07"/>
    <w:rsid w:val="00FC2313"/>
    <w:rsid w:val="00FC2489"/>
    <w:rsid w:val="00FC2875"/>
    <w:rsid w:val="00FC29C0"/>
    <w:rsid w:val="00FC2D34"/>
    <w:rsid w:val="00FC334A"/>
    <w:rsid w:val="00FC3941"/>
    <w:rsid w:val="00FC3A75"/>
    <w:rsid w:val="00FC4525"/>
    <w:rsid w:val="00FC495A"/>
    <w:rsid w:val="00FC49C4"/>
    <w:rsid w:val="00FC5588"/>
    <w:rsid w:val="00FC6835"/>
    <w:rsid w:val="00FC68E0"/>
    <w:rsid w:val="00FC6EA0"/>
    <w:rsid w:val="00FC740F"/>
    <w:rsid w:val="00FC7471"/>
    <w:rsid w:val="00FC7542"/>
    <w:rsid w:val="00FC7C1F"/>
    <w:rsid w:val="00FC7EA5"/>
    <w:rsid w:val="00FD09F3"/>
    <w:rsid w:val="00FD1A52"/>
    <w:rsid w:val="00FD2AE0"/>
    <w:rsid w:val="00FD31C1"/>
    <w:rsid w:val="00FD33FA"/>
    <w:rsid w:val="00FD381A"/>
    <w:rsid w:val="00FD4630"/>
    <w:rsid w:val="00FD5394"/>
    <w:rsid w:val="00FD627B"/>
    <w:rsid w:val="00FD63C4"/>
    <w:rsid w:val="00FD67E5"/>
    <w:rsid w:val="00FD73A5"/>
    <w:rsid w:val="00FD7BF3"/>
    <w:rsid w:val="00FE014C"/>
    <w:rsid w:val="00FE0164"/>
    <w:rsid w:val="00FE070E"/>
    <w:rsid w:val="00FE07C5"/>
    <w:rsid w:val="00FE0849"/>
    <w:rsid w:val="00FE12BA"/>
    <w:rsid w:val="00FE16B8"/>
    <w:rsid w:val="00FE1AAF"/>
    <w:rsid w:val="00FE2379"/>
    <w:rsid w:val="00FE2C75"/>
    <w:rsid w:val="00FE31E2"/>
    <w:rsid w:val="00FE34BB"/>
    <w:rsid w:val="00FE3683"/>
    <w:rsid w:val="00FE3705"/>
    <w:rsid w:val="00FE388D"/>
    <w:rsid w:val="00FE3A94"/>
    <w:rsid w:val="00FE3AFD"/>
    <w:rsid w:val="00FE3BD9"/>
    <w:rsid w:val="00FE3BE6"/>
    <w:rsid w:val="00FE3C1E"/>
    <w:rsid w:val="00FE40C2"/>
    <w:rsid w:val="00FE42D3"/>
    <w:rsid w:val="00FE4813"/>
    <w:rsid w:val="00FE4A7E"/>
    <w:rsid w:val="00FE4F84"/>
    <w:rsid w:val="00FE563C"/>
    <w:rsid w:val="00FE57DE"/>
    <w:rsid w:val="00FE581D"/>
    <w:rsid w:val="00FE58E9"/>
    <w:rsid w:val="00FE5A6F"/>
    <w:rsid w:val="00FE5F48"/>
    <w:rsid w:val="00FE6CB7"/>
    <w:rsid w:val="00FE73C2"/>
    <w:rsid w:val="00FE75A5"/>
    <w:rsid w:val="00FF00FD"/>
    <w:rsid w:val="00FF0781"/>
    <w:rsid w:val="00FF1932"/>
    <w:rsid w:val="00FF1CA1"/>
    <w:rsid w:val="00FF1DCE"/>
    <w:rsid w:val="00FF1E24"/>
    <w:rsid w:val="00FF24E6"/>
    <w:rsid w:val="00FF3415"/>
    <w:rsid w:val="00FF3833"/>
    <w:rsid w:val="00FF38F0"/>
    <w:rsid w:val="00FF3ED7"/>
    <w:rsid w:val="00FF44AD"/>
    <w:rsid w:val="00FF4660"/>
    <w:rsid w:val="00FF4B4F"/>
    <w:rsid w:val="00FF4B84"/>
    <w:rsid w:val="00FF4C71"/>
    <w:rsid w:val="00FF4F53"/>
    <w:rsid w:val="00FF52AE"/>
    <w:rsid w:val="00FF5A9D"/>
    <w:rsid w:val="00FF609B"/>
    <w:rsid w:val="00FF61FC"/>
    <w:rsid w:val="00FF66EE"/>
    <w:rsid w:val="00FF6B44"/>
    <w:rsid w:val="00FF6BF1"/>
    <w:rsid w:val="00FF74EB"/>
    <w:rsid w:val="00FF7575"/>
    <w:rsid w:val="14AC87FF"/>
    <w:rsid w:val="16208E17"/>
    <w:rsid w:val="16C3EDF6"/>
    <w:rsid w:val="1895F480"/>
    <w:rsid w:val="18D9AC78"/>
    <w:rsid w:val="1DEF5A56"/>
    <w:rsid w:val="2447061E"/>
    <w:rsid w:val="248AA06A"/>
    <w:rsid w:val="35733B0B"/>
    <w:rsid w:val="3C81C91A"/>
    <w:rsid w:val="45EAF8B4"/>
    <w:rsid w:val="59B23E21"/>
    <w:rsid w:val="6482AE75"/>
    <w:rsid w:val="675B34AE"/>
    <w:rsid w:val="67840786"/>
    <w:rsid w:val="6873B90E"/>
    <w:rsid w:val="7042171D"/>
    <w:rsid w:val="779DD645"/>
    <w:rsid w:val="7E4320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7C13D"/>
  <w15:chartTrackingRefBased/>
  <w15:docId w15:val="{7A3A6904-BB94-4D79-BA65-ABE1BB72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94"/>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80668"/>
    <w:pPr>
      <w:keepNext/>
      <w:keepLines/>
      <w:spacing w:after="120"/>
      <w:ind w:left="432" w:hanging="432"/>
      <w:outlineLvl w:val="0"/>
    </w:pPr>
    <w:rPr>
      <w:rFonts w:eastAsiaTheme="majorEastAsia" w:cs="Times New Roman"/>
      <w:b/>
      <w:smallCaps/>
      <w:szCs w:val="24"/>
    </w:rPr>
  </w:style>
  <w:style w:type="paragraph" w:styleId="Heading2">
    <w:name w:val="heading 2"/>
    <w:basedOn w:val="Normal"/>
    <w:next w:val="Normal"/>
    <w:link w:val="Heading2Char"/>
    <w:uiPriority w:val="9"/>
    <w:unhideWhenUsed/>
    <w:qFormat/>
    <w:rsid w:val="00B80668"/>
    <w:pPr>
      <w:keepNext/>
      <w:keepLines/>
      <w:numPr>
        <w:ilvl w:val="1"/>
        <w:numId w:val="4"/>
      </w:numPr>
      <w:spacing w:before="120" w:after="120"/>
      <w:ind w:left="792"/>
      <w:outlineLvl w:val="1"/>
    </w:pPr>
    <w:rPr>
      <w:rFonts w:eastAsiaTheme="majorEastAsia" w:cs="Times New Roman"/>
      <w:b/>
      <w:szCs w:val="24"/>
    </w:rPr>
  </w:style>
  <w:style w:type="paragraph" w:styleId="Heading3">
    <w:name w:val="heading 3"/>
    <w:basedOn w:val="Normal"/>
    <w:next w:val="Normal"/>
    <w:link w:val="Heading3Char"/>
    <w:uiPriority w:val="9"/>
    <w:unhideWhenUsed/>
    <w:qFormat/>
    <w:rsid w:val="00707D9C"/>
    <w:pPr>
      <w:keepNext/>
      <w:keepLines/>
      <w:numPr>
        <w:ilvl w:val="2"/>
        <w:numId w:val="4"/>
      </w:numPr>
      <w:spacing w:after="120"/>
      <w:outlineLvl w:val="2"/>
    </w:pPr>
    <w:rPr>
      <w:rFonts w:eastAsiaTheme="majorEastAsia" w:cs="Times New Roman"/>
      <w:b/>
      <w:szCs w:val="24"/>
    </w:rPr>
  </w:style>
  <w:style w:type="paragraph" w:styleId="Heading4">
    <w:name w:val="heading 4"/>
    <w:basedOn w:val="Normal"/>
    <w:next w:val="Normal"/>
    <w:link w:val="Heading4Char"/>
    <w:uiPriority w:val="9"/>
    <w:unhideWhenUsed/>
    <w:qFormat/>
    <w:rsid w:val="0015076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5076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076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076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076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076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E6F"/>
    <w:pPr>
      <w:ind w:left="720"/>
      <w:contextualSpacing/>
    </w:pPr>
  </w:style>
  <w:style w:type="character" w:customStyle="1" w:styleId="Heading1Char">
    <w:name w:val="Heading 1 Char"/>
    <w:basedOn w:val="DefaultParagraphFont"/>
    <w:link w:val="Heading1"/>
    <w:uiPriority w:val="9"/>
    <w:rsid w:val="00B80668"/>
    <w:rPr>
      <w:rFonts w:ascii="Times New Roman" w:eastAsiaTheme="majorEastAsia" w:hAnsi="Times New Roman" w:cs="Times New Roman"/>
      <w:b/>
      <w:smallCaps/>
      <w:sz w:val="24"/>
      <w:szCs w:val="24"/>
    </w:rPr>
  </w:style>
  <w:style w:type="character" w:customStyle="1" w:styleId="Heading2Char">
    <w:name w:val="Heading 2 Char"/>
    <w:basedOn w:val="DefaultParagraphFont"/>
    <w:link w:val="Heading2"/>
    <w:uiPriority w:val="9"/>
    <w:rsid w:val="00B80668"/>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707D9C"/>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1507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5076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507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5076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507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0769"/>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3557D"/>
    <w:rPr>
      <w:sz w:val="16"/>
      <w:szCs w:val="16"/>
    </w:rPr>
  </w:style>
  <w:style w:type="paragraph" w:styleId="CommentText">
    <w:name w:val="annotation text"/>
    <w:basedOn w:val="Normal"/>
    <w:link w:val="CommentTextChar"/>
    <w:uiPriority w:val="99"/>
    <w:unhideWhenUsed/>
    <w:rsid w:val="00D3557D"/>
    <w:rPr>
      <w:sz w:val="20"/>
      <w:szCs w:val="20"/>
    </w:rPr>
  </w:style>
  <w:style w:type="character" w:customStyle="1" w:styleId="CommentTextChar">
    <w:name w:val="Comment Text Char"/>
    <w:basedOn w:val="DefaultParagraphFont"/>
    <w:link w:val="CommentText"/>
    <w:uiPriority w:val="99"/>
    <w:rsid w:val="00D3557D"/>
    <w:rPr>
      <w:sz w:val="20"/>
      <w:szCs w:val="20"/>
    </w:rPr>
  </w:style>
  <w:style w:type="paragraph" w:styleId="CommentSubject">
    <w:name w:val="annotation subject"/>
    <w:basedOn w:val="CommentText"/>
    <w:next w:val="CommentText"/>
    <w:link w:val="CommentSubjectChar"/>
    <w:uiPriority w:val="99"/>
    <w:semiHidden/>
    <w:unhideWhenUsed/>
    <w:rsid w:val="00D3557D"/>
    <w:rPr>
      <w:b/>
      <w:bCs/>
    </w:rPr>
  </w:style>
  <w:style w:type="character" w:customStyle="1" w:styleId="CommentSubjectChar">
    <w:name w:val="Comment Subject Char"/>
    <w:basedOn w:val="CommentTextChar"/>
    <w:link w:val="CommentSubject"/>
    <w:uiPriority w:val="99"/>
    <w:semiHidden/>
    <w:rsid w:val="00D3557D"/>
    <w:rPr>
      <w:b/>
      <w:bCs/>
      <w:sz w:val="20"/>
      <w:szCs w:val="20"/>
    </w:rPr>
  </w:style>
  <w:style w:type="paragraph" w:styleId="BalloonText">
    <w:name w:val="Balloon Text"/>
    <w:basedOn w:val="Normal"/>
    <w:link w:val="BalloonTextChar"/>
    <w:uiPriority w:val="99"/>
    <w:semiHidden/>
    <w:unhideWhenUsed/>
    <w:rsid w:val="00D355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7D"/>
    <w:rPr>
      <w:rFonts w:ascii="Segoe UI" w:hAnsi="Segoe UI" w:cs="Segoe UI"/>
      <w:sz w:val="18"/>
      <w:szCs w:val="18"/>
    </w:rPr>
  </w:style>
  <w:style w:type="paragraph" w:customStyle="1" w:styleId="p1">
    <w:name w:val="p1"/>
    <w:basedOn w:val="Normal"/>
    <w:rsid w:val="00DC3145"/>
    <w:pPr>
      <w:spacing w:after="0"/>
    </w:pPr>
    <w:rPr>
      <w:rFonts w:ascii="Helvetica" w:hAnsi="Helvetica" w:cs="Times New Roman"/>
      <w:sz w:val="18"/>
      <w:szCs w:val="18"/>
    </w:rPr>
  </w:style>
  <w:style w:type="paragraph" w:styleId="Revision">
    <w:name w:val="Revision"/>
    <w:hidden/>
    <w:uiPriority w:val="99"/>
    <w:semiHidden/>
    <w:rsid w:val="00CF5423"/>
    <w:pPr>
      <w:spacing w:after="0" w:line="240" w:lineRule="auto"/>
    </w:p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Fotnotetekst Tegn"/>
    <w:basedOn w:val="Normal"/>
    <w:link w:val="FootnoteTextChar"/>
    <w:uiPriority w:val="99"/>
    <w:unhideWhenUsed/>
    <w:qFormat/>
    <w:rsid w:val="00F86834"/>
    <w:pPr>
      <w:spacing w:after="0"/>
    </w:pPr>
    <w:rPr>
      <w:rFonts w:eastAsia="Times New Roman" w:cs="Times New Roman"/>
      <w:sz w:val="20"/>
      <w:szCs w:val="20"/>
      <w:lang w:eastAsia="en-CA"/>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qFormat/>
    <w:rsid w:val="00F86834"/>
    <w:rPr>
      <w:rFonts w:ascii="Times New Roman" w:eastAsia="Times New Roman" w:hAnsi="Times New Roman" w:cs="Times New Roman"/>
      <w:sz w:val="20"/>
      <w:szCs w:val="20"/>
      <w:lang w:eastAsia="en-CA"/>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refere"/>
    <w:basedOn w:val="DefaultParagraphFont"/>
    <w:uiPriority w:val="99"/>
    <w:unhideWhenUsed/>
    <w:rsid w:val="00F86834"/>
    <w:rPr>
      <w:vertAlign w:val="superscript"/>
    </w:rPr>
  </w:style>
  <w:style w:type="paragraph" w:styleId="Header">
    <w:name w:val="header"/>
    <w:basedOn w:val="Normal"/>
    <w:link w:val="HeaderChar"/>
    <w:uiPriority w:val="99"/>
    <w:unhideWhenUsed/>
    <w:rsid w:val="00BF20CF"/>
    <w:pPr>
      <w:tabs>
        <w:tab w:val="center" w:pos="4680"/>
        <w:tab w:val="right" w:pos="9360"/>
      </w:tabs>
      <w:spacing w:after="0"/>
    </w:pPr>
  </w:style>
  <w:style w:type="character" w:customStyle="1" w:styleId="HeaderChar">
    <w:name w:val="Header Char"/>
    <w:basedOn w:val="DefaultParagraphFont"/>
    <w:link w:val="Header"/>
    <w:uiPriority w:val="99"/>
    <w:rsid w:val="00BF20CF"/>
  </w:style>
  <w:style w:type="paragraph" w:styleId="Footer">
    <w:name w:val="footer"/>
    <w:basedOn w:val="Normal"/>
    <w:link w:val="FooterChar"/>
    <w:uiPriority w:val="99"/>
    <w:unhideWhenUsed/>
    <w:rsid w:val="00BF20CF"/>
    <w:pPr>
      <w:tabs>
        <w:tab w:val="center" w:pos="4680"/>
        <w:tab w:val="right" w:pos="9360"/>
      </w:tabs>
      <w:spacing w:after="0"/>
    </w:pPr>
  </w:style>
  <w:style w:type="character" w:customStyle="1" w:styleId="FooterChar">
    <w:name w:val="Footer Char"/>
    <w:basedOn w:val="DefaultParagraphFont"/>
    <w:link w:val="Footer"/>
    <w:uiPriority w:val="99"/>
    <w:rsid w:val="00BF20CF"/>
  </w:style>
  <w:style w:type="paragraph" w:styleId="TOCHeading">
    <w:name w:val="TOC Heading"/>
    <w:basedOn w:val="Heading1"/>
    <w:next w:val="Normal"/>
    <w:uiPriority w:val="39"/>
    <w:unhideWhenUsed/>
    <w:qFormat/>
    <w:rsid w:val="00BF20CF"/>
    <w:pPr>
      <w:ind w:left="0" w:firstLine="0"/>
      <w:outlineLvl w:val="9"/>
    </w:pPr>
  </w:style>
  <w:style w:type="paragraph" w:styleId="TOC1">
    <w:name w:val="toc 1"/>
    <w:basedOn w:val="Normal"/>
    <w:next w:val="Normal"/>
    <w:autoRedefine/>
    <w:uiPriority w:val="39"/>
    <w:unhideWhenUsed/>
    <w:rsid w:val="00036CB5"/>
    <w:pPr>
      <w:tabs>
        <w:tab w:val="left" w:pos="440"/>
        <w:tab w:val="right" w:leader="dot" w:pos="9350"/>
      </w:tabs>
      <w:spacing w:after="100"/>
      <w:ind w:left="432" w:hanging="432"/>
    </w:pPr>
  </w:style>
  <w:style w:type="paragraph" w:styleId="TOC2">
    <w:name w:val="toc 2"/>
    <w:basedOn w:val="Normal"/>
    <w:next w:val="Normal"/>
    <w:autoRedefine/>
    <w:uiPriority w:val="39"/>
    <w:unhideWhenUsed/>
    <w:rsid w:val="00AF0A79"/>
    <w:pPr>
      <w:tabs>
        <w:tab w:val="left" w:pos="1100"/>
        <w:tab w:val="right" w:leader="dot" w:pos="9350"/>
      </w:tabs>
      <w:spacing w:after="100"/>
      <w:ind w:left="993" w:right="144" w:hanging="567"/>
    </w:pPr>
  </w:style>
  <w:style w:type="paragraph" w:styleId="TOC3">
    <w:name w:val="toc 3"/>
    <w:basedOn w:val="Normal"/>
    <w:next w:val="Normal"/>
    <w:autoRedefine/>
    <w:uiPriority w:val="39"/>
    <w:unhideWhenUsed/>
    <w:rsid w:val="00721699"/>
    <w:pPr>
      <w:tabs>
        <w:tab w:val="left" w:pos="1320"/>
        <w:tab w:val="right" w:leader="dot" w:pos="9350"/>
      </w:tabs>
      <w:spacing w:after="100"/>
      <w:ind w:left="709"/>
    </w:pPr>
  </w:style>
  <w:style w:type="character" w:styleId="Hyperlink">
    <w:name w:val="Hyperlink"/>
    <w:basedOn w:val="DefaultParagraphFont"/>
    <w:uiPriority w:val="99"/>
    <w:unhideWhenUsed/>
    <w:rsid w:val="00BF20CF"/>
    <w:rPr>
      <w:color w:val="0563C1" w:themeColor="hyperlink"/>
      <w:u w:val="single"/>
    </w:rPr>
  </w:style>
  <w:style w:type="character" w:styleId="FollowedHyperlink">
    <w:name w:val="FollowedHyperlink"/>
    <w:basedOn w:val="DefaultParagraphFont"/>
    <w:uiPriority w:val="99"/>
    <w:semiHidden/>
    <w:unhideWhenUsed/>
    <w:rsid w:val="00922259"/>
    <w:rPr>
      <w:color w:val="954F72" w:themeColor="followedHyperlink"/>
      <w:u w:val="single"/>
    </w:rPr>
  </w:style>
  <w:style w:type="table" w:customStyle="1" w:styleId="TableGrid1">
    <w:name w:val="Table Grid1"/>
    <w:basedOn w:val="TableNormal"/>
    <w:next w:val="TableGrid"/>
    <w:uiPriority w:val="39"/>
    <w:rsid w:val="00430B33"/>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0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10D1"/>
    <w:rPr>
      <w:rFonts w:cs="Times New Roman"/>
      <w:szCs w:val="24"/>
    </w:rPr>
  </w:style>
  <w:style w:type="character" w:customStyle="1" w:styleId="UnresolvedMention1">
    <w:name w:val="Unresolved Mention1"/>
    <w:basedOn w:val="DefaultParagraphFont"/>
    <w:uiPriority w:val="99"/>
    <w:semiHidden/>
    <w:unhideWhenUsed/>
    <w:rsid w:val="00957116"/>
    <w:rPr>
      <w:color w:val="605E5C"/>
      <w:shd w:val="clear" w:color="auto" w:fill="E1DFDD"/>
    </w:rPr>
  </w:style>
  <w:style w:type="paragraph" w:styleId="List">
    <w:name w:val="List"/>
    <w:basedOn w:val="Normal"/>
    <w:rsid w:val="003F79AF"/>
    <w:pPr>
      <w:numPr>
        <w:numId w:val="14"/>
      </w:numPr>
      <w:tabs>
        <w:tab w:val="left" w:pos="720"/>
        <w:tab w:val="right" w:pos="9270"/>
      </w:tabs>
      <w:spacing w:after="0"/>
      <w:contextualSpacing/>
    </w:pPr>
    <w:rPr>
      <w:rFonts w:eastAsia="ヒラギノ角ゴ Pro W3" w:cs="Times New Roman"/>
      <w:color w:val="000000"/>
    </w:rPr>
  </w:style>
  <w:style w:type="character" w:customStyle="1" w:styleId="st">
    <w:name w:val="st"/>
    <w:basedOn w:val="DefaultParagraphFont"/>
    <w:rsid w:val="00BE372E"/>
  </w:style>
  <w:style w:type="character" w:styleId="Emphasis">
    <w:name w:val="Emphasis"/>
    <w:basedOn w:val="DefaultParagraphFont"/>
    <w:uiPriority w:val="20"/>
    <w:qFormat/>
    <w:rsid w:val="00BE372E"/>
    <w:rPr>
      <w:i/>
      <w:iCs/>
    </w:rPr>
  </w:style>
  <w:style w:type="character" w:styleId="EndnoteReference">
    <w:name w:val="endnote reference"/>
    <w:basedOn w:val="DefaultParagraphFont"/>
    <w:uiPriority w:val="99"/>
    <w:semiHidden/>
    <w:unhideWhenUsed/>
    <w:rsid w:val="000F2A77"/>
    <w:rPr>
      <w:vertAlign w:val="superscript"/>
    </w:rPr>
  </w:style>
  <w:style w:type="character" w:customStyle="1" w:styleId="UnresolvedMention2">
    <w:name w:val="Unresolved Mention2"/>
    <w:basedOn w:val="DefaultParagraphFont"/>
    <w:uiPriority w:val="99"/>
    <w:semiHidden/>
    <w:unhideWhenUsed/>
    <w:rsid w:val="00D737BD"/>
    <w:rPr>
      <w:color w:val="605E5C"/>
      <w:shd w:val="clear" w:color="auto" w:fill="E1DFDD"/>
    </w:rPr>
  </w:style>
  <w:style w:type="character" w:customStyle="1" w:styleId="characteristicsitemtexttext">
    <w:name w:val="characteristics__item__text__text"/>
    <w:basedOn w:val="DefaultParagraphFont"/>
    <w:rsid w:val="00FE3705"/>
  </w:style>
  <w:style w:type="character" w:customStyle="1" w:styleId="field-content">
    <w:name w:val="field-content"/>
    <w:basedOn w:val="DefaultParagraphFont"/>
    <w:rsid w:val="007457FF"/>
  </w:style>
  <w:style w:type="character" w:customStyle="1" w:styleId="searchhit">
    <w:name w:val="searchhit"/>
    <w:basedOn w:val="DefaultParagraphFont"/>
    <w:rsid w:val="00EA2596"/>
  </w:style>
  <w:style w:type="character" w:customStyle="1" w:styleId="hwsect">
    <w:name w:val="hwsect"/>
    <w:basedOn w:val="DefaultParagraphFont"/>
    <w:rsid w:val="001B5921"/>
  </w:style>
  <w:style w:type="character" w:customStyle="1" w:styleId="hw">
    <w:name w:val="hw"/>
    <w:basedOn w:val="DefaultParagraphFont"/>
    <w:rsid w:val="001B5921"/>
  </w:style>
  <w:style w:type="character" w:customStyle="1" w:styleId="ps">
    <w:name w:val="ps"/>
    <w:basedOn w:val="DefaultParagraphFont"/>
    <w:rsid w:val="001B5921"/>
  </w:style>
  <w:style w:type="character" w:customStyle="1" w:styleId="card-text">
    <w:name w:val="card-text"/>
    <w:basedOn w:val="DefaultParagraphFont"/>
    <w:rsid w:val="002B62D5"/>
  </w:style>
  <w:style w:type="character" w:customStyle="1" w:styleId="UnresolvedMention3">
    <w:name w:val="Unresolved Mention3"/>
    <w:basedOn w:val="DefaultParagraphFont"/>
    <w:uiPriority w:val="99"/>
    <w:semiHidden/>
    <w:unhideWhenUsed/>
    <w:rsid w:val="00D9080D"/>
    <w:rPr>
      <w:color w:val="605E5C"/>
      <w:shd w:val="clear" w:color="auto" w:fill="E1DFDD"/>
    </w:rPr>
  </w:style>
  <w:style w:type="character" w:customStyle="1" w:styleId="UnresolvedMention4">
    <w:name w:val="Unresolved Mention4"/>
    <w:basedOn w:val="DefaultParagraphFont"/>
    <w:uiPriority w:val="99"/>
    <w:semiHidden/>
    <w:unhideWhenUsed/>
    <w:rsid w:val="00A438A2"/>
    <w:rPr>
      <w:color w:val="605E5C"/>
      <w:shd w:val="clear" w:color="auto" w:fill="E1DFDD"/>
    </w:rPr>
  </w:style>
  <w:style w:type="paragraph" w:customStyle="1" w:styleId="Default">
    <w:name w:val="Default"/>
    <w:rsid w:val="005845C5"/>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D53255"/>
    <w:rPr>
      <w:color w:val="605E5C"/>
      <w:shd w:val="clear" w:color="auto" w:fill="E1DFDD"/>
    </w:rPr>
  </w:style>
  <w:style w:type="character" w:customStyle="1" w:styleId="UnresolvedMention6">
    <w:name w:val="Unresolved Mention6"/>
    <w:basedOn w:val="DefaultParagraphFont"/>
    <w:uiPriority w:val="99"/>
    <w:semiHidden/>
    <w:unhideWhenUsed/>
    <w:rsid w:val="007347A1"/>
    <w:rPr>
      <w:color w:val="605E5C"/>
      <w:shd w:val="clear" w:color="auto" w:fill="E1DFDD"/>
    </w:rPr>
  </w:style>
  <w:style w:type="character" w:customStyle="1" w:styleId="dttext">
    <w:name w:val="dttext"/>
    <w:basedOn w:val="DefaultParagraphFont"/>
    <w:rsid w:val="009D44F3"/>
  </w:style>
  <w:style w:type="character" w:styleId="Strong">
    <w:name w:val="Strong"/>
    <w:basedOn w:val="DefaultParagraphFont"/>
    <w:uiPriority w:val="22"/>
    <w:qFormat/>
    <w:rsid w:val="009D44F3"/>
    <w:rPr>
      <w:b/>
      <w:bCs/>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7">
    <w:name w:val="Unresolved Mention7"/>
    <w:basedOn w:val="DefaultParagraphFont"/>
    <w:uiPriority w:val="99"/>
    <w:semiHidden/>
    <w:unhideWhenUsed/>
    <w:rsid w:val="009F26F7"/>
    <w:rPr>
      <w:color w:val="605E5C"/>
      <w:shd w:val="clear" w:color="auto" w:fill="E1DFDD"/>
    </w:rPr>
  </w:style>
  <w:style w:type="character" w:styleId="PlaceholderText">
    <w:name w:val="Placeholder Text"/>
    <w:basedOn w:val="DefaultParagraphFont"/>
    <w:uiPriority w:val="67"/>
    <w:rsid w:val="008533FE"/>
    <w:rPr>
      <w:color w:val="808080"/>
    </w:rPr>
  </w:style>
  <w:style w:type="paragraph" w:styleId="EndnoteText">
    <w:name w:val="endnote text"/>
    <w:basedOn w:val="Normal"/>
    <w:link w:val="EndnoteTextChar"/>
    <w:uiPriority w:val="99"/>
    <w:semiHidden/>
    <w:unhideWhenUsed/>
    <w:rsid w:val="00262216"/>
    <w:pPr>
      <w:spacing w:after="0"/>
    </w:pPr>
    <w:rPr>
      <w:sz w:val="20"/>
      <w:szCs w:val="20"/>
    </w:rPr>
  </w:style>
  <w:style w:type="character" w:customStyle="1" w:styleId="EndnoteTextChar">
    <w:name w:val="Endnote Text Char"/>
    <w:basedOn w:val="DefaultParagraphFont"/>
    <w:link w:val="EndnoteText"/>
    <w:uiPriority w:val="99"/>
    <w:semiHidden/>
    <w:rsid w:val="0026221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760">
      <w:bodyDiv w:val="1"/>
      <w:marLeft w:val="0"/>
      <w:marRight w:val="0"/>
      <w:marTop w:val="0"/>
      <w:marBottom w:val="0"/>
      <w:divBdr>
        <w:top w:val="none" w:sz="0" w:space="0" w:color="auto"/>
        <w:left w:val="none" w:sz="0" w:space="0" w:color="auto"/>
        <w:bottom w:val="none" w:sz="0" w:space="0" w:color="auto"/>
        <w:right w:val="none" w:sz="0" w:space="0" w:color="auto"/>
      </w:divBdr>
    </w:div>
    <w:div w:id="27730285">
      <w:bodyDiv w:val="1"/>
      <w:marLeft w:val="0"/>
      <w:marRight w:val="0"/>
      <w:marTop w:val="0"/>
      <w:marBottom w:val="0"/>
      <w:divBdr>
        <w:top w:val="none" w:sz="0" w:space="0" w:color="auto"/>
        <w:left w:val="none" w:sz="0" w:space="0" w:color="auto"/>
        <w:bottom w:val="none" w:sz="0" w:space="0" w:color="auto"/>
        <w:right w:val="none" w:sz="0" w:space="0" w:color="auto"/>
      </w:divBdr>
    </w:div>
    <w:div w:id="34738061">
      <w:bodyDiv w:val="1"/>
      <w:marLeft w:val="0"/>
      <w:marRight w:val="0"/>
      <w:marTop w:val="0"/>
      <w:marBottom w:val="0"/>
      <w:divBdr>
        <w:top w:val="none" w:sz="0" w:space="0" w:color="auto"/>
        <w:left w:val="none" w:sz="0" w:space="0" w:color="auto"/>
        <w:bottom w:val="none" w:sz="0" w:space="0" w:color="auto"/>
        <w:right w:val="none" w:sz="0" w:space="0" w:color="auto"/>
      </w:divBdr>
    </w:div>
    <w:div w:id="34739723">
      <w:bodyDiv w:val="1"/>
      <w:marLeft w:val="0"/>
      <w:marRight w:val="0"/>
      <w:marTop w:val="0"/>
      <w:marBottom w:val="0"/>
      <w:divBdr>
        <w:top w:val="none" w:sz="0" w:space="0" w:color="auto"/>
        <w:left w:val="none" w:sz="0" w:space="0" w:color="auto"/>
        <w:bottom w:val="none" w:sz="0" w:space="0" w:color="auto"/>
        <w:right w:val="none" w:sz="0" w:space="0" w:color="auto"/>
      </w:divBdr>
    </w:div>
    <w:div w:id="39403832">
      <w:bodyDiv w:val="1"/>
      <w:marLeft w:val="0"/>
      <w:marRight w:val="0"/>
      <w:marTop w:val="0"/>
      <w:marBottom w:val="0"/>
      <w:divBdr>
        <w:top w:val="none" w:sz="0" w:space="0" w:color="auto"/>
        <w:left w:val="none" w:sz="0" w:space="0" w:color="auto"/>
        <w:bottom w:val="none" w:sz="0" w:space="0" w:color="auto"/>
        <w:right w:val="none" w:sz="0" w:space="0" w:color="auto"/>
      </w:divBdr>
    </w:div>
    <w:div w:id="46731665">
      <w:bodyDiv w:val="1"/>
      <w:marLeft w:val="0"/>
      <w:marRight w:val="0"/>
      <w:marTop w:val="0"/>
      <w:marBottom w:val="0"/>
      <w:divBdr>
        <w:top w:val="none" w:sz="0" w:space="0" w:color="auto"/>
        <w:left w:val="none" w:sz="0" w:space="0" w:color="auto"/>
        <w:bottom w:val="none" w:sz="0" w:space="0" w:color="auto"/>
        <w:right w:val="none" w:sz="0" w:space="0" w:color="auto"/>
      </w:divBdr>
    </w:div>
    <w:div w:id="60105986">
      <w:bodyDiv w:val="1"/>
      <w:marLeft w:val="0"/>
      <w:marRight w:val="0"/>
      <w:marTop w:val="0"/>
      <w:marBottom w:val="0"/>
      <w:divBdr>
        <w:top w:val="none" w:sz="0" w:space="0" w:color="auto"/>
        <w:left w:val="none" w:sz="0" w:space="0" w:color="auto"/>
        <w:bottom w:val="none" w:sz="0" w:space="0" w:color="auto"/>
        <w:right w:val="none" w:sz="0" w:space="0" w:color="auto"/>
      </w:divBdr>
    </w:div>
    <w:div w:id="93595920">
      <w:bodyDiv w:val="1"/>
      <w:marLeft w:val="0"/>
      <w:marRight w:val="0"/>
      <w:marTop w:val="0"/>
      <w:marBottom w:val="0"/>
      <w:divBdr>
        <w:top w:val="none" w:sz="0" w:space="0" w:color="auto"/>
        <w:left w:val="none" w:sz="0" w:space="0" w:color="auto"/>
        <w:bottom w:val="none" w:sz="0" w:space="0" w:color="auto"/>
        <w:right w:val="none" w:sz="0" w:space="0" w:color="auto"/>
      </w:divBdr>
    </w:div>
    <w:div w:id="118227276">
      <w:bodyDiv w:val="1"/>
      <w:marLeft w:val="0"/>
      <w:marRight w:val="0"/>
      <w:marTop w:val="0"/>
      <w:marBottom w:val="0"/>
      <w:divBdr>
        <w:top w:val="none" w:sz="0" w:space="0" w:color="auto"/>
        <w:left w:val="none" w:sz="0" w:space="0" w:color="auto"/>
        <w:bottom w:val="none" w:sz="0" w:space="0" w:color="auto"/>
        <w:right w:val="none" w:sz="0" w:space="0" w:color="auto"/>
      </w:divBdr>
    </w:div>
    <w:div w:id="123357518">
      <w:bodyDiv w:val="1"/>
      <w:marLeft w:val="0"/>
      <w:marRight w:val="0"/>
      <w:marTop w:val="0"/>
      <w:marBottom w:val="0"/>
      <w:divBdr>
        <w:top w:val="none" w:sz="0" w:space="0" w:color="auto"/>
        <w:left w:val="none" w:sz="0" w:space="0" w:color="auto"/>
        <w:bottom w:val="none" w:sz="0" w:space="0" w:color="auto"/>
        <w:right w:val="none" w:sz="0" w:space="0" w:color="auto"/>
      </w:divBdr>
    </w:div>
    <w:div w:id="135996258">
      <w:bodyDiv w:val="1"/>
      <w:marLeft w:val="0"/>
      <w:marRight w:val="0"/>
      <w:marTop w:val="0"/>
      <w:marBottom w:val="0"/>
      <w:divBdr>
        <w:top w:val="none" w:sz="0" w:space="0" w:color="auto"/>
        <w:left w:val="none" w:sz="0" w:space="0" w:color="auto"/>
        <w:bottom w:val="none" w:sz="0" w:space="0" w:color="auto"/>
        <w:right w:val="none" w:sz="0" w:space="0" w:color="auto"/>
      </w:divBdr>
      <w:divsChild>
        <w:div w:id="1169297980">
          <w:marLeft w:val="0"/>
          <w:marRight w:val="0"/>
          <w:marTop w:val="0"/>
          <w:marBottom w:val="0"/>
          <w:divBdr>
            <w:top w:val="none" w:sz="0" w:space="0" w:color="auto"/>
            <w:left w:val="none" w:sz="0" w:space="0" w:color="auto"/>
            <w:bottom w:val="none" w:sz="0" w:space="0" w:color="auto"/>
            <w:right w:val="none" w:sz="0" w:space="0" w:color="auto"/>
          </w:divBdr>
          <w:divsChild>
            <w:div w:id="702440380">
              <w:marLeft w:val="0"/>
              <w:marRight w:val="0"/>
              <w:marTop w:val="0"/>
              <w:marBottom w:val="0"/>
              <w:divBdr>
                <w:top w:val="none" w:sz="0" w:space="0" w:color="auto"/>
                <w:left w:val="none" w:sz="0" w:space="0" w:color="auto"/>
                <w:bottom w:val="none" w:sz="0" w:space="0" w:color="auto"/>
                <w:right w:val="none" w:sz="0" w:space="0" w:color="auto"/>
              </w:divBdr>
              <w:divsChild>
                <w:div w:id="401755316">
                  <w:marLeft w:val="0"/>
                  <w:marRight w:val="0"/>
                  <w:marTop w:val="0"/>
                  <w:marBottom w:val="0"/>
                  <w:divBdr>
                    <w:top w:val="none" w:sz="0" w:space="0" w:color="auto"/>
                    <w:left w:val="none" w:sz="0" w:space="0" w:color="auto"/>
                    <w:bottom w:val="none" w:sz="0" w:space="0" w:color="auto"/>
                    <w:right w:val="none" w:sz="0" w:space="0" w:color="auto"/>
                  </w:divBdr>
                  <w:divsChild>
                    <w:div w:id="601760257">
                      <w:marLeft w:val="0"/>
                      <w:marRight w:val="0"/>
                      <w:marTop w:val="0"/>
                      <w:marBottom w:val="0"/>
                      <w:divBdr>
                        <w:top w:val="none" w:sz="0" w:space="0" w:color="auto"/>
                        <w:left w:val="none" w:sz="0" w:space="0" w:color="auto"/>
                        <w:bottom w:val="none" w:sz="0" w:space="0" w:color="auto"/>
                        <w:right w:val="none" w:sz="0" w:space="0" w:color="auto"/>
                      </w:divBdr>
                      <w:divsChild>
                        <w:div w:id="719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7367">
      <w:bodyDiv w:val="1"/>
      <w:marLeft w:val="0"/>
      <w:marRight w:val="0"/>
      <w:marTop w:val="0"/>
      <w:marBottom w:val="0"/>
      <w:divBdr>
        <w:top w:val="none" w:sz="0" w:space="0" w:color="auto"/>
        <w:left w:val="none" w:sz="0" w:space="0" w:color="auto"/>
        <w:bottom w:val="none" w:sz="0" w:space="0" w:color="auto"/>
        <w:right w:val="none" w:sz="0" w:space="0" w:color="auto"/>
      </w:divBdr>
    </w:div>
    <w:div w:id="189146319">
      <w:bodyDiv w:val="1"/>
      <w:marLeft w:val="0"/>
      <w:marRight w:val="0"/>
      <w:marTop w:val="0"/>
      <w:marBottom w:val="0"/>
      <w:divBdr>
        <w:top w:val="none" w:sz="0" w:space="0" w:color="auto"/>
        <w:left w:val="none" w:sz="0" w:space="0" w:color="auto"/>
        <w:bottom w:val="none" w:sz="0" w:space="0" w:color="auto"/>
        <w:right w:val="none" w:sz="0" w:space="0" w:color="auto"/>
      </w:divBdr>
    </w:div>
    <w:div w:id="201139358">
      <w:bodyDiv w:val="1"/>
      <w:marLeft w:val="0"/>
      <w:marRight w:val="0"/>
      <w:marTop w:val="0"/>
      <w:marBottom w:val="0"/>
      <w:divBdr>
        <w:top w:val="none" w:sz="0" w:space="0" w:color="auto"/>
        <w:left w:val="none" w:sz="0" w:space="0" w:color="auto"/>
        <w:bottom w:val="none" w:sz="0" w:space="0" w:color="auto"/>
        <w:right w:val="none" w:sz="0" w:space="0" w:color="auto"/>
      </w:divBdr>
    </w:div>
    <w:div w:id="202716277">
      <w:bodyDiv w:val="1"/>
      <w:marLeft w:val="0"/>
      <w:marRight w:val="0"/>
      <w:marTop w:val="0"/>
      <w:marBottom w:val="0"/>
      <w:divBdr>
        <w:top w:val="none" w:sz="0" w:space="0" w:color="auto"/>
        <w:left w:val="none" w:sz="0" w:space="0" w:color="auto"/>
        <w:bottom w:val="none" w:sz="0" w:space="0" w:color="auto"/>
        <w:right w:val="none" w:sz="0" w:space="0" w:color="auto"/>
      </w:divBdr>
    </w:div>
    <w:div w:id="211231839">
      <w:bodyDiv w:val="1"/>
      <w:marLeft w:val="0"/>
      <w:marRight w:val="0"/>
      <w:marTop w:val="0"/>
      <w:marBottom w:val="0"/>
      <w:divBdr>
        <w:top w:val="none" w:sz="0" w:space="0" w:color="auto"/>
        <w:left w:val="none" w:sz="0" w:space="0" w:color="auto"/>
        <w:bottom w:val="none" w:sz="0" w:space="0" w:color="auto"/>
        <w:right w:val="none" w:sz="0" w:space="0" w:color="auto"/>
      </w:divBdr>
    </w:div>
    <w:div w:id="231740467">
      <w:bodyDiv w:val="1"/>
      <w:marLeft w:val="0"/>
      <w:marRight w:val="0"/>
      <w:marTop w:val="0"/>
      <w:marBottom w:val="0"/>
      <w:divBdr>
        <w:top w:val="none" w:sz="0" w:space="0" w:color="auto"/>
        <w:left w:val="none" w:sz="0" w:space="0" w:color="auto"/>
        <w:bottom w:val="none" w:sz="0" w:space="0" w:color="auto"/>
        <w:right w:val="none" w:sz="0" w:space="0" w:color="auto"/>
      </w:divBdr>
    </w:div>
    <w:div w:id="283653414">
      <w:bodyDiv w:val="1"/>
      <w:marLeft w:val="0"/>
      <w:marRight w:val="0"/>
      <w:marTop w:val="0"/>
      <w:marBottom w:val="0"/>
      <w:divBdr>
        <w:top w:val="none" w:sz="0" w:space="0" w:color="auto"/>
        <w:left w:val="none" w:sz="0" w:space="0" w:color="auto"/>
        <w:bottom w:val="none" w:sz="0" w:space="0" w:color="auto"/>
        <w:right w:val="none" w:sz="0" w:space="0" w:color="auto"/>
      </w:divBdr>
    </w:div>
    <w:div w:id="340740207">
      <w:bodyDiv w:val="1"/>
      <w:marLeft w:val="0"/>
      <w:marRight w:val="0"/>
      <w:marTop w:val="0"/>
      <w:marBottom w:val="0"/>
      <w:divBdr>
        <w:top w:val="none" w:sz="0" w:space="0" w:color="auto"/>
        <w:left w:val="none" w:sz="0" w:space="0" w:color="auto"/>
        <w:bottom w:val="none" w:sz="0" w:space="0" w:color="auto"/>
        <w:right w:val="none" w:sz="0" w:space="0" w:color="auto"/>
      </w:divBdr>
    </w:div>
    <w:div w:id="348718209">
      <w:bodyDiv w:val="1"/>
      <w:marLeft w:val="0"/>
      <w:marRight w:val="0"/>
      <w:marTop w:val="0"/>
      <w:marBottom w:val="0"/>
      <w:divBdr>
        <w:top w:val="none" w:sz="0" w:space="0" w:color="auto"/>
        <w:left w:val="none" w:sz="0" w:space="0" w:color="auto"/>
        <w:bottom w:val="none" w:sz="0" w:space="0" w:color="auto"/>
        <w:right w:val="none" w:sz="0" w:space="0" w:color="auto"/>
      </w:divBdr>
    </w:div>
    <w:div w:id="352802101">
      <w:bodyDiv w:val="1"/>
      <w:marLeft w:val="0"/>
      <w:marRight w:val="0"/>
      <w:marTop w:val="0"/>
      <w:marBottom w:val="0"/>
      <w:divBdr>
        <w:top w:val="none" w:sz="0" w:space="0" w:color="auto"/>
        <w:left w:val="none" w:sz="0" w:space="0" w:color="auto"/>
        <w:bottom w:val="none" w:sz="0" w:space="0" w:color="auto"/>
        <w:right w:val="none" w:sz="0" w:space="0" w:color="auto"/>
      </w:divBdr>
    </w:div>
    <w:div w:id="376051223">
      <w:bodyDiv w:val="1"/>
      <w:marLeft w:val="0"/>
      <w:marRight w:val="0"/>
      <w:marTop w:val="0"/>
      <w:marBottom w:val="0"/>
      <w:divBdr>
        <w:top w:val="none" w:sz="0" w:space="0" w:color="auto"/>
        <w:left w:val="none" w:sz="0" w:space="0" w:color="auto"/>
        <w:bottom w:val="none" w:sz="0" w:space="0" w:color="auto"/>
        <w:right w:val="none" w:sz="0" w:space="0" w:color="auto"/>
      </w:divBdr>
    </w:div>
    <w:div w:id="383675594">
      <w:bodyDiv w:val="1"/>
      <w:marLeft w:val="0"/>
      <w:marRight w:val="0"/>
      <w:marTop w:val="0"/>
      <w:marBottom w:val="0"/>
      <w:divBdr>
        <w:top w:val="none" w:sz="0" w:space="0" w:color="auto"/>
        <w:left w:val="none" w:sz="0" w:space="0" w:color="auto"/>
        <w:bottom w:val="none" w:sz="0" w:space="0" w:color="auto"/>
        <w:right w:val="none" w:sz="0" w:space="0" w:color="auto"/>
      </w:divBdr>
    </w:div>
    <w:div w:id="400950356">
      <w:bodyDiv w:val="1"/>
      <w:marLeft w:val="0"/>
      <w:marRight w:val="0"/>
      <w:marTop w:val="0"/>
      <w:marBottom w:val="0"/>
      <w:divBdr>
        <w:top w:val="none" w:sz="0" w:space="0" w:color="auto"/>
        <w:left w:val="none" w:sz="0" w:space="0" w:color="auto"/>
        <w:bottom w:val="none" w:sz="0" w:space="0" w:color="auto"/>
        <w:right w:val="none" w:sz="0" w:space="0" w:color="auto"/>
      </w:divBdr>
    </w:div>
    <w:div w:id="416830942">
      <w:bodyDiv w:val="1"/>
      <w:marLeft w:val="0"/>
      <w:marRight w:val="0"/>
      <w:marTop w:val="0"/>
      <w:marBottom w:val="0"/>
      <w:divBdr>
        <w:top w:val="none" w:sz="0" w:space="0" w:color="auto"/>
        <w:left w:val="none" w:sz="0" w:space="0" w:color="auto"/>
        <w:bottom w:val="none" w:sz="0" w:space="0" w:color="auto"/>
        <w:right w:val="none" w:sz="0" w:space="0" w:color="auto"/>
      </w:divBdr>
    </w:div>
    <w:div w:id="443694762">
      <w:bodyDiv w:val="1"/>
      <w:marLeft w:val="0"/>
      <w:marRight w:val="0"/>
      <w:marTop w:val="0"/>
      <w:marBottom w:val="0"/>
      <w:divBdr>
        <w:top w:val="none" w:sz="0" w:space="0" w:color="auto"/>
        <w:left w:val="none" w:sz="0" w:space="0" w:color="auto"/>
        <w:bottom w:val="none" w:sz="0" w:space="0" w:color="auto"/>
        <w:right w:val="none" w:sz="0" w:space="0" w:color="auto"/>
      </w:divBdr>
      <w:divsChild>
        <w:div w:id="589311543">
          <w:marLeft w:val="0"/>
          <w:marRight w:val="0"/>
          <w:marTop w:val="0"/>
          <w:marBottom w:val="0"/>
          <w:divBdr>
            <w:top w:val="none" w:sz="0" w:space="0" w:color="auto"/>
            <w:left w:val="none" w:sz="0" w:space="0" w:color="auto"/>
            <w:bottom w:val="none" w:sz="0" w:space="0" w:color="auto"/>
            <w:right w:val="none" w:sz="0" w:space="0" w:color="auto"/>
          </w:divBdr>
        </w:div>
      </w:divsChild>
    </w:div>
    <w:div w:id="447286409">
      <w:bodyDiv w:val="1"/>
      <w:marLeft w:val="0"/>
      <w:marRight w:val="0"/>
      <w:marTop w:val="0"/>
      <w:marBottom w:val="0"/>
      <w:divBdr>
        <w:top w:val="none" w:sz="0" w:space="0" w:color="auto"/>
        <w:left w:val="none" w:sz="0" w:space="0" w:color="auto"/>
        <w:bottom w:val="none" w:sz="0" w:space="0" w:color="auto"/>
        <w:right w:val="none" w:sz="0" w:space="0" w:color="auto"/>
      </w:divBdr>
    </w:div>
    <w:div w:id="477310200">
      <w:bodyDiv w:val="1"/>
      <w:marLeft w:val="0"/>
      <w:marRight w:val="0"/>
      <w:marTop w:val="0"/>
      <w:marBottom w:val="0"/>
      <w:divBdr>
        <w:top w:val="none" w:sz="0" w:space="0" w:color="auto"/>
        <w:left w:val="none" w:sz="0" w:space="0" w:color="auto"/>
        <w:bottom w:val="none" w:sz="0" w:space="0" w:color="auto"/>
        <w:right w:val="none" w:sz="0" w:space="0" w:color="auto"/>
      </w:divBdr>
    </w:div>
    <w:div w:id="502017843">
      <w:bodyDiv w:val="1"/>
      <w:marLeft w:val="0"/>
      <w:marRight w:val="0"/>
      <w:marTop w:val="0"/>
      <w:marBottom w:val="0"/>
      <w:divBdr>
        <w:top w:val="none" w:sz="0" w:space="0" w:color="auto"/>
        <w:left w:val="none" w:sz="0" w:space="0" w:color="auto"/>
        <w:bottom w:val="none" w:sz="0" w:space="0" w:color="auto"/>
        <w:right w:val="none" w:sz="0" w:space="0" w:color="auto"/>
      </w:divBdr>
    </w:div>
    <w:div w:id="504512162">
      <w:bodyDiv w:val="1"/>
      <w:marLeft w:val="0"/>
      <w:marRight w:val="0"/>
      <w:marTop w:val="0"/>
      <w:marBottom w:val="0"/>
      <w:divBdr>
        <w:top w:val="none" w:sz="0" w:space="0" w:color="auto"/>
        <w:left w:val="none" w:sz="0" w:space="0" w:color="auto"/>
        <w:bottom w:val="none" w:sz="0" w:space="0" w:color="auto"/>
        <w:right w:val="none" w:sz="0" w:space="0" w:color="auto"/>
      </w:divBdr>
    </w:div>
    <w:div w:id="524712379">
      <w:bodyDiv w:val="1"/>
      <w:marLeft w:val="0"/>
      <w:marRight w:val="0"/>
      <w:marTop w:val="0"/>
      <w:marBottom w:val="0"/>
      <w:divBdr>
        <w:top w:val="none" w:sz="0" w:space="0" w:color="auto"/>
        <w:left w:val="none" w:sz="0" w:space="0" w:color="auto"/>
        <w:bottom w:val="none" w:sz="0" w:space="0" w:color="auto"/>
        <w:right w:val="none" w:sz="0" w:space="0" w:color="auto"/>
      </w:divBdr>
    </w:div>
    <w:div w:id="554898523">
      <w:bodyDiv w:val="1"/>
      <w:marLeft w:val="0"/>
      <w:marRight w:val="0"/>
      <w:marTop w:val="0"/>
      <w:marBottom w:val="0"/>
      <w:divBdr>
        <w:top w:val="none" w:sz="0" w:space="0" w:color="auto"/>
        <w:left w:val="none" w:sz="0" w:space="0" w:color="auto"/>
        <w:bottom w:val="none" w:sz="0" w:space="0" w:color="auto"/>
        <w:right w:val="none" w:sz="0" w:space="0" w:color="auto"/>
      </w:divBdr>
    </w:div>
    <w:div w:id="572786414">
      <w:bodyDiv w:val="1"/>
      <w:marLeft w:val="0"/>
      <w:marRight w:val="0"/>
      <w:marTop w:val="0"/>
      <w:marBottom w:val="0"/>
      <w:divBdr>
        <w:top w:val="none" w:sz="0" w:space="0" w:color="auto"/>
        <w:left w:val="none" w:sz="0" w:space="0" w:color="auto"/>
        <w:bottom w:val="none" w:sz="0" w:space="0" w:color="auto"/>
        <w:right w:val="none" w:sz="0" w:space="0" w:color="auto"/>
      </w:divBdr>
    </w:div>
    <w:div w:id="596519981">
      <w:bodyDiv w:val="1"/>
      <w:marLeft w:val="0"/>
      <w:marRight w:val="0"/>
      <w:marTop w:val="0"/>
      <w:marBottom w:val="0"/>
      <w:divBdr>
        <w:top w:val="none" w:sz="0" w:space="0" w:color="auto"/>
        <w:left w:val="none" w:sz="0" w:space="0" w:color="auto"/>
        <w:bottom w:val="none" w:sz="0" w:space="0" w:color="auto"/>
        <w:right w:val="none" w:sz="0" w:space="0" w:color="auto"/>
      </w:divBdr>
    </w:div>
    <w:div w:id="649334651">
      <w:bodyDiv w:val="1"/>
      <w:marLeft w:val="0"/>
      <w:marRight w:val="0"/>
      <w:marTop w:val="0"/>
      <w:marBottom w:val="0"/>
      <w:divBdr>
        <w:top w:val="none" w:sz="0" w:space="0" w:color="auto"/>
        <w:left w:val="none" w:sz="0" w:space="0" w:color="auto"/>
        <w:bottom w:val="none" w:sz="0" w:space="0" w:color="auto"/>
        <w:right w:val="none" w:sz="0" w:space="0" w:color="auto"/>
      </w:divBdr>
      <w:divsChild>
        <w:div w:id="1861624061">
          <w:marLeft w:val="0"/>
          <w:marRight w:val="0"/>
          <w:marTop w:val="0"/>
          <w:marBottom w:val="0"/>
          <w:divBdr>
            <w:top w:val="none" w:sz="0" w:space="0" w:color="auto"/>
            <w:left w:val="none" w:sz="0" w:space="0" w:color="auto"/>
            <w:bottom w:val="none" w:sz="0" w:space="0" w:color="auto"/>
            <w:right w:val="none" w:sz="0" w:space="0" w:color="auto"/>
          </w:divBdr>
        </w:div>
      </w:divsChild>
    </w:div>
    <w:div w:id="658118743">
      <w:bodyDiv w:val="1"/>
      <w:marLeft w:val="0"/>
      <w:marRight w:val="0"/>
      <w:marTop w:val="0"/>
      <w:marBottom w:val="0"/>
      <w:divBdr>
        <w:top w:val="none" w:sz="0" w:space="0" w:color="auto"/>
        <w:left w:val="none" w:sz="0" w:space="0" w:color="auto"/>
        <w:bottom w:val="none" w:sz="0" w:space="0" w:color="auto"/>
        <w:right w:val="none" w:sz="0" w:space="0" w:color="auto"/>
      </w:divBdr>
    </w:div>
    <w:div w:id="660894809">
      <w:bodyDiv w:val="1"/>
      <w:marLeft w:val="0"/>
      <w:marRight w:val="0"/>
      <w:marTop w:val="0"/>
      <w:marBottom w:val="0"/>
      <w:divBdr>
        <w:top w:val="none" w:sz="0" w:space="0" w:color="auto"/>
        <w:left w:val="none" w:sz="0" w:space="0" w:color="auto"/>
        <w:bottom w:val="none" w:sz="0" w:space="0" w:color="auto"/>
        <w:right w:val="none" w:sz="0" w:space="0" w:color="auto"/>
      </w:divBdr>
    </w:div>
    <w:div w:id="676466420">
      <w:bodyDiv w:val="1"/>
      <w:marLeft w:val="0"/>
      <w:marRight w:val="0"/>
      <w:marTop w:val="0"/>
      <w:marBottom w:val="0"/>
      <w:divBdr>
        <w:top w:val="none" w:sz="0" w:space="0" w:color="auto"/>
        <w:left w:val="none" w:sz="0" w:space="0" w:color="auto"/>
        <w:bottom w:val="none" w:sz="0" w:space="0" w:color="auto"/>
        <w:right w:val="none" w:sz="0" w:space="0" w:color="auto"/>
      </w:divBdr>
    </w:div>
    <w:div w:id="705058617">
      <w:bodyDiv w:val="1"/>
      <w:marLeft w:val="0"/>
      <w:marRight w:val="0"/>
      <w:marTop w:val="0"/>
      <w:marBottom w:val="0"/>
      <w:divBdr>
        <w:top w:val="none" w:sz="0" w:space="0" w:color="auto"/>
        <w:left w:val="none" w:sz="0" w:space="0" w:color="auto"/>
        <w:bottom w:val="none" w:sz="0" w:space="0" w:color="auto"/>
        <w:right w:val="none" w:sz="0" w:space="0" w:color="auto"/>
      </w:divBdr>
    </w:div>
    <w:div w:id="706222498">
      <w:bodyDiv w:val="1"/>
      <w:marLeft w:val="0"/>
      <w:marRight w:val="0"/>
      <w:marTop w:val="0"/>
      <w:marBottom w:val="0"/>
      <w:divBdr>
        <w:top w:val="none" w:sz="0" w:space="0" w:color="auto"/>
        <w:left w:val="none" w:sz="0" w:space="0" w:color="auto"/>
        <w:bottom w:val="none" w:sz="0" w:space="0" w:color="auto"/>
        <w:right w:val="none" w:sz="0" w:space="0" w:color="auto"/>
      </w:divBdr>
    </w:div>
    <w:div w:id="718089573">
      <w:bodyDiv w:val="1"/>
      <w:marLeft w:val="0"/>
      <w:marRight w:val="0"/>
      <w:marTop w:val="0"/>
      <w:marBottom w:val="0"/>
      <w:divBdr>
        <w:top w:val="none" w:sz="0" w:space="0" w:color="auto"/>
        <w:left w:val="none" w:sz="0" w:space="0" w:color="auto"/>
        <w:bottom w:val="none" w:sz="0" w:space="0" w:color="auto"/>
        <w:right w:val="none" w:sz="0" w:space="0" w:color="auto"/>
      </w:divBdr>
    </w:div>
    <w:div w:id="730811726">
      <w:bodyDiv w:val="1"/>
      <w:marLeft w:val="0"/>
      <w:marRight w:val="0"/>
      <w:marTop w:val="0"/>
      <w:marBottom w:val="0"/>
      <w:divBdr>
        <w:top w:val="none" w:sz="0" w:space="0" w:color="auto"/>
        <w:left w:val="none" w:sz="0" w:space="0" w:color="auto"/>
        <w:bottom w:val="none" w:sz="0" w:space="0" w:color="auto"/>
        <w:right w:val="none" w:sz="0" w:space="0" w:color="auto"/>
      </w:divBdr>
    </w:div>
    <w:div w:id="741635958">
      <w:bodyDiv w:val="1"/>
      <w:marLeft w:val="0"/>
      <w:marRight w:val="0"/>
      <w:marTop w:val="0"/>
      <w:marBottom w:val="0"/>
      <w:divBdr>
        <w:top w:val="none" w:sz="0" w:space="0" w:color="auto"/>
        <w:left w:val="none" w:sz="0" w:space="0" w:color="auto"/>
        <w:bottom w:val="none" w:sz="0" w:space="0" w:color="auto"/>
        <w:right w:val="none" w:sz="0" w:space="0" w:color="auto"/>
      </w:divBdr>
    </w:div>
    <w:div w:id="750781612">
      <w:bodyDiv w:val="1"/>
      <w:marLeft w:val="0"/>
      <w:marRight w:val="0"/>
      <w:marTop w:val="0"/>
      <w:marBottom w:val="0"/>
      <w:divBdr>
        <w:top w:val="none" w:sz="0" w:space="0" w:color="auto"/>
        <w:left w:val="none" w:sz="0" w:space="0" w:color="auto"/>
        <w:bottom w:val="none" w:sz="0" w:space="0" w:color="auto"/>
        <w:right w:val="none" w:sz="0" w:space="0" w:color="auto"/>
      </w:divBdr>
    </w:div>
    <w:div w:id="763457608">
      <w:bodyDiv w:val="1"/>
      <w:marLeft w:val="0"/>
      <w:marRight w:val="0"/>
      <w:marTop w:val="0"/>
      <w:marBottom w:val="0"/>
      <w:divBdr>
        <w:top w:val="none" w:sz="0" w:space="0" w:color="auto"/>
        <w:left w:val="none" w:sz="0" w:space="0" w:color="auto"/>
        <w:bottom w:val="none" w:sz="0" w:space="0" w:color="auto"/>
        <w:right w:val="none" w:sz="0" w:space="0" w:color="auto"/>
      </w:divBdr>
    </w:div>
    <w:div w:id="787116920">
      <w:bodyDiv w:val="1"/>
      <w:marLeft w:val="0"/>
      <w:marRight w:val="0"/>
      <w:marTop w:val="0"/>
      <w:marBottom w:val="0"/>
      <w:divBdr>
        <w:top w:val="none" w:sz="0" w:space="0" w:color="auto"/>
        <w:left w:val="none" w:sz="0" w:space="0" w:color="auto"/>
        <w:bottom w:val="none" w:sz="0" w:space="0" w:color="auto"/>
        <w:right w:val="none" w:sz="0" w:space="0" w:color="auto"/>
      </w:divBdr>
    </w:div>
    <w:div w:id="796333815">
      <w:bodyDiv w:val="1"/>
      <w:marLeft w:val="0"/>
      <w:marRight w:val="0"/>
      <w:marTop w:val="0"/>
      <w:marBottom w:val="0"/>
      <w:divBdr>
        <w:top w:val="none" w:sz="0" w:space="0" w:color="auto"/>
        <w:left w:val="none" w:sz="0" w:space="0" w:color="auto"/>
        <w:bottom w:val="none" w:sz="0" w:space="0" w:color="auto"/>
        <w:right w:val="none" w:sz="0" w:space="0" w:color="auto"/>
      </w:divBdr>
    </w:div>
    <w:div w:id="799111830">
      <w:bodyDiv w:val="1"/>
      <w:marLeft w:val="0"/>
      <w:marRight w:val="0"/>
      <w:marTop w:val="0"/>
      <w:marBottom w:val="0"/>
      <w:divBdr>
        <w:top w:val="none" w:sz="0" w:space="0" w:color="auto"/>
        <w:left w:val="none" w:sz="0" w:space="0" w:color="auto"/>
        <w:bottom w:val="none" w:sz="0" w:space="0" w:color="auto"/>
        <w:right w:val="none" w:sz="0" w:space="0" w:color="auto"/>
      </w:divBdr>
    </w:div>
    <w:div w:id="833030567">
      <w:bodyDiv w:val="1"/>
      <w:marLeft w:val="0"/>
      <w:marRight w:val="0"/>
      <w:marTop w:val="0"/>
      <w:marBottom w:val="0"/>
      <w:divBdr>
        <w:top w:val="none" w:sz="0" w:space="0" w:color="auto"/>
        <w:left w:val="none" w:sz="0" w:space="0" w:color="auto"/>
        <w:bottom w:val="none" w:sz="0" w:space="0" w:color="auto"/>
        <w:right w:val="none" w:sz="0" w:space="0" w:color="auto"/>
      </w:divBdr>
    </w:div>
    <w:div w:id="857280140">
      <w:bodyDiv w:val="1"/>
      <w:marLeft w:val="0"/>
      <w:marRight w:val="0"/>
      <w:marTop w:val="0"/>
      <w:marBottom w:val="0"/>
      <w:divBdr>
        <w:top w:val="none" w:sz="0" w:space="0" w:color="auto"/>
        <w:left w:val="none" w:sz="0" w:space="0" w:color="auto"/>
        <w:bottom w:val="none" w:sz="0" w:space="0" w:color="auto"/>
        <w:right w:val="none" w:sz="0" w:space="0" w:color="auto"/>
      </w:divBdr>
    </w:div>
    <w:div w:id="924608971">
      <w:bodyDiv w:val="1"/>
      <w:marLeft w:val="0"/>
      <w:marRight w:val="0"/>
      <w:marTop w:val="0"/>
      <w:marBottom w:val="0"/>
      <w:divBdr>
        <w:top w:val="none" w:sz="0" w:space="0" w:color="auto"/>
        <w:left w:val="none" w:sz="0" w:space="0" w:color="auto"/>
        <w:bottom w:val="none" w:sz="0" w:space="0" w:color="auto"/>
        <w:right w:val="none" w:sz="0" w:space="0" w:color="auto"/>
      </w:divBdr>
    </w:div>
    <w:div w:id="942998972">
      <w:bodyDiv w:val="1"/>
      <w:marLeft w:val="0"/>
      <w:marRight w:val="0"/>
      <w:marTop w:val="0"/>
      <w:marBottom w:val="0"/>
      <w:divBdr>
        <w:top w:val="none" w:sz="0" w:space="0" w:color="auto"/>
        <w:left w:val="none" w:sz="0" w:space="0" w:color="auto"/>
        <w:bottom w:val="none" w:sz="0" w:space="0" w:color="auto"/>
        <w:right w:val="none" w:sz="0" w:space="0" w:color="auto"/>
      </w:divBdr>
      <w:divsChild>
        <w:div w:id="1991443284">
          <w:marLeft w:val="0"/>
          <w:marRight w:val="0"/>
          <w:marTop w:val="0"/>
          <w:marBottom w:val="0"/>
          <w:divBdr>
            <w:top w:val="none" w:sz="0" w:space="0" w:color="auto"/>
            <w:left w:val="none" w:sz="0" w:space="0" w:color="auto"/>
            <w:bottom w:val="none" w:sz="0" w:space="0" w:color="auto"/>
            <w:right w:val="none" w:sz="0" w:space="0" w:color="auto"/>
          </w:divBdr>
          <w:divsChild>
            <w:div w:id="69498661">
              <w:marLeft w:val="0"/>
              <w:marRight w:val="0"/>
              <w:marTop w:val="0"/>
              <w:marBottom w:val="0"/>
              <w:divBdr>
                <w:top w:val="none" w:sz="0" w:space="0" w:color="auto"/>
                <w:left w:val="none" w:sz="0" w:space="0" w:color="auto"/>
                <w:bottom w:val="none" w:sz="0" w:space="0" w:color="auto"/>
                <w:right w:val="none" w:sz="0" w:space="0" w:color="auto"/>
              </w:divBdr>
              <w:divsChild>
                <w:div w:id="414207835">
                  <w:marLeft w:val="0"/>
                  <w:marRight w:val="0"/>
                  <w:marTop w:val="0"/>
                  <w:marBottom w:val="0"/>
                  <w:divBdr>
                    <w:top w:val="none" w:sz="0" w:space="0" w:color="auto"/>
                    <w:left w:val="none" w:sz="0" w:space="0" w:color="auto"/>
                    <w:bottom w:val="none" w:sz="0" w:space="0" w:color="auto"/>
                    <w:right w:val="none" w:sz="0" w:space="0" w:color="auto"/>
                  </w:divBdr>
                  <w:divsChild>
                    <w:div w:id="8339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96272">
      <w:bodyDiv w:val="1"/>
      <w:marLeft w:val="0"/>
      <w:marRight w:val="0"/>
      <w:marTop w:val="0"/>
      <w:marBottom w:val="0"/>
      <w:divBdr>
        <w:top w:val="none" w:sz="0" w:space="0" w:color="auto"/>
        <w:left w:val="none" w:sz="0" w:space="0" w:color="auto"/>
        <w:bottom w:val="none" w:sz="0" w:space="0" w:color="auto"/>
        <w:right w:val="none" w:sz="0" w:space="0" w:color="auto"/>
      </w:divBdr>
    </w:div>
    <w:div w:id="982394941">
      <w:bodyDiv w:val="1"/>
      <w:marLeft w:val="0"/>
      <w:marRight w:val="0"/>
      <w:marTop w:val="0"/>
      <w:marBottom w:val="0"/>
      <w:divBdr>
        <w:top w:val="none" w:sz="0" w:space="0" w:color="auto"/>
        <w:left w:val="none" w:sz="0" w:space="0" w:color="auto"/>
        <w:bottom w:val="none" w:sz="0" w:space="0" w:color="auto"/>
        <w:right w:val="none" w:sz="0" w:space="0" w:color="auto"/>
      </w:divBdr>
      <w:divsChild>
        <w:div w:id="889805079">
          <w:marLeft w:val="0"/>
          <w:marRight w:val="0"/>
          <w:marTop w:val="0"/>
          <w:marBottom w:val="0"/>
          <w:divBdr>
            <w:top w:val="none" w:sz="0" w:space="0" w:color="auto"/>
            <w:left w:val="none" w:sz="0" w:space="0" w:color="auto"/>
            <w:bottom w:val="none" w:sz="0" w:space="0" w:color="auto"/>
            <w:right w:val="none" w:sz="0" w:space="0" w:color="auto"/>
          </w:divBdr>
        </w:div>
        <w:div w:id="1766806689">
          <w:marLeft w:val="0"/>
          <w:marRight w:val="0"/>
          <w:marTop w:val="0"/>
          <w:marBottom w:val="0"/>
          <w:divBdr>
            <w:top w:val="none" w:sz="0" w:space="0" w:color="auto"/>
            <w:left w:val="none" w:sz="0" w:space="0" w:color="auto"/>
            <w:bottom w:val="none" w:sz="0" w:space="0" w:color="auto"/>
            <w:right w:val="none" w:sz="0" w:space="0" w:color="auto"/>
          </w:divBdr>
        </w:div>
      </w:divsChild>
    </w:div>
    <w:div w:id="1040663388">
      <w:bodyDiv w:val="1"/>
      <w:marLeft w:val="0"/>
      <w:marRight w:val="0"/>
      <w:marTop w:val="0"/>
      <w:marBottom w:val="0"/>
      <w:divBdr>
        <w:top w:val="none" w:sz="0" w:space="0" w:color="auto"/>
        <w:left w:val="none" w:sz="0" w:space="0" w:color="auto"/>
        <w:bottom w:val="none" w:sz="0" w:space="0" w:color="auto"/>
        <w:right w:val="none" w:sz="0" w:space="0" w:color="auto"/>
      </w:divBdr>
    </w:div>
    <w:div w:id="1042251463">
      <w:bodyDiv w:val="1"/>
      <w:marLeft w:val="0"/>
      <w:marRight w:val="0"/>
      <w:marTop w:val="0"/>
      <w:marBottom w:val="0"/>
      <w:divBdr>
        <w:top w:val="none" w:sz="0" w:space="0" w:color="auto"/>
        <w:left w:val="none" w:sz="0" w:space="0" w:color="auto"/>
        <w:bottom w:val="none" w:sz="0" w:space="0" w:color="auto"/>
        <w:right w:val="none" w:sz="0" w:space="0" w:color="auto"/>
      </w:divBdr>
    </w:div>
    <w:div w:id="1057319554">
      <w:bodyDiv w:val="1"/>
      <w:marLeft w:val="0"/>
      <w:marRight w:val="0"/>
      <w:marTop w:val="0"/>
      <w:marBottom w:val="0"/>
      <w:divBdr>
        <w:top w:val="none" w:sz="0" w:space="0" w:color="auto"/>
        <w:left w:val="none" w:sz="0" w:space="0" w:color="auto"/>
        <w:bottom w:val="none" w:sz="0" w:space="0" w:color="auto"/>
        <w:right w:val="none" w:sz="0" w:space="0" w:color="auto"/>
      </w:divBdr>
      <w:divsChild>
        <w:div w:id="1591231431">
          <w:marLeft w:val="0"/>
          <w:marRight w:val="0"/>
          <w:marTop w:val="0"/>
          <w:marBottom w:val="0"/>
          <w:divBdr>
            <w:top w:val="none" w:sz="0" w:space="0" w:color="auto"/>
            <w:left w:val="none" w:sz="0" w:space="0" w:color="auto"/>
            <w:bottom w:val="none" w:sz="0" w:space="0" w:color="auto"/>
            <w:right w:val="none" w:sz="0" w:space="0" w:color="auto"/>
          </w:divBdr>
          <w:divsChild>
            <w:div w:id="1741318958">
              <w:marLeft w:val="0"/>
              <w:marRight w:val="0"/>
              <w:marTop w:val="0"/>
              <w:marBottom w:val="0"/>
              <w:divBdr>
                <w:top w:val="none" w:sz="0" w:space="0" w:color="auto"/>
                <w:left w:val="none" w:sz="0" w:space="0" w:color="auto"/>
                <w:bottom w:val="none" w:sz="0" w:space="0" w:color="auto"/>
                <w:right w:val="none" w:sz="0" w:space="0" w:color="auto"/>
              </w:divBdr>
              <w:divsChild>
                <w:div w:id="351565341">
                  <w:marLeft w:val="0"/>
                  <w:marRight w:val="0"/>
                  <w:marTop w:val="0"/>
                  <w:marBottom w:val="0"/>
                  <w:divBdr>
                    <w:top w:val="none" w:sz="0" w:space="0" w:color="auto"/>
                    <w:left w:val="none" w:sz="0" w:space="0" w:color="auto"/>
                    <w:bottom w:val="none" w:sz="0" w:space="0" w:color="auto"/>
                    <w:right w:val="none" w:sz="0" w:space="0" w:color="auto"/>
                  </w:divBdr>
                  <w:divsChild>
                    <w:div w:id="16374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92467">
      <w:bodyDiv w:val="1"/>
      <w:marLeft w:val="0"/>
      <w:marRight w:val="0"/>
      <w:marTop w:val="0"/>
      <w:marBottom w:val="0"/>
      <w:divBdr>
        <w:top w:val="none" w:sz="0" w:space="0" w:color="auto"/>
        <w:left w:val="none" w:sz="0" w:space="0" w:color="auto"/>
        <w:bottom w:val="none" w:sz="0" w:space="0" w:color="auto"/>
        <w:right w:val="none" w:sz="0" w:space="0" w:color="auto"/>
      </w:divBdr>
    </w:div>
    <w:div w:id="1115827878">
      <w:bodyDiv w:val="1"/>
      <w:marLeft w:val="0"/>
      <w:marRight w:val="0"/>
      <w:marTop w:val="0"/>
      <w:marBottom w:val="0"/>
      <w:divBdr>
        <w:top w:val="none" w:sz="0" w:space="0" w:color="auto"/>
        <w:left w:val="none" w:sz="0" w:space="0" w:color="auto"/>
        <w:bottom w:val="none" w:sz="0" w:space="0" w:color="auto"/>
        <w:right w:val="none" w:sz="0" w:space="0" w:color="auto"/>
      </w:divBdr>
    </w:div>
    <w:div w:id="1131289556">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56186987">
      <w:bodyDiv w:val="1"/>
      <w:marLeft w:val="0"/>
      <w:marRight w:val="0"/>
      <w:marTop w:val="0"/>
      <w:marBottom w:val="0"/>
      <w:divBdr>
        <w:top w:val="none" w:sz="0" w:space="0" w:color="auto"/>
        <w:left w:val="none" w:sz="0" w:space="0" w:color="auto"/>
        <w:bottom w:val="none" w:sz="0" w:space="0" w:color="auto"/>
        <w:right w:val="none" w:sz="0" w:space="0" w:color="auto"/>
      </w:divBdr>
    </w:div>
    <w:div w:id="1173226780">
      <w:bodyDiv w:val="1"/>
      <w:marLeft w:val="0"/>
      <w:marRight w:val="0"/>
      <w:marTop w:val="0"/>
      <w:marBottom w:val="0"/>
      <w:divBdr>
        <w:top w:val="none" w:sz="0" w:space="0" w:color="auto"/>
        <w:left w:val="none" w:sz="0" w:space="0" w:color="auto"/>
        <w:bottom w:val="none" w:sz="0" w:space="0" w:color="auto"/>
        <w:right w:val="none" w:sz="0" w:space="0" w:color="auto"/>
      </w:divBdr>
    </w:div>
    <w:div w:id="1185480998">
      <w:bodyDiv w:val="1"/>
      <w:marLeft w:val="0"/>
      <w:marRight w:val="0"/>
      <w:marTop w:val="0"/>
      <w:marBottom w:val="0"/>
      <w:divBdr>
        <w:top w:val="none" w:sz="0" w:space="0" w:color="auto"/>
        <w:left w:val="none" w:sz="0" w:space="0" w:color="auto"/>
        <w:bottom w:val="none" w:sz="0" w:space="0" w:color="auto"/>
        <w:right w:val="none" w:sz="0" w:space="0" w:color="auto"/>
      </w:divBdr>
    </w:div>
    <w:div w:id="1233080830">
      <w:bodyDiv w:val="1"/>
      <w:marLeft w:val="0"/>
      <w:marRight w:val="0"/>
      <w:marTop w:val="0"/>
      <w:marBottom w:val="0"/>
      <w:divBdr>
        <w:top w:val="none" w:sz="0" w:space="0" w:color="auto"/>
        <w:left w:val="none" w:sz="0" w:space="0" w:color="auto"/>
        <w:bottom w:val="none" w:sz="0" w:space="0" w:color="auto"/>
        <w:right w:val="none" w:sz="0" w:space="0" w:color="auto"/>
      </w:divBdr>
    </w:div>
    <w:div w:id="1241522137">
      <w:bodyDiv w:val="1"/>
      <w:marLeft w:val="0"/>
      <w:marRight w:val="0"/>
      <w:marTop w:val="0"/>
      <w:marBottom w:val="0"/>
      <w:divBdr>
        <w:top w:val="none" w:sz="0" w:space="0" w:color="auto"/>
        <w:left w:val="none" w:sz="0" w:space="0" w:color="auto"/>
        <w:bottom w:val="none" w:sz="0" w:space="0" w:color="auto"/>
        <w:right w:val="none" w:sz="0" w:space="0" w:color="auto"/>
      </w:divBdr>
    </w:div>
    <w:div w:id="1301493835">
      <w:bodyDiv w:val="1"/>
      <w:marLeft w:val="0"/>
      <w:marRight w:val="0"/>
      <w:marTop w:val="0"/>
      <w:marBottom w:val="0"/>
      <w:divBdr>
        <w:top w:val="none" w:sz="0" w:space="0" w:color="auto"/>
        <w:left w:val="none" w:sz="0" w:space="0" w:color="auto"/>
        <w:bottom w:val="none" w:sz="0" w:space="0" w:color="auto"/>
        <w:right w:val="none" w:sz="0" w:space="0" w:color="auto"/>
      </w:divBdr>
    </w:div>
    <w:div w:id="1333876963">
      <w:bodyDiv w:val="1"/>
      <w:marLeft w:val="0"/>
      <w:marRight w:val="0"/>
      <w:marTop w:val="0"/>
      <w:marBottom w:val="0"/>
      <w:divBdr>
        <w:top w:val="none" w:sz="0" w:space="0" w:color="auto"/>
        <w:left w:val="none" w:sz="0" w:space="0" w:color="auto"/>
        <w:bottom w:val="none" w:sz="0" w:space="0" w:color="auto"/>
        <w:right w:val="none" w:sz="0" w:space="0" w:color="auto"/>
      </w:divBdr>
    </w:div>
    <w:div w:id="1346906028">
      <w:bodyDiv w:val="1"/>
      <w:marLeft w:val="0"/>
      <w:marRight w:val="0"/>
      <w:marTop w:val="0"/>
      <w:marBottom w:val="0"/>
      <w:divBdr>
        <w:top w:val="none" w:sz="0" w:space="0" w:color="auto"/>
        <w:left w:val="none" w:sz="0" w:space="0" w:color="auto"/>
        <w:bottom w:val="none" w:sz="0" w:space="0" w:color="auto"/>
        <w:right w:val="none" w:sz="0" w:space="0" w:color="auto"/>
      </w:divBdr>
    </w:div>
    <w:div w:id="1406949996">
      <w:bodyDiv w:val="1"/>
      <w:marLeft w:val="0"/>
      <w:marRight w:val="0"/>
      <w:marTop w:val="0"/>
      <w:marBottom w:val="0"/>
      <w:divBdr>
        <w:top w:val="none" w:sz="0" w:space="0" w:color="auto"/>
        <w:left w:val="none" w:sz="0" w:space="0" w:color="auto"/>
        <w:bottom w:val="none" w:sz="0" w:space="0" w:color="auto"/>
        <w:right w:val="none" w:sz="0" w:space="0" w:color="auto"/>
      </w:divBdr>
    </w:div>
    <w:div w:id="1408923151">
      <w:bodyDiv w:val="1"/>
      <w:marLeft w:val="0"/>
      <w:marRight w:val="0"/>
      <w:marTop w:val="0"/>
      <w:marBottom w:val="0"/>
      <w:divBdr>
        <w:top w:val="none" w:sz="0" w:space="0" w:color="auto"/>
        <w:left w:val="none" w:sz="0" w:space="0" w:color="auto"/>
        <w:bottom w:val="none" w:sz="0" w:space="0" w:color="auto"/>
        <w:right w:val="none" w:sz="0" w:space="0" w:color="auto"/>
      </w:divBdr>
    </w:div>
    <w:div w:id="1442871432">
      <w:bodyDiv w:val="1"/>
      <w:marLeft w:val="0"/>
      <w:marRight w:val="0"/>
      <w:marTop w:val="0"/>
      <w:marBottom w:val="0"/>
      <w:divBdr>
        <w:top w:val="none" w:sz="0" w:space="0" w:color="auto"/>
        <w:left w:val="none" w:sz="0" w:space="0" w:color="auto"/>
        <w:bottom w:val="none" w:sz="0" w:space="0" w:color="auto"/>
        <w:right w:val="none" w:sz="0" w:space="0" w:color="auto"/>
      </w:divBdr>
    </w:div>
    <w:div w:id="1526166388">
      <w:bodyDiv w:val="1"/>
      <w:marLeft w:val="0"/>
      <w:marRight w:val="0"/>
      <w:marTop w:val="0"/>
      <w:marBottom w:val="0"/>
      <w:divBdr>
        <w:top w:val="none" w:sz="0" w:space="0" w:color="auto"/>
        <w:left w:val="none" w:sz="0" w:space="0" w:color="auto"/>
        <w:bottom w:val="none" w:sz="0" w:space="0" w:color="auto"/>
        <w:right w:val="none" w:sz="0" w:space="0" w:color="auto"/>
      </w:divBdr>
    </w:div>
    <w:div w:id="1546327890">
      <w:bodyDiv w:val="1"/>
      <w:marLeft w:val="0"/>
      <w:marRight w:val="0"/>
      <w:marTop w:val="0"/>
      <w:marBottom w:val="0"/>
      <w:divBdr>
        <w:top w:val="none" w:sz="0" w:space="0" w:color="auto"/>
        <w:left w:val="none" w:sz="0" w:space="0" w:color="auto"/>
        <w:bottom w:val="none" w:sz="0" w:space="0" w:color="auto"/>
        <w:right w:val="none" w:sz="0" w:space="0" w:color="auto"/>
      </w:divBdr>
    </w:div>
    <w:div w:id="1563058577">
      <w:bodyDiv w:val="1"/>
      <w:marLeft w:val="0"/>
      <w:marRight w:val="0"/>
      <w:marTop w:val="0"/>
      <w:marBottom w:val="0"/>
      <w:divBdr>
        <w:top w:val="none" w:sz="0" w:space="0" w:color="auto"/>
        <w:left w:val="none" w:sz="0" w:space="0" w:color="auto"/>
        <w:bottom w:val="none" w:sz="0" w:space="0" w:color="auto"/>
        <w:right w:val="none" w:sz="0" w:space="0" w:color="auto"/>
      </w:divBdr>
    </w:div>
    <w:div w:id="1589656182">
      <w:bodyDiv w:val="1"/>
      <w:marLeft w:val="0"/>
      <w:marRight w:val="0"/>
      <w:marTop w:val="0"/>
      <w:marBottom w:val="0"/>
      <w:divBdr>
        <w:top w:val="none" w:sz="0" w:space="0" w:color="auto"/>
        <w:left w:val="none" w:sz="0" w:space="0" w:color="auto"/>
        <w:bottom w:val="none" w:sz="0" w:space="0" w:color="auto"/>
        <w:right w:val="none" w:sz="0" w:space="0" w:color="auto"/>
      </w:divBdr>
      <w:divsChild>
        <w:div w:id="629633817">
          <w:marLeft w:val="0"/>
          <w:marRight w:val="0"/>
          <w:marTop w:val="0"/>
          <w:marBottom w:val="0"/>
          <w:divBdr>
            <w:top w:val="none" w:sz="0" w:space="0" w:color="auto"/>
            <w:left w:val="none" w:sz="0" w:space="0" w:color="auto"/>
            <w:bottom w:val="none" w:sz="0" w:space="0" w:color="auto"/>
            <w:right w:val="none" w:sz="0" w:space="0" w:color="auto"/>
          </w:divBdr>
        </w:div>
        <w:div w:id="647168006">
          <w:marLeft w:val="0"/>
          <w:marRight w:val="0"/>
          <w:marTop w:val="0"/>
          <w:marBottom w:val="0"/>
          <w:divBdr>
            <w:top w:val="none" w:sz="0" w:space="0" w:color="auto"/>
            <w:left w:val="none" w:sz="0" w:space="0" w:color="auto"/>
            <w:bottom w:val="none" w:sz="0" w:space="0" w:color="auto"/>
            <w:right w:val="none" w:sz="0" w:space="0" w:color="auto"/>
          </w:divBdr>
        </w:div>
      </w:divsChild>
    </w:div>
    <w:div w:id="1592814769">
      <w:bodyDiv w:val="1"/>
      <w:marLeft w:val="0"/>
      <w:marRight w:val="0"/>
      <w:marTop w:val="0"/>
      <w:marBottom w:val="0"/>
      <w:divBdr>
        <w:top w:val="none" w:sz="0" w:space="0" w:color="auto"/>
        <w:left w:val="none" w:sz="0" w:space="0" w:color="auto"/>
        <w:bottom w:val="none" w:sz="0" w:space="0" w:color="auto"/>
        <w:right w:val="none" w:sz="0" w:space="0" w:color="auto"/>
      </w:divBdr>
    </w:div>
    <w:div w:id="1600872351">
      <w:bodyDiv w:val="1"/>
      <w:marLeft w:val="0"/>
      <w:marRight w:val="0"/>
      <w:marTop w:val="0"/>
      <w:marBottom w:val="0"/>
      <w:divBdr>
        <w:top w:val="none" w:sz="0" w:space="0" w:color="auto"/>
        <w:left w:val="none" w:sz="0" w:space="0" w:color="auto"/>
        <w:bottom w:val="none" w:sz="0" w:space="0" w:color="auto"/>
        <w:right w:val="none" w:sz="0" w:space="0" w:color="auto"/>
      </w:divBdr>
    </w:div>
    <w:div w:id="1602295000">
      <w:bodyDiv w:val="1"/>
      <w:marLeft w:val="0"/>
      <w:marRight w:val="0"/>
      <w:marTop w:val="0"/>
      <w:marBottom w:val="0"/>
      <w:divBdr>
        <w:top w:val="none" w:sz="0" w:space="0" w:color="auto"/>
        <w:left w:val="none" w:sz="0" w:space="0" w:color="auto"/>
        <w:bottom w:val="none" w:sz="0" w:space="0" w:color="auto"/>
        <w:right w:val="none" w:sz="0" w:space="0" w:color="auto"/>
      </w:divBdr>
    </w:div>
    <w:div w:id="1602832266">
      <w:bodyDiv w:val="1"/>
      <w:marLeft w:val="0"/>
      <w:marRight w:val="0"/>
      <w:marTop w:val="0"/>
      <w:marBottom w:val="0"/>
      <w:divBdr>
        <w:top w:val="none" w:sz="0" w:space="0" w:color="auto"/>
        <w:left w:val="none" w:sz="0" w:space="0" w:color="auto"/>
        <w:bottom w:val="none" w:sz="0" w:space="0" w:color="auto"/>
        <w:right w:val="none" w:sz="0" w:space="0" w:color="auto"/>
      </w:divBdr>
    </w:div>
    <w:div w:id="1619139294">
      <w:bodyDiv w:val="1"/>
      <w:marLeft w:val="0"/>
      <w:marRight w:val="0"/>
      <w:marTop w:val="0"/>
      <w:marBottom w:val="0"/>
      <w:divBdr>
        <w:top w:val="none" w:sz="0" w:space="0" w:color="auto"/>
        <w:left w:val="none" w:sz="0" w:space="0" w:color="auto"/>
        <w:bottom w:val="none" w:sz="0" w:space="0" w:color="auto"/>
        <w:right w:val="none" w:sz="0" w:space="0" w:color="auto"/>
      </w:divBdr>
    </w:div>
    <w:div w:id="1633899553">
      <w:bodyDiv w:val="1"/>
      <w:marLeft w:val="0"/>
      <w:marRight w:val="0"/>
      <w:marTop w:val="0"/>
      <w:marBottom w:val="0"/>
      <w:divBdr>
        <w:top w:val="none" w:sz="0" w:space="0" w:color="auto"/>
        <w:left w:val="none" w:sz="0" w:space="0" w:color="auto"/>
        <w:bottom w:val="none" w:sz="0" w:space="0" w:color="auto"/>
        <w:right w:val="none" w:sz="0" w:space="0" w:color="auto"/>
      </w:divBdr>
    </w:div>
    <w:div w:id="1637642783">
      <w:bodyDiv w:val="1"/>
      <w:marLeft w:val="0"/>
      <w:marRight w:val="0"/>
      <w:marTop w:val="0"/>
      <w:marBottom w:val="0"/>
      <w:divBdr>
        <w:top w:val="none" w:sz="0" w:space="0" w:color="auto"/>
        <w:left w:val="none" w:sz="0" w:space="0" w:color="auto"/>
        <w:bottom w:val="none" w:sz="0" w:space="0" w:color="auto"/>
        <w:right w:val="none" w:sz="0" w:space="0" w:color="auto"/>
      </w:divBdr>
    </w:div>
    <w:div w:id="1642735291">
      <w:bodyDiv w:val="1"/>
      <w:marLeft w:val="0"/>
      <w:marRight w:val="0"/>
      <w:marTop w:val="0"/>
      <w:marBottom w:val="0"/>
      <w:divBdr>
        <w:top w:val="none" w:sz="0" w:space="0" w:color="auto"/>
        <w:left w:val="none" w:sz="0" w:space="0" w:color="auto"/>
        <w:bottom w:val="none" w:sz="0" w:space="0" w:color="auto"/>
        <w:right w:val="none" w:sz="0" w:space="0" w:color="auto"/>
      </w:divBdr>
    </w:div>
    <w:div w:id="1643537277">
      <w:bodyDiv w:val="1"/>
      <w:marLeft w:val="0"/>
      <w:marRight w:val="0"/>
      <w:marTop w:val="0"/>
      <w:marBottom w:val="0"/>
      <w:divBdr>
        <w:top w:val="none" w:sz="0" w:space="0" w:color="auto"/>
        <w:left w:val="none" w:sz="0" w:space="0" w:color="auto"/>
        <w:bottom w:val="none" w:sz="0" w:space="0" w:color="auto"/>
        <w:right w:val="none" w:sz="0" w:space="0" w:color="auto"/>
      </w:divBdr>
    </w:div>
    <w:div w:id="1651402794">
      <w:bodyDiv w:val="1"/>
      <w:marLeft w:val="0"/>
      <w:marRight w:val="0"/>
      <w:marTop w:val="0"/>
      <w:marBottom w:val="0"/>
      <w:divBdr>
        <w:top w:val="none" w:sz="0" w:space="0" w:color="auto"/>
        <w:left w:val="none" w:sz="0" w:space="0" w:color="auto"/>
        <w:bottom w:val="none" w:sz="0" w:space="0" w:color="auto"/>
        <w:right w:val="none" w:sz="0" w:space="0" w:color="auto"/>
      </w:divBdr>
    </w:div>
    <w:div w:id="1658997396">
      <w:bodyDiv w:val="1"/>
      <w:marLeft w:val="0"/>
      <w:marRight w:val="0"/>
      <w:marTop w:val="0"/>
      <w:marBottom w:val="0"/>
      <w:divBdr>
        <w:top w:val="none" w:sz="0" w:space="0" w:color="auto"/>
        <w:left w:val="none" w:sz="0" w:space="0" w:color="auto"/>
        <w:bottom w:val="none" w:sz="0" w:space="0" w:color="auto"/>
        <w:right w:val="none" w:sz="0" w:space="0" w:color="auto"/>
      </w:divBdr>
    </w:div>
    <w:div w:id="1775975558">
      <w:bodyDiv w:val="1"/>
      <w:marLeft w:val="0"/>
      <w:marRight w:val="0"/>
      <w:marTop w:val="0"/>
      <w:marBottom w:val="0"/>
      <w:divBdr>
        <w:top w:val="none" w:sz="0" w:space="0" w:color="auto"/>
        <w:left w:val="none" w:sz="0" w:space="0" w:color="auto"/>
        <w:bottom w:val="none" w:sz="0" w:space="0" w:color="auto"/>
        <w:right w:val="none" w:sz="0" w:space="0" w:color="auto"/>
      </w:divBdr>
    </w:div>
    <w:div w:id="1803765582">
      <w:bodyDiv w:val="1"/>
      <w:marLeft w:val="0"/>
      <w:marRight w:val="0"/>
      <w:marTop w:val="0"/>
      <w:marBottom w:val="0"/>
      <w:divBdr>
        <w:top w:val="none" w:sz="0" w:space="0" w:color="auto"/>
        <w:left w:val="none" w:sz="0" w:space="0" w:color="auto"/>
        <w:bottom w:val="none" w:sz="0" w:space="0" w:color="auto"/>
        <w:right w:val="none" w:sz="0" w:space="0" w:color="auto"/>
      </w:divBdr>
    </w:div>
    <w:div w:id="1817185174">
      <w:bodyDiv w:val="1"/>
      <w:marLeft w:val="0"/>
      <w:marRight w:val="0"/>
      <w:marTop w:val="0"/>
      <w:marBottom w:val="0"/>
      <w:divBdr>
        <w:top w:val="none" w:sz="0" w:space="0" w:color="auto"/>
        <w:left w:val="none" w:sz="0" w:space="0" w:color="auto"/>
        <w:bottom w:val="none" w:sz="0" w:space="0" w:color="auto"/>
        <w:right w:val="none" w:sz="0" w:space="0" w:color="auto"/>
      </w:divBdr>
    </w:div>
    <w:div w:id="1836606469">
      <w:bodyDiv w:val="1"/>
      <w:marLeft w:val="0"/>
      <w:marRight w:val="0"/>
      <w:marTop w:val="0"/>
      <w:marBottom w:val="0"/>
      <w:divBdr>
        <w:top w:val="none" w:sz="0" w:space="0" w:color="auto"/>
        <w:left w:val="none" w:sz="0" w:space="0" w:color="auto"/>
        <w:bottom w:val="none" w:sz="0" w:space="0" w:color="auto"/>
        <w:right w:val="none" w:sz="0" w:space="0" w:color="auto"/>
      </w:divBdr>
    </w:div>
    <w:div w:id="1836872884">
      <w:bodyDiv w:val="1"/>
      <w:marLeft w:val="0"/>
      <w:marRight w:val="0"/>
      <w:marTop w:val="0"/>
      <w:marBottom w:val="0"/>
      <w:divBdr>
        <w:top w:val="none" w:sz="0" w:space="0" w:color="auto"/>
        <w:left w:val="none" w:sz="0" w:space="0" w:color="auto"/>
        <w:bottom w:val="none" w:sz="0" w:space="0" w:color="auto"/>
        <w:right w:val="none" w:sz="0" w:space="0" w:color="auto"/>
      </w:divBdr>
    </w:div>
    <w:div w:id="1872721567">
      <w:bodyDiv w:val="1"/>
      <w:marLeft w:val="0"/>
      <w:marRight w:val="0"/>
      <w:marTop w:val="0"/>
      <w:marBottom w:val="0"/>
      <w:divBdr>
        <w:top w:val="none" w:sz="0" w:space="0" w:color="auto"/>
        <w:left w:val="none" w:sz="0" w:space="0" w:color="auto"/>
        <w:bottom w:val="none" w:sz="0" w:space="0" w:color="auto"/>
        <w:right w:val="none" w:sz="0" w:space="0" w:color="auto"/>
      </w:divBdr>
    </w:div>
    <w:div w:id="1896620044">
      <w:bodyDiv w:val="1"/>
      <w:marLeft w:val="0"/>
      <w:marRight w:val="0"/>
      <w:marTop w:val="0"/>
      <w:marBottom w:val="0"/>
      <w:divBdr>
        <w:top w:val="none" w:sz="0" w:space="0" w:color="auto"/>
        <w:left w:val="none" w:sz="0" w:space="0" w:color="auto"/>
        <w:bottom w:val="none" w:sz="0" w:space="0" w:color="auto"/>
        <w:right w:val="none" w:sz="0" w:space="0" w:color="auto"/>
      </w:divBdr>
    </w:div>
    <w:div w:id="1922642563">
      <w:bodyDiv w:val="1"/>
      <w:marLeft w:val="0"/>
      <w:marRight w:val="0"/>
      <w:marTop w:val="0"/>
      <w:marBottom w:val="0"/>
      <w:divBdr>
        <w:top w:val="none" w:sz="0" w:space="0" w:color="auto"/>
        <w:left w:val="none" w:sz="0" w:space="0" w:color="auto"/>
        <w:bottom w:val="none" w:sz="0" w:space="0" w:color="auto"/>
        <w:right w:val="none" w:sz="0" w:space="0" w:color="auto"/>
      </w:divBdr>
    </w:div>
    <w:div w:id="1931884558">
      <w:bodyDiv w:val="1"/>
      <w:marLeft w:val="0"/>
      <w:marRight w:val="0"/>
      <w:marTop w:val="0"/>
      <w:marBottom w:val="0"/>
      <w:divBdr>
        <w:top w:val="none" w:sz="0" w:space="0" w:color="auto"/>
        <w:left w:val="none" w:sz="0" w:space="0" w:color="auto"/>
        <w:bottom w:val="none" w:sz="0" w:space="0" w:color="auto"/>
        <w:right w:val="none" w:sz="0" w:space="0" w:color="auto"/>
      </w:divBdr>
    </w:div>
    <w:div w:id="1932468127">
      <w:bodyDiv w:val="1"/>
      <w:marLeft w:val="0"/>
      <w:marRight w:val="0"/>
      <w:marTop w:val="0"/>
      <w:marBottom w:val="0"/>
      <w:divBdr>
        <w:top w:val="none" w:sz="0" w:space="0" w:color="auto"/>
        <w:left w:val="none" w:sz="0" w:space="0" w:color="auto"/>
        <w:bottom w:val="none" w:sz="0" w:space="0" w:color="auto"/>
        <w:right w:val="none" w:sz="0" w:space="0" w:color="auto"/>
      </w:divBdr>
      <w:divsChild>
        <w:div w:id="267977991">
          <w:marLeft w:val="0"/>
          <w:marRight w:val="0"/>
          <w:marTop w:val="0"/>
          <w:marBottom w:val="0"/>
          <w:divBdr>
            <w:top w:val="none" w:sz="0" w:space="0" w:color="auto"/>
            <w:left w:val="none" w:sz="0" w:space="0" w:color="auto"/>
            <w:bottom w:val="none" w:sz="0" w:space="0" w:color="auto"/>
            <w:right w:val="none" w:sz="0" w:space="0" w:color="auto"/>
          </w:divBdr>
          <w:divsChild>
            <w:div w:id="1539589479">
              <w:marLeft w:val="0"/>
              <w:marRight w:val="0"/>
              <w:marTop w:val="0"/>
              <w:marBottom w:val="0"/>
              <w:divBdr>
                <w:top w:val="none" w:sz="0" w:space="0" w:color="auto"/>
                <w:left w:val="none" w:sz="0" w:space="0" w:color="auto"/>
                <w:bottom w:val="none" w:sz="0" w:space="0" w:color="auto"/>
                <w:right w:val="none" w:sz="0" w:space="0" w:color="auto"/>
              </w:divBdr>
              <w:divsChild>
                <w:div w:id="235168140">
                  <w:marLeft w:val="0"/>
                  <w:marRight w:val="0"/>
                  <w:marTop w:val="0"/>
                  <w:marBottom w:val="0"/>
                  <w:divBdr>
                    <w:top w:val="none" w:sz="0" w:space="0" w:color="auto"/>
                    <w:left w:val="none" w:sz="0" w:space="0" w:color="auto"/>
                    <w:bottom w:val="none" w:sz="0" w:space="0" w:color="auto"/>
                    <w:right w:val="none" w:sz="0" w:space="0" w:color="auto"/>
                  </w:divBdr>
                  <w:divsChild>
                    <w:div w:id="1614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0552">
      <w:bodyDiv w:val="1"/>
      <w:marLeft w:val="0"/>
      <w:marRight w:val="0"/>
      <w:marTop w:val="0"/>
      <w:marBottom w:val="0"/>
      <w:divBdr>
        <w:top w:val="none" w:sz="0" w:space="0" w:color="auto"/>
        <w:left w:val="none" w:sz="0" w:space="0" w:color="auto"/>
        <w:bottom w:val="none" w:sz="0" w:space="0" w:color="auto"/>
        <w:right w:val="none" w:sz="0" w:space="0" w:color="auto"/>
      </w:divBdr>
    </w:div>
    <w:div w:id="1944604384">
      <w:bodyDiv w:val="1"/>
      <w:marLeft w:val="0"/>
      <w:marRight w:val="0"/>
      <w:marTop w:val="0"/>
      <w:marBottom w:val="0"/>
      <w:divBdr>
        <w:top w:val="none" w:sz="0" w:space="0" w:color="auto"/>
        <w:left w:val="none" w:sz="0" w:space="0" w:color="auto"/>
        <w:bottom w:val="none" w:sz="0" w:space="0" w:color="auto"/>
        <w:right w:val="none" w:sz="0" w:space="0" w:color="auto"/>
      </w:divBdr>
    </w:div>
    <w:div w:id="1960138372">
      <w:bodyDiv w:val="1"/>
      <w:marLeft w:val="0"/>
      <w:marRight w:val="0"/>
      <w:marTop w:val="0"/>
      <w:marBottom w:val="0"/>
      <w:divBdr>
        <w:top w:val="none" w:sz="0" w:space="0" w:color="auto"/>
        <w:left w:val="none" w:sz="0" w:space="0" w:color="auto"/>
        <w:bottom w:val="none" w:sz="0" w:space="0" w:color="auto"/>
        <w:right w:val="none" w:sz="0" w:space="0" w:color="auto"/>
      </w:divBdr>
    </w:div>
    <w:div w:id="2002079880">
      <w:bodyDiv w:val="1"/>
      <w:marLeft w:val="0"/>
      <w:marRight w:val="0"/>
      <w:marTop w:val="0"/>
      <w:marBottom w:val="0"/>
      <w:divBdr>
        <w:top w:val="none" w:sz="0" w:space="0" w:color="auto"/>
        <w:left w:val="none" w:sz="0" w:space="0" w:color="auto"/>
        <w:bottom w:val="none" w:sz="0" w:space="0" w:color="auto"/>
        <w:right w:val="none" w:sz="0" w:space="0" w:color="auto"/>
      </w:divBdr>
    </w:div>
    <w:div w:id="2118870064">
      <w:bodyDiv w:val="1"/>
      <w:marLeft w:val="0"/>
      <w:marRight w:val="0"/>
      <w:marTop w:val="0"/>
      <w:marBottom w:val="0"/>
      <w:divBdr>
        <w:top w:val="none" w:sz="0" w:space="0" w:color="auto"/>
        <w:left w:val="none" w:sz="0" w:space="0" w:color="auto"/>
        <w:bottom w:val="none" w:sz="0" w:space="0" w:color="auto"/>
        <w:right w:val="none" w:sz="0" w:space="0" w:color="auto"/>
      </w:divBdr>
    </w:div>
    <w:div w:id="2125227769">
      <w:bodyDiv w:val="1"/>
      <w:marLeft w:val="0"/>
      <w:marRight w:val="0"/>
      <w:marTop w:val="0"/>
      <w:marBottom w:val="0"/>
      <w:divBdr>
        <w:top w:val="none" w:sz="0" w:space="0" w:color="auto"/>
        <w:left w:val="none" w:sz="0" w:space="0" w:color="auto"/>
        <w:bottom w:val="none" w:sz="0" w:space="0" w:color="auto"/>
        <w:right w:val="none" w:sz="0" w:space="0" w:color="auto"/>
      </w:divBdr>
      <w:divsChild>
        <w:div w:id="1948191321">
          <w:marLeft w:val="0"/>
          <w:marRight w:val="0"/>
          <w:marTop w:val="0"/>
          <w:marBottom w:val="0"/>
          <w:divBdr>
            <w:top w:val="none" w:sz="0" w:space="0" w:color="auto"/>
            <w:left w:val="none" w:sz="0" w:space="0" w:color="auto"/>
            <w:bottom w:val="none" w:sz="0" w:space="0" w:color="auto"/>
            <w:right w:val="none" w:sz="0" w:space="0" w:color="auto"/>
          </w:divBdr>
        </w:div>
      </w:divsChild>
    </w:div>
    <w:div w:id="2125540758">
      <w:bodyDiv w:val="1"/>
      <w:marLeft w:val="0"/>
      <w:marRight w:val="0"/>
      <w:marTop w:val="0"/>
      <w:marBottom w:val="0"/>
      <w:divBdr>
        <w:top w:val="none" w:sz="0" w:space="0" w:color="auto"/>
        <w:left w:val="none" w:sz="0" w:space="0" w:color="auto"/>
        <w:bottom w:val="none" w:sz="0" w:space="0" w:color="auto"/>
        <w:right w:val="none" w:sz="0" w:space="0" w:color="auto"/>
      </w:divBdr>
    </w:div>
    <w:div w:id="2137530300">
      <w:bodyDiv w:val="1"/>
      <w:marLeft w:val="0"/>
      <w:marRight w:val="0"/>
      <w:marTop w:val="0"/>
      <w:marBottom w:val="0"/>
      <w:divBdr>
        <w:top w:val="none" w:sz="0" w:space="0" w:color="auto"/>
        <w:left w:val="none" w:sz="0" w:space="0" w:color="auto"/>
        <w:bottom w:val="none" w:sz="0" w:space="0" w:color="auto"/>
        <w:right w:val="none" w:sz="0" w:space="0" w:color="auto"/>
      </w:divBdr>
    </w:div>
    <w:div w:id="21471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3-fr.pdf" TargetMode="Externa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blast.ncbi.nlm.nih.gov/Blast.cgi" TargetMode="External"/><Relationship Id="rId13" Type="http://schemas.openxmlformats.org/officeDocument/2006/relationships/hyperlink" Target="https://e360.yale.edu/features/indigenous-maize-who-owns-the-rights-to-mexicos-wonder-plant" TargetMode="External"/><Relationship Id="rId3" Type="http://schemas.openxmlformats.org/officeDocument/2006/relationships/hyperlink" Target="https://doi.org/10.1093/femsle/fnaa044" TargetMode="External"/><Relationship Id="rId7" Type="http://schemas.openxmlformats.org/officeDocument/2006/relationships/hyperlink" Target="https://www.earthbiogenome.org/" TargetMode="External"/><Relationship Id="rId12" Type="http://schemas.openxmlformats.org/officeDocument/2006/relationships/hyperlink" Target="http://geneontology.org/" TargetMode="External"/><Relationship Id="rId2" Type="http://schemas.openxmlformats.org/officeDocument/2006/relationships/hyperlink" Target="https://dictionary.cambridge.org/dictionary/english/exist" TargetMode="External"/><Relationship Id="rId1" Type="http://schemas.openxmlformats.org/officeDocument/2006/relationships/hyperlink" Target="https://www.cbd.int/abs/art10/2019-2020/study.shtml" TargetMode="External"/><Relationship Id="rId6" Type="http://schemas.openxmlformats.org/officeDocument/2006/relationships/hyperlink" Target="https://www.ncbi.nlm.nih.gov/genbank/statistics/" TargetMode="External"/><Relationship Id="rId11" Type="http://schemas.openxmlformats.org/officeDocument/2006/relationships/hyperlink" Target="https://www.nature.com/articles/nrg3174" TargetMode="External"/><Relationship Id="rId5" Type="http://schemas.openxmlformats.org/officeDocument/2006/relationships/hyperlink" Target="https://www.researchgate.net/publication/334415495" TargetMode="External"/><Relationship Id="rId10" Type="http://schemas.openxmlformats.org/officeDocument/2006/relationships/hyperlink" Target="https://www.genome.jp/kegg/pathway.html" TargetMode="External"/><Relationship Id="rId4" Type="http://schemas.openxmlformats.org/officeDocument/2006/relationships/hyperlink" Target="https://ec.europa.eu/environment/nature/biodiversity/international/abs/pdf/Register-of-Collections.pdf" TargetMode="External"/><Relationship Id="rId9" Type="http://schemas.openxmlformats.org/officeDocument/2006/relationships/hyperlink" Target="https://blast.ncbi.nlm.nih.gov/Blast.cgi" TargetMode="External"/><Relationship Id="rId14" Type="http://schemas.openxmlformats.org/officeDocument/2006/relationships/hyperlink" Target="https://theconversation.com/for-native-americans-us-mexico-border-is-an-imaginary-line-11104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51FA5095394A22B6286ABC61933FFB"/>
        <w:category>
          <w:name w:val="General"/>
          <w:gallery w:val="placeholder"/>
        </w:category>
        <w:types>
          <w:type w:val="bbPlcHdr"/>
        </w:types>
        <w:behaviors>
          <w:behavior w:val="content"/>
        </w:behaviors>
        <w:guid w:val="{C5DE62DC-BC67-46B7-88A5-B4D9688A6561}"/>
      </w:docPartPr>
      <w:docPartBody>
        <w:p w:rsidR="0038506F" w:rsidRDefault="008049D9" w:rsidP="008049D9">
          <w:pPr>
            <w:pStyle w:val="8551FA5095394A22B6286ABC61933FFB"/>
          </w:pPr>
          <w:r w:rsidRPr="007E02EB">
            <w:rPr>
              <w:rStyle w:val="PlaceholderText"/>
            </w:rPr>
            <w:t>[Title]</w:t>
          </w:r>
        </w:p>
      </w:docPartBody>
    </w:docPart>
    <w:docPart>
      <w:docPartPr>
        <w:name w:val="AF7956A100824BCC9FA96850A1F70DC6"/>
        <w:category>
          <w:name w:val="General"/>
          <w:gallery w:val="placeholder"/>
        </w:category>
        <w:types>
          <w:type w:val="bbPlcHdr"/>
        </w:types>
        <w:behaviors>
          <w:behavior w:val="content"/>
        </w:behaviors>
        <w:guid w:val="{EDED9725-2578-49F0-947F-F22A5575C408}"/>
      </w:docPartPr>
      <w:docPartBody>
        <w:p w:rsidR="00C042CF" w:rsidRDefault="00FA0455" w:rsidP="00FA0455">
          <w:pPr>
            <w:pStyle w:val="AF7956A100824BCC9FA96850A1F70DC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ヒラギノ角ゴ Pro W3">
    <w:panose1 w:val="00000000000000000000"/>
    <w:charset w:val="80"/>
    <w:family w:val="roman"/>
    <w:notTrueType/>
    <w:pitch w:val="default"/>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D9"/>
    <w:rsid w:val="00005FA9"/>
    <w:rsid w:val="000146D3"/>
    <w:rsid w:val="000A7F5A"/>
    <w:rsid w:val="000B1D95"/>
    <w:rsid w:val="001D092B"/>
    <w:rsid w:val="001E2369"/>
    <w:rsid w:val="00207F71"/>
    <w:rsid w:val="002E5D50"/>
    <w:rsid w:val="00332847"/>
    <w:rsid w:val="00366508"/>
    <w:rsid w:val="0038506F"/>
    <w:rsid w:val="003A31DC"/>
    <w:rsid w:val="004555BE"/>
    <w:rsid w:val="004737EF"/>
    <w:rsid w:val="004B03E0"/>
    <w:rsid w:val="004F7D96"/>
    <w:rsid w:val="00510886"/>
    <w:rsid w:val="005216E3"/>
    <w:rsid w:val="005638CB"/>
    <w:rsid w:val="00584B79"/>
    <w:rsid w:val="005F0906"/>
    <w:rsid w:val="00683104"/>
    <w:rsid w:val="00685F18"/>
    <w:rsid w:val="006F5719"/>
    <w:rsid w:val="00762AC1"/>
    <w:rsid w:val="00765E78"/>
    <w:rsid w:val="00766894"/>
    <w:rsid w:val="007677CC"/>
    <w:rsid w:val="007B638B"/>
    <w:rsid w:val="008049D9"/>
    <w:rsid w:val="00805F35"/>
    <w:rsid w:val="008449B5"/>
    <w:rsid w:val="00914B44"/>
    <w:rsid w:val="0095047F"/>
    <w:rsid w:val="00A05F42"/>
    <w:rsid w:val="00A35D11"/>
    <w:rsid w:val="00A63DE7"/>
    <w:rsid w:val="00B7716E"/>
    <w:rsid w:val="00B91991"/>
    <w:rsid w:val="00BB647B"/>
    <w:rsid w:val="00C042CF"/>
    <w:rsid w:val="00C30DC0"/>
    <w:rsid w:val="00C9351D"/>
    <w:rsid w:val="00D80F67"/>
    <w:rsid w:val="00DB244E"/>
    <w:rsid w:val="00DB39AD"/>
    <w:rsid w:val="00DB7B33"/>
    <w:rsid w:val="00DD4ADB"/>
    <w:rsid w:val="00E37B4B"/>
    <w:rsid w:val="00E40EA7"/>
    <w:rsid w:val="00E602DC"/>
    <w:rsid w:val="00EC5E9F"/>
    <w:rsid w:val="00F30AD9"/>
    <w:rsid w:val="00FA045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A0455"/>
    <w:rPr>
      <w:color w:val="808080"/>
    </w:rPr>
  </w:style>
  <w:style w:type="paragraph" w:customStyle="1" w:styleId="0E173F00931E406D9067A68B5119509B">
    <w:name w:val="0E173F00931E406D9067A68B5119509B"/>
    <w:rsid w:val="008049D9"/>
  </w:style>
  <w:style w:type="paragraph" w:customStyle="1" w:styleId="8551FA5095394A22B6286ABC61933FFB">
    <w:name w:val="8551FA5095394A22B6286ABC61933FFB"/>
    <w:rsid w:val="008049D9"/>
  </w:style>
  <w:style w:type="paragraph" w:customStyle="1" w:styleId="6CF4517D7DAA4568A5EE5E50346EAE05">
    <w:name w:val="6CF4517D7DAA4568A5EE5E50346EAE05"/>
    <w:rsid w:val="008049D9"/>
  </w:style>
  <w:style w:type="paragraph" w:customStyle="1" w:styleId="3642DF81E1554BC8A85CB6CEA203C795">
    <w:name w:val="3642DF81E1554BC8A85CB6CEA203C795"/>
    <w:rsid w:val="00FA0455"/>
  </w:style>
  <w:style w:type="paragraph" w:customStyle="1" w:styleId="AF7956A100824BCC9FA96850A1F70DC6">
    <w:name w:val="AF7956A100824BCC9FA96850A1F70DC6"/>
    <w:rsid w:val="00FA0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C6C1-4A5F-4996-BD96-039946077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1CEE5-822A-4770-B690-0D433A4EA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A0B027-B600-48F5-8BFC-58BEF26B2593}">
  <ds:schemaRefs>
    <ds:schemaRef ds:uri="http://schemas.microsoft.com/sharepoint/v3/contenttype/forms"/>
  </ds:schemaRefs>
</ds:datastoreItem>
</file>

<file path=customXml/itemProps4.xml><?xml version="1.0" encoding="utf-8"?>
<ds:datastoreItem xmlns:ds="http://schemas.openxmlformats.org/officeDocument/2006/customXml" ds:itemID="{A7C625A6-A0A1-4CB6-B239-CB8F11C3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3577</TotalTime>
  <Pages>47</Pages>
  <Words>20260</Words>
  <Characters>115486</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Etude visant a identifier Des cas spécifiques de ressources génétiques et de connaissances traditionnelles associees aux ressources genetiques qui se trouvent dans des situations transfrontières ou pour lesquelles il n’est pas possible d’accorder ou d’obt</vt:lpstr>
    </vt:vector>
  </TitlesOfParts>
  <Company>Emory University</Company>
  <LinksUpToDate>false</LinksUpToDate>
  <CharactersWithSpaces>135476</CharactersWithSpaces>
  <SharedDoc>false</SharedDoc>
  <HLinks>
    <vt:vector size="204" baseType="variant">
      <vt:variant>
        <vt:i4>1441846</vt:i4>
      </vt:variant>
      <vt:variant>
        <vt:i4>104</vt:i4>
      </vt:variant>
      <vt:variant>
        <vt:i4>0</vt:i4>
      </vt:variant>
      <vt:variant>
        <vt:i4>5</vt:i4>
      </vt:variant>
      <vt:variant>
        <vt:lpwstr/>
      </vt:variant>
      <vt:variant>
        <vt:lpwstr>_Toc43057750</vt:lpwstr>
      </vt:variant>
      <vt:variant>
        <vt:i4>2031671</vt:i4>
      </vt:variant>
      <vt:variant>
        <vt:i4>98</vt:i4>
      </vt:variant>
      <vt:variant>
        <vt:i4>0</vt:i4>
      </vt:variant>
      <vt:variant>
        <vt:i4>5</vt:i4>
      </vt:variant>
      <vt:variant>
        <vt:lpwstr/>
      </vt:variant>
      <vt:variant>
        <vt:lpwstr>_Toc43057749</vt:lpwstr>
      </vt:variant>
      <vt:variant>
        <vt:i4>1966135</vt:i4>
      </vt:variant>
      <vt:variant>
        <vt:i4>92</vt:i4>
      </vt:variant>
      <vt:variant>
        <vt:i4>0</vt:i4>
      </vt:variant>
      <vt:variant>
        <vt:i4>5</vt:i4>
      </vt:variant>
      <vt:variant>
        <vt:lpwstr/>
      </vt:variant>
      <vt:variant>
        <vt:lpwstr>_Toc43057748</vt:lpwstr>
      </vt:variant>
      <vt:variant>
        <vt:i4>1114167</vt:i4>
      </vt:variant>
      <vt:variant>
        <vt:i4>86</vt:i4>
      </vt:variant>
      <vt:variant>
        <vt:i4>0</vt:i4>
      </vt:variant>
      <vt:variant>
        <vt:i4>5</vt:i4>
      </vt:variant>
      <vt:variant>
        <vt:lpwstr/>
      </vt:variant>
      <vt:variant>
        <vt:lpwstr>_Toc43057747</vt:lpwstr>
      </vt:variant>
      <vt:variant>
        <vt:i4>1048631</vt:i4>
      </vt:variant>
      <vt:variant>
        <vt:i4>80</vt:i4>
      </vt:variant>
      <vt:variant>
        <vt:i4>0</vt:i4>
      </vt:variant>
      <vt:variant>
        <vt:i4>5</vt:i4>
      </vt:variant>
      <vt:variant>
        <vt:lpwstr/>
      </vt:variant>
      <vt:variant>
        <vt:lpwstr>_Toc43057746</vt:lpwstr>
      </vt:variant>
      <vt:variant>
        <vt:i4>1245239</vt:i4>
      </vt:variant>
      <vt:variant>
        <vt:i4>74</vt:i4>
      </vt:variant>
      <vt:variant>
        <vt:i4>0</vt:i4>
      </vt:variant>
      <vt:variant>
        <vt:i4>5</vt:i4>
      </vt:variant>
      <vt:variant>
        <vt:lpwstr/>
      </vt:variant>
      <vt:variant>
        <vt:lpwstr>_Toc43057745</vt:lpwstr>
      </vt:variant>
      <vt:variant>
        <vt:i4>1179703</vt:i4>
      </vt:variant>
      <vt:variant>
        <vt:i4>68</vt:i4>
      </vt:variant>
      <vt:variant>
        <vt:i4>0</vt:i4>
      </vt:variant>
      <vt:variant>
        <vt:i4>5</vt:i4>
      </vt:variant>
      <vt:variant>
        <vt:lpwstr/>
      </vt:variant>
      <vt:variant>
        <vt:lpwstr>_Toc43057744</vt:lpwstr>
      </vt:variant>
      <vt:variant>
        <vt:i4>1376311</vt:i4>
      </vt:variant>
      <vt:variant>
        <vt:i4>62</vt:i4>
      </vt:variant>
      <vt:variant>
        <vt:i4>0</vt:i4>
      </vt:variant>
      <vt:variant>
        <vt:i4>5</vt:i4>
      </vt:variant>
      <vt:variant>
        <vt:lpwstr/>
      </vt:variant>
      <vt:variant>
        <vt:lpwstr>_Toc43057743</vt:lpwstr>
      </vt:variant>
      <vt:variant>
        <vt:i4>1310775</vt:i4>
      </vt:variant>
      <vt:variant>
        <vt:i4>56</vt:i4>
      </vt:variant>
      <vt:variant>
        <vt:i4>0</vt:i4>
      </vt:variant>
      <vt:variant>
        <vt:i4>5</vt:i4>
      </vt:variant>
      <vt:variant>
        <vt:lpwstr/>
      </vt:variant>
      <vt:variant>
        <vt:lpwstr>_Toc43057742</vt:lpwstr>
      </vt:variant>
      <vt:variant>
        <vt:i4>1507383</vt:i4>
      </vt:variant>
      <vt:variant>
        <vt:i4>50</vt:i4>
      </vt:variant>
      <vt:variant>
        <vt:i4>0</vt:i4>
      </vt:variant>
      <vt:variant>
        <vt:i4>5</vt:i4>
      </vt:variant>
      <vt:variant>
        <vt:lpwstr/>
      </vt:variant>
      <vt:variant>
        <vt:lpwstr>_Toc43057741</vt:lpwstr>
      </vt:variant>
      <vt:variant>
        <vt:i4>1441847</vt:i4>
      </vt:variant>
      <vt:variant>
        <vt:i4>44</vt:i4>
      </vt:variant>
      <vt:variant>
        <vt:i4>0</vt:i4>
      </vt:variant>
      <vt:variant>
        <vt:i4>5</vt:i4>
      </vt:variant>
      <vt:variant>
        <vt:lpwstr/>
      </vt:variant>
      <vt:variant>
        <vt:lpwstr>_Toc43057740</vt:lpwstr>
      </vt:variant>
      <vt:variant>
        <vt:i4>2031664</vt:i4>
      </vt:variant>
      <vt:variant>
        <vt:i4>38</vt:i4>
      </vt:variant>
      <vt:variant>
        <vt:i4>0</vt:i4>
      </vt:variant>
      <vt:variant>
        <vt:i4>5</vt:i4>
      </vt:variant>
      <vt:variant>
        <vt:lpwstr/>
      </vt:variant>
      <vt:variant>
        <vt:lpwstr>_Toc43057739</vt:lpwstr>
      </vt:variant>
      <vt:variant>
        <vt:i4>1966128</vt:i4>
      </vt:variant>
      <vt:variant>
        <vt:i4>32</vt:i4>
      </vt:variant>
      <vt:variant>
        <vt:i4>0</vt:i4>
      </vt:variant>
      <vt:variant>
        <vt:i4>5</vt:i4>
      </vt:variant>
      <vt:variant>
        <vt:lpwstr/>
      </vt:variant>
      <vt:variant>
        <vt:lpwstr>_Toc43057738</vt:lpwstr>
      </vt:variant>
      <vt:variant>
        <vt:i4>1114160</vt:i4>
      </vt:variant>
      <vt:variant>
        <vt:i4>26</vt:i4>
      </vt:variant>
      <vt:variant>
        <vt:i4>0</vt:i4>
      </vt:variant>
      <vt:variant>
        <vt:i4>5</vt:i4>
      </vt:variant>
      <vt:variant>
        <vt:lpwstr/>
      </vt:variant>
      <vt:variant>
        <vt:lpwstr>_Toc43057737</vt:lpwstr>
      </vt:variant>
      <vt:variant>
        <vt:i4>1048624</vt:i4>
      </vt:variant>
      <vt:variant>
        <vt:i4>20</vt:i4>
      </vt:variant>
      <vt:variant>
        <vt:i4>0</vt:i4>
      </vt:variant>
      <vt:variant>
        <vt:i4>5</vt:i4>
      </vt:variant>
      <vt:variant>
        <vt:lpwstr/>
      </vt:variant>
      <vt:variant>
        <vt:lpwstr>_Toc43057736</vt:lpwstr>
      </vt:variant>
      <vt:variant>
        <vt:i4>1245232</vt:i4>
      </vt:variant>
      <vt:variant>
        <vt:i4>14</vt:i4>
      </vt:variant>
      <vt:variant>
        <vt:i4>0</vt:i4>
      </vt:variant>
      <vt:variant>
        <vt:i4>5</vt:i4>
      </vt:variant>
      <vt:variant>
        <vt:lpwstr/>
      </vt:variant>
      <vt:variant>
        <vt:lpwstr>_Toc43057735</vt:lpwstr>
      </vt:variant>
      <vt:variant>
        <vt:i4>1179696</vt:i4>
      </vt:variant>
      <vt:variant>
        <vt:i4>8</vt:i4>
      </vt:variant>
      <vt:variant>
        <vt:i4>0</vt:i4>
      </vt:variant>
      <vt:variant>
        <vt:i4>5</vt:i4>
      </vt:variant>
      <vt:variant>
        <vt:lpwstr/>
      </vt:variant>
      <vt:variant>
        <vt:lpwstr>_Toc43057734</vt:lpwstr>
      </vt:variant>
      <vt:variant>
        <vt:i4>1376304</vt:i4>
      </vt:variant>
      <vt:variant>
        <vt:i4>2</vt:i4>
      </vt:variant>
      <vt:variant>
        <vt:i4>0</vt:i4>
      </vt:variant>
      <vt:variant>
        <vt:i4>5</vt:i4>
      </vt:variant>
      <vt:variant>
        <vt:lpwstr/>
      </vt:variant>
      <vt:variant>
        <vt:lpwstr>_Toc43057733</vt:lpwstr>
      </vt:variant>
      <vt:variant>
        <vt:i4>1572884</vt:i4>
      </vt:variant>
      <vt:variant>
        <vt:i4>393</vt:i4>
      </vt:variant>
      <vt:variant>
        <vt:i4>0</vt:i4>
      </vt:variant>
      <vt:variant>
        <vt:i4>5</vt:i4>
      </vt:variant>
      <vt:variant>
        <vt:lpwstr>https://theconversation.com/for-native-americans-us-mexico-border-is-an-imaginary-line-111043</vt:lpwstr>
      </vt:variant>
      <vt:variant>
        <vt:lpwstr/>
      </vt:variant>
      <vt:variant>
        <vt:i4>3997810</vt:i4>
      </vt:variant>
      <vt:variant>
        <vt:i4>366</vt:i4>
      </vt:variant>
      <vt:variant>
        <vt:i4>0</vt:i4>
      </vt:variant>
      <vt:variant>
        <vt:i4>5</vt:i4>
      </vt:variant>
      <vt:variant>
        <vt:lpwstr>https://e360.yale.edu/features/indigenous-maize-who-owns-the-rights-to-mexicos-wonder-plant</vt:lpwstr>
      </vt:variant>
      <vt:variant>
        <vt:lpwstr/>
      </vt:variant>
      <vt:variant>
        <vt:i4>4259862</vt:i4>
      </vt:variant>
      <vt:variant>
        <vt:i4>270</vt:i4>
      </vt:variant>
      <vt:variant>
        <vt:i4>0</vt:i4>
      </vt:variant>
      <vt:variant>
        <vt:i4>5</vt:i4>
      </vt:variant>
      <vt:variant>
        <vt:lpwstr>http://geneontology.org/</vt:lpwstr>
      </vt:variant>
      <vt:variant>
        <vt:lpwstr/>
      </vt:variant>
      <vt:variant>
        <vt:i4>8192122</vt:i4>
      </vt:variant>
      <vt:variant>
        <vt:i4>267</vt:i4>
      </vt:variant>
      <vt:variant>
        <vt:i4>0</vt:i4>
      </vt:variant>
      <vt:variant>
        <vt:i4>5</vt:i4>
      </vt:variant>
      <vt:variant>
        <vt:lpwstr>https://www.nature.com/articles/nrg3174</vt:lpwstr>
      </vt:variant>
      <vt:variant>
        <vt:lpwstr/>
      </vt:variant>
      <vt:variant>
        <vt:i4>7274603</vt:i4>
      </vt:variant>
      <vt:variant>
        <vt:i4>264</vt:i4>
      </vt:variant>
      <vt:variant>
        <vt:i4>0</vt:i4>
      </vt:variant>
      <vt:variant>
        <vt:i4>5</vt:i4>
      </vt:variant>
      <vt:variant>
        <vt:lpwstr>https://www.genome.jp/kegg/pathway.html</vt:lpwstr>
      </vt:variant>
      <vt:variant>
        <vt:lpwstr/>
      </vt:variant>
      <vt:variant>
        <vt:i4>4390918</vt:i4>
      </vt:variant>
      <vt:variant>
        <vt:i4>258</vt:i4>
      </vt:variant>
      <vt:variant>
        <vt:i4>0</vt:i4>
      </vt:variant>
      <vt:variant>
        <vt:i4>5</vt:i4>
      </vt:variant>
      <vt:variant>
        <vt:lpwstr>https://blast.ncbi.nlm.nih.gov/Blast.cgi</vt:lpwstr>
      </vt:variant>
      <vt:variant>
        <vt:lpwstr/>
      </vt:variant>
      <vt:variant>
        <vt:i4>4390918</vt:i4>
      </vt:variant>
      <vt:variant>
        <vt:i4>255</vt:i4>
      </vt:variant>
      <vt:variant>
        <vt:i4>0</vt:i4>
      </vt:variant>
      <vt:variant>
        <vt:i4>5</vt:i4>
      </vt:variant>
      <vt:variant>
        <vt:lpwstr>https://blast.ncbi.nlm.nih.gov/Blast.cgi</vt:lpwstr>
      </vt:variant>
      <vt:variant>
        <vt:lpwstr/>
      </vt:variant>
      <vt:variant>
        <vt:i4>3604590</vt:i4>
      </vt:variant>
      <vt:variant>
        <vt:i4>246</vt:i4>
      </vt:variant>
      <vt:variant>
        <vt:i4>0</vt:i4>
      </vt:variant>
      <vt:variant>
        <vt:i4>5</vt:i4>
      </vt:variant>
      <vt:variant>
        <vt:lpwstr>https://www.earthbiogenome.org/</vt:lpwstr>
      </vt:variant>
      <vt:variant>
        <vt:lpwstr/>
      </vt:variant>
      <vt:variant>
        <vt:i4>1441800</vt:i4>
      </vt:variant>
      <vt:variant>
        <vt:i4>243</vt:i4>
      </vt:variant>
      <vt:variant>
        <vt:i4>0</vt:i4>
      </vt:variant>
      <vt:variant>
        <vt:i4>5</vt:i4>
      </vt:variant>
      <vt:variant>
        <vt:lpwstr>https://www.ncbi.nlm.nih.gov/genbank/statistics/</vt:lpwstr>
      </vt:variant>
      <vt:variant>
        <vt:lpwstr/>
      </vt:variant>
      <vt:variant>
        <vt:i4>6684785</vt:i4>
      </vt:variant>
      <vt:variant>
        <vt:i4>198</vt:i4>
      </vt:variant>
      <vt:variant>
        <vt:i4>0</vt:i4>
      </vt:variant>
      <vt:variant>
        <vt:i4>5</vt:i4>
      </vt:variant>
      <vt:variant>
        <vt:lpwstr>https://www.researchgate.net/publication/334415495</vt:lpwstr>
      </vt:variant>
      <vt:variant>
        <vt:lpwstr/>
      </vt:variant>
      <vt:variant>
        <vt:i4>3342453</vt:i4>
      </vt:variant>
      <vt:variant>
        <vt:i4>180</vt:i4>
      </vt:variant>
      <vt:variant>
        <vt:i4>0</vt:i4>
      </vt:variant>
      <vt:variant>
        <vt:i4>5</vt:i4>
      </vt:variant>
      <vt:variant>
        <vt:lpwstr>https://ec.europa.eu/environment/nature/biodiversity/international/abs/pdf/Register-of-Collections.pdf</vt:lpwstr>
      </vt:variant>
      <vt:variant>
        <vt:lpwstr/>
      </vt:variant>
      <vt:variant>
        <vt:i4>6946858</vt:i4>
      </vt:variant>
      <vt:variant>
        <vt:i4>174</vt:i4>
      </vt:variant>
      <vt:variant>
        <vt:i4>0</vt:i4>
      </vt:variant>
      <vt:variant>
        <vt:i4>5</vt:i4>
      </vt:variant>
      <vt:variant>
        <vt:lpwstr>https://doi.org/10.1093/femsle/fnaa044</vt:lpwstr>
      </vt:variant>
      <vt:variant>
        <vt:lpwstr/>
      </vt:variant>
      <vt:variant>
        <vt:i4>393223</vt:i4>
      </vt:variant>
      <vt:variant>
        <vt:i4>12</vt:i4>
      </vt:variant>
      <vt:variant>
        <vt:i4>0</vt:i4>
      </vt:variant>
      <vt:variant>
        <vt:i4>5</vt:i4>
      </vt:variant>
      <vt:variant>
        <vt:lpwstr>https://dictionary.cambridge.org/dictionary/english/exist</vt:lpwstr>
      </vt:variant>
      <vt:variant>
        <vt:lpwstr/>
      </vt:variant>
      <vt:variant>
        <vt:i4>655366</vt:i4>
      </vt:variant>
      <vt:variant>
        <vt:i4>9</vt:i4>
      </vt:variant>
      <vt:variant>
        <vt:i4>0</vt:i4>
      </vt:variant>
      <vt:variant>
        <vt:i4>5</vt:i4>
      </vt:variant>
      <vt:variant>
        <vt:lpwstr>https://dictionary.cambridge.org/dictionary/english/able</vt:lpwstr>
      </vt:variant>
      <vt:variant>
        <vt:lpwstr/>
      </vt:variant>
      <vt:variant>
        <vt:i4>7405671</vt:i4>
      </vt:variant>
      <vt:variant>
        <vt:i4>6</vt:i4>
      </vt:variant>
      <vt:variant>
        <vt:i4>0</vt:i4>
      </vt:variant>
      <vt:variant>
        <vt:i4>5</vt:i4>
      </vt:variant>
      <vt:variant>
        <vt:lpwstr>https://dictionary.cambridge.org/dictionary/english/achieve</vt:lpwstr>
      </vt:variant>
      <vt:variant>
        <vt:lpwstr/>
      </vt:variant>
      <vt:variant>
        <vt:i4>655366</vt:i4>
      </vt:variant>
      <vt:variant>
        <vt:i4>3</vt:i4>
      </vt:variant>
      <vt:variant>
        <vt:i4>0</vt:i4>
      </vt:variant>
      <vt:variant>
        <vt:i4>5</vt:i4>
      </vt:variant>
      <vt:variant>
        <vt:lpwstr>https://dictionary.cambridge.org/dictionary/english/able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visant a identifier Des cas spécifiques de ressources génétiques et de connaissances traditionnelles associees aux ressources genetiques qui se trouvent dans des situations transfrontières ou pour lesquelles il n’est pas possible d’accorder ou d’obtenir un consentement préalable donné en connaissance de cause</dc:title>
  <dc:subject>CBD/SBI/3/15/Add.1</dc:subject>
  <dc:creator>Bagley, Margo A.</dc:creator>
  <cp:keywords/>
  <dc:description/>
  <cp:lastModifiedBy>Xue He Yan</cp:lastModifiedBy>
  <cp:revision>495</cp:revision>
  <cp:lastPrinted>2020-06-04T04:39:00Z</cp:lastPrinted>
  <dcterms:created xsi:type="dcterms:W3CDTF">2020-07-23T19:38:00Z</dcterms:created>
  <dcterms:modified xsi:type="dcterms:W3CDTF">2020-08-21T12:05:00Z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onTranslation" value=""/&gt;&lt;pref name="citationSort" value=""/&gt;&lt;pref name="citationLangPrefsPersons" value="orig"/&gt;&lt;pref name="citationLangPrefsInstitutions" value="orig"/&gt;&lt;pref name="citationLangPrefsTitles" value="orig"/&gt;&lt;pref name="citationLangPrefsJourn</vt:lpwstr>
  </property>
  <property fmtid="{D5CDD505-2E9C-101B-9397-08002B2CF9AE}" pid="3" name="ZOTERO_PREF_3">
    <vt:lpwstr>als" value="orig"/&gt;&lt;pref name="citationLangPrefsPublishers" value="orig"/&gt;&lt;pref name="citationLangPrefsPlaces" value="orig"/&gt;&lt;pref name="citationAffixes" value="|||||||||||||||||||||||||||||||||||||||||||||||"/&gt;&lt;pref name="extractingLibraryName" value="No</vt:lpwstr>
  </property>
  <property fmtid="{D5CDD505-2E9C-101B-9397-08002B2CF9AE}" pid="4" name="ContentTypeId">
    <vt:lpwstr>0x01010069BFACF6D92CD24AA50050CE23F68F74</vt:lpwstr>
  </property>
  <property fmtid="{D5CDD505-2E9C-101B-9397-08002B2CF9AE}" pid="5" name="ZOTERO_PREF_4">
    <vt:lpwstr> group selected"/&gt;&lt;pref name="fieldType" value="Field"/&gt;&lt;pref name="noteType" value="1"/&gt;&lt;pref name="dontAskDelayCitationUpdates" value="true"/&gt;&lt;/prefs&gt;&lt;/data&gt;</vt:lpwstr>
  </property>
  <property fmtid="{D5CDD505-2E9C-101B-9397-08002B2CF9AE}" pid="6" name="ZOTERO_PREF_1">
    <vt:lpwstr>&lt;data data-version="3" zotero-version="5.0.85m3"&gt;&lt;session id="EURkwcX0"/&gt;&lt;style id="http://juris-m.github.io/jm-styles/jm-oscola" hasBibliography="1" bibliographyStyleHasBeenSet="0"/&gt;&lt;prefs&gt;&lt;pref name="citationTransliteration" value=""/&gt;&lt;pref name="citati</vt:lpwstr>
  </property>
</Properties>
</file>