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35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5141"/>
        <w:gridCol w:w="4090"/>
      </w:tblGrid>
      <w:tr w:rsidR="00420E6D" w:rsidRPr="0065103C" w14:paraId="1DF56CDD" w14:textId="77777777" w:rsidTr="00464A18">
        <w:trPr>
          <w:trHeight w:val="851"/>
        </w:trPr>
        <w:tc>
          <w:tcPr>
            <w:tcW w:w="1126" w:type="dxa"/>
            <w:tcBorders>
              <w:bottom w:val="single" w:sz="12" w:space="0" w:color="auto"/>
            </w:tcBorders>
          </w:tcPr>
          <w:p w14:paraId="08B6A96E" w14:textId="77777777" w:rsidR="00420E6D" w:rsidRPr="0065103C" w:rsidRDefault="00420E6D" w:rsidP="0065103C">
            <w:pPr>
              <w:suppressLineNumbers/>
              <w:suppressAutoHyphens/>
              <w:adjustRightInd w:val="0"/>
              <w:snapToGrid w:val="0"/>
              <w:rPr>
                <w:lang w:val="en-GB"/>
              </w:rPr>
            </w:pPr>
            <w:r w:rsidRPr="0065103C">
              <w:rPr>
                <w:noProof/>
                <w:lang w:val="en-CA" w:eastAsia="en-CA"/>
              </w:rPr>
              <w:drawing>
                <wp:inline distT="0" distB="0" distL="0" distR="0" wp14:anchorId="6B5E243D" wp14:editId="15A11CB8">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28E9B41" w14:textId="006F80FD" w:rsidR="00420E6D" w:rsidRPr="0065103C" w:rsidRDefault="000F74D6" w:rsidP="0065103C">
            <w:pPr>
              <w:suppressLineNumbers/>
              <w:suppressAutoHyphens/>
              <w:adjustRightInd w:val="0"/>
              <w:snapToGrid w:val="0"/>
              <w:rPr>
                <w:lang w:val="en-GB"/>
              </w:rPr>
            </w:pPr>
            <w:r w:rsidRPr="00CF5006">
              <w:rPr>
                <w:noProof/>
                <w:lang w:val="en-CA" w:eastAsia="en-CA"/>
              </w:rPr>
              <w:drawing>
                <wp:inline distT="0" distB="0" distL="0" distR="0" wp14:anchorId="50B41691" wp14:editId="27D29C69">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13E6F298" w14:textId="77777777" w:rsidR="00420E6D" w:rsidRPr="0065103C" w:rsidRDefault="00420E6D" w:rsidP="0065103C">
            <w:pPr>
              <w:suppressLineNumbers/>
              <w:suppressAutoHyphens/>
              <w:adjustRightInd w:val="0"/>
              <w:snapToGrid w:val="0"/>
              <w:jc w:val="right"/>
              <w:rPr>
                <w:rFonts w:ascii="Arial" w:hAnsi="Arial" w:cs="Arial"/>
                <w:b/>
                <w:sz w:val="32"/>
                <w:szCs w:val="32"/>
                <w:lang w:val="en-GB"/>
              </w:rPr>
            </w:pPr>
            <w:r>
              <w:rPr>
                <w:rFonts w:ascii="Arial" w:hAnsi="Arial" w:cs="Arial"/>
                <w:b/>
                <w:sz w:val="32"/>
                <w:szCs w:val="32"/>
              </w:rPr>
              <w:t>CBD</w:t>
            </w:r>
          </w:p>
        </w:tc>
      </w:tr>
    </w:tbl>
    <w:tbl>
      <w:tblPr>
        <w:tblW w:w="10359" w:type="dxa"/>
        <w:tblInd w:w="-364" w:type="dxa"/>
        <w:tblBorders>
          <w:bottom w:val="single" w:sz="36" w:space="0" w:color="000000"/>
        </w:tblBorders>
        <w:tblLayout w:type="fixed"/>
        <w:tblLook w:val="0000" w:firstRow="0" w:lastRow="0" w:firstColumn="0" w:lastColumn="0" w:noHBand="0" w:noVBand="0"/>
      </w:tblPr>
      <w:tblGrid>
        <w:gridCol w:w="6132"/>
        <w:gridCol w:w="1144"/>
        <w:gridCol w:w="3083"/>
      </w:tblGrid>
      <w:tr w:rsidR="00AD1731" w:rsidRPr="0065103C" w14:paraId="468E17DE" w14:textId="77777777" w:rsidTr="00992F4E">
        <w:trPr>
          <w:trHeight w:val="1693"/>
        </w:trPr>
        <w:tc>
          <w:tcPr>
            <w:tcW w:w="6132" w:type="dxa"/>
            <w:tcBorders>
              <w:top w:val="nil"/>
              <w:bottom w:val="single" w:sz="36" w:space="0" w:color="000000"/>
            </w:tcBorders>
          </w:tcPr>
          <w:p w14:paraId="49E5942A" w14:textId="77777777" w:rsidR="00E13C45" w:rsidRDefault="00E13C45" w:rsidP="0065103C">
            <w:pPr>
              <w:suppressLineNumbers/>
              <w:suppressAutoHyphens/>
              <w:adjustRightInd w:val="0"/>
              <w:snapToGrid w:val="0"/>
              <w:rPr>
                <w:bCs/>
                <w:noProof/>
                <w:szCs w:val="22"/>
              </w:rPr>
            </w:pPr>
          </w:p>
          <w:p w14:paraId="78547573" w14:textId="79C306B7" w:rsidR="00AD1731" w:rsidRPr="0065103C" w:rsidRDefault="000F74D6" w:rsidP="0065103C">
            <w:pPr>
              <w:suppressLineNumbers/>
              <w:suppressAutoHyphens/>
              <w:adjustRightInd w:val="0"/>
              <w:snapToGrid w:val="0"/>
              <w:rPr>
                <w:rFonts w:ascii="Univers" w:hAnsi="Univers"/>
                <w:snapToGrid w:val="0"/>
                <w:kern w:val="22"/>
                <w:sz w:val="22"/>
                <w:szCs w:val="22"/>
                <w:lang w:val="en-GB"/>
              </w:rPr>
            </w:pPr>
            <w:r w:rsidRPr="00A56B25">
              <w:rPr>
                <w:bCs/>
                <w:noProof/>
                <w:szCs w:val="22"/>
                <w:lang w:val="en-CA" w:eastAsia="en-CA"/>
              </w:rPr>
              <w:drawing>
                <wp:inline distT="0" distB="0" distL="0" distR="0" wp14:anchorId="1495177F" wp14:editId="36B3315D">
                  <wp:extent cx="2857500" cy="1076325"/>
                  <wp:effectExtent l="0" t="0" r="0" b="9525"/>
                  <wp:docPr id="2"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65103C" w:rsidRDefault="00AD1731" w:rsidP="0065103C">
            <w:pPr>
              <w:pStyle w:val="Header"/>
              <w:suppressLineNumbers/>
              <w:tabs>
                <w:tab w:val="clear" w:pos="4320"/>
                <w:tab w:val="clear" w:pos="8640"/>
              </w:tabs>
              <w:suppressAutoHyphens/>
              <w:adjustRightInd w:val="0"/>
              <w:snapToGrid w:val="0"/>
              <w:jc w:val="both"/>
              <w:rPr>
                <w:rFonts w:eastAsia="MS Mincho"/>
                <w:bCs/>
                <w:snapToGrid w:val="0"/>
                <w:kern w:val="22"/>
                <w:sz w:val="22"/>
                <w:szCs w:val="22"/>
                <w:lang w:val="en-GB"/>
              </w:rPr>
            </w:pPr>
          </w:p>
        </w:tc>
        <w:tc>
          <w:tcPr>
            <w:tcW w:w="3083" w:type="dxa"/>
            <w:tcBorders>
              <w:top w:val="nil"/>
              <w:bottom w:val="single" w:sz="36" w:space="0" w:color="000000"/>
            </w:tcBorders>
          </w:tcPr>
          <w:p w14:paraId="0FB2512D" w14:textId="77777777" w:rsidR="00AD1731" w:rsidRPr="00B133FF" w:rsidRDefault="00AD1731" w:rsidP="0065103C">
            <w:pPr>
              <w:suppressLineNumbers/>
              <w:suppressAutoHyphens/>
              <w:adjustRightInd w:val="0"/>
              <w:snapToGrid w:val="0"/>
              <w:ind w:left="318"/>
              <w:rPr>
                <w:snapToGrid w:val="0"/>
                <w:kern w:val="22"/>
                <w:sz w:val="22"/>
                <w:szCs w:val="22"/>
              </w:rPr>
            </w:pPr>
            <w:proofErr w:type="spellStart"/>
            <w:r>
              <w:rPr>
                <w:snapToGrid w:val="0"/>
                <w:kern w:val="22"/>
                <w:sz w:val="22"/>
                <w:szCs w:val="22"/>
              </w:rPr>
              <w:t>Distr</w:t>
            </w:r>
            <w:proofErr w:type="spellEnd"/>
            <w:r>
              <w:rPr>
                <w:snapToGrid w:val="0"/>
                <w:kern w:val="22"/>
                <w:sz w:val="22"/>
                <w:szCs w:val="22"/>
              </w:rPr>
              <w:t>.</w:t>
            </w:r>
          </w:p>
          <w:p w14:paraId="46E0F7A0" w14:textId="77777777" w:rsidR="00AD1731" w:rsidRPr="00B133FF" w:rsidRDefault="00753859" w:rsidP="0065103C">
            <w:pPr>
              <w:suppressLineNumbers/>
              <w:suppressAutoHyphens/>
              <w:adjustRightInd w:val="0"/>
              <w:snapToGrid w:val="0"/>
              <w:ind w:left="318"/>
              <w:rPr>
                <w:snapToGrid w:val="0"/>
                <w:kern w:val="22"/>
                <w:sz w:val="22"/>
                <w:szCs w:val="22"/>
              </w:rPr>
            </w:pPr>
            <w:r>
              <w:rPr>
                <w:snapToGrid w:val="0"/>
                <w:kern w:val="22"/>
                <w:sz w:val="22"/>
                <w:szCs w:val="22"/>
              </w:rPr>
              <w:t>GÉNÉRALE</w:t>
            </w:r>
          </w:p>
          <w:p w14:paraId="3F888B85" w14:textId="77777777" w:rsidR="00AD1731" w:rsidRPr="00B133FF" w:rsidRDefault="00AD1731" w:rsidP="0065103C">
            <w:pPr>
              <w:suppressLineNumbers/>
              <w:suppressAutoHyphens/>
              <w:adjustRightInd w:val="0"/>
              <w:snapToGrid w:val="0"/>
              <w:ind w:left="318"/>
              <w:rPr>
                <w:snapToGrid w:val="0"/>
                <w:kern w:val="22"/>
                <w:sz w:val="22"/>
                <w:szCs w:val="22"/>
              </w:rPr>
            </w:pPr>
          </w:p>
          <w:bookmarkStart w:id="0" w:name="_Hlk22815168" w:displacedByCustomXml="next"/>
          <w:sdt>
            <w:sdtPr>
              <w:rPr>
                <w:snapToGrid w:val="0"/>
                <w:kern w:val="22"/>
                <w:sz w:val="22"/>
                <w:szCs w:val="22"/>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745D3159" w14:textId="0AE4A6F2" w:rsidR="00AD1731" w:rsidRPr="00B133FF" w:rsidRDefault="00BE072B" w:rsidP="0065103C">
                <w:pPr>
                  <w:suppressLineNumbers/>
                  <w:suppressAutoHyphens/>
                  <w:adjustRightInd w:val="0"/>
                  <w:snapToGrid w:val="0"/>
                  <w:ind w:left="318"/>
                  <w:rPr>
                    <w:snapToGrid w:val="0"/>
                    <w:kern w:val="22"/>
                    <w:sz w:val="22"/>
                    <w:szCs w:val="22"/>
                  </w:rPr>
                </w:pPr>
                <w:r>
                  <w:rPr>
                    <w:snapToGrid w:val="0"/>
                    <w:kern w:val="22"/>
                    <w:sz w:val="22"/>
                    <w:szCs w:val="22"/>
                  </w:rPr>
                  <w:t>CBD/SBI/3/6/Add.2</w:t>
                </w:r>
              </w:p>
            </w:sdtContent>
          </w:sdt>
          <w:p w14:paraId="363B20D6" w14:textId="4D683540" w:rsidR="00AD1731" w:rsidRPr="00464A18" w:rsidRDefault="00464A18" w:rsidP="0065103C">
            <w:pPr>
              <w:suppressLineNumbers/>
              <w:suppressAutoHyphens/>
              <w:adjustRightInd w:val="0"/>
              <w:snapToGrid w:val="0"/>
              <w:ind w:left="318"/>
              <w:rPr>
                <w:snapToGrid w:val="0"/>
                <w:kern w:val="22"/>
                <w:sz w:val="22"/>
                <w:szCs w:val="22"/>
                <w:lang w:val="fr-CA"/>
              </w:rPr>
            </w:pPr>
            <w:r>
              <w:rPr>
                <w:snapToGrid w:val="0"/>
                <w:kern w:val="22"/>
                <w:sz w:val="22"/>
                <w:szCs w:val="22"/>
              </w:rPr>
              <w:t>31 janvier 2022</w:t>
            </w:r>
          </w:p>
          <w:p w14:paraId="1567952D" w14:textId="77777777" w:rsidR="00AD1731" w:rsidRPr="00464A18" w:rsidRDefault="00AD1731" w:rsidP="0065103C">
            <w:pPr>
              <w:suppressLineNumbers/>
              <w:suppressAutoHyphens/>
              <w:adjustRightInd w:val="0"/>
              <w:snapToGrid w:val="0"/>
              <w:ind w:left="318"/>
              <w:rPr>
                <w:snapToGrid w:val="0"/>
                <w:kern w:val="22"/>
                <w:sz w:val="22"/>
                <w:szCs w:val="22"/>
                <w:lang w:val="fr-CA"/>
              </w:rPr>
            </w:pPr>
          </w:p>
          <w:p w14:paraId="41D2943F" w14:textId="5EBA0323" w:rsidR="00AD1731" w:rsidRPr="00464A18" w:rsidRDefault="00AD1731" w:rsidP="0065103C">
            <w:pPr>
              <w:suppressLineNumbers/>
              <w:suppressAutoHyphens/>
              <w:adjustRightInd w:val="0"/>
              <w:snapToGrid w:val="0"/>
              <w:ind w:left="318"/>
              <w:rPr>
                <w:snapToGrid w:val="0"/>
                <w:kern w:val="22"/>
                <w:sz w:val="22"/>
                <w:szCs w:val="22"/>
                <w:u w:val="single"/>
                <w:lang w:val="fr-CA"/>
              </w:rPr>
            </w:pPr>
            <w:r>
              <w:rPr>
                <w:snapToGrid w:val="0"/>
                <w:kern w:val="22"/>
                <w:sz w:val="22"/>
                <w:szCs w:val="22"/>
              </w:rPr>
              <w:t xml:space="preserve">FRANÇAIS </w:t>
            </w:r>
            <w:r>
              <w:rPr>
                <w:snapToGrid w:val="0"/>
                <w:kern w:val="22"/>
                <w:sz w:val="22"/>
                <w:szCs w:val="22"/>
              </w:rPr>
              <w:br/>
              <w:t>ORIGINAL : ANGLAIS</w:t>
            </w:r>
          </w:p>
        </w:tc>
      </w:tr>
    </w:tbl>
    <w:p w14:paraId="09E6F89B" w14:textId="77777777" w:rsidR="00AE7F5B" w:rsidRPr="004635B2" w:rsidRDefault="00AD1731" w:rsidP="0065103C">
      <w:pPr>
        <w:pStyle w:val="meetingname"/>
        <w:suppressLineNumbers/>
        <w:suppressAutoHyphens/>
        <w:adjustRightInd w:val="0"/>
        <w:snapToGrid w:val="0"/>
        <w:ind w:left="-180" w:right="4398" w:firstLine="0"/>
        <w:rPr>
          <w:kern w:val="22"/>
          <w:sz w:val="22"/>
          <w:szCs w:val="22"/>
          <w:lang w:val="fr-CA"/>
        </w:rPr>
      </w:pPr>
      <w:bookmarkStart w:id="1" w:name="Meeting"/>
      <w:r w:rsidRPr="004635B2">
        <w:rPr>
          <w:kern w:val="22"/>
          <w:sz w:val="22"/>
          <w:szCs w:val="22"/>
          <w:lang w:val="fr-CA"/>
        </w:rPr>
        <w:t xml:space="preserve">ORGANE SUBSIDIAIRE CHARGÉ DE </w:t>
      </w:r>
    </w:p>
    <w:p w14:paraId="54367777" w14:textId="22942223" w:rsidR="00AD1731" w:rsidRPr="004635B2" w:rsidRDefault="00AE7F5B" w:rsidP="0065103C">
      <w:pPr>
        <w:pStyle w:val="meetingname"/>
        <w:suppressLineNumbers/>
        <w:suppressAutoHyphens/>
        <w:adjustRightInd w:val="0"/>
        <w:snapToGrid w:val="0"/>
        <w:ind w:left="-180" w:right="4398" w:firstLine="0"/>
        <w:rPr>
          <w:kern w:val="22"/>
          <w:sz w:val="22"/>
          <w:szCs w:val="22"/>
          <w:lang w:val="fr-CA"/>
        </w:rPr>
      </w:pPr>
      <w:r w:rsidRPr="004635B2">
        <w:rPr>
          <w:kern w:val="22"/>
          <w:sz w:val="22"/>
          <w:szCs w:val="22"/>
          <w:lang w:val="fr-CA"/>
        </w:rPr>
        <w:t xml:space="preserve">   </w:t>
      </w:r>
      <w:r w:rsidR="00AD1731" w:rsidRPr="004635B2">
        <w:rPr>
          <w:kern w:val="22"/>
          <w:sz w:val="22"/>
          <w:szCs w:val="22"/>
          <w:lang w:val="fr-CA"/>
        </w:rPr>
        <w:t>L’APPLICATION</w:t>
      </w:r>
      <w:bookmarkEnd w:id="1"/>
    </w:p>
    <w:p w14:paraId="4891E593" w14:textId="063821D1" w:rsidR="00AD1731" w:rsidRPr="004635B2" w:rsidRDefault="00712FA8" w:rsidP="0065103C">
      <w:pPr>
        <w:suppressLineNumbers/>
        <w:suppressAutoHyphens/>
        <w:adjustRightInd w:val="0"/>
        <w:snapToGrid w:val="0"/>
        <w:rPr>
          <w:snapToGrid w:val="0"/>
          <w:kern w:val="22"/>
          <w:sz w:val="22"/>
          <w:szCs w:val="22"/>
          <w:lang w:val="fr-CA" w:eastAsia="nb-NO"/>
        </w:rPr>
      </w:pPr>
      <w:r w:rsidRPr="004635B2">
        <w:rPr>
          <w:snapToGrid w:val="0"/>
          <w:kern w:val="22"/>
          <w:sz w:val="22"/>
          <w:szCs w:val="22"/>
          <w:lang w:val="fr-CA"/>
        </w:rPr>
        <w:t>Troisième réunion</w:t>
      </w:r>
      <w:r w:rsidR="00464A18" w:rsidRPr="004635B2">
        <w:rPr>
          <w:snapToGrid w:val="0"/>
          <w:kern w:val="22"/>
          <w:sz w:val="22"/>
          <w:szCs w:val="22"/>
          <w:lang w:val="fr-CA"/>
        </w:rPr>
        <w:t xml:space="preserve"> (reprise)</w:t>
      </w:r>
    </w:p>
    <w:p w14:paraId="20210DF9" w14:textId="1EF0BBC4" w:rsidR="00AD1731" w:rsidRPr="004635B2" w:rsidRDefault="00464A18" w:rsidP="0065103C">
      <w:pPr>
        <w:suppressLineNumbers/>
        <w:suppressAutoHyphens/>
        <w:adjustRightInd w:val="0"/>
        <w:snapToGrid w:val="0"/>
        <w:rPr>
          <w:snapToGrid w:val="0"/>
          <w:kern w:val="22"/>
          <w:sz w:val="22"/>
          <w:szCs w:val="22"/>
          <w:lang w:val="fr-CA" w:eastAsia="nb-NO"/>
        </w:rPr>
      </w:pPr>
      <w:r w:rsidRPr="004635B2">
        <w:rPr>
          <w:snapToGrid w:val="0"/>
          <w:kern w:val="22"/>
          <w:sz w:val="22"/>
          <w:szCs w:val="22"/>
          <w:lang w:val="fr-CA"/>
        </w:rPr>
        <w:t>Genève, Suisse, 14-29 mars 2022</w:t>
      </w:r>
    </w:p>
    <w:p w14:paraId="2F21CD91" w14:textId="5A439579" w:rsidR="00AD1731" w:rsidRPr="004635B2" w:rsidRDefault="00AD1731" w:rsidP="0065103C">
      <w:pPr>
        <w:pStyle w:val="Header"/>
        <w:suppressLineNumbers/>
        <w:tabs>
          <w:tab w:val="clear" w:pos="4320"/>
          <w:tab w:val="clear" w:pos="8640"/>
        </w:tabs>
        <w:suppressAutoHyphens/>
        <w:adjustRightInd w:val="0"/>
        <w:snapToGrid w:val="0"/>
        <w:rPr>
          <w:snapToGrid w:val="0"/>
          <w:kern w:val="22"/>
          <w:sz w:val="22"/>
          <w:szCs w:val="22"/>
          <w:lang w:val="fr-CA"/>
        </w:rPr>
      </w:pPr>
      <w:r w:rsidRPr="004635B2">
        <w:rPr>
          <w:snapToGrid w:val="0"/>
          <w:kern w:val="22"/>
          <w:sz w:val="22"/>
          <w:szCs w:val="22"/>
          <w:lang w:val="fr-CA"/>
        </w:rPr>
        <w:t>Point 6 de l’ordre du jour provisoire</w:t>
      </w:r>
    </w:p>
    <w:p w14:paraId="6DCA2363" w14:textId="77777777" w:rsidR="00464A18" w:rsidRPr="004635B2" w:rsidRDefault="00464A18" w:rsidP="0065103C">
      <w:pPr>
        <w:pStyle w:val="Heading2"/>
        <w:keepNext w:val="0"/>
        <w:suppressLineNumbers/>
        <w:suppressAutoHyphens/>
        <w:adjustRightInd w:val="0"/>
        <w:snapToGrid w:val="0"/>
        <w:rPr>
          <w:rFonts w:ascii="Times New Roman Bold" w:hAnsi="Times New Roman Bold"/>
          <w:i w:val="0"/>
          <w:caps/>
          <w:snapToGrid w:val="0"/>
          <w:spacing w:val="-4"/>
          <w:kern w:val="22"/>
          <w:sz w:val="22"/>
          <w:szCs w:val="22"/>
          <w:lang w:val="fr-CA"/>
        </w:rPr>
      </w:pPr>
    </w:p>
    <w:p w14:paraId="3049C40F" w14:textId="33954E07" w:rsidR="00CC18C7" w:rsidRPr="004635B2" w:rsidRDefault="00755D1D" w:rsidP="0065103C">
      <w:pPr>
        <w:pStyle w:val="Heading2"/>
        <w:keepNext w:val="0"/>
        <w:suppressLineNumbers/>
        <w:suppressAutoHyphens/>
        <w:adjustRightInd w:val="0"/>
        <w:snapToGrid w:val="0"/>
        <w:rPr>
          <w:rFonts w:ascii="Times New Roman Bold" w:hAnsi="Times New Roman Bold"/>
          <w:i w:val="0"/>
          <w:caps/>
          <w:snapToGrid w:val="0"/>
          <w:spacing w:val="-4"/>
          <w:kern w:val="22"/>
          <w:sz w:val="22"/>
          <w:szCs w:val="22"/>
          <w:lang w:val="fr-CA"/>
        </w:rPr>
      </w:pPr>
      <w:r w:rsidRPr="004635B2">
        <w:rPr>
          <w:rFonts w:ascii="Times New Roman Bold" w:hAnsi="Times New Roman Bold"/>
          <w:i w:val="0"/>
          <w:caps/>
          <w:snapToGrid w:val="0"/>
          <w:spacing w:val="-4"/>
          <w:kern w:val="22"/>
          <w:sz w:val="22"/>
          <w:szCs w:val="22"/>
          <w:lang w:val="fr-CA"/>
        </w:rPr>
        <w:t xml:space="preserve">Rapport sur l'évaluation complète des fonds </w:t>
      </w:r>
      <w:r w:rsidR="00AE7F5B" w:rsidRPr="004635B2">
        <w:rPr>
          <w:rFonts w:ascii="Times New Roman Bold" w:hAnsi="Times New Roman Bold"/>
          <w:i w:val="0"/>
          <w:caps/>
          <w:snapToGrid w:val="0"/>
          <w:spacing w:val="-4"/>
          <w:kern w:val="22"/>
          <w:sz w:val="22"/>
          <w:szCs w:val="22"/>
          <w:lang w:val="fr-CA"/>
        </w:rPr>
        <w:t xml:space="preserve">nécessaires </w:t>
      </w:r>
      <w:r w:rsidR="00911641" w:rsidRPr="004635B2">
        <w:rPr>
          <w:rFonts w:ascii="Times New Roman Bold" w:hAnsi="Times New Roman Bold"/>
          <w:i w:val="0"/>
          <w:caps/>
          <w:snapToGrid w:val="0"/>
          <w:spacing w:val="-4"/>
          <w:kern w:val="22"/>
          <w:sz w:val="22"/>
          <w:szCs w:val="22"/>
          <w:lang w:val="fr-CA"/>
        </w:rPr>
        <w:t>à</w:t>
      </w:r>
      <w:r w:rsidRPr="004635B2">
        <w:rPr>
          <w:rFonts w:ascii="Times New Roman Bold" w:hAnsi="Times New Roman Bold"/>
          <w:i w:val="0"/>
          <w:caps/>
          <w:snapToGrid w:val="0"/>
          <w:spacing w:val="-4"/>
          <w:kern w:val="22"/>
          <w:sz w:val="22"/>
          <w:szCs w:val="22"/>
          <w:lang w:val="fr-CA"/>
        </w:rPr>
        <w:t xml:space="preserve"> la mise en œuvre de la Convention </w:t>
      </w:r>
      <w:r w:rsidR="00AE7F5B" w:rsidRPr="004635B2">
        <w:rPr>
          <w:rFonts w:ascii="Times New Roman Bold" w:hAnsi="Times New Roman Bold"/>
          <w:i w:val="0"/>
          <w:caps/>
          <w:snapToGrid w:val="0"/>
          <w:spacing w:val="-4"/>
          <w:kern w:val="22"/>
          <w:sz w:val="22"/>
          <w:szCs w:val="22"/>
          <w:lang w:val="fr-CA"/>
        </w:rPr>
        <w:t xml:space="preserve">et de ses protocoles </w:t>
      </w:r>
      <w:r w:rsidR="00911641" w:rsidRPr="004635B2">
        <w:rPr>
          <w:rFonts w:ascii="Times New Roman Bold" w:hAnsi="Times New Roman Bold"/>
          <w:i w:val="0"/>
          <w:caps/>
          <w:snapToGrid w:val="0"/>
          <w:spacing w:val="-4"/>
          <w:kern w:val="22"/>
          <w:sz w:val="22"/>
          <w:szCs w:val="22"/>
          <w:lang w:val="fr-CA"/>
        </w:rPr>
        <w:t>pendant</w:t>
      </w:r>
      <w:r w:rsidRPr="004635B2">
        <w:rPr>
          <w:rFonts w:ascii="Times New Roman Bold" w:hAnsi="Times New Roman Bold"/>
          <w:i w:val="0"/>
          <w:caps/>
          <w:snapToGrid w:val="0"/>
          <w:spacing w:val="-4"/>
          <w:kern w:val="22"/>
          <w:sz w:val="22"/>
          <w:szCs w:val="22"/>
          <w:lang w:val="fr-CA"/>
        </w:rPr>
        <w:t xml:space="preserve"> la huitième période de reconstitution des ressources du Fonds pour l'environnement mondial (juillet 2022 à juin 2026) : résumé</w:t>
      </w:r>
    </w:p>
    <w:p w14:paraId="289A45A2" w14:textId="2251AEC3" w:rsidR="005C77C2" w:rsidRPr="004635B2" w:rsidRDefault="005C77C2" w:rsidP="0065103C">
      <w:pPr>
        <w:pStyle w:val="Heading2"/>
        <w:keepNext w:val="0"/>
        <w:suppressLineNumbers/>
        <w:suppressAutoHyphens/>
        <w:adjustRightInd w:val="0"/>
        <w:snapToGrid w:val="0"/>
        <w:rPr>
          <w:rFonts w:ascii="Times New Roman Bold" w:hAnsi="Times New Roman Bold"/>
          <w:b w:val="0"/>
          <w:caps/>
          <w:spacing w:val="-4"/>
          <w:sz w:val="22"/>
          <w:szCs w:val="22"/>
          <w:lang w:val="fr-CA"/>
        </w:rPr>
      </w:pPr>
      <w:r w:rsidRPr="004635B2">
        <w:rPr>
          <w:rFonts w:ascii="Times New Roman Bold" w:hAnsi="Times New Roman Bold"/>
          <w:b w:val="0"/>
          <w:snapToGrid w:val="0"/>
          <w:spacing w:val="-4"/>
          <w:kern w:val="22"/>
          <w:sz w:val="22"/>
          <w:szCs w:val="22"/>
          <w:lang w:val="fr-CA"/>
        </w:rPr>
        <w:t>Note de la secrétaire exécutive</w:t>
      </w:r>
    </w:p>
    <w:p w14:paraId="18F336E3" w14:textId="77777777" w:rsidR="00CC18C7" w:rsidRPr="004635B2" w:rsidRDefault="00CC18C7" w:rsidP="0065103C">
      <w:pPr>
        <w:pStyle w:val="Heading1"/>
        <w:keepNext w:val="0"/>
        <w:suppressLineNumbers/>
        <w:suppressAutoHyphens/>
        <w:adjustRightInd w:val="0"/>
        <w:snapToGrid w:val="0"/>
        <w:spacing w:before="120"/>
        <w:rPr>
          <w:snapToGrid w:val="0"/>
          <w:kern w:val="22"/>
          <w:sz w:val="22"/>
          <w:szCs w:val="22"/>
          <w:lang w:val="fr-CA"/>
        </w:rPr>
      </w:pPr>
      <w:r w:rsidRPr="004635B2">
        <w:rPr>
          <w:snapToGrid w:val="0"/>
          <w:kern w:val="22"/>
          <w:sz w:val="22"/>
          <w:szCs w:val="22"/>
          <w:lang w:val="fr-CA"/>
        </w:rPr>
        <w:t>INTRODUCTION</w:t>
      </w:r>
    </w:p>
    <w:p w14:paraId="0556BC44" w14:textId="28DCFD41" w:rsidR="00277912" w:rsidRPr="004635B2" w:rsidRDefault="002B0592" w:rsidP="0065103C">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fr-CA"/>
        </w:rPr>
      </w:pPr>
      <w:r w:rsidRPr="004635B2">
        <w:rPr>
          <w:snapToGrid/>
          <w:kern w:val="22"/>
          <w:sz w:val="22"/>
          <w:szCs w:val="22"/>
          <w:lang w:val="fr-CA"/>
        </w:rPr>
        <w:t>La Conférence des Parties, à sa quatorzième réunion, a adopté</w:t>
      </w:r>
      <w:r w:rsidR="00911641" w:rsidRPr="004635B2">
        <w:rPr>
          <w:snapToGrid/>
          <w:kern w:val="22"/>
          <w:sz w:val="22"/>
          <w:szCs w:val="22"/>
          <w:lang w:val="fr-CA"/>
        </w:rPr>
        <w:t xml:space="preserve">, au paragraphe 14 de sa décision </w:t>
      </w:r>
      <w:hyperlink r:id="rId14" w:history="1">
        <w:r w:rsidR="00911641" w:rsidRPr="004635B2">
          <w:rPr>
            <w:rStyle w:val="Hyperlink"/>
            <w:rFonts w:eastAsiaTheme="majorEastAsia"/>
            <w:sz w:val="22"/>
            <w:szCs w:val="22"/>
            <w:lang w:val="fr-CA"/>
          </w:rPr>
          <w:t>14/23</w:t>
        </w:r>
      </w:hyperlink>
      <w:r w:rsidR="00911641" w:rsidRPr="004635B2">
        <w:rPr>
          <w:rStyle w:val="Hyperlink"/>
          <w:rFonts w:eastAsiaTheme="majorEastAsia"/>
          <w:sz w:val="22"/>
          <w:szCs w:val="22"/>
          <w:lang w:val="fr-CA"/>
        </w:rPr>
        <w:t>,</w:t>
      </w:r>
      <w:r w:rsidRPr="004635B2">
        <w:rPr>
          <w:snapToGrid/>
          <w:kern w:val="22"/>
          <w:sz w:val="22"/>
          <w:szCs w:val="22"/>
          <w:lang w:val="fr-CA"/>
        </w:rPr>
        <w:t xml:space="preserve"> </w:t>
      </w:r>
      <w:r w:rsidR="004654A3" w:rsidRPr="004635B2">
        <w:rPr>
          <w:snapToGrid/>
          <w:kern w:val="22"/>
          <w:sz w:val="22"/>
          <w:szCs w:val="22"/>
          <w:lang w:val="fr-CA"/>
        </w:rPr>
        <w:t xml:space="preserve">le mandat d'une évaluation complète des montants nécessaires à la mise en œuvre de la Convention et de ses protocoles pendant la huitième période de reconstitution du fonds d’affectation spéciale du Fonds pour l’environnement mondial. </w:t>
      </w:r>
    </w:p>
    <w:p w14:paraId="68949C1C" w14:textId="79F50645" w:rsidR="00755D1D" w:rsidRPr="004635B2" w:rsidRDefault="00911641" w:rsidP="0065103C">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fr-CA"/>
        </w:rPr>
      </w:pPr>
      <w:r w:rsidRPr="004635B2">
        <w:rPr>
          <w:snapToGrid/>
          <w:kern w:val="22"/>
          <w:sz w:val="22"/>
          <w:szCs w:val="22"/>
          <w:lang w:val="fr-CA"/>
        </w:rPr>
        <w:t xml:space="preserve">La Secrétaire </w:t>
      </w:r>
      <w:r w:rsidR="00715DF2">
        <w:rPr>
          <w:snapToGrid/>
          <w:kern w:val="22"/>
          <w:sz w:val="22"/>
          <w:szCs w:val="22"/>
          <w:lang w:val="fr-CA"/>
        </w:rPr>
        <w:t xml:space="preserve">exécutive </w:t>
      </w:r>
      <w:r w:rsidRPr="004635B2">
        <w:rPr>
          <w:snapToGrid/>
          <w:kern w:val="22"/>
          <w:sz w:val="22"/>
          <w:szCs w:val="22"/>
          <w:lang w:val="fr-CA"/>
        </w:rPr>
        <w:t xml:space="preserve">a mis en œuvre la décision </w:t>
      </w:r>
      <w:r w:rsidR="0070644A" w:rsidRPr="004635B2">
        <w:rPr>
          <w:snapToGrid/>
          <w:kern w:val="22"/>
          <w:sz w:val="22"/>
          <w:szCs w:val="22"/>
          <w:lang w:val="fr-CA"/>
        </w:rPr>
        <w:t>g</w:t>
      </w:r>
      <w:r w:rsidR="004654A3" w:rsidRPr="004635B2">
        <w:rPr>
          <w:snapToGrid/>
          <w:kern w:val="22"/>
          <w:sz w:val="22"/>
          <w:szCs w:val="22"/>
          <w:lang w:val="fr-CA"/>
        </w:rPr>
        <w:t xml:space="preserve">râce aux </w:t>
      </w:r>
      <w:r w:rsidRPr="004635B2">
        <w:rPr>
          <w:snapToGrid/>
          <w:kern w:val="22"/>
          <w:sz w:val="22"/>
          <w:szCs w:val="22"/>
          <w:lang w:val="fr-CA"/>
        </w:rPr>
        <w:t xml:space="preserve">généreuses </w:t>
      </w:r>
      <w:r w:rsidR="004654A3" w:rsidRPr="004635B2">
        <w:rPr>
          <w:snapToGrid/>
          <w:kern w:val="22"/>
          <w:sz w:val="22"/>
          <w:szCs w:val="22"/>
          <w:lang w:val="fr-CA"/>
        </w:rPr>
        <w:t>contributions financières du gouvernement de la Suède et de l'Union européenne</w:t>
      </w:r>
      <w:r w:rsidR="00277912" w:rsidRPr="004635B2">
        <w:rPr>
          <w:snapToGrid/>
          <w:kern w:val="22"/>
          <w:sz w:val="22"/>
          <w:szCs w:val="22"/>
          <w:lang w:val="fr-CA"/>
        </w:rPr>
        <w:t xml:space="preserve">, </w:t>
      </w:r>
      <w:r w:rsidR="0070644A" w:rsidRPr="004635B2">
        <w:rPr>
          <w:snapToGrid/>
          <w:kern w:val="22"/>
          <w:sz w:val="22"/>
          <w:szCs w:val="22"/>
          <w:lang w:val="fr-CA"/>
        </w:rPr>
        <w:t>qui lui ont permis de confier</w:t>
      </w:r>
      <w:r w:rsidR="00277912" w:rsidRPr="004635B2">
        <w:rPr>
          <w:bCs/>
          <w:kern w:val="22"/>
          <w:sz w:val="22"/>
          <w:szCs w:val="22"/>
          <w:lang w:val="fr-CA"/>
        </w:rPr>
        <w:t xml:space="preserve"> le </w:t>
      </w:r>
      <w:r w:rsidR="004654A3" w:rsidRPr="004635B2">
        <w:rPr>
          <w:bCs/>
          <w:kern w:val="22"/>
          <w:sz w:val="22"/>
          <w:szCs w:val="22"/>
          <w:lang w:val="fr-CA"/>
        </w:rPr>
        <w:t xml:space="preserve">contrat </w:t>
      </w:r>
      <w:r w:rsidRPr="004635B2">
        <w:rPr>
          <w:bCs/>
          <w:kern w:val="22"/>
          <w:sz w:val="22"/>
          <w:szCs w:val="22"/>
          <w:lang w:val="fr-CA"/>
        </w:rPr>
        <w:t>de mise en œuvre de la décision à</w:t>
      </w:r>
      <w:r w:rsidR="004654A3" w:rsidRPr="004635B2">
        <w:rPr>
          <w:bCs/>
          <w:kern w:val="22"/>
          <w:sz w:val="22"/>
          <w:szCs w:val="22"/>
          <w:lang w:val="fr-CA"/>
        </w:rPr>
        <w:t xml:space="preserve"> une équipe de trois experts recrutés par voie de concours selon les règles en vigueur à l'Organisation des Nations Unies, conformément au mandat adopté pour l'évaluation.</w:t>
      </w:r>
    </w:p>
    <w:p w14:paraId="722EEB92" w14:textId="4B12B052" w:rsidR="00CF7C9E" w:rsidRPr="004635B2" w:rsidRDefault="006B7562" w:rsidP="0065103C">
      <w:pPr>
        <w:pStyle w:val="Para1"/>
        <w:numPr>
          <w:ilvl w:val="0"/>
          <w:numId w:val="13"/>
        </w:numPr>
        <w:suppressLineNumbers/>
        <w:tabs>
          <w:tab w:val="num" w:pos="720"/>
        </w:tabs>
        <w:suppressAutoHyphens/>
        <w:adjustRightInd w:val="0"/>
        <w:snapToGrid w:val="0"/>
        <w:spacing w:before="120"/>
        <w:ind w:left="0" w:firstLine="0"/>
        <w:jc w:val="both"/>
        <w:rPr>
          <w:snapToGrid/>
          <w:kern w:val="22"/>
          <w:sz w:val="22"/>
          <w:szCs w:val="22"/>
          <w:lang w:val="fr-CA"/>
        </w:rPr>
      </w:pPr>
      <w:r w:rsidRPr="004635B2">
        <w:rPr>
          <w:kern w:val="22"/>
          <w:sz w:val="22"/>
          <w:szCs w:val="22"/>
          <w:lang w:val="fr-CA"/>
        </w:rPr>
        <w:t xml:space="preserve">La Secrétaire exécutive </w:t>
      </w:r>
      <w:r w:rsidRPr="004635B2">
        <w:rPr>
          <w:snapToGrid/>
          <w:kern w:val="22"/>
          <w:sz w:val="22"/>
          <w:szCs w:val="22"/>
          <w:lang w:val="fr-CA"/>
        </w:rPr>
        <w:t xml:space="preserve">diffuse ci-joint le résumé du rapport </w:t>
      </w:r>
      <w:r w:rsidR="0070644A" w:rsidRPr="004635B2">
        <w:rPr>
          <w:snapToGrid/>
          <w:kern w:val="22"/>
          <w:sz w:val="22"/>
          <w:szCs w:val="22"/>
          <w:lang w:val="fr-CA"/>
        </w:rPr>
        <w:t xml:space="preserve">préparé par l’équipe d’experts </w:t>
      </w:r>
      <w:r w:rsidRPr="004635B2">
        <w:rPr>
          <w:snapToGrid/>
          <w:kern w:val="22"/>
          <w:sz w:val="22"/>
          <w:szCs w:val="22"/>
          <w:lang w:val="fr-CA"/>
        </w:rPr>
        <w:t xml:space="preserve">sur l'évaluation complète des fonds nécessaires </w:t>
      </w:r>
      <w:r w:rsidR="007C38D0" w:rsidRPr="004635B2">
        <w:rPr>
          <w:snapToGrid/>
          <w:kern w:val="22"/>
          <w:sz w:val="22"/>
          <w:szCs w:val="22"/>
          <w:lang w:val="fr-CA"/>
        </w:rPr>
        <w:t>à</w:t>
      </w:r>
      <w:r w:rsidRPr="004635B2">
        <w:rPr>
          <w:snapToGrid/>
          <w:kern w:val="22"/>
          <w:sz w:val="22"/>
          <w:szCs w:val="22"/>
          <w:lang w:val="fr-CA"/>
        </w:rPr>
        <w:t xml:space="preserve"> la mise en œuvre de la Convention </w:t>
      </w:r>
      <w:r w:rsidR="007C38D0" w:rsidRPr="004635B2">
        <w:rPr>
          <w:snapToGrid/>
          <w:kern w:val="22"/>
          <w:sz w:val="22"/>
          <w:szCs w:val="22"/>
          <w:lang w:val="fr-CA"/>
        </w:rPr>
        <w:t>pendant</w:t>
      </w:r>
      <w:r w:rsidRPr="004635B2">
        <w:rPr>
          <w:snapToGrid/>
          <w:kern w:val="22"/>
          <w:sz w:val="22"/>
          <w:szCs w:val="22"/>
          <w:lang w:val="fr-CA"/>
        </w:rPr>
        <w:t xml:space="preserve"> la huitième période de reconstitution des ressources du Fonds pour l'environnement mondial (juillet 2022 à juin 2026), pour la </w:t>
      </w:r>
      <w:r w:rsidR="006279AB" w:rsidRPr="004635B2">
        <w:rPr>
          <w:snapToGrid/>
          <w:kern w:val="22"/>
          <w:sz w:val="22"/>
          <w:szCs w:val="22"/>
          <w:lang w:val="fr-CA"/>
        </w:rPr>
        <w:t xml:space="preserve">reprise de la </w:t>
      </w:r>
      <w:r w:rsidRPr="004635B2">
        <w:rPr>
          <w:snapToGrid/>
          <w:kern w:val="22"/>
          <w:sz w:val="22"/>
          <w:szCs w:val="22"/>
          <w:lang w:val="fr-CA"/>
        </w:rPr>
        <w:t>troisième réunion de l'Organe subsidiaire chargé de l'application</w:t>
      </w:r>
      <w:r w:rsidR="006279AB" w:rsidRPr="004635B2">
        <w:rPr>
          <w:snapToGrid/>
          <w:kern w:val="22"/>
          <w:sz w:val="22"/>
          <w:szCs w:val="22"/>
          <w:lang w:val="fr-CA"/>
        </w:rPr>
        <w:t>, en mars 2022</w:t>
      </w:r>
      <w:r w:rsidRPr="004635B2">
        <w:rPr>
          <w:snapToGrid/>
          <w:kern w:val="22"/>
          <w:sz w:val="22"/>
          <w:szCs w:val="22"/>
          <w:lang w:val="fr-CA"/>
        </w:rPr>
        <w:t>. Le rapport est reproduit tel qu'il a été reçu par le Secrétariat</w:t>
      </w:r>
      <w:r w:rsidR="00C4095D" w:rsidRPr="004635B2">
        <w:rPr>
          <w:snapToGrid/>
          <w:kern w:val="22"/>
          <w:sz w:val="22"/>
          <w:szCs w:val="22"/>
          <w:lang w:val="fr-CA"/>
        </w:rPr>
        <w:t xml:space="preserve"> de la part des experts</w:t>
      </w:r>
      <w:r w:rsidRPr="004635B2">
        <w:rPr>
          <w:snapToGrid/>
          <w:kern w:val="22"/>
          <w:sz w:val="22"/>
          <w:szCs w:val="22"/>
          <w:lang w:val="fr-CA"/>
        </w:rPr>
        <w:t>.</w:t>
      </w:r>
      <w:r w:rsidR="00C4095D" w:rsidRPr="004635B2">
        <w:rPr>
          <w:rStyle w:val="FootnoteReference"/>
          <w:szCs w:val="22"/>
          <w:u w:val="none"/>
          <w:vertAlign w:val="superscript"/>
          <w:lang w:val="fr-CA"/>
        </w:rPr>
        <w:footnoteReference w:id="2"/>
      </w:r>
    </w:p>
    <w:p w14:paraId="5CE430AA" w14:textId="5BEC13DA" w:rsidR="00CC18C7" w:rsidRPr="004635B2" w:rsidRDefault="00CF7C9E" w:rsidP="0065103C">
      <w:pPr>
        <w:pStyle w:val="Para1"/>
        <w:numPr>
          <w:ilvl w:val="0"/>
          <w:numId w:val="13"/>
        </w:numPr>
        <w:suppressLineNumbers/>
        <w:tabs>
          <w:tab w:val="num" w:pos="720"/>
        </w:tabs>
        <w:suppressAutoHyphens/>
        <w:adjustRightInd w:val="0"/>
        <w:snapToGrid w:val="0"/>
        <w:spacing w:before="120"/>
        <w:ind w:left="0" w:firstLine="0"/>
        <w:jc w:val="both"/>
        <w:rPr>
          <w:snapToGrid/>
          <w:kern w:val="22"/>
          <w:sz w:val="22"/>
          <w:szCs w:val="22"/>
          <w:lang w:val="fr-CA"/>
        </w:rPr>
      </w:pPr>
      <w:r w:rsidRPr="004635B2">
        <w:rPr>
          <w:snapToGrid/>
          <w:kern w:val="22"/>
          <w:sz w:val="22"/>
          <w:szCs w:val="22"/>
          <w:lang w:val="fr-CA"/>
        </w:rPr>
        <w:t>Le rapport complet est disponible en anglais seulement dans le document d'inf</w:t>
      </w:r>
      <w:r w:rsidR="006279AB" w:rsidRPr="004635B2">
        <w:rPr>
          <w:snapToGrid/>
          <w:kern w:val="22"/>
          <w:sz w:val="22"/>
          <w:szCs w:val="22"/>
          <w:lang w:val="fr-CA"/>
        </w:rPr>
        <w:t>ormation CBD/SBI/3/INF/4</w:t>
      </w:r>
      <w:r w:rsidRPr="004635B2">
        <w:rPr>
          <w:snapToGrid/>
          <w:kern w:val="22"/>
          <w:sz w:val="22"/>
          <w:szCs w:val="22"/>
          <w:lang w:val="fr-CA"/>
        </w:rPr>
        <w:t>4, également reproduit tel qu'il a été reçu par le Secrétariat.</w:t>
      </w:r>
    </w:p>
    <w:p w14:paraId="6F426E2F" w14:textId="77777777" w:rsidR="00662E2A" w:rsidRPr="004635B2" w:rsidRDefault="00662E2A" w:rsidP="0065103C">
      <w:pPr>
        <w:pStyle w:val="Para1"/>
        <w:suppressLineNumbers/>
        <w:suppressAutoHyphens/>
        <w:adjustRightInd w:val="0"/>
        <w:snapToGrid w:val="0"/>
        <w:spacing w:before="120"/>
        <w:jc w:val="center"/>
        <w:rPr>
          <w:kern w:val="22"/>
          <w:sz w:val="22"/>
          <w:szCs w:val="22"/>
          <w:lang w:val="fr-CA"/>
        </w:rPr>
      </w:pPr>
    </w:p>
    <w:p w14:paraId="29B09837" w14:textId="77777777" w:rsidR="00974917" w:rsidRPr="004635B2" w:rsidRDefault="00974917" w:rsidP="0065103C">
      <w:pPr>
        <w:suppressLineNumbers/>
        <w:suppressAutoHyphens/>
        <w:adjustRightInd w:val="0"/>
        <w:snapToGrid w:val="0"/>
        <w:rPr>
          <w:snapToGrid w:val="0"/>
          <w:kern w:val="22"/>
          <w:sz w:val="22"/>
          <w:szCs w:val="22"/>
          <w:lang w:val="fr-CA"/>
        </w:rPr>
      </w:pPr>
      <w:r w:rsidRPr="004635B2">
        <w:rPr>
          <w:kern w:val="22"/>
          <w:sz w:val="22"/>
          <w:szCs w:val="22"/>
          <w:lang w:val="fr-CA"/>
        </w:rPr>
        <w:br w:type="page"/>
      </w:r>
    </w:p>
    <w:p w14:paraId="77FD9A2E" w14:textId="0B6C4C08" w:rsidR="00974917" w:rsidRPr="004635B2" w:rsidRDefault="00974917" w:rsidP="00C4095D">
      <w:pPr>
        <w:pStyle w:val="Heading1"/>
        <w:keepNext w:val="0"/>
        <w:suppressLineNumbers/>
        <w:suppressAutoHyphens/>
        <w:adjustRightInd w:val="0"/>
        <w:snapToGrid w:val="0"/>
        <w:rPr>
          <w:rFonts w:ascii="Arial" w:hAnsi="Arial" w:cs="Arial"/>
          <w:b w:val="0"/>
          <w:bCs/>
          <w:sz w:val="22"/>
          <w:szCs w:val="22"/>
          <w:u w:val="single"/>
          <w:lang w:val="fr-CA"/>
        </w:rPr>
      </w:pPr>
      <w:r w:rsidRPr="004635B2">
        <w:rPr>
          <w:rFonts w:ascii="Arial" w:hAnsi="Arial" w:cs="Arial"/>
          <w:bCs/>
          <w:caps w:val="0"/>
          <w:u w:val="single"/>
          <w:lang w:val="fr-CA"/>
        </w:rPr>
        <w:lastRenderedPageBreak/>
        <w:t>Rapport sur l'évaluation des besoins de financement pour la huitième reconstitution des ressources du Fonds pour l'environnement mondial</w:t>
      </w:r>
      <w:r w:rsidR="00C4095D" w:rsidRPr="004635B2">
        <w:rPr>
          <w:rFonts w:ascii="Arial" w:hAnsi="Arial" w:cs="Arial"/>
          <w:bCs/>
          <w:caps w:val="0"/>
          <w:u w:val="single"/>
          <w:lang w:val="fr-CA"/>
        </w:rPr>
        <w:t>, afin de mettre en œuvre la Convention et ses protocoles</w:t>
      </w:r>
    </w:p>
    <w:p w14:paraId="5710D963" w14:textId="77777777" w:rsidR="00974917" w:rsidRPr="004635B2" w:rsidRDefault="00974917" w:rsidP="0065103C">
      <w:pPr>
        <w:pStyle w:val="ListParagraph"/>
        <w:suppressLineNumbers/>
        <w:suppressAutoHyphens/>
        <w:adjustRightInd w:val="0"/>
        <w:snapToGrid w:val="0"/>
        <w:ind w:left="1080"/>
        <w:rPr>
          <w:rFonts w:ascii="Arial" w:hAnsi="Arial" w:cs="Arial"/>
          <w:sz w:val="22"/>
          <w:szCs w:val="22"/>
          <w:lang w:val="fr-CA"/>
        </w:rPr>
      </w:pPr>
    </w:p>
    <w:p w14:paraId="2703216B" w14:textId="3E25C15D" w:rsidR="007C38D0" w:rsidRPr="004635B2" w:rsidRDefault="007C38D0" w:rsidP="007C38D0">
      <w:pPr>
        <w:pStyle w:val="ListParagraph"/>
        <w:suppressLineNumbers/>
        <w:suppressAutoHyphens/>
        <w:adjustRightInd w:val="0"/>
        <w:snapToGrid w:val="0"/>
        <w:ind w:left="1080"/>
        <w:jc w:val="center"/>
        <w:rPr>
          <w:rFonts w:ascii="Arial" w:hAnsi="Arial" w:cs="Arial"/>
          <w:b/>
          <w:sz w:val="22"/>
          <w:szCs w:val="22"/>
          <w:lang w:val="fr-CA"/>
        </w:rPr>
      </w:pPr>
      <w:r w:rsidRPr="004635B2">
        <w:rPr>
          <w:rFonts w:ascii="Arial" w:hAnsi="Arial" w:cs="Arial"/>
          <w:b/>
          <w:sz w:val="22"/>
          <w:szCs w:val="22"/>
          <w:lang w:val="fr-CA"/>
        </w:rPr>
        <w:t>Résumé</w:t>
      </w:r>
    </w:p>
    <w:p w14:paraId="3C707C6A" w14:textId="77777777" w:rsidR="00974917" w:rsidRPr="004635B2" w:rsidRDefault="00974917" w:rsidP="0065103C">
      <w:pPr>
        <w:pStyle w:val="ListParagraph"/>
        <w:suppressLineNumbers/>
        <w:suppressAutoHyphens/>
        <w:adjustRightInd w:val="0"/>
        <w:snapToGrid w:val="0"/>
        <w:ind w:left="1080"/>
        <w:rPr>
          <w:rFonts w:ascii="Arial" w:hAnsi="Arial" w:cs="Arial"/>
          <w:sz w:val="22"/>
          <w:szCs w:val="22"/>
          <w:lang w:val="fr-CA"/>
        </w:rPr>
      </w:pPr>
    </w:p>
    <w:p w14:paraId="4261B2FE" w14:textId="0012E9A4" w:rsidR="00974917" w:rsidRPr="004635B2" w:rsidRDefault="003733BB" w:rsidP="00CE602D">
      <w:pPr>
        <w:pStyle w:val="ListParagraph"/>
        <w:numPr>
          <w:ilvl w:val="0"/>
          <w:numId w:val="17"/>
        </w:numPr>
        <w:suppressLineNumbers/>
        <w:suppressAutoHyphens/>
        <w:adjustRightInd w:val="0"/>
        <w:snapToGrid w:val="0"/>
        <w:ind w:left="0" w:firstLine="0"/>
        <w:rPr>
          <w:rFonts w:ascii="Arial" w:hAnsi="Arial" w:cs="Arial"/>
          <w:b/>
          <w:bCs/>
          <w:sz w:val="22"/>
          <w:szCs w:val="22"/>
          <w:u w:val="single"/>
          <w:lang w:val="fr-CA"/>
        </w:rPr>
      </w:pPr>
      <w:r>
        <w:rPr>
          <w:rFonts w:ascii="Arial" w:hAnsi="Arial" w:cs="Arial"/>
          <w:b/>
          <w:bCs/>
          <w:sz w:val="22"/>
          <w:szCs w:val="22"/>
          <w:u w:val="single"/>
          <w:lang w:val="fr-CA"/>
        </w:rPr>
        <w:t>Sommaire</w:t>
      </w:r>
    </w:p>
    <w:p w14:paraId="391C94DD" w14:textId="77777777" w:rsidR="00974917" w:rsidRPr="004635B2" w:rsidRDefault="00974917" w:rsidP="003F7FF1">
      <w:pPr>
        <w:pStyle w:val="ListParagraph"/>
        <w:suppressLineNumbers/>
        <w:suppressAutoHyphens/>
        <w:adjustRightInd w:val="0"/>
        <w:snapToGrid w:val="0"/>
        <w:ind w:left="360"/>
        <w:rPr>
          <w:rFonts w:ascii="Arial" w:hAnsi="Arial" w:cs="Arial"/>
          <w:sz w:val="22"/>
          <w:szCs w:val="22"/>
          <w:lang w:val="fr-CA"/>
        </w:rPr>
      </w:pPr>
    </w:p>
    <w:p w14:paraId="3BF581F0" w14:textId="4977EF2A" w:rsidR="008D50D5" w:rsidRPr="004635B2" w:rsidRDefault="00C4095D" w:rsidP="003F7FF1">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1.</w:t>
      </w:r>
      <w:r w:rsidRPr="004635B2">
        <w:rPr>
          <w:rFonts w:ascii="Arial" w:hAnsi="Arial" w:cs="Arial"/>
          <w:sz w:val="22"/>
          <w:szCs w:val="22"/>
          <w:lang w:val="fr-CA"/>
        </w:rPr>
        <w:tab/>
      </w:r>
      <w:r w:rsidR="00974917" w:rsidRPr="004635B2">
        <w:rPr>
          <w:rFonts w:ascii="Arial" w:hAnsi="Arial" w:cs="Arial"/>
          <w:sz w:val="22"/>
          <w:szCs w:val="22"/>
          <w:lang w:val="fr-CA"/>
        </w:rPr>
        <w:t xml:space="preserve">Le rapport d'activité fourni par l'équipe d'experts sous contrat avec la Convention sur la diversité biologique (CDB) pour la </w:t>
      </w:r>
      <w:r w:rsidR="008D50D5" w:rsidRPr="004635B2">
        <w:rPr>
          <w:rFonts w:ascii="Arial" w:hAnsi="Arial" w:cs="Arial"/>
          <w:sz w:val="22"/>
          <w:szCs w:val="22"/>
          <w:lang w:val="fr-CA"/>
        </w:rPr>
        <w:t xml:space="preserve">reprise de la </w:t>
      </w:r>
      <w:r w:rsidR="00974917" w:rsidRPr="004635B2">
        <w:rPr>
          <w:rFonts w:ascii="Arial" w:hAnsi="Arial" w:cs="Arial"/>
          <w:sz w:val="22"/>
          <w:szCs w:val="22"/>
          <w:lang w:val="fr-CA"/>
        </w:rPr>
        <w:t>troisième réunion de l'Organe subsidiaire chargé de l'applicatio</w:t>
      </w:r>
      <w:r w:rsidR="008D50D5" w:rsidRPr="004635B2">
        <w:rPr>
          <w:rFonts w:ascii="Arial" w:hAnsi="Arial" w:cs="Arial"/>
          <w:sz w:val="22"/>
          <w:szCs w:val="22"/>
          <w:lang w:val="fr-CA"/>
        </w:rPr>
        <w:t xml:space="preserve">n, en mars 2022, </w:t>
      </w:r>
      <w:r w:rsidR="00974917" w:rsidRPr="004635B2">
        <w:rPr>
          <w:rFonts w:ascii="Arial" w:hAnsi="Arial" w:cs="Arial"/>
          <w:sz w:val="22"/>
          <w:szCs w:val="22"/>
          <w:lang w:val="fr-CA"/>
        </w:rPr>
        <w:t>est présenté ci-après.</w:t>
      </w:r>
    </w:p>
    <w:p w14:paraId="4E14111C" w14:textId="77777777" w:rsidR="008D50D5" w:rsidRPr="004635B2" w:rsidRDefault="008D50D5" w:rsidP="003F7FF1">
      <w:pPr>
        <w:suppressLineNumbers/>
        <w:suppressAutoHyphens/>
        <w:adjustRightInd w:val="0"/>
        <w:snapToGrid w:val="0"/>
        <w:rPr>
          <w:rFonts w:ascii="Arial" w:hAnsi="Arial" w:cs="Arial"/>
          <w:sz w:val="22"/>
          <w:szCs w:val="22"/>
          <w:lang w:val="fr-CA"/>
        </w:rPr>
      </w:pPr>
    </w:p>
    <w:p w14:paraId="0706A413" w14:textId="0D03C28B" w:rsidR="005E5CD8" w:rsidRPr="004635B2" w:rsidRDefault="008D50D5" w:rsidP="003F7FF1">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2.</w:t>
      </w:r>
      <w:r w:rsidRPr="004635B2">
        <w:rPr>
          <w:rFonts w:ascii="Arial" w:hAnsi="Arial" w:cs="Arial"/>
          <w:sz w:val="22"/>
          <w:szCs w:val="22"/>
          <w:lang w:val="fr-CA"/>
        </w:rPr>
        <w:tab/>
      </w:r>
      <w:r w:rsidR="00974917" w:rsidRPr="004635B2">
        <w:rPr>
          <w:rFonts w:ascii="Arial" w:hAnsi="Arial" w:cs="Arial"/>
          <w:sz w:val="22"/>
          <w:szCs w:val="22"/>
          <w:lang w:val="fr-CA"/>
        </w:rPr>
        <w:t xml:space="preserve">À ce jour, </w:t>
      </w:r>
      <w:r w:rsidRPr="004635B2">
        <w:rPr>
          <w:rFonts w:ascii="Arial" w:hAnsi="Arial" w:cs="Arial"/>
          <w:sz w:val="22"/>
          <w:szCs w:val="22"/>
          <w:lang w:val="fr-CA"/>
        </w:rPr>
        <w:t>44</w:t>
      </w:r>
      <w:r w:rsidR="00974917" w:rsidRPr="004635B2">
        <w:rPr>
          <w:rFonts w:ascii="Arial" w:hAnsi="Arial" w:cs="Arial"/>
          <w:sz w:val="22"/>
          <w:szCs w:val="22"/>
          <w:lang w:val="fr-CA"/>
        </w:rPr>
        <w:t xml:space="preserve"> pays ont </w:t>
      </w:r>
      <w:r w:rsidR="007C38D0" w:rsidRPr="004635B2">
        <w:rPr>
          <w:rFonts w:ascii="Arial" w:hAnsi="Arial" w:cs="Arial"/>
          <w:sz w:val="22"/>
          <w:szCs w:val="22"/>
          <w:lang w:val="fr-CA"/>
        </w:rPr>
        <w:t>remis</w:t>
      </w:r>
      <w:r w:rsidR="00974917" w:rsidRPr="004635B2">
        <w:rPr>
          <w:rFonts w:ascii="Arial" w:hAnsi="Arial" w:cs="Arial"/>
          <w:sz w:val="22"/>
          <w:szCs w:val="22"/>
          <w:lang w:val="fr-CA"/>
        </w:rPr>
        <w:t xml:space="preserve"> à la Secrétaire exécutive leur évaluation des besoins de financement et d'investissement au titre du mécanisme de financement pour la huitième reconstitution des ressources du Fonds pour l'environnement mondial (FEM), conformément à la décision CBD/COP/DEC/14/23. Cela correspond à environ </w:t>
      </w:r>
      <w:r w:rsidRPr="004635B2">
        <w:rPr>
          <w:rFonts w:ascii="Arial" w:hAnsi="Arial" w:cs="Arial"/>
          <w:sz w:val="22"/>
          <w:szCs w:val="22"/>
          <w:lang w:val="fr-CA"/>
        </w:rPr>
        <w:t>30 pour cent</w:t>
      </w:r>
      <w:r w:rsidR="00974917" w:rsidRPr="004635B2">
        <w:rPr>
          <w:rFonts w:ascii="Arial" w:hAnsi="Arial" w:cs="Arial"/>
          <w:sz w:val="22"/>
          <w:szCs w:val="22"/>
          <w:lang w:val="fr-CA"/>
        </w:rPr>
        <w:t xml:space="preserve"> des </w:t>
      </w:r>
      <w:r w:rsidRPr="004635B2">
        <w:rPr>
          <w:rFonts w:ascii="Arial" w:hAnsi="Arial" w:cs="Arial"/>
          <w:sz w:val="22"/>
          <w:szCs w:val="22"/>
          <w:lang w:val="fr-CA"/>
        </w:rPr>
        <w:t xml:space="preserve">145 </w:t>
      </w:r>
      <w:r w:rsidR="005E5CD8" w:rsidRPr="004635B2">
        <w:rPr>
          <w:rFonts w:ascii="Arial" w:hAnsi="Arial" w:cs="Arial"/>
          <w:sz w:val="22"/>
          <w:szCs w:val="22"/>
          <w:lang w:val="fr-CA"/>
        </w:rPr>
        <w:t>pays bénéficiaires du FEM.</w:t>
      </w:r>
      <w:r w:rsidRPr="004635B2">
        <w:rPr>
          <w:rFonts w:ascii="Arial" w:hAnsi="Arial" w:cs="Arial"/>
          <w:vertAlign w:val="superscript"/>
          <w:lang w:val="fr-CA"/>
        </w:rPr>
        <w:footnoteReference w:id="3"/>
      </w:r>
      <w:r w:rsidR="00974917" w:rsidRPr="004635B2">
        <w:rPr>
          <w:rFonts w:ascii="Arial" w:hAnsi="Arial" w:cs="Arial"/>
          <w:sz w:val="22"/>
          <w:szCs w:val="22"/>
          <w:lang w:val="fr-CA"/>
        </w:rPr>
        <w:t xml:space="preserve"> Par conséquent, l'analyse effectuée pour ce rapport n'a qu'une valeur indicative. </w:t>
      </w:r>
    </w:p>
    <w:p w14:paraId="07552996" w14:textId="77777777" w:rsidR="005E5CD8" w:rsidRPr="004635B2" w:rsidRDefault="005E5CD8" w:rsidP="003F7FF1">
      <w:pPr>
        <w:suppressLineNumbers/>
        <w:suppressAutoHyphens/>
        <w:adjustRightInd w:val="0"/>
        <w:snapToGrid w:val="0"/>
        <w:rPr>
          <w:rFonts w:ascii="Arial" w:hAnsi="Arial" w:cs="Arial"/>
          <w:sz w:val="22"/>
          <w:szCs w:val="22"/>
          <w:lang w:val="fr-CA"/>
        </w:rPr>
      </w:pPr>
    </w:p>
    <w:p w14:paraId="78216E0D" w14:textId="259ADE19" w:rsidR="00B43D4D" w:rsidRPr="004635B2" w:rsidRDefault="005E5CD8" w:rsidP="003F7FF1">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3.</w:t>
      </w:r>
      <w:r w:rsidRPr="004635B2">
        <w:rPr>
          <w:rFonts w:ascii="Arial" w:hAnsi="Arial" w:cs="Arial"/>
          <w:sz w:val="22"/>
          <w:szCs w:val="22"/>
          <w:lang w:val="fr-CA"/>
        </w:rPr>
        <w:tab/>
      </w:r>
      <w:r w:rsidR="00974917" w:rsidRPr="004635B2">
        <w:rPr>
          <w:rFonts w:ascii="Arial" w:hAnsi="Arial" w:cs="Arial"/>
          <w:sz w:val="22"/>
          <w:szCs w:val="22"/>
          <w:lang w:val="fr-CA"/>
        </w:rPr>
        <w:t>Les circonstances exceptionnelles dues à la pandémie de Covid-19,</w:t>
      </w:r>
      <w:r w:rsidR="00B43D4D" w:rsidRPr="004635B2">
        <w:rPr>
          <w:rFonts w:ascii="Arial" w:hAnsi="Arial" w:cs="Arial"/>
          <w:sz w:val="22"/>
          <w:szCs w:val="22"/>
          <w:lang w:val="fr-CA"/>
        </w:rPr>
        <w:t xml:space="preserve"> ainsi que les difficultés à consulter les correspondants nationaux du FEM et de prévoir les besoins financiers pour la </w:t>
      </w:r>
      <w:r w:rsidR="00974917" w:rsidRPr="004635B2">
        <w:rPr>
          <w:rFonts w:ascii="Arial" w:hAnsi="Arial" w:cs="Arial"/>
          <w:sz w:val="22"/>
          <w:szCs w:val="22"/>
          <w:lang w:val="fr-CA"/>
        </w:rPr>
        <w:t>huitième reconstitution des ressources du Fonds pour l'environnement mondial</w:t>
      </w:r>
      <w:r w:rsidR="00B43D4D" w:rsidRPr="004635B2">
        <w:rPr>
          <w:rFonts w:ascii="Arial" w:hAnsi="Arial" w:cs="Arial"/>
          <w:sz w:val="22"/>
          <w:szCs w:val="22"/>
          <w:lang w:val="fr-CA"/>
        </w:rPr>
        <w:t>, alors que le</w:t>
      </w:r>
      <w:r w:rsidR="00974917" w:rsidRPr="004635B2">
        <w:rPr>
          <w:rFonts w:ascii="Arial" w:hAnsi="Arial" w:cs="Arial"/>
          <w:sz w:val="22"/>
          <w:szCs w:val="22"/>
          <w:lang w:val="fr-CA"/>
        </w:rPr>
        <w:t xml:space="preserve"> Cadre mondial de la biodiversité pour l'après-2020 est </w:t>
      </w:r>
      <w:r w:rsidR="007C38D0" w:rsidRPr="004635B2">
        <w:rPr>
          <w:rFonts w:ascii="Arial" w:hAnsi="Arial" w:cs="Arial"/>
          <w:sz w:val="22"/>
          <w:szCs w:val="22"/>
          <w:lang w:val="fr-CA"/>
        </w:rPr>
        <w:t>toujours</w:t>
      </w:r>
      <w:r w:rsidR="00974917" w:rsidRPr="004635B2">
        <w:rPr>
          <w:rFonts w:ascii="Arial" w:hAnsi="Arial" w:cs="Arial"/>
          <w:sz w:val="22"/>
          <w:szCs w:val="22"/>
          <w:lang w:val="fr-CA"/>
        </w:rPr>
        <w:t xml:space="preserve"> en cours de négociation, </w:t>
      </w:r>
      <w:r w:rsidRPr="004635B2">
        <w:rPr>
          <w:rFonts w:ascii="Arial" w:hAnsi="Arial" w:cs="Arial"/>
          <w:sz w:val="22"/>
          <w:szCs w:val="22"/>
          <w:lang w:val="fr-CA"/>
        </w:rPr>
        <w:t xml:space="preserve">ont empêché plusieurs </w:t>
      </w:r>
      <w:r w:rsidR="00B43D4D" w:rsidRPr="004635B2">
        <w:rPr>
          <w:rFonts w:ascii="Arial" w:hAnsi="Arial" w:cs="Arial"/>
          <w:sz w:val="22"/>
          <w:szCs w:val="22"/>
          <w:lang w:val="fr-CA"/>
        </w:rPr>
        <w:t>Parties</w:t>
      </w:r>
      <w:r w:rsidRPr="004635B2">
        <w:rPr>
          <w:rFonts w:ascii="Arial" w:hAnsi="Arial" w:cs="Arial"/>
          <w:sz w:val="22"/>
          <w:szCs w:val="22"/>
          <w:lang w:val="fr-CA"/>
        </w:rPr>
        <w:t xml:space="preserve"> de communiquer les informations demandées</w:t>
      </w:r>
      <w:r w:rsidR="00974917" w:rsidRPr="004635B2">
        <w:rPr>
          <w:rFonts w:ascii="Arial" w:hAnsi="Arial" w:cs="Arial"/>
          <w:sz w:val="22"/>
          <w:szCs w:val="22"/>
          <w:lang w:val="fr-CA"/>
        </w:rPr>
        <w:t xml:space="preserve">. </w:t>
      </w:r>
    </w:p>
    <w:p w14:paraId="36BB2367" w14:textId="77777777" w:rsidR="00B43D4D" w:rsidRPr="004635B2" w:rsidRDefault="00B43D4D" w:rsidP="003F7FF1">
      <w:pPr>
        <w:suppressLineNumbers/>
        <w:suppressAutoHyphens/>
        <w:adjustRightInd w:val="0"/>
        <w:snapToGrid w:val="0"/>
        <w:rPr>
          <w:rFonts w:ascii="Arial" w:hAnsi="Arial" w:cs="Arial"/>
          <w:sz w:val="22"/>
          <w:szCs w:val="22"/>
          <w:lang w:val="fr-CA"/>
        </w:rPr>
      </w:pPr>
    </w:p>
    <w:p w14:paraId="1887ACEB" w14:textId="2DC20CC7" w:rsidR="00974917" w:rsidRPr="004635B2" w:rsidRDefault="00B43D4D" w:rsidP="003F7FF1">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4.</w:t>
      </w:r>
      <w:r w:rsidRPr="004635B2">
        <w:rPr>
          <w:rFonts w:ascii="Arial" w:hAnsi="Arial" w:cs="Arial"/>
          <w:sz w:val="22"/>
          <w:szCs w:val="22"/>
          <w:lang w:val="fr-CA"/>
        </w:rPr>
        <w:tab/>
        <w:t xml:space="preserve">L’analyse des questionnaires </w:t>
      </w:r>
      <w:r w:rsidR="00B87A3F" w:rsidRPr="004635B2">
        <w:rPr>
          <w:rFonts w:ascii="Arial" w:hAnsi="Arial" w:cs="Arial"/>
          <w:sz w:val="22"/>
          <w:szCs w:val="22"/>
          <w:lang w:val="fr-CA"/>
        </w:rPr>
        <w:t>reçus</w:t>
      </w:r>
      <w:r w:rsidRPr="004635B2">
        <w:rPr>
          <w:rFonts w:ascii="Arial" w:hAnsi="Arial" w:cs="Arial"/>
          <w:sz w:val="22"/>
          <w:szCs w:val="22"/>
          <w:lang w:val="fr-CA"/>
        </w:rPr>
        <w:t xml:space="preserve"> a permis </w:t>
      </w:r>
      <w:r w:rsidR="00B87A3F" w:rsidRPr="004635B2">
        <w:rPr>
          <w:rFonts w:ascii="Arial" w:hAnsi="Arial" w:cs="Arial"/>
          <w:sz w:val="22"/>
          <w:szCs w:val="22"/>
          <w:lang w:val="fr-CA"/>
        </w:rPr>
        <w:t>d’évaluer l</w:t>
      </w:r>
      <w:r w:rsidRPr="004635B2">
        <w:rPr>
          <w:rFonts w:ascii="Arial" w:hAnsi="Arial" w:cs="Arial"/>
          <w:sz w:val="22"/>
          <w:szCs w:val="22"/>
          <w:lang w:val="fr-CA"/>
        </w:rPr>
        <w:t xml:space="preserve">es besoins financiers </w:t>
      </w:r>
      <w:r w:rsidR="00424933" w:rsidRPr="004635B2">
        <w:rPr>
          <w:rFonts w:ascii="Arial" w:hAnsi="Arial" w:cs="Arial"/>
          <w:sz w:val="22"/>
          <w:szCs w:val="22"/>
          <w:lang w:val="fr-CA"/>
        </w:rPr>
        <w:t>pour les</w:t>
      </w:r>
      <w:r w:rsidRPr="004635B2">
        <w:rPr>
          <w:rFonts w:ascii="Arial" w:hAnsi="Arial" w:cs="Arial"/>
          <w:sz w:val="22"/>
          <w:szCs w:val="22"/>
          <w:lang w:val="fr-CA"/>
        </w:rPr>
        <w:t xml:space="preserve"> 210 projets proposés dans 44 pays. Les informations fournies ont égalem</w:t>
      </w:r>
      <w:r w:rsidR="00B87A3F" w:rsidRPr="004635B2">
        <w:rPr>
          <w:rFonts w:ascii="Arial" w:hAnsi="Arial" w:cs="Arial"/>
          <w:sz w:val="22"/>
          <w:szCs w:val="22"/>
          <w:lang w:val="fr-CA"/>
        </w:rPr>
        <w:t xml:space="preserve">ent permis d’obtenir une vaste description des projets, notamment les biomes dans lesquels ils se dérouleront, les espèces et les stratégies visées, le lien avec le programme intégré du FEM, s’il y a lieu, et les liens avec les autres Conventions et les ODD. </w:t>
      </w:r>
    </w:p>
    <w:p w14:paraId="2801638D" w14:textId="4662B3BF" w:rsidR="00974917" w:rsidRPr="004635B2" w:rsidRDefault="00974917" w:rsidP="003F7FF1">
      <w:pPr>
        <w:suppressLineNumbers/>
        <w:suppressAutoHyphens/>
        <w:adjustRightInd w:val="0"/>
        <w:snapToGrid w:val="0"/>
        <w:rPr>
          <w:rFonts w:ascii="Arial" w:hAnsi="Arial" w:cs="Arial"/>
          <w:sz w:val="22"/>
          <w:szCs w:val="22"/>
          <w:lang w:val="fr-CA"/>
        </w:rPr>
      </w:pPr>
    </w:p>
    <w:p w14:paraId="4FC3FB98" w14:textId="0DAE702F" w:rsidR="004A5DD8" w:rsidRPr="004635B2" w:rsidRDefault="006046B4" w:rsidP="003F7FF1">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5.</w:t>
      </w:r>
      <w:r w:rsidRPr="004635B2">
        <w:rPr>
          <w:rFonts w:ascii="Arial" w:hAnsi="Arial" w:cs="Arial"/>
          <w:sz w:val="22"/>
          <w:szCs w:val="22"/>
          <w:lang w:val="fr-CA"/>
        </w:rPr>
        <w:tab/>
        <w:t xml:space="preserve">La somme totale </w:t>
      </w:r>
      <w:r w:rsidR="00424933" w:rsidRPr="004635B2">
        <w:rPr>
          <w:rFonts w:ascii="Arial" w:hAnsi="Arial" w:cs="Arial"/>
          <w:sz w:val="22"/>
          <w:szCs w:val="22"/>
          <w:lang w:val="fr-CA"/>
        </w:rPr>
        <w:t>nécessaire au</w:t>
      </w:r>
      <w:r w:rsidRPr="004635B2">
        <w:rPr>
          <w:rFonts w:ascii="Arial" w:hAnsi="Arial" w:cs="Arial"/>
          <w:sz w:val="22"/>
          <w:szCs w:val="22"/>
          <w:lang w:val="fr-CA"/>
        </w:rPr>
        <w:t xml:space="preserve"> financement des 210 projets indiqués dans les questionnaires est évaluée à 4 049 921 897 $US.</w:t>
      </w:r>
      <w:r w:rsidRPr="004635B2">
        <w:rPr>
          <w:rStyle w:val="FootnoteReference"/>
          <w:rFonts w:ascii="Arial" w:hAnsi="Arial" w:cs="Arial"/>
          <w:u w:val="none"/>
          <w:vertAlign w:val="superscript"/>
          <w:lang w:val="fr-CA"/>
        </w:rPr>
        <w:footnoteReference w:id="4"/>
      </w:r>
      <w:r w:rsidRPr="004635B2">
        <w:rPr>
          <w:rFonts w:ascii="Arial" w:hAnsi="Arial" w:cs="Arial"/>
          <w:sz w:val="22"/>
          <w:szCs w:val="22"/>
          <w:lang w:val="fr-CA"/>
        </w:rPr>
        <w:t xml:space="preserve">  Les gouver</w:t>
      </w:r>
      <w:r w:rsidR="00424933" w:rsidRPr="004635B2">
        <w:rPr>
          <w:rFonts w:ascii="Arial" w:hAnsi="Arial" w:cs="Arial"/>
          <w:sz w:val="22"/>
          <w:szCs w:val="22"/>
          <w:lang w:val="fr-CA"/>
        </w:rPr>
        <w:t>nements devraient cofinancer 39 </w:t>
      </w:r>
      <w:r w:rsidRPr="004635B2">
        <w:rPr>
          <w:rFonts w:ascii="Arial" w:hAnsi="Arial" w:cs="Arial"/>
          <w:sz w:val="22"/>
          <w:szCs w:val="22"/>
          <w:lang w:val="fr-CA"/>
        </w:rPr>
        <w:t>pour cent de cette somme et 29 pour cent devraient provenir d’autres sources</w:t>
      </w:r>
      <w:r w:rsidR="004A5DD8" w:rsidRPr="004635B2">
        <w:rPr>
          <w:rFonts w:ascii="Arial" w:hAnsi="Arial" w:cs="Arial"/>
          <w:sz w:val="22"/>
          <w:szCs w:val="22"/>
          <w:lang w:val="fr-CA"/>
        </w:rPr>
        <w:t>. Le FEM cofinance</w:t>
      </w:r>
      <w:r w:rsidR="00424933" w:rsidRPr="004635B2">
        <w:rPr>
          <w:rFonts w:ascii="Arial" w:hAnsi="Arial" w:cs="Arial"/>
          <w:sz w:val="22"/>
          <w:szCs w:val="22"/>
          <w:lang w:val="fr-CA"/>
        </w:rPr>
        <w:t>ra</w:t>
      </w:r>
      <w:r w:rsidR="004A5DD8" w:rsidRPr="004635B2">
        <w:rPr>
          <w:rFonts w:ascii="Arial" w:hAnsi="Arial" w:cs="Arial"/>
          <w:sz w:val="22"/>
          <w:szCs w:val="22"/>
          <w:lang w:val="fr-CA"/>
        </w:rPr>
        <w:t xml:space="preserve"> 32 pour cent. Environ 78 pour cent des projets sont liés à la Convention, tandis que 21 pour cent ont un lien avec le Protocole de Cartagena et 38 pour cent avec le Protocole de Nagoya.</w:t>
      </w:r>
    </w:p>
    <w:p w14:paraId="56B6C563" w14:textId="77777777" w:rsidR="004A5DD8" w:rsidRPr="004635B2" w:rsidRDefault="004A5DD8" w:rsidP="003F7FF1">
      <w:pPr>
        <w:suppressLineNumbers/>
        <w:suppressAutoHyphens/>
        <w:adjustRightInd w:val="0"/>
        <w:snapToGrid w:val="0"/>
        <w:rPr>
          <w:rFonts w:ascii="Arial" w:hAnsi="Arial" w:cs="Arial"/>
          <w:sz w:val="22"/>
          <w:szCs w:val="22"/>
          <w:lang w:val="fr-CA"/>
        </w:rPr>
      </w:pPr>
    </w:p>
    <w:p w14:paraId="24636342" w14:textId="1071B75E" w:rsidR="006046B4" w:rsidRPr="004635B2" w:rsidRDefault="004A5DD8" w:rsidP="003F7FF1">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6.</w:t>
      </w:r>
      <w:r w:rsidRPr="004635B2">
        <w:rPr>
          <w:rFonts w:ascii="Arial" w:hAnsi="Arial" w:cs="Arial"/>
          <w:sz w:val="22"/>
          <w:szCs w:val="22"/>
          <w:lang w:val="fr-CA"/>
        </w:rPr>
        <w:tab/>
        <w:t>Étant donné que toutes les Parties n’ont pas fourni ces informations, les données des sourc</w:t>
      </w:r>
      <w:r w:rsidR="0045295A" w:rsidRPr="004635B2">
        <w:rPr>
          <w:rFonts w:ascii="Arial" w:hAnsi="Arial" w:cs="Arial"/>
          <w:sz w:val="22"/>
          <w:szCs w:val="22"/>
          <w:lang w:val="fr-CA"/>
        </w:rPr>
        <w:t>e</w:t>
      </w:r>
      <w:r w:rsidRPr="004635B2">
        <w:rPr>
          <w:rFonts w:ascii="Arial" w:hAnsi="Arial" w:cs="Arial"/>
          <w:sz w:val="22"/>
          <w:szCs w:val="22"/>
          <w:lang w:val="fr-CA"/>
        </w:rPr>
        <w:t>s existantes ont été extrapolées selon trois scénarios (dont un fondé sur le questionnaire), afin d’évaluer les besoins de financement de la FEM-8.</w:t>
      </w:r>
      <w:r w:rsidR="006046B4" w:rsidRPr="004635B2">
        <w:rPr>
          <w:rFonts w:ascii="Arial" w:hAnsi="Arial" w:cs="Arial"/>
          <w:sz w:val="22"/>
          <w:szCs w:val="22"/>
          <w:lang w:val="fr-CA"/>
        </w:rPr>
        <w:tab/>
      </w:r>
    </w:p>
    <w:p w14:paraId="4A2FA1A4" w14:textId="77777777" w:rsidR="004A5DD8" w:rsidRPr="004635B2" w:rsidRDefault="004A5DD8" w:rsidP="003F7FF1">
      <w:pPr>
        <w:suppressLineNumbers/>
        <w:suppressAutoHyphens/>
        <w:adjustRightInd w:val="0"/>
        <w:snapToGrid w:val="0"/>
        <w:rPr>
          <w:rFonts w:ascii="Arial" w:hAnsi="Arial" w:cs="Arial"/>
          <w:sz w:val="22"/>
          <w:szCs w:val="22"/>
          <w:lang w:val="fr-CA"/>
        </w:rPr>
      </w:pPr>
    </w:p>
    <w:p w14:paraId="2058FD27" w14:textId="0BC25FA4" w:rsidR="004A5DD8" w:rsidRPr="004635B2" w:rsidRDefault="004A5DD8" w:rsidP="003F7FF1">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7.</w:t>
      </w:r>
      <w:r w:rsidRPr="004635B2">
        <w:rPr>
          <w:rFonts w:ascii="Arial" w:hAnsi="Arial" w:cs="Arial"/>
          <w:sz w:val="22"/>
          <w:szCs w:val="22"/>
          <w:lang w:val="fr-CA"/>
        </w:rPr>
        <w:tab/>
      </w:r>
      <w:r w:rsidR="0045295A" w:rsidRPr="004635B2">
        <w:rPr>
          <w:rFonts w:ascii="Arial" w:hAnsi="Arial" w:cs="Arial"/>
          <w:sz w:val="22"/>
          <w:szCs w:val="22"/>
          <w:lang w:val="fr-CA"/>
        </w:rPr>
        <w:t>Selon ces trois scénarios, la somme nécessaire au financement du FEM pour la mise en œuvre de la Convention et de ses protocoles, varie de 1,5 milliard $US à 3,7 milliards $US pour la huitième période de reconstitution des ressources (2022-2026). Les détails de ces trois scénari</w:t>
      </w:r>
      <w:r w:rsidR="00424933" w:rsidRPr="004635B2">
        <w:rPr>
          <w:rFonts w:ascii="Arial" w:hAnsi="Arial" w:cs="Arial"/>
          <w:sz w:val="22"/>
          <w:szCs w:val="22"/>
          <w:lang w:val="fr-CA"/>
        </w:rPr>
        <w:t>os sont présentés dans la partie</w:t>
      </w:r>
      <w:r w:rsidR="0045295A" w:rsidRPr="004635B2">
        <w:rPr>
          <w:rFonts w:ascii="Arial" w:hAnsi="Arial" w:cs="Arial"/>
          <w:sz w:val="22"/>
          <w:szCs w:val="22"/>
          <w:lang w:val="fr-CA"/>
        </w:rPr>
        <w:t xml:space="preserve"> 7 b) du présent rapport.</w:t>
      </w:r>
    </w:p>
    <w:p w14:paraId="7AD782F3" w14:textId="77777777" w:rsidR="00CE602D" w:rsidRPr="004635B2" w:rsidRDefault="00CE602D" w:rsidP="003F7FF1">
      <w:pPr>
        <w:suppressLineNumbers/>
        <w:suppressAutoHyphens/>
        <w:adjustRightInd w:val="0"/>
        <w:snapToGrid w:val="0"/>
        <w:rPr>
          <w:rFonts w:ascii="Arial" w:hAnsi="Arial" w:cs="Arial"/>
          <w:sz w:val="22"/>
          <w:szCs w:val="22"/>
          <w:lang w:val="fr-CA"/>
        </w:rPr>
      </w:pPr>
    </w:p>
    <w:p w14:paraId="5854EA31" w14:textId="77777777" w:rsidR="00974917" w:rsidRPr="004635B2" w:rsidRDefault="00974917" w:rsidP="003F7FF1">
      <w:pPr>
        <w:suppressLineNumbers/>
        <w:suppressAutoHyphens/>
        <w:adjustRightInd w:val="0"/>
        <w:snapToGrid w:val="0"/>
        <w:ind w:left="360"/>
        <w:rPr>
          <w:rFonts w:ascii="Arial" w:hAnsi="Arial" w:cs="Arial"/>
          <w:sz w:val="22"/>
          <w:szCs w:val="22"/>
          <w:lang w:val="fr-CA"/>
        </w:rPr>
      </w:pPr>
    </w:p>
    <w:p w14:paraId="4CA94F10" w14:textId="77777777" w:rsidR="00974917" w:rsidRPr="004635B2" w:rsidRDefault="00974917" w:rsidP="00CE602D">
      <w:pPr>
        <w:pStyle w:val="ListParagraph"/>
        <w:numPr>
          <w:ilvl w:val="0"/>
          <w:numId w:val="17"/>
        </w:numPr>
        <w:suppressLineNumbers/>
        <w:suppressAutoHyphens/>
        <w:adjustRightInd w:val="0"/>
        <w:snapToGrid w:val="0"/>
        <w:ind w:left="0" w:firstLine="0"/>
        <w:rPr>
          <w:rFonts w:ascii="Arial" w:hAnsi="Arial" w:cs="Arial"/>
          <w:b/>
          <w:bCs/>
          <w:sz w:val="22"/>
          <w:szCs w:val="22"/>
          <w:u w:val="single"/>
          <w:lang w:val="fr-CA"/>
        </w:rPr>
      </w:pPr>
      <w:r w:rsidRPr="004635B2">
        <w:rPr>
          <w:rFonts w:ascii="Arial" w:hAnsi="Arial" w:cs="Arial"/>
          <w:b/>
          <w:bCs/>
          <w:sz w:val="22"/>
          <w:szCs w:val="22"/>
          <w:u w:val="single"/>
          <w:lang w:val="fr-CA"/>
        </w:rPr>
        <w:t>Introduction</w:t>
      </w:r>
    </w:p>
    <w:p w14:paraId="164AFCEB" w14:textId="77777777" w:rsidR="00974917" w:rsidRPr="004635B2" w:rsidRDefault="00974917" w:rsidP="0065103C">
      <w:pPr>
        <w:pStyle w:val="ListParagraph"/>
        <w:suppressLineNumbers/>
        <w:suppressAutoHyphens/>
        <w:adjustRightInd w:val="0"/>
        <w:snapToGrid w:val="0"/>
        <w:ind w:left="1080"/>
        <w:rPr>
          <w:rFonts w:ascii="Arial" w:hAnsi="Arial" w:cs="Arial"/>
          <w:b/>
          <w:bCs/>
          <w:sz w:val="22"/>
          <w:szCs w:val="22"/>
          <w:lang w:val="fr-CA"/>
        </w:rPr>
      </w:pPr>
    </w:p>
    <w:p w14:paraId="67CF137B" w14:textId="24123A60" w:rsidR="00CE602D" w:rsidRPr="004635B2" w:rsidRDefault="003F7FF1" w:rsidP="003F7FF1">
      <w:pPr>
        <w:pStyle w:val="ListParagraph"/>
        <w:suppressLineNumbers/>
        <w:suppressAutoHyphens/>
        <w:adjustRightInd w:val="0"/>
        <w:snapToGrid w:val="0"/>
        <w:ind w:left="0"/>
        <w:rPr>
          <w:rFonts w:ascii="Arial" w:hAnsi="Arial" w:cs="Arial"/>
          <w:bCs/>
          <w:sz w:val="22"/>
          <w:szCs w:val="22"/>
          <w:lang w:val="fr-CA"/>
        </w:rPr>
      </w:pPr>
      <w:r w:rsidRPr="004635B2">
        <w:rPr>
          <w:rFonts w:ascii="Arial" w:hAnsi="Arial" w:cs="Arial"/>
          <w:bCs/>
          <w:sz w:val="22"/>
          <w:szCs w:val="22"/>
          <w:lang w:val="fr-CA"/>
        </w:rPr>
        <w:t>8.</w:t>
      </w:r>
      <w:r w:rsidRPr="004635B2">
        <w:rPr>
          <w:rFonts w:ascii="Arial" w:hAnsi="Arial" w:cs="Arial"/>
          <w:bCs/>
          <w:sz w:val="22"/>
          <w:szCs w:val="22"/>
          <w:lang w:val="fr-CA"/>
        </w:rPr>
        <w:tab/>
      </w:r>
      <w:r w:rsidR="00CE602D" w:rsidRPr="004635B2">
        <w:rPr>
          <w:rFonts w:ascii="Arial" w:hAnsi="Arial" w:cs="Arial"/>
          <w:bCs/>
          <w:sz w:val="22"/>
          <w:szCs w:val="22"/>
          <w:lang w:val="fr-CA"/>
        </w:rPr>
        <w:t>Pour tous les détails sur le mandat, d’autres décisions pertinentes et les procédures de mise en œuvre du mandat (</w:t>
      </w:r>
      <w:r w:rsidR="00E92BD9" w:rsidRPr="004635B2">
        <w:rPr>
          <w:rFonts w:ascii="Arial" w:hAnsi="Arial" w:cs="Arial"/>
          <w:bCs/>
          <w:sz w:val="22"/>
          <w:szCs w:val="22"/>
          <w:lang w:val="fr-CA"/>
        </w:rPr>
        <w:t>champ d’application</w:t>
      </w:r>
      <w:r w:rsidR="00CE602D" w:rsidRPr="004635B2">
        <w:rPr>
          <w:rFonts w:ascii="Arial" w:hAnsi="Arial" w:cs="Arial"/>
          <w:bCs/>
          <w:sz w:val="22"/>
          <w:szCs w:val="22"/>
          <w:lang w:val="fr-CA"/>
        </w:rPr>
        <w:t xml:space="preserve"> et méthodologie), veuille</w:t>
      </w:r>
      <w:r w:rsidR="00E92BD9" w:rsidRPr="004635B2">
        <w:rPr>
          <w:rFonts w:ascii="Arial" w:hAnsi="Arial" w:cs="Arial"/>
          <w:bCs/>
          <w:sz w:val="22"/>
          <w:szCs w:val="22"/>
          <w:lang w:val="fr-CA"/>
        </w:rPr>
        <w:t>z</w:t>
      </w:r>
      <w:r w:rsidR="00CE602D" w:rsidRPr="004635B2">
        <w:rPr>
          <w:rFonts w:ascii="Arial" w:hAnsi="Arial" w:cs="Arial"/>
          <w:bCs/>
          <w:sz w:val="22"/>
          <w:szCs w:val="22"/>
          <w:lang w:val="fr-CA"/>
        </w:rPr>
        <w:t xml:space="preserve"> consulter le rapport complet présenté à titre de document d’information pour </w:t>
      </w:r>
      <w:r w:rsidR="00E92BD9" w:rsidRPr="004635B2">
        <w:rPr>
          <w:rFonts w:ascii="Arial" w:hAnsi="Arial" w:cs="Arial"/>
          <w:bCs/>
          <w:sz w:val="22"/>
          <w:szCs w:val="22"/>
          <w:lang w:val="fr-CA"/>
        </w:rPr>
        <w:t>le présent</w:t>
      </w:r>
      <w:r w:rsidR="00CE602D" w:rsidRPr="004635B2">
        <w:rPr>
          <w:rFonts w:ascii="Arial" w:hAnsi="Arial" w:cs="Arial"/>
          <w:bCs/>
          <w:sz w:val="22"/>
          <w:szCs w:val="22"/>
          <w:lang w:val="fr-CA"/>
        </w:rPr>
        <w:t xml:space="preserve"> rapport.</w:t>
      </w:r>
    </w:p>
    <w:p w14:paraId="38C78DA1" w14:textId="77777777" w:rsidR="00CE602D" w:rsidRPr="004635B2" w:rsidRDefault="00CE602D" w:rsidP="003F7FF1">
      <w:pPr>
        <w:pStyle w:val="ListParagraph"/>
        <w:suppressLineNumbers/>
        <w:suppressAutoHyphens/>
        <w:adjustRightInd w:val="0"/>
        <w:snapToGrid w:val="0"/>
        <w:ind w:left="0"/>
        <w:rPr>
          <w:rFonts w:ascii="Arial" w:hAnsi="Arial" w:cs="Arial"/>
          <w:bCs/>
          <w:sz w:val="22"/>
          <w:szCs w:val="22"/>
          <w:lang w:val="fr-CA"/>
        </w:rPr>
      </w:pPr>
    </w:p>
    <w:p w14:paraId="5A911BF3" w14:textId="7677B05E" w:rsidR="00CE602D" w:rsidRPr="004635B2" w:rsidRDefault="00CE602D" w:rsidP="003F7FF1">
      <w:pPr>
        <w:pStyle w:val="ListParagraph"/>
        <w:suppressLineNumbers/>
        <w:suppressAutoHyphens/>
        <w:adjustRightInd w:val="0"/>
        <w:snapToGrid w:val="0"/>
        <w:ind w:left="0"/>
        <w:rPr>
          <w:rFonts w:ascii="Arial" w:hAnsi="Arial" w:cs="Arial"/>
          <w:bCs/>
          <w:sz w:val="22"/>
          <w:szCs w:val="22"/>
          <w:lang w:val="fr-CA"/>
        </w:rPr>
      </w:pPr>
      <w:r w:rsidRPr="004635B2">
        <w:rPr>
          <w:rFonts w:ascii="Arial" w:hAnsi="Arial" w:cs="Arial"/>
          <w:b/>
          <w:bCs/>
          <w:sz w:val="22"/>
          <w:szCs w:val="22"/>
          <w:lang w:val="fr-CA"/>
        </w:rPr>
        <w:t>3.</w:t>
      </w:r>
      <w:r w:rsidRPr="004635B2">
        <w:rPr>
          <w:rFonts w:ascii="Arial" w:hAnsi="Arial" w:cs="Arial"/>
          <w:b/>
          <w:bCs/>
          <w:sz w:val="22"/>
          <w:szCs w:val="22"/>
          <w:lang w:val="fr-CA"/>
        </w:rPr>
        <w:tab/>
      </w:r>
      <w:r w:rsidRPr="004635B2">
        <w:rPr>
          <w:rFonts w:ascii="Arial" w:hAnsi="Arial" w:cs="Arial"/>
          <w:b/>
          <w:bCs/>
          <w:sz w:val="22"/>
          <w:szCs w:val="22"/>
          <w:u w:val="single"/>
          <w:lang w:val="fr-CA"/>
        </w:rPr>
        <w:t xml:space="preserve">Expérience en </w:t>
      </w:r>
      <w:r w:rsidR="008B2F15" w:rsidRPr="004635B2">
        <w:rPr>
          <w:rFonts w:ascii="Arial" w:hAnsi="Arial" w:cs="Arial"/>
          <w:b/>
          <w:bCs/>
          <w:sz w:val="22"/>
          <w:szCs w:val="22"/>
          <w:u w:val="single"/>
          <w:lang w:val="fr-CA"/>
        </w:rPr>
        <w:t>allocation</w:t>
      </w:r>
      <w:r w:rsidRPr="004635B2">
        <w:rPr>
          <w:rFonts w:ascii="Arial" w:hAnsi="Arial" w:cs="Arial"/>
          <w:b/>
          <w:bCs/>
          <w:sz w:val="22"/>
          <w:szCs w:val="22"/>
          <w:u w:val="single"/>
          <w:lang w:val="fr-CA"/>
        </w:rPr>
        <w:t xml:space="preserve"> de fonds par le FEM</w:t>
      </w:r>
    </w:p>
    <w:p w14:paraId="5CEB771C" w14:textId="77777777" w:rsidR="00E92BD9" w:rsidRPr="004635B2" w:rsidRDefault="00E92BD9" w:rsidP="003F7FF1">
      <w:pPr>
        <w:pStyle w:val="ListParagraph"/>
        <w:suppressLineNumbers/>
        <w:suppressAutoHyphens/>
        <w:adjustRightInd w:val="0"/>
        <w:snapToGrid w:val="0"/>
        <w:ind w:left="0"/>
        <w:rPr>
          <w:rFonts w:ascii="Arial" w:hAnsi="Arial" w:cs="Arial"/>
          <w:bCs/>
          <w:sz w:val="22"/>
          <w:szCs w:val="22"/>
          <w:lang w:val="fr-CA"/>
        </w:rPr>
      </w:pPr>
    </w:p>
    <w:p w14:paraId="50454D44" w14:textId="0BFC4E55" w:rsidR="00E92BD9" w:rsidRPr="004635B2" w:rsidRDefault="00E92BD9" w:rsidP="003F7FF1">
      <w:pPr>
        <w:pStyle w:val="ListParagraph"/>
        <w:suppressLineNumbers/>
        <w:suppressAutoHyphens/>
        <w:adjustRightInd w:val="0"/>
        <w:snapToGrid w:val="0"/>
        <w:ind w:left="0"/>
        <w:rPr>
          <w:rFonts w:ascii="Arial" w:hAnsi="Arial" w:cs="Arial"/>
          <w:bCs/>
          <w:sz w:val="22"/>
          <w:szCs w:val="22"/>
          <w:lang w:val="fr-CA"/>
        </w:rPr>
      </w:pPr>
      <w:r w:rsidRPr="004635B2">
        <w:rPr>
          <w:rFonts w:ascii="Arial" w:hAnsi="Arial" w:cs="Arial"/>
          <w:bCs/>
          <w:sz w:val="22"/>
          <w:szCs w:val="22"/>
          <w:lang w:val="fr-CA"/>
        </w:rPr>
        <w:t>a.</w:t>
      </w:r>
      <w:r w:rsidRPr="004635B2">
        <w:rPr>
          <w:rFonts w:ascii="Arial" w:hAnsi="Arial" w:cs="Arial"/>
          <w:bCs/>
          <w:sz w:val="22"/>
          <w:szCs w:val="22"/>
          <w:lang w:val="fr-CA"/>
        </w:rPr>
        <w:tab/>
      </w:r>
      <w:r w:rsidRPr="004635B2">
        <w:rPr>
          <w:rFonts w:ascii="Arial" w:hAnsi="Arial" w:cs="Arial"/>
          <w:bCs/>
          <w:sz w:val="22"/>
          <w:szCs w:val="22"/>
          <w:u w:val="single"/>
          <w:lang w:val="fr-CA"/>
        </w:rPr>
        <w:t>Programmation et historique des allocations du FEM</w:t>
      </w:r>
    </w:p>
    <w:p w14:paraId="5E5035E3" w14:textId="77777777" w:rsidR="00E92BD9" w:rsidRPr="004635B2" w:rsidRDefault="00E92BD9" w:rsidP="003F7FF1">
      <w:pPr>
        <w:pStyle w:val="ListParagraph"/>
        <w:suppressLineNumbers/>
        <w:suppressAutoHyphens/>
        <w:adjustRightInd w:val="0"/>
        <w:snapToGrid w:val="0"/>
        <w:ind w:left="0"/>
        <w:rPr>
          <w:rFonts w:ascii="Arial" w:hAnsi="Arial" w:cs="Arial"/>
          <w:bCs/>
          <w:sz w:val="22"/>
          <w:szCs w:val="22"/>
          <w:lang w:val="fr-CA"/>
        </w:rPr>
      </w:pPr>
    </w:p>
    <w:p w14:paraId="11CC486A" w14:textId="79B6DA49" w:rsidR="00974917" w:rsidRPr="004635B2" w:rsidRDefault="00E92BD9" w:rsidP="00382B83">
      <w:pPr>
        <w:pStyle w:val="ListParagraph"/>
        <w:suppressLineNumbers/>
        <w:suppressAutoHyphens/>
        <w:adjustRightInd w:val="0"/>
        <w:snapToGrid w:val="0"/>
        <w:ind w:left="0"/>
        <w:rPr>
          <w:rFonts w:ascii="Arial" w:hAnsi="Arial" w:cs="Arial"/>
          <w:noProof/>
          <w:color w:val="000000"/>
          <w:sz w:val="22"/>
          <w:szCs w:val="22"/>
          <w:lang w:val="fr-CA"/>
        </w:rPr>
      </w:pPr>
      <w:r w:rsidRPr="004635B2">
        <w:rPr>
          <w:rFonts w:ascii="Arial" w:hAnsi="Arial" w:cs="Arial"/>
          <w:bCs/>
          <w:sz w:val="22"/>
          <w:szCs w:val="22"/>
          <w:lang w:val="fr-CA"/>
        </w:rPr>
        <w:t>9.</w:t>
      </w:r>
      <w:r w:rsidRPr="004635B2">
        <w:rPr>
          <w:rFonts w:ascii="Arial" w:hAnsi="Arial" w:cs="Arial"/>
          <w:bCs/>
          <w:sz w:val="22"/>
          <w:szCs w:val="22"/>
          <w:lang w:val="fr-CA"/>
        </w:rPr>
        <w:tab/>
      </w:r>
      <w:r w:rsidR="00974917" w:rsidRPr="004635B2">
        <w:rPr>
          <w:rFonts w:ascii="Arial" w:hAnsi="Arial" w:cs="Arial"/>
          <w:bCs/>
          <w:sz w:val="22"/>
          <w:szCs w:val="22"/>
          <w:lang w:val="fr-CA"/>
        </w:rPr>
        <w:t xml:space="preserve">La valeur totale des investissements de toutes les ressources du FEM pour réaliser les Objectifs d’Aichi pour la biodiversité de toutes les lignes de programmation pertinentes de la septième reconstitution des ressources du FEM (FEM-7) (stratégie du domaine d'intervention relatif à la </w:t>
      </w:r>
      <w:r w:rsidR="008B2F15" w:rsidRPr="004635B2">
        <w:rPr>
          <w:rFonts w:ascii="Arial" w:hAnsi="Arial" w:cs="Arial"/>
          <w:bCs/>
          <w:sz w:val="22"/>
          <w:szCs w:val="22"/>
          <w:lang w:val="fr-CA"/>
        </w:rPr>
        <w:t>diversité biologique</w:t>
      </w:r>
      <w:r w:rsidR="00974917" w:rsidRPr="004635B2">
        <w:rPr>
          <w:rFonts w:ascii="Arial" w:hAnsi="Arial" w:cs="Arial"/>
          <w:bCs/>
          <w:sz w:val="22"/>
          <w:szCs w:val="22"/>
          <w:lang w:val="fr-CA"/>
        </w:rPr>
        <w:t>, programmes à impact du FEM-7, domaine d'intervention rel</w:t>
      </w:r>
      <w:r w:rsidR="008B2F15" w:rsidRPr="004635B2">
        <w:rPr>
          <w:rFonts w:ascii="Arial" w:hAnsi="Arial" w:cs="Arial"/>
          <w:bCs/>
          <w:sz w:val="22"/>
          <w:szCs w:val="22"/>
          <w:lang w:val="fr-CA"/>
        </w:rPr>
        <w:t>atif aux eaux internationales, f</w:t>
      </w:r>
      <w:r w:rsidR="00974917" w:rsidRPr="004635B2">
        <w:rPr>
          <w:rFonts w:ascii="Arial" w:hAnsi="Arial" w:cs="Arial"/>
          <w:bCs/>
          <w:sz w:val="22"/>
          <w:szCs w:val="22"/>
          <w:lang w:val="fr-CA"/>
        </w:rPr>
        <w:t>onds pour les pays les moins avancés pour l'adaptation aux changements climatiques, instruments ne reposant pas sur des subventions et programme de microfinancements) au cours des 18 premiers mois d</w:t>
      </w:r>
      <w:r w:rsidR="003733BB">
        <w:rPr>
          <w:rFonts w:ascii="Arial" w:hAnsi="Arial" w:cs="Arial"/>
          <w:bCs/>
          <w:sz w:val="22"/>
          <w:szCs w:val="22"/>
          <w:lang w:val="fr-CA"/>
        </w:rPr>
        <w:t>e la</w:t>
      </w:r>
      <w:r w:rsidR="00974917" w:rsidRPr="004635B2">
        <w:rPr>
          <w:rFonts w:ascii="Arial" w:hAnsi="Arial" w:cs="Arial"/>
          <w:bCs/>
          <w:sz w:val="22"/>
          <w:szCs w:val="22"/>
          <w:lang w:val="fr-CA"/>
        </w:rPr>
        <w:t xml:space="preserve"> FEM-7 s'élevait à 1,056 milliard </w:t>
      </w:r>
      <w:r w:rsidR="008B2F15" w:rsidRPr="004635B2">
        <w:rPr>
          <w:rFonts w:ascii="Arial" w:hAnsi="Arial" w:cs="Arial"/>
          <w:bCs/>
          <w:sz w:val="22"/>
          <w:szCs w:val="22"/>
          <w:lang w:val="fr-CA"/>
        </w:rPr>
        <w:t>$US</w:t>
      </w:r>
      <w:r w:rsidR="00974917" w:rsidRPr="004635B2">
        <w:rPr>
          <w:rFonts w:ascii="Arial" w:hAnsi="Arial" w:cs="Arial"/>
          <w:bCs/>
          <w:sz w:val="22"/>
          <w:szCs w:val="22"/>
          <w:lang w:val="fr-CA"/>
        </w:rPr>
        <w:t>.</w:t>
      </w:r>
      <w:r w:rsidR="00382B83" w:rsidRPr="004635B2">
        <w:rPr>
          <w:rFonts w:ascii="Arial" w:hAnsi="Arial" w:cs="Arial"/>
          <w:vertAlign w:val="superscript"/>
          <w:lang w:val="fr-CA"/>
        </w:rPr>
        <w:t>4</w:t>
      </w:r>
      <w:r w:rsidR="00974917" w:rsidRPr="004635B2">
        <w:rPr>
          <w:rFonts w:ascii="Arial" w:hAnsi="Arial" w:cs="Arial"/>
          <w:bCs/>
          <w:sz w:val="22"/>
          <w:szCs w:val="22"/>
          <w:lang w:val="fr-CA"/>
        </w:rPr>
        <w:t xml:space="preserve"> Cela a permis d'obtenir un cofinancement de 8,955 milliards </w:t>
      </w:r>
      <w:r w:rsidR="008B2F15" w:rsidRPr="004635B2">
        <w:rPr>
          <w:rFonts w:ascii="Arial" w:hAnsi="Arial" w:cs="Arial"/>
          <w:bCs/>
          <w:sz w:val="22"/>
          <w:szCs w:val="22"/>
          <w:lang w:val="fr-CA"/>
        </w:rPr>
        <w:t>$US</w:t>
      </w:r>
      <w:r w:rsidR="00974917" w:rsidRPr="004635B2">
        <w:rPr>
          <w:rFonts w:ascii="Arial" w:hAnsi="Arial" w:cs="Arial"/>
          <w:bCs/>
          <w:sz w:val="22"/>
          <w:szCs w:val="22"/>
          <w:lang w:val="fr-CA"/>
        </w:rPr>
        <w:t xml:space="preserve"> pour un investissement total de 10,01 </w:t>
      </w:r>
      <w:r w:rsidR="00A57DC3">
        <w:rPr>
          <w:rFonts w:ascii="Arial" w:hAnsi="Arial" w:cs="Arial"/>
          <w:bCs/>
          <w:sz w:val="22"/>
          <w:szCs w:val="22"/>
          <w:lang w:val="fr-CA"/>
        </w:rPr>
        <w:t xml:space="preserve">milliards </w:t>
      </w:r>
      <w:r w:rsidR="008B2F15" w:rsidRPr="004635B2">
        <w:rPr>
          <w:rFonts w:ascii="Arial" w:hAnsi="Arial" w:cs="Arial"/>
          <w:bCs/>
          <w:sz w:val="22"/>
          <w:szCs w:val="22"/>
          <w:lang w:val="fr-CA"/>
        </w:rPr>
        <w:t>$US</w:t>
      </w:r>
      <w:r w:rsidR="00974917" w:rsidRPr="004635B2">
        <w:rPr>
          <w:rFonts w:ascii="Arial" w:hAnsi="Arial" w:cs="Arial"/>
          <w:bCs/>
          <w:sz w:val="22"/>
          <w:szCs w:val="22"/>
          <w:lang w:val="fr-CA"/>
        </w:rPr>
        <w:t>, soit plus de 8 dollars de cofinancement pour chaque dollar fourni par le FEM.</w:t>
      </w:r>
      <w:r w:rsidR="00974917" w:rsidRPr="004635B2">
        <w:rPr>
          <w:rFonts w:ascii="Arial" w:hAnsi="Arial" w:cs="Arial"/>
          <w:noProof/>
          <w:color w:val="000000"/>
          <w:sz w:val="22"/>
          <w:szCs w:val="22"/>
          <w:lang w:val="fr-CA"/>
        </w:rPr>
        <w:t xml:space="preserve"> Cela confirme un taux de cofinancement en constante augmentation pour les projets de biodiversité du FEM qui e</w:t>
      </w:r>
      <w:r w:rsidR="00382B83" w:rsidRPr="004635B2">
        <w:rPr>
          <w:rFonts w:ascii="Arial" w:hAnsi="Arial" w:cs="Arial"/>
          <w:noProof/>
          <w:color w:val="000000"/>
          <w:sz w:val="22"/>
          <w:szCs w:val="22"/>
          <w:lang w:val="fr-CA"/>
        </w:rPr>
        <w:t>st supérieur à l'objectif de 1:</w:t>
      </w:r>
      <w:r w:rsidR="00974917" w:rsidRPr="004635B2">
        <w:rPr>
          <w:rFonts w:ascii="Arial" w:hAnsi="Arial" w:cs="Arial"/>
          <w:noProof/>
          <w:color w:val="000000"/>
          <w:sz w:val="22"/>
          <w:szCs w:val="22"/>
          <w:lang w:val="fr-CA"/>
        </w:rPr>
        <w:t>7 fixé pour l'ensemble du portefeuille du FE</w:t>
      </w:r>
      <w:r w:rsidR="00457EBD" w:rsidRPr="004635B2">
        <w:rPr>
          <w:rFonts w:ascii="Arial" w:hAnsi="Arial" w:cs="Arial"/>
          <w:noProof/>
          <w:color w:val="000000"/>
          <w:sz w:val="22"/>
          <w:szCs w:val="22"/>
          <w:lang w:val="fr-CA"/>
        </w:rPr>
        <w:t>M pendant la période couvrant la</w:t>
      </w:r>
      <w:r w:rsidR="00974917" w:rsidRPr="004635B2">
        <w:rPr>
          <w:rFonts w:ascii="Arial" w:hAnsi="Arial" w:cs="Arial"/>
          <w:noProof/>
          <w:color w:val="000000"/>
          <w:sz w:val="22"/>
          <w:szCs w:val="22"/>
          <w:lang w:val="fr-CA"/>
        </w:rPr>
        <w:t xml:space="preserve"> FEM-7. Un résumé de l'usage de la programmation du domaine d'intervention relatif à la biodiversité pour l</w:t>
      </w:r>
      <w:r w:rsidR="00457EBD" w:rsidRPr="004635B2">
        <w:rPr>
          <w:rFonts w:ascii="Arial" w:hAnsi="Arial" w:cs="Arial"/>
          <w:noProof/>
          <w:color w:val="000000"/>
          <w:sz w:val="22"/>
          <w:szCs w:val="22"/>
          <w:lang w:val="fr-CA"/>
        </w:rPr>
        <w:t>a</w:t>
      </w:r>
      <w:r w:rsidR="00974917" w:rsidRPr="004635B2">
        <w:rPr>
          <w:rFonts w:ascii="Arial" w:hAnsi="Arial" w:cs="Arial"/>
          <w:noProof/>
          <w:color w:val="000000"/>
          <w:sz w:val="22"/>
          <w:szCs w:val="22"/>
          <w:lang w:val="fr-CA"/>
        </w:rPr>
        <w:t xml:space="preserve"> FEM-7 est disponible</w:t>
      </w:r>
      <w:r w:rsidR="006F6A88" w:rsidRPr="004635B2">
        <w:rPr>
          <w:rFonts w:ascii="Arial" w:hAnsi="Arial" w:cs="Arial"/>
          <w:noProof/>
          <w:color w:val="000000"/>
          <w:sz w:val="22"/>
          <w:szCs w:val="22"/>
          <w:lang w:val="fr-CA"/>
        </w:rPr>
        <w:t>.</w:t>
      </w:r>
      <w:r w:rsidR="00974917" w:rsidRPr="004635B2">
        <w:rPr>
          <w:rStyle w:val="FootnoteReference"/>
          <w:rFonts w:ascii="Arial" w:hAnsi="Arial" w:cs="Arial"/>
          <w:noProof/>
          <w:color w:val="000000"/>
          <w:sz w:val="22"/>
          <w:szCs w:val="22"/>
          <w:u w:val="none"/>
          <w:vertAlign w:val="superscript"/>
          <w:lang w:val="fr-CA"/>
        </w:rPr>
        <w:footnoteReference w:id="5"/>
      </w:r>
    </w:p>
    <w:p w14:paraId="54FD7532" w14:textId="77777777" w:rsidR="006F6A88" w:rsidRPr="004635B2" w:rsidRDefault="006F6A88" w:rsidP="00382B83">
      <w:pPr>
        <w:pStyle w:val="ListParagraph"/>
        <w:suppressLineNumbers/>
        <w:suppressAutoHyphens/>
        <w:adjustRightInd w:val="0"/>
        <w:snapToGrid w:val="0"/>
        <w:ind w:left="0"/>
        <w:rPr>
          <w:rFonts w:ascii="Arial" w:hAnsi="Arial" w:cs="Arial"/>
          <w:noProof/>
          <w:color w:val="000000"/>
          <w:sz w:val="22"/>
          <w:szCs w:val="22"/>
          <w:lang w:val="fr-CA"/>
        </w:rPr>
      </w:pPr>
    </w:p>
    <w:p w14:paraId="1A85E046" w14:textId="2769210F" w:rsidR="006F6A88" w:rsidRPr="004635B2" w:rsidRDefault="006F6A88" w:rsidP="00382B83">
      <w:pPr>
        <w:pStyle w:val="ListParagraph"/>
        <w:suppressLineNumbers/>
        <w:suppressAutoHyphens/>
        <w:adjustRightInd w:val="0"/>
        <w:snapToGrid w:val="0"/>
        <w:ind w:left="0"/>
        <w:rPr>
          <w:rFonts w:ascii="Arial" w:hAnsi="Arial" w:cs="Arial"/>
          <w:noProof/>
          <w:color w:val="000000"/>
          <w:sz w:val="22"/>
          <w:szCs w:val="22"/>
          <w:lang w:val="fr-CA"/>
        </w:rPr>
      </w:pPr>
      <w:r w:rsidRPr="004635B2">
        <w:rPr>
          <w:rFonts w:ascii="Arial" w:hAnsi="Arial" w:cs="Arial"/>
          <w:noProof/>
          <w:color w:val="000000"/>
          <w:sz w:val="22"/>
          <w:szCs w:val="22"/>
          <w:lang w:val="fr-CA"/>
        </w:rPr>
        <w:t>10.</w:t>
      </w:r>
      <w:r w:rsidRPr="004635B2">
        <w:rPr>
          <w:rFonts w:ascii="Arial" w:hAnsi="Arial" w:cs="Arial"/>
          <w:noProof/>
          <w:color w:val="000000"/>
          <w:sz w:val="22"/>
          <w:szCs w:val="22"/>
          <w:lang w:val="fr-CA"/>
        </w:rPr>
        <w:tab/>
        <w:t>Les sommes allouées par le FEM aux projets sur la diversité biologique, pour les projets portant sur une seule préoccupation ou les projets complexes, ont c</w:t>
      </w:r>
      <w:r w:rsidR="00A57DC3">
        <w:rPr>
          <w:rFonts w:ascii="Arial" w:hAnsi="Arial" w:cs="Arial"/>
          <w:noProof/>
          <w:color w:val="000000"/>
          <w:sz w:val="22"/>
          <w:szCs w:val="22"/>
          <w:lang w:val="fr-CA"/>
        </w:rPr>
        <w:t>onnu une augmentation constante</w:t>
      </w:r>
      <w:r w:rsidRPr="004635B2">
        <w:rPr>
          <w:rFonts w:ascii="Arial" w:hAnsi="Arial" w:cs="Arial"/>
          <w:noProof/>
          <w:color w:val="000000"/>
          <w:sz w:val="22"/>
          <w:szCs w:val="22"/>
          <w:lang w:val="fr-CA"/>
        </w:rPr>
        <w:t xml:space="preserve"> de</w:t>
      </w:r>
      <w:r w:rsidR="00457EBD" w:rsidRPr="004635B2">
        <w:rPr>
          <w:rFonts w:ascii="Arial" w:hAnsi="Arial" w:cs="Arial"/>
          <w:noProof/>
          <w:color w:val="000000"/>
          <w:sz w:val="22"/>
          <w:szCs w:val="22"/>
          <w:lang w:val="fr-CA"/>
        </w:rPr>
        <w:t>puis</w:t>
      </w:r>
      <w:r w:rsidRPr="004635B2">
        <w:rPr>
          <w:rFonts w:ascii="Arial" w:hAnsi="Arial" w:cs="Arial"/>
          <w:noProof/>
          <w:color w:val="000000"/>
          <w:sz w:val="22"/>
          <w:szCs w:val="22"/>
          <w:lang w:val="fr-CA"/>
        </w:rPr>
        <w:t xml:space="preserve"> l’étape pîlote</w:t>
      </w:r>
      <w:r w:rsidR="00A03C15" w:rsidRPr="004635B2">
        <w:rPr>
          <w:rFonts w:ascii="Arial" w:hAnsi="Arial" w:cs="Arial"/>
          <w:noProof/>
          <w:color w:val="000000"/>
          <w:sz w:val="22"/>
          <w:szCs w:val="22"/>
          <w:lang w:val="fr-CA"/>
        </w:rPr>
        <w:t xml:space="preserve"> </w:t>
      </w:r>
      <w:r w:rsidR="00457EBD" w:rsidRPr="004635B2">
        <w:rPr>
          <w:rFonts w:ascii="Arial" w:hAnsi="Arial" w:cs="Arial"/>
          <w:noProof/>
          <w:color w:val="000000"/>
          <w:sz w:val="22"/>
          <w:szCs w:val="22"/>
          <w:lang w:val="fr-CA"/>
        </w:rPr>
        <w:t>jusqu’à aujourd’hui. P</w:t>
      </w:r>
      <w:r w:rsidR="00A57DC3">
        <w:rPr>
          <w:rFonts w:ascii="Arial" w:hAnsi="Arial" w:cs="Arial"/>
          <w:noProof/>
          <w:color w:val="000000"/>
          <w:sz w:val="22"/>
          <w:szCs w:val="22"/>
          <w:lang w:val="fr-CA"/>
        </w:rPr>
        <w:t>lus de 1,7 milliard</w:t>
      </w:r>
      <w:r w:rsidR="00A03C15" w:rsidRPr="004635B2">
        <w:rPr>
          <w:rFonts w:ascii="Arial" w:hAnsi="Arial" w:cs="Arial"/>
          <w:noProof/>
          <w:color w:val="000000"/>
          <w:sz w:val="22"/>
          <w:szCs w:val="22"/>
          <w:lang w:val="fr-CA"/>
        </w:rPr>
        <w:t xml:space="preserve"> </w:t>
      </w:r>
      <w:r w:rsidR="00457EBD" w:rsidRPr="004635B2">
        <w:rPr>
          <w:rFonts w:ascii="Arial" w:hAnsi="Arial" w:cs="Arial"/>
          <w:noProof/>
          <w:color w:val="000000"/>
          <w:sz w:val="22"/>
          <w:szCs w:val="22"/>
          <w:lang w:val="fr-CA"/>
        </w:rPr>
        <w:t>$US ont été alloués dans le cadre de la FEM-7</w:t>
      </w:r>
      <w:r w:rsidR="00A03C15" w:rsidRPr="004635B2">
        <w:rPr>
          <w:rFonts w:ascii="Arial" w:hAnsi="Arial" w:cs="Arial"/>
          <w:noProof/>
          <w:color w:val="000000"/>
          <w:sz w:val="22"/>
          <w:szCs w:val="22"/>
          <w:lang w:val="fr-CA"/>
        </w:rPr>
        <w:t xml:space="preserve"> depuis </w:t>
      </w:r>
      <w:r w:rsidR="00457EBD" w:rsidRPr="004635B2">
        <w:rPr>
          <w:rFonts w:ascii="Arial" w:hAnsi="Arial" w:cs="Arial"/>
          <w:noProof/>
          <w:color w:val="000000"/>
          <w:sz w:val="22"/>
          <w:szCs w:val="22"/>
          <w:lang w:val="fr-CA"/>
        </w:rPr>
        <w:t>la somme initiale de</w:t>
      </w:r>
      <w:r w:rsidR="00A03C15" w:rsidRPr="004635B2">
        <w:rPr>
          <w:rFonts w:ascii="Arial" w:hAnsi="Arial" w:cs="Arial"/>
          <w:noProof/>
          <w:color w:val="000000"/>
          <w:sz w:val="22"/>
          <w:szCs w:val="22"/>
          <w:lang w:val="fr-CA"/>
        </w:rPr>
        <w:t xml:space="preserve"> 250 millions </w:t>
      </w:r>
      <w:r w:rsidR="00457EBD" w:rsidRPr="004635B2">
        <w:rPr>
          <w:rFonts w:ascii="Arial" w:hAnsi="Arial" w:cs="Arial"/>
          <w:noProof/>
          <w:color w:val="000000"/>
          <w:sz w:val="22"/>
          <w:szCs w:val="22"/>
          <w:lang w:val="fr-CA"/>
        </w:rPr>
        <w:t>$US</w:t>
      </w:r>
      <w:r w:rsidR="00A03C15" w:rsidRPr="004635B2">
        <w:rPr>
          <w:rFonts w:ascii="Arial" w:hAnsi="Arial" w:cs="Arial"/>
          <w:noProof/>
          <w:color w:val="000000"/>
          <w:sz w:val="22"/>
          <w:szCs w:val="22"/>
          <w:lang w:val="fr-CA"/>
        </w:rPr>
        <w:t xml:space="preserve"> à l’étape pilote. Globalement, le cumul des sommes destinées à la diversité biologique (y compris dans le cadre de projets complexes) atteint mainten</w:t>
      </w:r>
      <w:r w:rsidR="00457EBD" w:rsidRPr="004635B2">
        <w:rPr>
          <w:rFonts w:ascii="Arial" w:hAnsi="Arial" w:cs="Arial"/>
          <w:noProof/>
          <w:color w:val="000000"/>
          <w:sz w:val="22"/>
          <w:szCs w:val="22"/>
          <w:lang w:val="fr-CA"/>
        </w:rPr>
        <w:t>a</w:t>
      </w:r>
      <w:r w:rsidR="00A03C15" w:rsidRPr="004635B2">
        <w:rPr>
          <w:rFonts w:ascii="Arial" w:hAnsi="Arial" w:cs="Arial"/>
          <w:noProof/>
          <w:color w:val="000000"/>
          <w:sz w:val="22"/>
          <w:szCs w:val="22"/>
          <w:lang w:val="fr-CA"/>
        </w:rPr>
        <w:t xml:space="preserve">nt 6,8 milliards </w:t>
      </w:r>
      <w:r w:rsidR="00457EBD" w:rsidRPr="004635B2">
        <w:rPr>
          <w:rFonts w:ascii="Arial" w:hAnsi="Arial" w:cs="Arial"/>
          <w:noProof/>
          <w:color w:val="000000"/>
          <w:sz w:val="22"/>
          <w:szCs w:val="22"/>
          <w:lang w:val="fr-CA"/>
        </w:rPr>
        <w:t>$US</w:t>
      </w:r>
      <w:r w:rsidR="00A03C15" w:rsidRPr="004635B2">
        <w:rPr>
          <w:rFonts w:ascii="Arial" w:hAnsi="Arial" w:cs="Arial"/>
          <w:noProof/>
          <w:color w:val="000000"/>
          <w:sz w:val="22"/>
          <w:szCs w:val="22"/>
          <w:lang w:val="fr-CA"/>
        </w:rPr>
        <w:t xml:space="preserve">, pour un cofinancement anticipé de 33,7 milliards </w:t>
      </w:r>
      <w:r w:rsidR="00457EBD" w:rsidRPr="004635B2">
        <w:rPr>
          <w:rFonts w:ascii="Arial" w:hAnsi="Arial" w:cs="Arial"/>
          <w:noProof/>
          <w:color w:val="000000"/>
          <w:sz w:val="22"/>
          <w:szCs w:val="22"/>
          <w:lang w:val="fr-CA"/>
        </w:rPr>
        <w:t>$US, tel qu’indiqué</w:t>
      </w:r>
      <w:r w:rsidR="00AB7F79" w:rsidRPr="004635B2">
        <w:rPr>
          <w:rFonts w:ascii="Arial" w:hAnsi="Arial" w:cs="Arial"/>
          <w:noProof/>
          <w:color w:val="000000"/>
          <w:sz w:val="22"/>
          <w:szCs w:val="22"/>
          <w:lang w:val="fr-CA"/>
        </w:rPr>
        <w:t xml:space="preserve"> dans les documents de projets.</w:t>
      </w:r>
      <w:r w:rsidR="00AB7F79" w:rsidRPr="004635B2">
        <w:rPr>
          <w:rStyle w:val="FootnoteReference"/>
          <w:rFonts w:ascii="Arial" w:hAnsi="Arial" w:cs="Arial"/>
          <w:u w:val="none"/>
          <w:vertAlign w:val="superscript"/>
          <w:lang w:val="fr-CA"/>
        </w:rPr>
        <w:footnoteReference w:id="6"/>
      </w:r>
      <w:r w:rsidR="00AB7F79" w:rsidRPr="004635B2">
        <w:rPr>
          <w:rFonts w:ascii="Arial" w:hAnsi="Arial" w:cs="Arial"/>
          <w:noProof/>
          <w:color w:val="000000"/>
          <w:sz w:val="22"/>
          <w:szCs w:val="22"/>
          <w:lang w:val="fr-CA"/>
        </w:rPr>
        <w:t xml:space="preserve"> </w:t>
      </w:r>
      <w:r w:rsidR="00A03C15" w:rsidRPr="004635B2">
        <w:rPr>
          <w:rFonts w:ascii="Arial" w:hAnsi="Arial" w:cs="Arial"/>
          <w:noProof/>
          <w:color w:val="000000"/>
          <w:sz w:val="22"/>
          <w:szCs w:val="22"/>
          <w:lang w:val="fr-CA"/>
        </w:rPr>
        <w:t xml:space="preserve">  </w:t>
      </w:r>
      <w:r w:rsidRPr="004635B2">
        <w:rPr>
          <w:rFonts w:ascii="Arial" w:hAnsi="Arial" w:cs="Arial"/>
          <w:noProof/>
          <w:color w:val="000000"/>
          <w:sz w:val="22"/>
          <w:szCs w:val="22"/>
          <w:lang w:val="fr-CA"/>
        </w:rPr>
        <w:t xml:space="preserve"> </w:t>
      </w:r>
    </w:p>
    <w:p w14:paraId="6D8FC20D" w14:textId="77777777" w:rsidR="00AB7F79" w:rsidRPr="004635B2" w:rsidRDefault="00AB7F79" w:rsidP="0065103C">
      <w:pPr>
        <w:suppressLineNumbers/>
        <w:suppressAutoHyphens/>
        <w:autoSpaceDE w:val="0"/>
        <w:autoSpaceDN w:val="0"/>
        <w:adjustRightInd w:val="0"/>
        <w:snapToGrid w:val="0"/>
        <w:ind w:left="1134"/>
        <w:rPr>
          <w:rFonts w:ascii="Arial" w:hAnsi="Arial" w:cs="Arial"/>
          <w:sz w:val="22"/>
          <w:szCs w:val="22"/>
          <w:lang w:val="fr-CA"/>
        </w:rPr>
      </w:pPr>
    </w:p>
    <w:p w14:paraId="6502CCE4" w14:textId="37E91195" w:rsidR="00974917" w:rsidRPr="004635B2" w:rsidRDefault="00AB7F79" w:rsidP="00AB7F79">
      <w:pPr>
        <w:suppressLineNumbers/>
        <w:suppressAutoHyphens/>
        <w:autoSpaceDE w:val="0"/>
        <w:autoSpaceDN w:val="0"/>
        <w:adjustRightInd w:val="0"/>
        <w:snapToGrid w:val="0"/>
        <w:rPr>
          <w:rFonts w:ascii="Arial" w:hAnsi="Arial" w:cs="Arial"/>
          <w:sz w:val="22"/>
          <w:szCs w:val="22"/>
          <w:lang w:val="fr-CA"/>
        </w:rPr>
      </w:pPr>
      <w:r w:rsidRPr="004635B2">
        <w:rPr>
          <w:rFonts w:ascii="Arial" w:hAnsi="Arial" w:cs="Arial"/>
          <w:sz w:val="22"/>
          <w:szCs w:val="22"/>
          <w:lang w:val="fr-CA"/>
        </w:rPr>
        <w:t>11.</w:t>
      </w:r>
      <w:r w:rsidRPr="004635B2">
        <w:rPr>
          <w:rFonts w:ascii="Arial" w:hAnsi="Arial" w:cs="Arial"/>
          <w:sz w:val="22"/>
          <w:szCs w:val="22"/>
          <w:lang w:val="fr-CA"/>
        </w:rPr>
        <w:tab/>
      </w:r>
      <w:r w:rsidR="00974917" w:rsidRPr="004635B2">
        <w:rPr>
          <w:rFonts w:ascii="Arial" w:hAnsi="Arial" w:cs="Arial"/>
          <w:sz w:val="22"/>
          <w:szCs w:val="22"/>
          <w:lang w:val="fr-CA"/>
        </w:rPr>
        <w:t>Le tableau de bord d</w:t>
      </w:r>
      <w:r w:rsidR="00457EBD" w:rsidRPr="004635B2">
        <w:rPr>
          <w:rFonts w:ascii="Arial" w:hAnsi="Arial" w:cs="Arial"/>
          <w:sz w:val="22"/>
          <w:szCs w:val="22"/>
          <w:lang w:val="fr-CA"/>
        </w:rPr>
        <w:t>e la</w:t>
      </w:r>
      <w:r w:rsidR="00974917" w:rsidRPr="004635B2">
        <w:rPr>
          <w:rFonts w:ascii="Arial" w:hAnsi="Arial" w:cs="Arial"/>
          <w:sz w:val="22"/>
          <w:szCs w:val="22"/>
          <w:lang w:val="fr-CA"/>
        </w:rPr>
        <w:t xml:space="preserve"> FEM</w:t>
      </w:r>
      <w:r w:rsidRPr="004635B2">
        <w:rPr>
          <w:rFonts w:ascii="Arial" w:hAnsi="Arial" w:cs="Arial"/>
          <w:sz w:val="22"/>
          <w:szCs w:val="22"/>
          <w:lang w:val="fr-CA"/>
        </w:rPr>
        <w:t>-7</w:t>
      </w:r>
      <w:r w:rsidR="00974917" w:rsidRPr="004635B2">
        <w:rPr>
          <w:rFonts w:ascii="Arial" w:hAnsi="Arial" w:cs="Arial"/>
          <w:sz w:val="22"/>
          <w:szCs w:val="22"/>
          <w:lang w:val="fr-CA"/>
        </w:rPr>
        <w:t xml:space="preserve"> (</w:t>
      </w:r>
      <w:r w:rsidRPr="004635B2">
        <w:rPr>
          <w:rFonts w:ascii="Arial" w:hAnsi="Arial" w:cs="Arial"/>
          <w:sz w:val="22"/>
          <w:szCs w:val="22"/>
          <w:lang w:val="fr-CA"/>
        </w:rPr>
        <w:t>décembre 2021</w:t>
      </w:r>
      <w:r w:rsidR="00974917" w:rsidRPr="004635B2">
        <w:rPr>
          <w:rFonts w:ascii="Arial" w:hAnsi="Arial" w:cs="Arial"/>
          <w:sz w:val="22"/>
          <w:szCs w:val="22"/>
          <w:lang w:val="fr-CA"/>
        </w:rPr>
        <w:t>)</w:t>
      </w:r>
      <w:r w:rsidR="00974917" w:rsidRPr="004635B2">
        <w:rPr>
          <w:rFonts w:ascii="Arial" w:hAnsi="Arial" w:cs="Arial"/>
          <w:sz w:val="22"/>
          <w:szCs w:val="22"/>
          <w:vertAlign w:val="superscript"/>
          <w:lang w:val="fr-CA"/>
        </w:rPr>
        <w:footnoteReference w:id="7"/>
      </w:r>
      <w:r w:rsidR="00974917" w:rsidRPr="004635B2">
        <w:rPr>
          <w:rFonts w:ascii="Arial" w:hAnsi="Arial" w:cs="Arial"/>
          <w:sz w:val="22"/>
          <w:szCs w:val="22"/>
          <w:lang w:val="fr-CA"/>
        </w:rPr>
        <w:t xml:space="preserve"> </w:t>
      </w:r>
      <w:r w:rsidR="00457EBD" w:rsidRPr="004635B2">
        <w:rPr>
          <w:rFonts w:ascii="Arial" w:hAnsi="Arial" w:cs="Arial"/>
          <w:sz w:val="22"/>
          <w:szCs w:val="22"/>
          <w:lang w:val="fr-CA"/>
        </w:rPr>
        <w:t>révèle</w:t>
      </w:r>
      <w:r w:rsidR="00974917" w:rsidRPr="004635B2">
        <w:rPr>
          <w:rFonts w:ascii="Arial" w:hAnsi="Arial" w:cs="Arial"/>
          <w:sz w:val="22"/>
          <w:szCs w:val="22"/>
          <w:lang w:val="fr-CA"/>
        </w:rPr>
        <w:t xml:space="preserve"> que l'utilisation totale</w:t>
      </w:r>
      <w:r w:rsidRPr="004635B2">
        <w:rPr>
          <w:rFonts w:ascii="Arial" w:hAnsi="Arial" w:cs="Arial"/>
          <w:sz w:val="22"/>
          <w:szCs w:val="22"/>
          <w:lang w:val="fr-CA"/>
        </w:rPr>
        <w:t xml:space="preserve"> des sommes allouées</w:t>
      </w:r>
      <w:r w:rsidR="00974917" w:rsidRPr="004635B2">
        <w:rPr>
          <w:rFonts w:ascii="Arial" w:hAnsi="Arial" w:cs="Arial"/>
          <w:sz w:val="22"/>
          <w:szCs w:val="22"/>
          <w:lang w:val="fr-CA"/>
        </w:rPr>
        <w:t xml:space="preserve"> </w:t>
      </w:r>
      <w:r w:rsidR="00C272EB" w:rsidRPr="004635B2">
        <w:rPr>
          <w:rFonts w:ascii="Arial" w:hAnsi="Arial" w:cs="Arial"/>
          <w:sz w:val="22"/>
          <w:szCs w:val="22"/>
          <w:lang w:val="fr-CA"/>
        </w:rPr>
        <w:t xml:space="preserve">à ce jour pour la diversité biologique (comprenant le programme de </w:t>
      </w:r>
      <w:r w:rsidR="004635B2" w:rsidRPr="004635B2">
        <w:rPr>
          <w:rFonts w:ascii="Arial" w:hAnsi="Arial" w:cs="Arial"/>
          <w:sz w:val="22"/>
          <w:szCs w:val="22"/>
          <w:lang w:val="fr-CA"/>
        </w:rPr>
        <w:t>travail de décembre 2021) par la</w:t>
      </w:r>
      <w:r w:rsidR="00C272EB" w:rsidRPr="004635B2">
        <w:rPr>
          <w:rFonts w:ascii="Arial" w:hAnsi="Arial" w:cs="Arial"/>
          <w:sz w:val="22"/>
          <w:szCs w:val="22"/>
          <w:lang w:val="fr-CA"/>
        </w:rPr>
        <w:t xml:space="preserve"> FEM-7 </w:t>
      </w:r>
      <w:r w:rsidR="00974917" w:rsidRPr="004635B2">
        <w:rPr>
          <w:rFonts w:ascii="Arial" w:hAnsi="Arial" w:cs="Arial"/>
          <w:sz w:val="22"/>
          <w:szCs w:val="22"/>
          <w:lang w:val="fr-CA"/>
        </w:rPr>
        <w:t xml:space="preserve">dans le cadre du Système transparent d'allocation des ressources (STAR) se présente comme suit : </w:t>
      </w:r>
      <w:r w:rsidR="00C272EB" w:rsidRPr="004635B2">
        <w:rPr>
          <w:rFonts w:ascii="Arial" w:hAnsi="Arial" w:cs="Arial"/>
          <w:sz w:val="22"/>
          <w:szCs w:val="22"/>
          <w:lang w:val="fr-CA"/>
        </w:rPr>
        <w:t>89 pour cent</w:t>
      </w:r>
      <w:r w:rsidR="00974917" w:rsidRPr="004635B2">
        <w:rPr>
          <w:rFonts w:ascii="Arial" w:hAnsi="Arial" w:cs="Arial"/>
          <w:sz w:val="22"/>
          <w:szCs w:val="22"/>
          <w:lang w:val="fr-CA"/>
        </w:rPr>
        <w:t xml:space="preserve"> pour l'Afrique ; </w:t>
      </w:r>
      <w:r w:rsidR="00C272EB" w:rsidRPr="004635B2">
        <w:rPr>
          <w:rFonts w:ascii="Arial" w:hAnsi="Arial" w:cs="Arial"/>
          <w:sz w:val="22"/>
          <w:szCs w:val="22"/>
          <w:lang w:val="fr-CA"/>
        </w:rPr>
        <w:t>92 pour cent</w:t>
      </w:r>
      <w:r w:rsidR="00974917" w:rsidRPr="004635B2">
        <w:rPr>
          <w:rFonts w:ascii="Arial" w:hAnsi="Arial" w:cs="Arial"/>
          <w:sz w:val="22"/>
          <w:szCs w:val="22"/>
          <w:lang w:val="fr-CA"/>
        </w:rPr>
        <w:t xml:space="preserve"> pour l'Asie ; </w:t>
      </w:r>
      <w:r w:rsidR="00C272EB" w:rsidRPr="004635B2">
        <w:rPr>
          <w:rFonts w:ascii="Arial" w:hAnsi="Arial" w:cs="Arial"/>
          <w:sz w:val="22"/>
          <w:szCs w:val="22"/>
          <w:lang w:val="fr-CA"/>
        </w:rPr>
        <w:t>83 pour cent</w:t>
      </w:r>
      <w:r w:rsidR="00974917" w:rsidRPr="004635B2">
        <w:rPr>
          <w:rFonts w:ascii="Arial" w:hAnsi="Arial" w:cs="Arial"/>
          <w:sz w:val="22"/>
          <w:szCs w:val="22"/>
          <w:lang w:val="fr-CA"/>
        </w:rPr>
        <w:t xml:space="preserve"> pour l'Europe et l'Asie centrale et </w:t>
      </w:r>
      <w:r w:rsidR="00C272EB" w:rsidRPr="004635B2">
        <w:rPr>
          <w:rFonts w:ascii="Arial" w:hAnsi="Arial" w:cs="Arial"/>
          <w:sz w:val="22"/>
          <w:szCs w:val="22"/>
          <w:lang w:val="fr-CA"/>
        </w:rPr>
        <w:t>87 pour cent</w:t>
      </w:r>
      <w:r w:rsidR="00974917" w:rsidRPr="004635B2">
        <w:rPr>
          <w:rFonts w:ascii="Arial" w:hAnsi="Arial" w:cs="Arial"/>
          <w:sz w:val="22"/>
          <w:szCs w:val="22"/>
          <w:lang w:val="fr-CA"/>
        </w:rPr>
        <w:t xml:space="preserve"> pour l'Amérique latine et les Caraïbes. L'utilisation pour la biodiversité au cours de la même période s'élevait à </w:t>
      </w:r>
      <w:r w:rsidR="00C272EB" w:rsidRPr="004635B2">
        <w:rPr>
          <w:rFonts w:ascii="Arial" w:hAnsi="Arial" w:cs="Arial"/>
          <w:sz w:val="22"/>
          <w:szCs w:val="22"/>
          <w:lang w:val="fr-CA"/>
        </w:rPr>
        <w:t>95 pour cent</w:t>
      </w:r>
      <w:r w:rsidR="00974917" w:rsidRPr="004635B2">
        <w:rPr>
          <w:rFonts w:ascii="Arial" w:hAnsi="Arial" w:cs="Arial"/>
          <w:sz w:val="22"/>
          <w:szCs w:val="22"/>
          <w:lang w:val="fr-CA"/>
        </w:rPr>
        <w:t xml:space="preserve"> pour les pays les moins avancés (PMA) et à </w:t>
      </w:r>
      <w:r w:rsidR="00C272EB" w:rsidRPr="004635B2">
        <w:rPr>
          <w:rFonts w:ascii="Arial" w:hAnsi="Arial" w:cs="Arial"/>
          <w:sz w:val="22"/>
          <w:szCs w:val="22"/>
          <w:lang w:val="fr-CA"/>
        </w:rPr>
        <w:t>84 pour cent</w:t>
      </w:r>
      <w:r w:rsidR="00974917" w:rsidRPr="004635B2">
        <w:rPr>
          <w:rFonts w:ascii="Arial" w:hAnsi="Arial" w:cs="Arial"/>
          <w:sz w:val="22"/>
          <w:szCs w:val="22"/>
          <w:lang w:val="fr-CA"/>
        </w:rPr>
        <w:t xml:space="preserve"> pour les petits États insulaires en développement (PEID).</w:t>
      </w:r>
    </w:p>
    <w:p w14:paraId="377B447C" w14:textId="77777777" w:rsidR="00974917" w:rsidRPr="004635B2" w:rsidRDefault="00974917" w:rsidP="0065103C">
      <w:pPr>
        <w:suppressLineNumbers/>
        <w:suppressAutoHyphens/>
        <w:autoSpaceDE w:val="0"/>
        <w:autoSpaceDN w:val="0"/>
        <w:adjustRightInd w:val="0"/>
        <w:snapToGrid w:val="0"/>
        <w:ind w:left="1440"/>
        <w:rPr>
          <w:rFonts w:ascii="Arial" w:hAnsi="Arial" w:cs="Arial"/>
          <w:sz w:val="22"/>
          <w:szCs w:val="22"/>
          <w:lang w:val="fr-CA"/>
        </w:rPr>
      </w:pPr>
    </w:p>
    <w:p w14:paraId="0EFF13FA" w14:textId="55BC611F" w:rsidR="00974917" w:rsidRPr="004635B2" w:rsidRDefault="00475A6F" w:rsidP="00475A6F">
      <w:pPr>
        <w:suppressLineNumbers/>
        <w:suppressAutoHyphens/>
        <w:autoSpaceDE w:val="0"/>
        <w:autoSpaceDN w:val="0"/>
        <w:adjustRightInd w:val="0"/>
        <w:snapToGrid w:val="0"/>
        <w:rPr>
          <w:rFonts w:ascii="Arial" w:eastAsiaTheme="minorEastAsia" w:hAnsi="Arial" w:cs="Arial"/>
          <w:color w:val="000000"/>
          <w:sz w:val="22"/>
          <w:szCs w:val="22"/>
          <w:u w:val="single"/>
          <w:lang w:val="fr-CA"/>
        </w:rPr>
      </w:pPr>
      <w:r w:rsidRPr="004635B2">
        <w:rPr>
          <w:rFonts w:ascii="Arial" w:eastAsiaTheme="minorEastAsia" w:hAnsi="Arial" w:cs="Arial"/>
          <w:color w:val="000000"/>
          <w:sz w:val="22"/>
          <w:szCs w:val="22"/>
          <w:lang w:val="fr-CA"/>
        </w:rPr>
        <w:t>b.</w:t>
      </w:r>
      <w:r w:rsidRPr="004635B2">
        <w:rPr>
          <w:rFonts w:ascii="Arial" w:eastAsiaTheme="minorEastAsia" w:hAnsi="Arial" w:cs="Arial"/>
          <w:color w:val="000000"/>
          <w:sz w:val="22"/>
          <w:szCs w:val="22"/>
          <w:lang w:val="fr-CA"/>
        </w:rPr>
        <w:tab/>
      </w:r>
      <w:r w:rsidR="00974917" w:rsidRPr="004635B2">
        <w:rPr>
          <w:rFonts w:ascii="Arial" w:eastAsiaTheme="minorEastAsia" w:hAnsi="Arial" w:cs="Arial"/>
          <w:color w:val="000000"/>
          <w:sz w:val="22"/>
          <w:szCs w:val="22"/>
          <w:u w:val="single"/>
          <w:lang w:val="fr-CA"/>
        </w:rPr>
        <w:t xml:space="preserve">Expérience </w:t>
      </w:r>
      <w:r w:rsidRPr="004635B2">
        <w:rPr>
          <w:rFonts w:ascii="Arial" w:eastAsiaTheme="minorEastAsia" w:hAnsi="Arial" w:cs="Arial"/>
          <w:color w:val="000000"/>
          <w:sz w:val="22"/>
          <w:szCs w:val="22"/>
          <w:u w:val="single"/>
          <w:lang w:val="fr-CA"/>
        </w:rPr>
        <w:t>du FEM</w:t>
      </w:r>
      <w:r w:rsidR="00974917" w:rsidRPr="004635B2">
        <w:rPr>
          <w:rFonts w:ascii="Arial" w:eastAsiaTheme="minorEastAsia" w:hAnsi="Arial" w:cs="Arial"/>
          <w:color w:val="000000"/>
          <w:sz w:val="22"/>
          <w:szCs w:val="22"/>
          <w:u w:val="single"/>
          <w:lang w:val="fr-CA"/>
        </w:rPr>
        <w:t xml:space="preserve"> à ce jour</w:t>
      </w:r>
    </w:p>
    <w:p w14:paraId="6AAE29DF" w14:textId="77777777" w:rsidR="00974917" w:rsidRPr="004635B2" w:rsidRDefault="00974917" w:rsidP="00C272EB">
      <w:pPr>
        <w:suppressLineNumbers/>
        <w:suppressAutoHyphens/>
        <w:autoSpaceDE w:val="0"/>
        <w:autoSpaceDN w:val="0"/>
        <w:adjustRightInd w:val="0"/>
        <w:snapToGrid w:val="0"/>
        <w:rPr>
          <w:rFonts w:ascii="Arial" w:hAnsi="Arial" w:cs="Arial"/>
          <w:sz w:val="22"/>
          <w:szCs w:val="22"/>
          <w:lang w:val="fr-CA"/>
        </w:rPr>
      </w:pPr>
    </w:p>
    <w:p w14:paraId="368937DD" w14:textId="28A34860" w:rsidR="00974917" w:rsidRPr="004635B2" w:rsidRDefault="00475A6F" w:rsidP="00C272EB">
      <w:pPr>
        <w:suppressLineNumbers/>
        <w:suppressAutoHyphens/>
        <w:autoSpaceDE w:val="0"/>
        <w:autoSpaceDN w:val="0"/>
        <w:adjustRightInd w:val="0"/>
        <w:snapToGrid w:val="0"/>
        <w:rPr>
          <w:rFonts w:ascii="Arial" w:hAnsi="Arial" w:cs="Arial"/>
          <w:sz w:val="22"/>
          <w:szCs w:val="22"/>
          <w:lang w:val="fr-CA"/>
        </w:rPr>
      </w:pPr>
      <w:r w:rsidRPr="004635B2">
        <w:rPr>
          <w:rFonts w:ascii="Arial" w:hAnsi="Arial" w:cs="Arial"/>
          <w:sz w:val="22"/>
          <w:szCs w:val="22"/>
          <w:lang w:val="fr-CA"/>
        </w:rPr>
        <w:t>12.</w:t>
      </w:r>
      <w:r w:rsidRPr="004635B2">
        <w:rPr>
          <w:rFonts w:ascii="Arial" w:hAnsi="Arial" w:cs="Arial"/>
          <w:sz w:val="22"/>
          <w:szCs w:val="22"/>
          <w:lang w:val="fr-CA"/>
        </w:rPr>
        <w:tab/>
      </w:r>
      <w:r w:rsidR="00974917" w:rsidRPr="004635B2">
        <w:rPr>
          <w:rFonts w:ascii="Arial" w:hAnsi="Arial" w:cs="Arial"/>
          <w:sz w:val="22"/>
          <w:szCs w:val="22"/>
          <w:lang w:val="fr-CA"/>
        </w:rPr>
        <w:t xml:space="preserve">On dénombre huit indicateurs </w:t>
      </w:r>
      <w:r w:rsidR="004635B2" w:rsidRPr="004635B2">
        <w:rPr>
          <w:rFonts w:ascii="Arial" w:hAnsi="Arial" w:cs="Arial"/>
          <w:sz w:val="22"/>
          <w:szCs w:val="22"/>
          <w:lang w:val="fr-CA"/>
        </w:rPr>
        <w:t>portant sur la diversité biologique</w:t>
      </w:r>
      <w:r w:rsidR="00974917" w:rsidRPr="004635B2">
        <w:rPr>
          <w:rFonts w:ascii="Arial" w:hAnsi="Arial" w:cs="Arial"/>
          <w:sz w:val="22"/>
          <w:szCs w:val="22"/>
          <w:lang w:val="fr-CA"/>
        </w:rPr>
        <w:t xml:space="preserve"> sur les onze indicateurs de base du FEM pour suivre l'impact de ses projets</w:t>
      </w:r>
      <w:r w:rsidR="00977A8A" w:rsidRPr="004635B2">
        <w:rPr>
          <w:rFonts w:ascii="Arial" w:hAnsi="Arial" w:cs="Arial"/>
          <w:sz w:val="22"/>
          <w:szCs w:val="22"/>
          <w:lang w:val="fr-CA"/>
        </w:rPr>
        <w:t>.</w:t>
      </w:r>
      <w:r w:rsidR="00974917" w:rsidRPr="004635B2">
        <w:rPr>
          <w:rStyle w:val="FootnoteReference"/>
          <w:rFonts w:ascii="Arial" w:hAnsi="Arial" w:cs="Arial"/>
          <w:sz w:val="22"/>
          <w:szCs w:val="22"/>
          <w:u w:val="none"/>
          <w:vertAlign w:val="superscript"/>
          <w:lang w:val="fr-CA"/>
        </w:rPr>
        <w:footnoteReference w:id="8"/>
      </w:r>
      <w:r w:rsidR="00974917" w:rsidRPr="004635B2">
        <w:rPr>
          <w:rFonts w:ascii="Arial" w:hAnsi="Arial" w:cs="Arial"/>
          <w:sz w:val="22"/>
          <w:szCs w:val="22"/>
          <w:lang w:val="fr-CA"/>
        </w:rPr>
        <w:t xml:space="preserve"> Comme indiqué, la contribution prévue aux indicateurs de base est disproportionnellement élevée pour les programmes à impact, en particulier pour les indicateurs relatifs aux zones terrestres protégées, à la restauration des sols </w:t>
      </w:r>
      <w:r w:rsidR="00974917" w:rsidRPr="004635B2">
        <w:rPr>
          <w:rFonts w:ascii="Arial" w:hAnsi="Arial" w:cs="Arial"/>
          <w:sz w:val="22"/>
          <w:szCs w:val="22"/>
          <w:lang w:val="fr-CA"/>
        </w:rPr>
        <w:lastRenderedPageBreak/>
        <w:t>et aux paysages</w:t>
      </w:r>
      <w:r w:rsidR="004635B2" w:rsidRPr="004635B2">
        <w:rPr>
          <w:rFonts w:ascii="Arial" w:hAnsi="Arial" w:cs="Arial"/>
          <w:sz w:val="22"/>
          <w:szCs w:val="22"/>
          <w:lang w:val="fr-CA"/>
        </w:rPr>
        <w:t xml:space="preserve"> </w:t>
      </w:r>
      <w:r w:rsidR="00974917" w:rsidRPr="004635B2">
        <w:rPr>
          <w:rFonts w:ascii="Arial" w:hAnsi="Arial" w:cs="Arial"/>
          <w:sz w:val="22"/>
          <w:szCs w:val="22"/>
          <w:lang w:val="fr-CA"/>
        </w:rPr>
        <w:t>impliquant des pratiques améliorées. Le cadre de la CDB compte actuellement environ 98 indicateurs révélateurs, que les pays sont encouragés à utiliser pour suivre les progrès accomplis dans la réalisation des Objectifs d’Aichi pour la biodiversité.</w:t>
      </w:r>
      <w:r w:rsidR="00974917" w:rsidRPr="004635B2">
        <w:rPr>
          <w:rFonts w:ascii="Arial" w:hAnsi="Arial" w:cs="Arial"/>
          <w:sz w:val="22"/>
          <w:szCs w:val="22"/>
          <w:lang w:val="fr-CA"/>
        </w:rPr>
        <w:tab/>
      </w:r>
      <w:r w:rsidR="00974917" w:rsidRPr="004635B2">
        <w:rPr>
          <w:rFonts w:ascii="Arial" w:hAnsi="Arial" w:cs="Arial"/>
          <w:sz w:val="22"/>
          <w:szCs w:val="22"/>
          <w:lang w:val="fr-CA"/>
        </w:rPr>
        <w:tab/>
      </w:r>
      <w:r w:rsidR="00974917" w:rsidRPr="004635B2">
        <w:rPr>
          <w:rFonts w:ascii="Arial" w:hAnsi="Arial" w:cs="Arial"/>
          <w:sz w:val="22"/>
          <w:szCs w:val="22"/>
          <w:lang w:val="fr-CA"/>
        </w:rPr>
        <w:tab/>
      </w:r>
    </w:p>
    <w:p w14:paraId="4930E9AF" w14:textId="77777777" w:rsidR="00974917" w:rsidRPr="004635B2" w:rsidRDefault="00974917" w:rsidP="0065103C">
      <w:pPr>
        <w:suppressLineNumbers/>
        <w:suppressAutoHyphens/>
        <w:autoSpaceDE w:val="0"/>
        <w:autoSpaceDN w:val="0"/>
        <w:adjustRightInd w:val="0"/>
        <w:snapToGrid w:val="0"/>
        <w:rPr>
          <w:rFonts w:ascii="Arial" w:eastAsiaTheme="minorEastAsia" w:hAnsi="Arial" w:cs="Arial"/>
          <w:color w:val="000000"/>
          <w:sz w:val="22"/>
          <w:szCs w:val="22"/>
          <w:lang w:val="fr-CA"/>
        </w:rPr>
      </w:pPr>
    </w:p>
    <w:p w14:paraId="7481B497" w14:textId="4DB3939B" w:rsidR="00974917" w:rsidRPr="004635B2" w:rsidRDefault="00977A8A" w:rsidP="00977A8A">
      <w:pPr>
        <w:suppressLineNumbers/>
        <w:suppressAutoHyphens/>
        <w:autoSpaceDE w:val="0"/>
        <w:autoSpaceDN w:val="0"/>
        <w:adjustRightInd w:val="0"/>
        <w:snapToGrid w:val="0"/>
        <w:rPr>
          <w:rFonts w:ascii="Arial" w:eastAsiaTheme="minorEastAsia" w:hAnsi="Arial" w:cs="Arial"/>
          <w:color w:val="000000"/>
          <w:sz w:val="22"/>
          <w:szCs w:val="22"/>
          <w:lang w:val="fr-CA"/>
        </w:rPr>
      </w:pPr>
      <w:r w:rsidRPr="004635B2">
        <w:rPr>
          <w:rFonts w:ascii="Arial" w:eastAsiaTheme="minorEastAsia" w:hAnsi="Arial" w:cs="Arial"/>
          <w:color w:val="000000"/>
          <w:sz w:val="22"/>
          <w:szCs w:val="22"/>
          <w:lang w:val="fr-CA"/>
        </w:rPr>
        <w:t>13.</w:t>
      </w:r>
      <w:r w:rsidRPr="004635B2">
        <w:rPr>
          <w:rFonts w:ascii="Arial" w:eastAsiaTheme="minorEastAsia" w:hAnsi="Arial" w:cs="Arial"/>
          <w:color w:val="000000"/>
          <w:sz w:val="22"/>
          <w:szCs w:val="22"/>
          <w:lang w:val="fr-CA"/>
        </w:rPr>
        <w:tab/>
      </w:r>
      <w:r w:rsidR="00974917" w:rsidRPr="004635B2">
        <w:rPr>
          <w:rFonts w:ascii="Arial" w:eastAsiaTheme="minorEastAsia" w:hAnsi="Arial" w:cs="Arial"/>
          <w:color w:val="000000"/>
          <w:sz w:val="22"/>
          <w:szCs w:val="22"/>
          <w:lang w:val="fr-CA"/>
        </w:rPr>
        <w:t xml:space="preserve">Ces indicateurs </w:t>
      </w:r>
      <w:r w:rsidR="000828B7" w:rsidRPr="004635B2">
        <w:rPr>
          <w:rFonts w:ascii="Arial" w:eastAsiaTheme="minorEastAsia" w:hAnsi="Arial" w:cs="Arial"/>
          <w:color w:val="000000"/>
          <w:sz w:val="22"/>
          <w:szCs w:val="22"/>
          <w:lang w:val="fr-CA"/>
        </w:rPr>
        <w:t xml:space="preserve">de base du FEM </w:t>
      </w:r>
      <w:r w:rsidR="00974917" w:rsidRPr="004635B2">
        <w:rPr>
          <w:rFonts w:ascii="Arial" w:eastAsiaTheme="minorEastAsia" w:hAnsi="Arial" w:cs="Arial"/>
          <w:color w:val="000000"/>
          <w:sz w:val="22"/>
          <w:szCs w:val="22"/>
          <w:lang w:val="fr-CA"/>
        </w:rPr>
        <w:t>permettent de constater que l</w:t>
      </w:r>
      <w:r w:rsidR="006657C9">
        <w:rPr>
          <w:rFonts w:ascii="Arial" w:eastAsiaTheme="minorEastAsia" w:hAnsi="Arial" w:cs="Arial"/>
          <w:color w:val="000000"/>
          <w:sz w:val="22"/>
          <w:szCs w:val="22"/>
          <w:lang w:val="fr-CA"/>
        </w:rPr>
        <w:t>a</w:t>
      </w:r>
      <w:r w:rsidR="00974917" w:rsidRPr="004635B2">
        <w:rPr>
          <w:rFonts w:ascii="Arial" w:eastAsiaTheme="minorEastAsia" w:hAnsi="Arial" w:cs="Arial"/>
          <w:color w:val="000000"/>
          <w:sz w:val="22"/>
          <w:szCs w:val="22"/>
          <w:lang w:val="fr-CA"/>
        </w:rPr>
        <w:t xml:space="preserve"> FEM-7 progresse de façon satisfaisante dans la réalisation de ses objectifs concernant le domaine d'intervention relatif à la </w:t>
      </w:r>
      <w:r w:rsidR="006657C9">
        <w:rPr>
          <w:rFonts w:ascii="Arial" w:eastAsiaTheme="minorEastAsia" w:hAnsi="Arial" w:cs="Arial"/>
          <w:color w:val="000000"/>
          <w:sz w:val="22"/>
          <w:szCs w:val="22"/>
          <w:lang w:val="fr-CA"/>
        </w:rPr>
        <w:t>diversité biologique</w:t>
      </w:r>
      <w:r w:rsidR="000828B7" w:rsidRPr="004635B2">
        <w:rPr>
          <w:rFonts w:ascii="Arial" w:eastAsiaTheme="minorEastAsia" w:hAnsi="Arial" w:cs="Arial"/>
          <w:color w:val="000000"/>
          <w:sz w:val="22"/>
          <w:szCs w:val="22"/>
          <w:lang w:val="fr-CA"/>
        </w:rPr>
        <w:t xml:space="preserve"> (tableau de bord d</w:t>
      </w:r>
      <w:r w:rsidR="006657C9">
        <w:rPr>
          <w:rFonts w:ascii="Arial" w:eastAsiaTheme="minorEastAsia" w:hAnsi="Arial" w:cs="Arial"/>
          <w:color w:val="000000"/>
          <w:sz w:val="22"/>
          <w:szCs w:val="22"/>
          <w:lang w:val="fr-CA"/>
        </w:rPr>
        <w:t>e la</w:t>
      </w:r>
      <w:r w:rsidR="000828B7" w:rsidRPr="004635B2">
        <w:rPr>
          <w:rFonts w:ascii="Arial" w:eastAsiaTheme="minorEastAsia" w:hAnsi="Arial" w:cs="Arial"/>
          <w:color w:val="000000"/>
          <w:sz w:val="22"/>
          <w:szCs w:val="22"/>
          <w:lang w:val="fr-CA"/>
        </w:rPr>
        <w:t xml:space="preserve"> FEM-7, décembre 2021)</w:t>
      </w:r>
      <w:r w:rsidR="00974917" w:rsidRPr="004635B2">
        <w:rPr>
          <w:rFonts w:ascii="Arial" w:eastAsiaTheme="minorEastAsia" w:hAnsi="Arial" w:cs="Arial"/>
          <w:color w:val="000000"/>
          <w:sz w:val="22"/>
          <w:szCs w:val="22"/>
          <w:lang w:val="fr-CA"/>
        </w:rPr>
        <w:t xml:space="preserve">. </w:t>
      </w:r>
      <w:r w:rsidR="006657C9">
        <w:rPr>
          <w:rFonts w:ascii="Arial" w:eastAsiaTheme="minorEastAsia" w:hAnsi="Arial" w:cs="Arial"/>
          <w:color w:val="000000"/>
          <w:sz w:val="22"/>
          <w:szCs w:val="22"/>
          <w:lang w:val="fr-CA"/>
        </w:rPr>
        <w:t>Elle</w:t>
      </w:r>
      <w:r w:rsidR="00974917" w:rsidRPr="004635B2">
        <w:rPr>
          <w:rFonts w:ascii="Arial" w:eastAsiaTheme="minorEastAsia" w:hAnsi="Arial" w:cs="Arial"/>
          <w:color w:val="000000"/>
          <w:sz w:val="22"/>
          <w:szCs w:val="22"/>
          <w:lang w:val="fr-CA"/>
        </w:rPr>
        <w:t xml:space="preserve"> a atteint </w:t>
      </w:r>
      <w:r w:rsidR="006657C9">
        <w:rPr>
          <w:rFonts w:ascii="Arial" w:eastAsiaTheme="minorEastAsia" w:hAnsi="Arial" w:cs="Arial"/>
          <w:color w:val="000000"/>
          <w:sz w:val="22"/>
          <w:szCs w:val="22"/>
          <w:lang w:val="fr-CA"/>
        </w:rPr>
        <w:t>51 </w:t>
      </w:r>
      <w:r w:rsidR="000828B7" w:rsidRPr="004635B2">
        <w:rPr>
          <w:rFonts w:ascii="Arial" w:eastAsiaTheme="minorEastAsia" w:hAnsi="Arial" w:cs="Arial"/>
          <w:color w:val="000000"/>
          <w:sz w:val="22"/>
          <w:szCs w:val="22"/>
          <w:lang w:val="fr-CA"/>
        </w:rPr>
        <w:t>pour cent</w:t>
      </w:r>
      <w:r w:rsidR="00974917" w:rsidRPr="004635B2">
        <w:rPr>
          <w:rFonts w:ascii="Arial" w:eastAsiaTheme="minorEastAsia" w:hAnsi="Arial" w:cs="Arial"/>
          <w:color w:val="000000"/>
          <w:sz w:val="22"/>
          <w:szCs w:val="22"/>
          <w:lang w:val="fr-CA"/>
        </w:rPr>
        <w:t xml:space="preserve"> de l'objectif relatif </w:t>
      </w:r>
      <w:r w:rsidR="000828B7" w:rsidRPr="004635B2">
        <w:rPr>
          <w:rFonts w:ascii="Arial" w:eastAsiaTheme="minorEastAsia" w:hAnsi="Arial" w:cs="Arial"/>
          <w:color w:val="000000"/>
          <w:sz w:val="22"/>
          <w:szCs w:val="22"/>
          <w:lang w:val="fr-CA"/>
        </w:rPr>
        <w:t xml:space="preserve">à la protection de 200 millions d’hectares de </w:t>
      </w:r>
      <w:r w:rsidR="00076A08" w:rsidRPr="004635B2">
        <w:rPr>
          <w:rFonts w:ascii="Arial" w:eastAsiaTheme="minorEastAsia" w:hAnsi="Arial" w:cs="Arial"/>
          <w:color w:val="000000"/>
          <w:sz w:val="22"/>
          <w:szCs w:val="22"/>
          <w:lang w:val="fr-CA"/>
        </w:rPr>
        <w:t>zones terrestres protégées, 100 pour cent de l’objectif de 8 millions d’hectares da</w:t>
      </w:r>
      <w:r w:rsidR="00974917" w:rsidRPr="004635B2">
        <w:rPr>
          <w:rFonts w:ascii="Arial" w:eastAsiaTheme="minorEastAsia" w:hAnsi="Arial" w:cs="Arial"/>
          <w:color w:val="000000"/>
          <w:sz w:val="22"/>
          <w:szCs w:val="22"/>
          <w:lang w:val="fr-CA"/>
        </w:rPr>
        <w:t xml:space="preserve">ns le domaine marin et </w:t>
      </w:r>
      <w:r w:rsidR="006657C9">
        <w:rPr>
          <w:rFonts w:ascii="Arial" w:eastAsiaTheme="minorEastAsia" w:hAnsi="Arial" w:cs="Arial"/>
          <w:color w:val="000000"/>
          <w:sz w:val="22"/>
          <w:szCs w:val="22"/>
          <w:lang w:val="fr-CA"/>
        </w:rPr>
        <w:t>100 </w:t>
      </w:r>
      <w:r w:rsidR="00076A08" w:rsidRPr="004635B2">
        <w:rPr>
          <w:rFonts w:ascii="Arial" w:eastAsiaTheme="minorEastAsia" w:hAnsi="Arial" w:cs="Arial"/>
          <w:color w:val="000000"/>
          <w:sz w:val="22"/>
          <w:szCs w:val="22"/>
          <w:lang w:val="fr-CA"/>
        </w:rPr>
        <w:t>pour cent de l’objectif de restauration de 6 millions d’hectares de sols.</w:t>
      </w:r>
      <w:r w:rsidR="00974917" w:rsidRPr="004635B2">
        <w:rPr>
          <w:rFonts w:ascii="Arial" w:eastAsiaTheme="minorEastAsia" w:hAnsi="Arial" w:cs="Arial"/>
          <w:color w:val="000000"/>
          <w:lang w:val="fr-CA"/>
        </w:rPr>
        <w:t xml:space="preserve"> </w:t>
      </w:r>
    </w:p>
    <w:p w14:paraId="4B87B76E" w14:textId="592B19B6" w:rsidR="00531A5C" w:rsidRPr="004635B2" w:rsidRDefault="00977A8A" w:rsidP="00531A5C">
      <w:pPr>
        <w:pStyle w:val="ListParagraph"/>
        <w:suppressLineNumbers/>
        <w:suppressAutoHyphens/>
        <w:adjustRightInd w:val="0"/>
        <w:snapToGrid w:val="0"/>
        <w:spacing w:before="240"/>
        <w:ind w:left="0"/>
        <w:rPr>
          <w:rFonts w:ascii="Arial" w:hAnsi="Arial" w:cs="Arial"/>
          <w:sz w:val="22"/>
          <w:szCs w:val="22"/>
          <w:lang w:val="fr-CA"/>
        </w:rPr>
      </w:pPr>
      <w:r w:rsidRPr="004635B2">
        <w:rPr>
          <w:rFonts w:ascii="Arial" w:hAnsi="Arial" w:cs="Arial"/>
          <w:sz w:val="22"/>
          <w:szCs w:val="22"/>
          <w:lang w:val="fr-CA"/>
        </w:rPr>
        <w:t>14.</w:t>
      </w:r>
      <w:r w:rsidRPr="004635B2">
        <w:rPr>
          <w:rFonts w:ascii="Arial" w:hAnsi="Arial" w:cs="Arial"/>
          <w:sz w:val="22"/>
          <w:szCs w:val="22"/>
          <w:lang w:val="fr-CA"/>
        </w:rPr>
        <w:tab/>
      </w:r>
      <w:r w:rsidR="00974917" w:rsidRPr="004635B2">
        <w:rPr>
          <w:rFonts w:ascii="Arial" w:hAnsi="Arial" w:cs="Arial"/>
          <w:sz w:val="22"/>
          <w:szCs w:val="22"/>
          <w:lang w:val="fr-CA"/>
        </w:rPr>
        <w:t xml:space="preserve">Le FEM indique que ses </w:t>
      </w:r>
      <w:r w:rsidR="00974917" w:rsidRPr="004635B2">
        <w:rPr>
          <w:rFonts w:ascii="Arial" w:hAnsi="Arial" w:cs="Arial"/>
          <w:bCs/>
          <w:sz w:val="22"/>
          <w:szCs w:val="22"/>
          <w:lang w:val="fr-CA"/>
        </w:rPr>
        <w:t>programmes à impact</w:t>
      </w:r>
      <w:r w:rsidR="00974917" w:rsidRPr="004635B2">
        <w:rPr>
          <w:rFonts w:ascii="Arial" w:hAnsi="Arial" w:cs="Arial"/>
          <w:sz w:val="22"/>
          <w:szCs w:val="22"/>
          <w:lang w:val="fr-CA"/>
        </w:rPr>
        <w:t xml:space="preserve"> apportent une contribution significative à la réalisation de ses indicateurs de base. Les programmes à impact d</w:t>
      </w:r>
      <w:r w:rsidR="006657C9">
        <w:rPr>
          <w:rFonts w:ascii="Arial" w:hAnsi="Arial" w:cs="Arial"/>
          <w:sz w:val="22"/>
          <w:szCs w:val="22"/>
          <w:lang w:val="fr-CA"/>
        </w:rPr>
        <w:t>e la</w:t>
      </w:r>
      <w:r w:rsidR="00974917" w:rsidRPr="004635B2">
        <w:rPr>
          <w:rFonts w:ascii="Arial" w:hAnsi="Arial" w:cs="Arial"/>
          <w:sz w:val="22"/>
          <w:szCs w:val="22"/>
          <w:lang w:val="fr-CA"/>
        </w:rPr>
        <w:t xml:space="preserve"> FEM-7 visent à apporter des avantages environnementaux à grande échelle, leurs ressources étant désormais presque entièrement programmées. Au total, 60 pays participent à ces programmes, certains d'entre eux étant engagés dans plus d'un programme. Somme toute, ces projets favorisent une approche intégrée pour lutter contre les facteurs de dégradation de l'environnement par la gestion durable des forêts, les villes durables et les systèmes alimentaires, </w:t>
      </w:r>
      <w:r w:rsidR="006657C9">
        <w:rPr>
          <w:rFonts w:ascii="Arial" w:hAnsi="Arial" w:cs="Arial"/>
          <w:sz w:val="22"/>
          <w:szCs w:val="22"/>
          <w:lang w:val="fr-CA"/>
        </w:rPr>
        <w:t xml:space="preserve">ainsi que </w:t>
      </w:r>
      <w:r w:rsidR="00974917" w:rsidRPr="004635B2">
        <w:rPr>
          <w:rFonts w:ascii="Arial" w:hAnsi="Arial" w:cs="Arial"/>
          <w:sz w:val="22"/>
          <w:szCs w:val="22"/>
          <w:lang w:val="fr-CA"/>
        </w:rPr>
        <w:t>l'utilisation et la restauration des sols.</w:t>
      </w:r>
    </w:p>
    <w:p w14:paraId="43F58B33" w14:textId="6ABA4FF4" w:rsidR="00974917" w:rsidRPr="004635B2" w:rsidRDefault="00531A5C" w:rsidP="00531A5C">
      <w:pPr>
        <w:pStyle w:val="ListParagraph"/>
        <w:suppressLineNumbers/>
        <w:suppressAutoHyphens/>
        <w:adjustRightInd w:val="0"/>
        <w:snapToGrid w:val="0"/>
        <w:spacing w:before="240"/>
        <w:ind w:left="0"/>
        <w:rPr>
          <w:rFonts w:ascii="Arial" w:eastAsia="MS Mincho" w:hAnsi="Arial" w:cs="Arial"/>
          <w:snapToGrid w:val="0"/>
          <w:sz w:val="22"/>
          <w:szCs w:val="22"/>
          <w:lang w:val="fr-CA"/>
        </w:rPr>
      </w:pPr>
      <w:r w:rsidRPr="004635B2">
        <w:rPr>
          <w:rFonts w:ascii="Arial" w:hAnsi="Arial" w:cs="Arial"/>
          <w:sz w:val="22"/>
          <w:szCs w:val="22"/>
          <w:lang w:val="fr-CA"/>
        </w:rPr>
        <w:t>15.</w:t>
      </w:r>
      <w:r w:rsidRPr="004635B2">
        <w:rPr>
          <w:rFonts w:ascii="Arial" w:hAnsi="Arial" w:cs="Arial"/>
          <w:sz w:val="22"/>
          <w:szCs w:val="22"/>
          <w:lang w:val="fr-CA"/>
        </w:rPr>
        <w:tab/>
      </w:r>
      <w:r w:rsidR="006657C9">
        <w:rPr>
          <w:rFonts w:ascii="Arial" w:eastAsia="MS Mincho" w:hAnsi="Arial" w:cs="Arial"/>
          <w:snapToGrid w:val="0"/>
          <w:sz w:val="22"/>
          <w:szCs w:val="22"/>
          <w:lang w:val="fr-CA"/>
        </w:rPr>
        <w:t>Dans le contexte</w:t>
      </w:r>
      <w:r w:rsidR="00974917" w:rsidRPr="004635B2">
        <w:rPr>
          <w:rFonts w:ascii="Arial" w:eastAsia="MS Mincho" w:hAnsi="Arial" w:cs="Arial"/>
          <w:snapToGrid w:val="0"/>
          <w:sz w:val="22"/>
          <w:szCs w:val="22"/>
          <w:lang w:val="fr-CA"/>
        </w:rPr>
        <w:t xml:space="preserve"> d</w:t>
      </w:r>
      <w:r w:rsidR="006657C9">
        <w:rPr>
          <w:rFonts w:ascii="Arial" w:eastAsia="MS Mincho" w:hAnsi="Arial" w:cs="Arial"/>
          <w:snapToGrid w:val="0"/>
          <w:sz w:val="22"/>
          <w:szCs w:val="22"/>
          <w:lang w:val="fr-CA"/>
        </w:rPr>
        <w:t>e la</w:t>
      </w:r>
      <w:r w:rsidR="00974917" w:rsidRPr="004635B2">
        <w:rPr>
          <w:rFonts w:ascii="Arial" w:eastAsia="MS Mincho" w:hAnsi="Arial" w:cs="Arial"/>
          <w:snapToGrid w:val="0"/>
          <w:sz w:val="22"/>
          <w:szCs w:val="22"/>
          <w:lang w:val="fr-CA"/>
        </w:rPr>
        <w:t xml:space="preserve"> FEM-7, </w:t>
      </w:r>
      <w:r w:rsidRPr="004635B2">
        <w:rPr>
          <w:rFonts w:ascii="Arial" w:eastAsia="MS Mincho" w:hAnsi="Arial" w:cs="Arial"/>
          <w:snapToGrid w:val="0"/>
          <w:sz w:val="22"/>
          <w:szCs w:val="22"/>
          <w:lang w:val="fr-CA"/>
        </w:rPr>
        <w:t>l’attention a été accordée à</w:t>
      </w:r>
      <w:r w:rsidR="00974917" w:rsidRPr="004635B2">
        <w:rPr>
          <w:rFonts w:ascii="Arial" w:eastAsia="MS Mincho" w:hAnsi="Arial" w:cs="Arial"/>
          <w:snapToGrid w:val="0"/>
          <w:sz w:val="22"/>
          <w:szCs w:val="22"/>
          <w:lang w:val="fr-CA"/>
        </w:rPr>
        <w:t xml:space="preserve"> l'utilisation d'</w:t>
      </w:r>
      <w:r w:rsidR="00974917" w:rsidRPr="004635B2">
        <w:rPr>
          <w:rFonts w:ascii="Arial" w:eastAsia="MS Mincho" w:hAnsi="Arial" w:cs="Arial"/>
          <w:bCs/>
          <w:snapToGrid w:val="0"/>
          <w:sz w:val="22"/>
          <w:szCs w:val="22"/>
          <w:lang w:val="fr-CA"/>
        </w:rPr>
        <w:t>instruments ne reposant pas sur des subventions</w:t>
      </w:r>
      <w:r w:rsidR="00974917" w:rsidRPr="004635B2">
        <w:rPr>
          <w:rFonts w:ascii="Arial" w:eastAsia="MS Mincho" w:hAnsi="Arial" w:cs="Arial"/>
          <w:snapToGrid w:val="0"/>
          <w:sz w:val="22"/>
          <w:szCs w:val="22"/>
          <w:lang w:val="fr-CA"/>
        </w:rPr>
        <w:t xml:space="preserve"> pour le financement mixte</w:t>
      </w:r>
      <w:r w:rsidR="006657C9">
        <w:rPr>
          <w:rFonts w:ascii="Arial" w:eastAsia="MS Mincho" w:hAnsi="Arial" w:cs="Arial"/>
          <w:snapToGrid w:val="0"/>
          <w:sz w:val="22"/>
          <w:szCs w:val="22"/>
          <w:lang w:val="fr-CA"/>
        </w:rPr>
        <w:t>,</w:t>
      </w:r>
      <w:r w:rsidR="00974917" w:rsidRPr="004635B2">
        <w:rPr>
          <w:rFonts w:ascii="Arial" w:eastAsia="MS Mincho" w:hAnsi="Arial" w:cs="Arial"/>
          <w:snapToGrid w:val="0"/>
          <w:sz w:val="22"/>
          <w:szCs w:val="22"/>
          <w:lang w:val="fr-CA"/>
        </w:rPr>
        <w:t xml:space="preserve"> afin de catalyser les investissements des marchés de capitaux aux niveaux mondial et national, en harmonisation avec les objectifs des domaines d'intervention. </w:t>
      </w:r>
    </w:p>
    <w:p w14:paraId="3DEA054F" w14:textId="09685633" w:rsidR="00974917" w:rsidRPr="004635B2" w:rsidRDefault="00531A5C" w:rsidP="00531A5C">
      <w:pPr>
        <w:pStyle w:val="ListParagraph"/>
        <w:suppressLineNumbers/>
        <w:suppressAutoHyphens/>
        <w:adjustRightInd w:val="0"/>
        <w:snapToGrid w:val="0"/>
        <w:spacing w:before="240"/>
        <w:ind w:left="0"/>
        <w:rPr>
          <w:rFonts w:ascii="Arial" w:hAnsi="Arial" w:cs="Arial"/>
          <w:sz w:val="22"/>
          <w:szCs w:val="22"/>
          <w:lang w:val="fr-CA"/>
        </w:rPr>
      </w:pPr>
      <w:r w:rsidRPr="004635B2">
        <w:rPr>
          <w:rFonts w:ascii="Arial" w:eastAsia="MS Mincho" w:hAnsi="Arial" w:cs="Arial"/>
          <w:snapToGrid w:val="0"/>
          <w:sz w:val="22"/>
          <w:szCs w:val="22"/>
          <w:lang w:val="fr-CA"/>
        </w:rPr>
        <w:t>16.</w:t>
      </w:r>
      <w:r w:rsidRPr="004635B2">
        <w:rPr>
          <w:rFonts w:ascii="Arial" w:eastAsia="MS Mincho" w:hAnsi="Arial" w:cs="Arial"/>
          <w:snapToGrid w:val="0"/>
          <w:sz w:val="22"/>
          <w:szCs w:val="22"/>
          <w:lang w:val="fr-CA"/>
        </w:rPr>
        <w:tab/>
      </w:r>
      <w:r w:rsidR="00974917" w:rsidRPr="004635B2">
        <w:rPr>
          <w:rFonts w:ascii="Arial" w:hAnsi="Arial" w:cs="Arial"/>
          <w:sz w:val="22"/>
          <w:szCs w:val="22"/>
          <w:lang w:val="fr-CA"/>
        </w:rPr>
        <w:t xml:space="preserve">Les interventions du FEM en matière d'intégration du capital naturel dans la chaîne de valeur, la certification des produits, la gestion durable des paysages terrestres et marins pour garantir la disponibilité à long terme de matières premières dépendantes de la biodiversité et de services d'approvisionnement des écosystèmes sont particulièrement cruciales pour le secteur privé. </w:t>
      </w:r>
    </w:p>
    <w:p w14:paraId="55DA831C" w14:textId="4451FFF8" w:rsidR="00974917" w:rsidRPr="004635B2" w:rsidRDefault="00531A5C" w:rsidP="00531A5C">
      <w:pPr>
        <w:suppressLineNumbers/>
        <w:suppressAutoHyphens/>
        <w:adjustRightInd w:val="0"/>
        <w:snapToGrid w:val="0"/>
        <w:spacing w:before="240" w:after="240"/>
        <w:rPr>
          <w:rFonts w:ascii="Arial" w:eastAsia="MS Mincho" w:hAnsi="Arial" w:cs="Arial"/>
          <w:snapToGrid w:val="0"/>
          <w:sz w:val="22"/>
          <w:szCs w:val="22"/>
          <w:lang w:val="fr-CA"/>
        </w:rPr>
      </w:pPr>
      <w:r w:rsidRPr="004635B2">
        <w:rPr>
          <w:rFonts w:ascii="Arial" w:eastAsia="MS Mincho" w:hAnsi="Arial" w:cs="Arial"/>
          <w:snapToGrid w:val="0"/>
          <w:sz w:val="22"/>
          <w:szCs w:val="22"/>
          <w:lang w:val="fr-CA"/>
        </w:rPr>
        <w:t>17.</w:t>
      </w:r>
      <w:r w:rsidRPr="004635B2">
        <w:rPr>
          <w:rFonts w:ascii="Arial" w:eastAsia="MS Mincho" w:hAnsi="Arial" w:cs="Arial"/>
          <w:snapToGrid w:val="0"/>
          <w:sz w:val="22"/>
          <w:szCs w:val="22"/>
          <w:lang w:val="fr-CA"/>
        </w:rPr>
        <w:tab/>
      </w:r>
      <w:r w:rsidR="00974917" w:rsidRPr="004635B2">
        <w:rPr>
          <w:rFonts w:ascii="Arial" w:eastAsia="MS Mincho" w:hAnsi="Arial" w:cs="Arial"/>
          <w:snapToGrid w:val="0"/>
          <w:sz w:val="22"/>
          <w:szCs w:val="22"/>
          <w:lang w:val="fr-CA"/>
        </w:rPr>
        <w:t xml:space="preserve">Outre les projets, le FEM fournit également un financement important au </w:t>
      </w:r>
      <w:r w:rsidR="00974917" w:rsidRPr="004635B2">
        <w:rPr>
          <w:rFonts w:ascii="Arial" w:eastAsia="MS Mincho" w:hAnsi="Arial" w:cs="Arial"/>
          <w:bCs/>
          <w:snapToGrid w:val="0"/>
          <w:sz w:val="22"/>
          <w:szCs w:val="22"/>
          <w:lang w:val="fr-CA"/>
        </w:rPr>
        <w:t xml:space="preserve">programme de </w:t>
      </w:r>
      <w:proofErr w:type="spellStart"/>
      <w:r w:rsidR="00974917" w:rsidRPr="004635B2">
        <w:rPr>
          <w:rFonts w:ascii="Arial" w:eastAsia="MS Mincho" w:hAnsi="Arial" w:cs="Arial"/>
          <w:bCs/>
          <w:snapToGrid w:val="0"/>
          <w:sz w:val="22"/>
          <w:szCs w:val="22"/>
          <w:lang w:val="fr-CA"/>
        </w:rPr>
        <w:t>microfinancements</w:t>
      </w:r>
      <w:proofErr w:type="spellEnd"/>
      <w:r w:rsidR="00974917" w:rsidRPr="004635B2">
        <w:rPr>
          <w:rFonts w:ascii="Arial" w:eastAsia="MS Mincho" w:hAnsi="Arial" w:cs="Arial"/>
          <w:snapToGrid w:val="0"/>
          <w:sz w:val="22"/>
          <w:szCs w:val="22"/>
          <w:lang w:val="fr-CA"/>
        </w:rPr>
        <w:t xml:space="preserve"> (PMF). Selon le rapport de suivi annuel du PMF pour l'année fiscale 2018 couvrant la période de juillet 2018 à juin 2019, le portefeuille actif</w:t>
      </w:r>
      <w:r w:rsidR="006657C9">
        <w:rPr>
          <w:rFonts w:ascii="Arial" w:eastAsia="MS Mincho" w:hAnsi="Arial" w:cs="Arial"/>
          <w:snapToGrid w:val="0"/>
          <w:sz w:val="22"/>
          <w:szCs w:val="22"/>
          <w:lang w:val="fr-CA"/>
        </w:rPr>
        <w:t xml:space="preserve"> de projets de </w:t>
      </w:r>
      <w:proofErr w:type="spellStart"/>
      <w:r w:rsidR="006657C9">
        <w:rPr>
          <w:rFonts w:ascii="Arial" w:eastAsia="MS Mincho" w:hAnsi="Arial" w:cs="Arial"/>
          <w:snapToGrid w:val="0"/>
          <w:sz w:val="22"/>
          <w:szCs w:val="22"/>
          <w:lang w:val="fr-CA"/>
        </w:rPr>
        <w:t>microfinancement</w:t>
      </w:r>
      <w:proofErr w:type="spellEnd"/>
      <w:r w:rsidR="00974917" w:rsidRPr="004635B2">
        <w:rPr>
          <w:rFonts w:ascii="Arial" w:eastAsia="MS Mincho" w:hAnsi="Arial" w:cs="Arial"/>
          <w:snapToGrid w:val="0"/>
          <w:sz w:val="22"/>
          <w:szCs w:val="22"/>
          <w:lang w:val="fr-CA"/>
        </w:rPr>
        <w:t xml:space="preserve"> financés par les fonds du FEM comptait 3 182 projets pour un montant de 108,5 millions </w:t>
      </w:r>
      <w:r w:rsidR="00F66BFC">
        <w:rPr>
          <w:rFonts w:ascii="Arial" w:eastAsia="MS Mincho" w:hAnsi="Arial" w:cs="Arial"/>
          <w:snapToGrid w:val="0"/>
          <w:sz w:val="22"/>
          <w:szCs w:val="22"/>
          <w:lang w:val="fr-CA"/>
        </w:rPr>
        <w:t>$US</w:t>
      </w:r>
      <w:r w:rsidR="00974917" w:rsidRPr="004635B2">
        <w:rPr>
          <w:rFonts w:ascii="Arial" w:eastAsia="MS Mincho" w:hAnsi="Arial" w:cs="Arial"/>
          <w:snapToGrid w:val="0"/>
          <w:sz w:val="22"/>
          <w:szCs w:val="22"/>
          <w:lang w:val="fr-CA"/>
        </w:rPr>
        <w:t xml:space="preserve"> avec un cofinancement mobilisé de 99,5 millions </w:t>
      </w:r>
      <w:r w:rsidR="00743F48">
        <w:rPr>
          <w:rFonts w:ascii="Arial" w:eastAsia="MS Mincho" w:hAnsi="Arial" w:cs="Arial"/>
          <w:snapToGrid w:val="0"/>
          <w:sz w:val="22"/>
          <w:szCs w:val="22"/>
          <w:lang w:val="fr-CA"/>
        </w:rPr>
        <w:t>$</w:t>
      </w:r>
      <w:proofErr w:type="spellStart"/>
      <w:r w:rsidR="00743F48">
        <w:rPr>
          <w:rFonts w:ascii="Arial" w:eastAsia="MS Mincho" w:hAnsi="Arial" w:cs="Arial"/>
          <w:snapToGrid w:val="0"/>
          <w:sz w:val="22"/>
          <w:szCs w:val="22"/>
          <w:lang w:val="fr-CA"/>
        </w:rPr>
        <w:t>US</w:t>
      </w:r>
      <w:r w:rsidR="00974917" w:rsidRPr="004635B2">
        <w:rPr>
          <w:rFonts w:ascii="Arial" w:eastAsia="MS Mincho" w:hAnsi="Arial" w:cs="Arial"/>
          <w:snapToGrid w:val="0"/>
          <w:sz w:val="22"/>
          <w:szCs w:val="22"/>
          <w:lang w:val="fr-CA"/>
        </w:rPr>
        <w:t>lars</w:t>
      </w:r>
      <w:proofErr w:type="spellEnd"/>
      <w:r w:rsidR="00974917" w:rsidRPr="004635B2">
        <w:rPr>
          <w:rFonts w:ascii="Arial" w:eastAsia="MS Mincho" w:hAnsi="Arial" w:cs="Arial"/>
          <w:snapToGrid w:val="0"/>
          <w:sz w:val="22"/>
          <w:szCs w:val="22"/>
          <w:lang w:val="fr-CA"/>
        </w:rPr>
        <w:t xml:space="preserve">. </w:t>
      </w:r>
      <w:r w:rsidRPr="004635B2">
        <w:rPr>
          <w:rFonts w:ascii="Arial" w:eastAsia="MS Mincho" w:hAnsi="Arial" w:cs="Arial"/>
          <w:snapToGrid w:val="0"/>
          <w:sz w:val="22"/>
          <w:szCs w:val="22"/>
          <w:lang w:val="fr-CA"/>
        </w:rPr>
        <w:t>La répartition par domaine d’intervention de tous les projets du PMF en cours de mise en œuvre demeure fortement axée sur la diversité biologique en tant que d</w:t>
      </w:r>
      <w:r w:rsidR="00F66BFC">
        <w:rPr>
          <w:rFonts w:ascii="Arial" w:eastAsia="MS Mincho" w:hAnsi="Arial" w:cs="Arial"/>
          <w:snapToGrid w:val="0"/>
          <w:sz w:val="22"/>
          <w:szCs w:val="22"/>
          <w:lang w:val="fr-CA"/>
        </w:rPr>
        <w:t>omaine d’intervention principal, ce</w:t>
      </w:r>
      <w:r w:rsidRPr="004635B2">
        <w:rPr>
          <w:rFonts w:ascii="Arial" w:eastAsia="MS Mincho" w:hAnsi="Arial" w:cs="Arial"/>
          <w:snapToGrid w:val="0"/>
          <w:sz w:val="22"/>
          <w:szCs w:val="22"/>
          <w:lang w:val="fr-CA"/>
        </w:rPr>
        <w:t xml:space="preserve"> qui représente la part la plus importante du </w:t>
      </w:r>
      <w:r w:rsidR="00B13B18" w:rsidRPr="004635B2">
        <w:rPr>
          <w:rFonts w:ascii="Arial" w:eastAsia="MS Mincho" w:hAnsi="Arial" w:cs="Arial"/>
          <w:snapToGrid w:val="0"/>
          <w:sz w:val="22"/>
          <w:szCs w:val="22"/>
          <w:lang w:val="fr-CA"/>
        </w:rPr>
        <w:t>portefeuille</w:t>
      </w:r>
      <w:r w:rsidRPr="004635B2">
        <w:rPr>
          <w:rFonts w:ascii="Arial" w:eastAsia="MS Mincho" w:hAnsi="Arial" w:cs="Arial"/>
          <w:snapToGrid w:val="0"/>
          <w:sz w:val="22"/>
          <w:szCs w:val="22"/>
          <w:lang w:val="fr-CA"/>
        </w:rPr>
        <w:t>, soit 40 pour cent.</w:t>
      </w:r>
    </w:p>
    <w:p w14:paraId="3AE4BA17" w14:textId="1150ACC2" w:rsidR="00974917" w:rsidRPr="004635B2" w:rsidRDefault="00B13B18" w:rsidP="00B13B18">
      <w:pPr>
        <w:pStyle w:val="ListParagraph"/>
        <w:suppressLineNumbers/>
        <w:suppressAutoHyphens/>
        <w:adjustRightInd w:val="0"/>
        <w:snapToGrid w:val="0"/>
        <w:spacing w:after="240"/>
        <w:ind w:left="0"/>
        <w:rPr>
          <w:rFonts w:ascii="Arial" w:hAnsi="Arial" w:cs="Arial"/>
          <w:sz w:val="22"/>
          <w:szCs w:val="22"/>
          <w:u w:val="single"/>
          <w:lang w:val="fr-CA" w:eastAsia="en-CA"/>
        </w:rPr>
      </w:pPr>
      <w:r w:rsidRPr="004635B2">
        <w:rPr>
          <w:rFonts w:ascii="Arial" w:hAnsi="Arial" w:cs="Arial"/>
          <w:sz w:val="22"/>
          <w:szCs w:val="22"/>
          <w:lang w:val="fr-CA"/>
        </w:rPr>
        <w:t>c.</w:t>
      </w:r>
      <w:r w:rsidRPr="004635B2">
        <w:rPr>
          <w:rFonts w:ascii="Arial" w:hAnsi="Arial" w:cs="Arial"/>
          <w:sz w:val="22"/>
          <w:szCs w:val="22"/>
          <w:lang w:val="fr-CA"/>
        </w:rPr>
        <w:tab/>
      </w:r>
      <w:r w:rsidR="00F66BFC">
        <w:rPr>
          <w:rFonts w:ascii="Arial" w:hAnsi="Arial" w:cs="Arial"/>
          <w:sz w:val="22"/>
          <w:szCs w:val="22"/>
          <w:u w:val="single"/>
          <w:lang w:val="fr-CA"/>
        </w:rPr>
        <w:t>Efficacité</w:t>
      </w:r>
      <w:r w:rsidR="00974917" w:rsidRPr="004635B2">
        <w:rPr>
          <w:rFonts w:ascii="Arial" w:hAnsi="Arial" w:cs="Arial"/>
          <w:sz w:val="22"/>
          <w:szCs w:val="22"/>
          <w:u w:val="single"/>
          <w:lang w:val="fr-CA"/>
        </w:rPr>
        <w:t xml:space="preserve"> du FEM</w:t>
      </w:r>
    </w:p>
    <w:p w14:paraId="30412AE0" w14:textId="273FA734" w:rsidR="00B13B18" w:rsidRPr="004635B2" w:rsidRDefault="00B13B18" w:rsidP="00B13B18">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18.</w:t>
      </w:r>
      <w:r w:rsidRPr="004635B2">
        <w:rPr>
          <w:rFonts w:ascii="Arial" w:hAnsi="Arial" w:cs="Arial"/>
          <w:sz w:val="22"/>
          <w:szCs w:val="22"/>
          <w:lang w:val="fr-CA"/>
        </w:rPr>
        <w:tab/>
        <w:t xml:space="preserve">Le paragraphe </w:t>
      </w:r>
      <w:r w:rsidR="001D6C42" w:rsidRPr="004635B2">
        <w:rPr>
          <w:rFonts w:ascii="Arial" w:hAnsi="Arial" w:cs="Arial"/>
          <w:sz w:val="22"/>
          <w:szCs w:val="22"/>
          <w:lang w:val="fr-CA"/>
        </w:rPr>
        <w:t>3 a</w:t>
      </w:r>
      <w:r w:rsidRPr="004635B2">
        <w:rPr>
          <w:rFonts w:ascii="Arial" w:hAnsi="Arial" w:cs="Arial"/>
          <w:sz w:val="22"/>
          <w:szCs w:val="22"/>
          <w:lang w:val="fr-CA"/>
        </w:rPr>
        <w:t xml:space="preserve">) du mandat </w:t>
      </w:r>
      <w:r w:rsidR="00665EDA" w:rsidRPr="004635B2">
        <w:rPr>
          <w:rFonts w:ascii="Arial" w:hAnsi="Arial" w:cs="Arial"/>
          <w:sz w:val="22"/>
          <w:szCs w:val="22"/>
          <w:lang w:val="fr-CA"/>
        </w:rPr>
        <w:t xml:space="preserve">convenu par la quatorzième réunion de la Conférence des Parties indique que l’équipe d’experts doit prendre en compte l’expérience acquise à ce jour, y compris les </w:t>
      </w:r>
      <w:r w:rsidR="00843488" w:rsidRPr="004635B2">
        <w:rPr>
          <w:rFonts w:ascii="Arial" w:hAnsi="Arial" w:cs="Arial"/>
          <w:sz w:val="22"/>
          <w:szCs w:val="22"/>
          <w:lang w:val="fr-CA"/>
        </w:rPr>
        <w:t>limites et les réussites des projets financés par le Fonds pour l’environnement mondial, de même que les réalisations du Fonds et de ses agences d’exécution et de mise en œuvre. Dans ce contexte, l’équipe d’experts a pris en considération l</w:t>
      </w:r>
      <w:r w:rsidR="00F66BFC">
        <w:rPr>
          <w:rFonts w:ascii="Arial" w:hAnsi="Arial" w:cs="Arial"/>
          <w:sz w:val="22"/>
          <w:szCs w:val="22"/>
          <w:lang w:val="fr-CA"/>
        </w:rPr>
        <w:t>es</w:t>
      </w:r>
      <w:r w:rsidR="00843488" w:rsidRPr="004635B2">
        <w:rPr>
          <w:rFonts w:ascii="Arial" w:hAnsi="Arial" w:cs="Arial"/>
          <w:sz w:val="22"/>
          <w:szCs w:val="22"/>
          <w:lang w:val="fr-CA"/>
        </w:rPr>
        <w:t xml:space="preserve"> sixième et septième bilans globaux du Fonds pour l’environnement mondial.</w:t>
      </w:r>
    </w:p>
    <w:p w14:paraId="10FB2748" w14:textId="77777777" w:rsidR="00B13B18" w:rsidRPr="004635B2" w:rsidRDefault="00B13B18" w:rsidP="00B13B18">
      <w:pPr>
        <w:pStyle w:val="ListParagraph"/>
        <w:suppressLineNumbers/>
        <w:suppressAutoHyphens/>
        <w:adjustRightInd w:val="0"/>
        <w:snapToGrid w:val="0"/>
        <w:ind w:left="0"/>
        <w:rPr>
          <w:rFonts w:ascii="Arial" w:hAnsi="Arial" w:cs="Arial"/>
          <w:sz w:val="22"/>
          <w:szCs w:val="22"/>
          <w:lang w:val="fr-CA"/>
        </w:rPr>
      </w:pPr>
    </w:p>
    <w:p w14:paraId="73C3D3ED" w14:textId="3C562421" w:rsidR="00974917" w:rsidRPr="004635B2" w:rsidRDefault="00843488" w:rsidP="00B13B18">
      <w:pPr>
        <w:pStyle w:val="ListParagraph"/>
        <w:suppressLineNumbers/>
        <w:suppressAutoHyphens/>
        <w:adjustRightInd w:val="0"/>
        <w:snapToGrid w:val="0"/>
        <w:ind w:left="0"/>
        <w:rPr>
          <w:rFonts w:ascii="Arial" w:hAnsi="Arial" w:cs="Arial"/>
          <w:sz w:val="22"/>
          <w:szCs w:val="22"/>
          <w:lang w:val="fr-CA"/>
        </w:rPr>
      </w:pPr>
      <w:r w:rsidRPr="004635B2">
        <w:rPr>
          <w:rFonts w:ascii="Arial" w:hAnsi="Arial" w:cs="Arial"/>
          <w:sz w:val="22"/>
          <w:szCs w:val="22"/>
          <w:lang w:val="fr-CA"/>
        </w:rPr>
        <w:t>19.</w:t>
      </w:r>
      <w:r w:rsidRPr="004635B2">
        <w:rPr>
          <w:rFonts w:ascii="Arial" w:hAnsi="Arial" w:cs="Arial"/>
          <w:sz w:val="22"/>
          <w:szCs w:val="22"/>
          <w:lang w:val="fr-CA"/>
        </w:rPr>
        <w:tab/>
      </w:r>
      <w:r w:rsidR="00974917" w:rsidRPr="004635B2">
        <w:rPr>
          <w:rFonts w:ascii="Arial" w:hAnsi="Arial" w:cs="Arial"/>
          <w:sz w:val="22"/>
          <w:szCs w:val="22"/>
          <w:lang w:val="fr-CA"/>
        </w:rPr>
        <w:t xml:space="preserve">Le sixième bilan global </w:t>
      </w:r>
      <w:r w:rsidR="00520768">
        <w:rPr>
          <w:rFonts w:ascii="Arial" w:hAnsi="Arial" w:cs="Arial"/>
          <w:sz w:val="22"/>
          <w:szCs w:val="22"/>
          <w:lang w:val="fr-CA"/>
        </w:rPr>
        <w:t>indique</w:t>
      </w:r>
      <w:r w:rsidR="00974917" w:rsidRPr="004635B2">
        <w:rPr>
          <w:rFonts w:ascii="Arial" w:hAnsi="Arial" w:cs="Arial"/>
          <w:sz w:val="22"/>
          <w:szCs w:val="22"/>
          <w:lang w:val="fr-CA"/>
        </w:rPr>
        <w:t xml:space="preserve"> que, cumulativement, 80 </w:t>
      </w:r>
      <w:r w:rsidR="001D6C42" w:rsidRPr="004635B2">
        <w:rPr>
          <w:rFonts w:ascii="Arial" w:hAnsi="Arial" w:cs="Arial"/>
          <w:sz w:val="22"/>
          <w:szCs w:val="22"/>
          <w:lang w:val="fr-CA"/>
        </w:rPr>
        <w:t>pour cent</w:t>
      </w:r>
      <w:r w:rsidR="00974917" w:rsidRPr="004635B2">
        <w:rPr>
          <w:rFonts w:ascii="Arial" w:hAnsi="Arial" w:cs="Arial"/>
          <w:sz w:val="22"/>
          <w:szCs w:val="22"/>
          <w:lang w:val="fr-CA"/>
        </w:rPr>
        <w:t xml:space="preserve"> de tous les projets notés, qui représentent 78 </w:t>
      </w:r>
      <w:r w:rsidR="001D6C42" w:rsidRPr="004635B2">
        <w:rPr>
          <w:rFonts w:ascii="Arial" w:hAnsi="Arial" w:cs="Arial"/>
          <w:sz w:val="22"/>
          <w:szCs w:val="22"/>
          <w:lang w:val="fr-CA"/>
        </w:rPr>
        <w:t>pour cent</w:t>
      </w:r>
      <w:r w:rsidR="00974917" w:rsidRPr="004635B2">
        <w:rPr>
          <w:rFonts w:ascii="Arial" w:hAnsi="Arial" w:cs="Arial"/>
          <w:sz w:val="22"/>
          <w:szCs w:val="22"/>
          <w:lang w:val="fr-CA"/>
        </w:rPr>
        <w:t xml:space="preserve"> des subventions du FEM, sont classés dans la catégorie « résultats satisfaisants ».</w:t>
      </w:r>
      <w:r w:rsidR="001D6C42" w:rsidRPr="004635B2">
        <w:rPr>
          <w:rFonts w:ascii="Arial" w:hAnsi="Arial" w:cs="Arial"/>
          <w:sz w:val="22"/>
          <w:szCs w:val="22"/>
          <w:lang w:val="fr-CA"/>
        </w:rPr>
        <w:t xml:space="preserve"> Le septième bilan global, émis en novembre 2021, confirme que cumulativement, 80 pour cent de tous les projets du FEM achevés, qui représentent 79 pour cent des subventions du FEM, ont présenté des résultats satisfaisants. Les objectifs </w:t>
      </w:r>
      <w:r w:rsidR="001D6C42" w:rsidRPr="004635B2">
        <w:rPr>
          <w:rFonts w:ascii="Arial" w:hAnsi="Arial" w:cs="Arial"/>
          <w:sz w:val="22"/>
          <w:szCs w:val="22"/>
          <w:lang w:val="fr-CA"/>
        </w:rPr>
        <w:lastRenderedPageBreak/>
        <w:t xml:space="preserve">stratégiques dans la domaine de la diversité biologique, qui </w:t>
      </w:r>
      <w:r w:rsidR="002A77A8" w:rsidRPr="004635B2">
        <w:rPr>
          <w:rFonts w:ascii="Arial" w:hAnsi="Arial" w:cs="Arial"/>
          <w:sz w:val="22"/>
          <w:szCs w:val="22"/>
          <w:lang w:val="fr-CA"/>
        </w:rPr>
        <w:t>émanent</w:t>
      </w:r>
      <w:r w:rsidR="001D6C42" w:rsidRPr="004635B2">
        <w:rPr>
          <w:rFonts w:ascii="Arial" w:hAnsi="Arial" w:cs="Arial"/>
          <w:sz w:val="22"/>
          <w:szCs w:val="22"/>
          <w:lang w:val="fr-CA"/>
        </w:rPr>
        <w:t xml:space="preserve"> de ceux de la Convention sur la diversité biologique, ont</w:t>
      </w:r>
      <w:r w:rsidR="002A77A8" w:rsidRPr="004635B2">
        <w:rPr>
          <w:rFonts w:ascii="Arial" w:hAnsi="Arial" w:cs="Arial"/>
          <w:sz w:val="22"/>
          <w:szCs w:val="22"/>
          <w:lang w:val="fr-CA"/>
        </w:rPr>
        <w:t xml:space="preserve"> évolué au fil des périodes de reconstitu</w:t>
      </w:r>
      <w:r w:rsidR="00A70226" w:rsidRPr="004635B2">
        <w:rPr>
          <w:rFonts w:ascii="Arial" w:hAnsi="Arial" w:cs="Arial"/>
          <w:sz w:val="22"/>
          <w:szCs w:val="22"/>
          <w:lang w:val="fr-CA"/>
        </w:rPr>
        <w:t>t</w:t>
      </w:r>
      <w:r w:rsidR="002A77A8" w:rsidRPr="004635B2">
        <w:rPr>
          <w:rFonts w:ascii="Arial" w:hAnsi="Arial" w:cs="Arial"/>
          <w:sz w:val="22"/>
          <w:szCs w:val="22"/>
          <w:lang w:val="fr-CA"/>
        </w:rPr>
        <w:t>ion des ressources du FEM en pea</w:t>
      </w:r>
      <w:r w:rsidR="00A70226" w:rsidRPr="004635B2">
        <w:rPr>
          <w:rFonts w:ascii="Arial" w:hAnsi="Arial" w:cs="Arial"/>
          <w:sz w:val="22"/>
          <w:szCs w:val="22"/>
          <w:lang w:val="fr-CA"/>
        </w:rPr>
        <w:t>u</w:t>
      </w:r>
      <w:r w:rsidR="002A77A8" w:rsidRPr="004635B2">
        <w:rPr>
          <w:rFonts w:ascii="Arial" w:hAnsi="Arial" w:cs="Arial"/>
          <w:sz w:val="22"/>
          <w:szCs w:val="22"/>
          <w:lang w:val="fr-CA"/>
        </w:rPr>
        <w:t xml:space="preserve">finant les approches </w:t>
      </w:r>
      <w:r w:rsidR="00A70226" w:rsidRPr="004635B2">
        <w:rPr>
          <w:rFonts w:ascii="Arial" w:hAnsi="Arial" w:cs="Arial"/>
          <w:sz w:val="22"/>
          <w:szCs w:val="22"/>
          <w:lang w:val="fr-CA"/>
        </w:rPr>
        <w:t>pour lutter contre les moteurs et les</w:t>
      </w:r>
      <w:r w:rsidR="002A77A8" w:rsidRPr="004635B2">
        <w:rPr>
          <w:rFonts w:ascii="Arial" w:hAnsi="Arial" w:cs="Arial"/>
          <w:sz w:val="22"/>
          <w:szCs w:val="22"/>
          <w:lang w:val="fr-CA"/>
        </w:rPr>
        <w:t xml:space="preserve"> pressions favorisant l’appauvrisseme</w:t>
      </w:r>
      <w:r w:rsidR="00A70226" w:rsidRPr="004635B2">
        <w:rPr>
          <w:rFonts w:ascii="Arial" w:hAnsi="Arial" w:cs="Arial"/>
          <w:sz w:val="22"/>
          <w:szCs w:val="22"/>
          <w:lang w:val="fr-CA"/>
        </w:rPr>
        <w:t>n</w:t>
      </w:r>
      <w:r w:rsidR="002A77A8" w:rsidRPr="004635B2">
        <w:rPr>
          <w:rFonts w:ascii="Arial" w:hAnsi="Arial" w:cs="Arial"/>
          <w:sz w:val="22"/>
          <w:szCs w:val="22"/>
          <w:lang w:val="fr-CA"/>
        </w:rPr>
        <w:t>t de la diversité biologique. L</w:t>
      </w:r>
      <w:r w:rsidR="00A70226" w:rsidRPr="004635B2">
        <w:rPr>
          <w:rFonts w:ascii="Arial" w:hAnsi="Arial" w:cs="Arial"/>
          <w:sz w:val="22"/>
          <w:szCs w:val="22"/>
          <w:lang w:val="fr-CA"/>
        </w:rPr>
        <w:t xml:space="preserve">es résultats des </w:t>
      </w:r>
      <w:r w:rsidR="002A77A8" w:rsidRPr="004635B2">
        <w:rPr>
          <w:rFonts w:ascii="Arial" w:hAnsi="Arial" w:cs="Arial"/>
          <w:sz w:val="22"/>
          <w:szCs w:val="22"/>
          <w:lang w:val="fr-CA"/>
        </w:rPr>
        <w:t xml:space="preserve">projets </w:t>
      </w:r>
      <w:r w:rsidR="00A70226" w:rsidRPr="004635B2">
        <w:rPr>
          <w:rFonts w:ascii="Arial" w:hAnsi="Arial" w:cs="Arial"/>
          <w:sz w:val="22"/>
          <w:szCs w:val="22"/>
          <w:lang w:val="fr-CA"/>
        </w:rPr>
        <w:t>pour</w:t>
      </w:r>
      <w:r w:rsidR="002A77A8" w:rsidRPr="004635B2">
        <w:rPr>
          <w:rFonts w:ascii="Arial" w:hAnsi="Arial" w:cs="Arial"/>
          <w:sz w:val="22"/>
          <w:szCs w:val="22"/>
          <w:lang w:val="fr-CA"/>
        </w:rPr>
        <w:t xml:space="preserve"> la conservation</w:t>
      </w:r>
      <w:r w:rsidR="00A70226" w:rsidRPr="004635B2">
        <w:rPr>
          <w:rFonts w:ascii="Arial" w:hAnsi="Arial" w:cs="Arial"/>
          <w:sz w:val="22"/>
          <w:szCs w:val="22"/>
          <w:lang w:val="fr-CA"/>
        </w:rPr>
        <w:t xml:space="preserve"> et la gestion e</w:t>
      </w:r>
      <w:r w:rsidR="002A77A8" w:rsidRPr="004635B2">
        <w:rPr>
          <w:rFonts w:ascii="Arial" w:hAnsi="Arial" w:cs="Arial"/>
          <w:sz w:val="22"/>
          <w:szCs w:val="22"/>
          <w:lang w:val="fr-CA"/>
        </w:rPr>
        <w:t xml:space="preserve">fficace des aires protégées ne sont pas </w:t>
      </w:r>
      <w:r w:rsidR="00A70226" w:rsidRPr="004635B2">
        <w:rPr>
          <w:rFonts w:ascii="Arial" w:hAnsi="Arial" w:cs="Arial"/>
          <w:sz w:val="22"/>
          <w:szCs w:val="22"/>
          <w:lang w:val="fr-CA"/>
        </w:rPr>
        <w:t>à la hauteur des cibles d</w:t>
      </w:r>
      <w:r w:rsidR="00262AED">
        <w:rPr>
          <w:rFonts w:ascii="Arial" w:hAnsi="Arial" w:cs="Arial"/>
          <w:sz w:val="22"/>
          <w:szCs w:val="22"/>
          <w:lang w:val="fr-CA"/>
        </w:rPr>
        <w:t>e la</w:t>
      </w:r>
      <w:r w:rsidR="00A70226" w:rsidRPr="004635B2">
        <w:rPr>
          <w:rFonts w:ascii="Arial" w:hAnsi="Arial" w:cs="Arial"/>
          <w:sz w:val="22"/>
          <w:szCs w:val="22"/>
          <w:lang w:val="fr-CA"/>
        </w:rPr>
        <w:t xml:space="preserve"> FEM</w:t>
      </w:r>
      <w:r w:rsidR="002A77A8" w:rsidRPr="004635B2">
        <w:rPr>
          <w:rFonts w:ascii="Arial" w:hAnsi="Arial" w:cs="Arial"/>
          <w:sz w:val="22"/>
          <w:szCs w:val="22"/>
          <w:lang w:val="fr-CA"/>
        </w:rPr>
        <w:t>-5, mais les cibles lié</w:t>
      </w:r>
      <w:r w:rsidR="00A70226" w:rsidRPr="004635B2">
        <w:rPr>
          <w:rFonts w:ascii="Arial" w:hAnsi="Arial" w:cs="Arial"/>
          <w:sz w:val="22"/>
          <w:szCs w:val="22"/>
          <w:lang w:val="fr-CA"/>
        </w:rPr>
        <w:t>e</w:t>
      </w:r>
      <w:r w:rsidR="002A77A8" w:rsidRPr="004635B2">
        <w:rPr>
          <w:rFonts w:ascii="Arial" w:hAnsi="Arial" w:cs="Arial"/>
          <w:sz w:val="22"/>
          <w:szCs w:val="22"/>
          <w:lang w:val="fr-CA"/>
        </w:rPr>
        <w:t xml:space="preserve">s à </w:t>
      </w:r>
      <w:r w:rsidR="00A70226" w:rsidRPr="004635B2">
        <w:rPr>
          <w:rFonts w:ascii="Arial" w:hAnsi="Arial" w:cs="Arial"/>
          <w:sz w:val="22"/>
          <w:szCs w:val="22"/>
          <w:lang w:val="fr-CA"/>
        </w:rPr>
        <w:t>l’utilisation</w:t>
      </w:r>
      <w:r w:rsidR="002A77A8" w:rsidRPr="004635B2">
        <w:rPr>
          <w:rFonts w:ascii="Arial" w:hAnsi="Arial" w:cs="Arial"/>
          <w:sz w:val="22"/>
          <w:szCs w:val="22"/>
          <w:lang w:val="fr-CA"/>
        </w:rPr>
        <w:t xml:space="preserve"> et la gestion durables de la diversité biologique dans les paysages terrestres et marins seront sans doute atteintes.</w:t>
      </w:r>
      <w:r w:rsidR="001D6C42" w:rsidRPr="004635B2">
        <w:rPr>
          <w:rFonts w:ascii="Arial" w:hAnsi="Arial" w:cs="Arial"/>
          <w:sz w:val="22"/>
          <w:szCs w:val="22"/>
          <w:lang w:val="fr-CA"/>
        </w:rPr>
        <w:t xml:space="preserve"> </w:t>
      </w:r>
    </w:p>
    <w:p w14:paraId="3AA6278E" w14:textId="77777777" w:rsidR="00974917" w:rsidRPr="004635B2" w:rsidRDefault="00974917" w:rsidP="00B13B18">
      <w:pPr>
        <w:pStyle w:val="NoSpacing"/>
        <w:suppressLineNumbers/>
        <w:suppressAutoHyphens/>
        <w:adjustRightInd w:val="0"/>
        <w:snapToGrid w:val="0"/>
        <w:rPr>
          <w:rFonts w:ascii="Arial" w:hAnsi="Arial" w:cs="Arial"/>
          <w:lang w:val="fr-CA"/>
        </w:rPr>
      </w:pPr>
    </w:p>
    <w:p w14:paraId="13484130" w14:textId="7A8ACEF3" w:rsidR="00974917" w:rsidRPr="004635B2" w:rsidRDefault="00A70226" w:rsidP="00262AED">
      <w:pPr>
        <w:pStyle w:val="NoSpacing"/>
        <w:suppressLineNumbers/>
        <w:suppressAutoHyphens/>
        <w:adjustRightInd w:val="0"/>
        <w:snapToGrid w:val="0"/>
        <w:rPr>
          <w:rFonts w:ascii="Arial" w:hAnsi="Arial" w:cs="Arial"/>
          <w:lang w:val="fr-CA"/>
        </w:rPr>
      </w:pPr>
      <w:r w:rsidRPr="004635B2">
        <w:rPr>
          <w:rFonts w:ascii="Arial" w:hAnsi="Arial" w:cs="Arial"/>
          <w:lang w:val="fr-CA"/>
        </w:rPr>
        <w:t>20.</w:t>
      </w:r>
      <w:r w:rsidRPr="004635B2">
        <w:rPr>
          <w:rFonts w:ascii="Arial" w:hAnsi="Arial" w:cs="Arial"/>
          <w:lang w:val="fr-CA"/>
        </w:rPr>
        <w:tab/>
      </w:r>
      <w:r w:rsidR="00262AED">
        <w:rPr>
          <w:rFonts w:ascii="Arial" w:hAnsi="Arial" w:cs="Arial"/>
          <w:lang w:val="fr-CA"/>
        </w:rPr>
        <w:t>L</w:t>
      </w:r>
      <w:r w:rsidR="00974917" w:rsidRPr="004635B2">
        <w:rPr>
          <w:rFonts w:ascii="Arial" w:hAnsi="Arial" w:cs="Arial"/>
          <w:lang w:val="fr-CA"/>
        </w:rPr>
        <w:t>e Bureau indépendant d'évaluation du FEM a entrepris deux études dans le domaine d'intervention relatif à la biodiversité </w:t>
      </w:r>
      <w:r w:rsidR="00262AED">
        <w:rPr>
          <w:rFonts w:ascii="Arial" w:hAnsi="Arial" w:cs="Arial"/>
          <w:lang w:val="fr-CA"/>
        </w:rPr>
        <w:t>d</w:t>
      </w:r>
      <w:r w:rsidR="00262AED" w:rsidRPr="004635B2">
        <w:rPr>
          <w:rFonts w:ascii="Arial" w:hAnsi="Arial" w:cs="Arial"/>
          <w:lang w:val="fr-CA"/>
        </w:rPr>
        <w:t>ans l</w:t>
      </w:r>
      <w:r w:rsidR="00262AED">
        <w:rPr>
          <w:rFonts w:ascii="Arial" w:hAnsi="Arial" w:cs="Arial"/>
          <w:lang w:val="fr-CA"/>
        </w:rPr>
        <w:t>e cadre du sixième bilan global</w:t>
      </w:r>
      <w:r w:rsidR="00262AED" w:rsidRPr="004635B2">
        <w:rPr>
          <w:rFonts w:ascii="Arial" w:hAnsi="Arial" w:cs="Arial"/>
          <w:lang w:val="fr-CA"/>
        </w:rPr>
        <w:t xml:space="preserve"> </w:t>
      </w:r>
      <w:r w:rsidR="00974917" w:rsidRPr="004635B2">
        <w:rPr>
          <w:rFonts w:ascii="Arial" w:hAnsi="Arial" w:cs="Arial"/>
          <w:lang w:val="fr-CA"/>
        </w:rPr>
        <w:t xml:space="preserve">: a) une évaluation des projets financés par le FEM sur l'accès et le partage des avantages et le Protocole de Nagoya, et b) une étude visant à évaluer le soutien apporté par le FEM dans la lutte contre le commerce illégal d'espèces sauvages par le biais du Programme mondial pour la vie sauvage du FEM. Ces deux études </w:t>
      </w:r>
      <w:r w:rsidRPr="004635B2">
        <w:rPr>
          <w:rFonts w:ascii="Arial" w:hAnsi="Arial" w:cs="Arial"/>
          <w:lang w:val="fr-CA"/>
        </w:rPr>
        <w:t>ont été</w:t>
      </w:r>
      <w:r w:rsidR="00974917" w:rsidRPr="004635B2">
        <w:rPr>
          <w:rFonts w:ascii="Arial" w:hAnsi="Arial" w:cs="Arial"/>
          <w:lang w:val="fr-CA"/>
        </w:rPr>
        <w:t xml:space="preserve"> les premières études réalisées par le Bureau indépendant d'évaluation sur ces thèmes. L'évaluation de l'impact du soutien du FEM aux aires protégées et aux systèmes d'aires protégées a été achevée en octobre 2015. </w:t>
      </w:r>
    </w:p>
    <w:p w14:paraId="55F996AB" w14:textId="77777777" w:rsidR="00974917" w:rsidRPr="004635B2" w:rsidRDefault="00974917" w:rsidP="00B13B18">
      <w:pPr>
        <w:pStyle w:val="NoSpacing"/>
        <w:suppressLineNumbers/>
        <w:suppressAutoHyphens/>
        <w:adjustRightInd w:val="0"/>
        <w:snapToGrid w:val="0"/>
        <w:rPr>
          <w:rFonts w:ascii="Arial" w:hAnsi="Arial" w:cs="Arial"/>
          <w:lang w:val="fr-CA"/>
        </w:rPr>
      </w:pPr>
    </w:p>
    <w:p w14:paraId="22851867" w14:textId="1A77057A" w:rsidR="00BA3E63" w:rsidRPr="004635B2" w:rsidRDefault="00A70226" w:rsidP="00B13B18">
      <w:pPr>
        <w:pStyle w:val="NoSpacing"/>
        <w:suppressLineNumbers/>
        <w:suppressAutoHyphens/>
        <w:adjustRightInd w:val="0"/>
        <w:snapToGrid w:val="0"/>
        <w:rPr>
          <w:rFonts w:ascii="Arial" w:hAnsi="Arial" w:cs="Arial"/>
          <w:lang w:val="fr-CA"/>
        </w:rPr>
      </w:pPr>
      <w:r w:rsidRPr="004635B2">
        <w:rPr>
          <w:rFonts w:ascii="Arial" w:hAnsi="Arial" w:cs="Arial"/>
          <w:lang w:val="fr-CA"/>
        </w:rPr>
        <w:t>21.</w:t>
      </w:r>
      <w:r w:rsidRPr="004635B2">
        <w:rPr>
          <w:rFonts w:ascii="Arial" w:hAnsi="Arial" w:cs="Arial"/>
          <w:lang w:val="fr-CA"/>
        </w:rPr>
        <w:tab/>
      </w:r>
      <w:r w:rsidR="00974917" w:rsidRPr="004635B2">
        <w:rPr>
          <w:rFonts w:ascii="Arial" w:hAnsi="Arial" w:cs="Arial"/>
          <w:lang w:val="fr-CA"/>
        </w:rPr>
        <w:t xml:space="preserve">L'évaluation du soutien du FEM à l'intégration de la biodiversité a été présentée au Conseil du FEM en décembre 2018. Cette évaluation a estimé que l'intégration de la biodiversité était très pertinente pour la CDB, ses pays membres et le secteur privé. </w:t>
      </w:r>
      <w:r w:rsidR="00262AED">
        <w:rPr>
          <w:rFonts w:ascii="Arial" w:hAnsi="Arial" w:cs="Arial"/>
          <w:lang w:val="fr-CA"/>
        </w:rPr>
        <w:t>L</w:t>
      </w:r>
      <w:r w:rsidR="00BA3E63" w:rsidRPr="004635B2">
        <w:rPr>
          <w:rFonts w:ascii="Arial" w:hAnsi="Arial" w:cs="Arial"/>
          <w:lang w:val="fr-CA"/>
        </w:rPr>
        <w:t>e premier objectif de sa stratégie pour la diversité biologique, qui</w:t>
      </w:r>
      <w:r w:rsidR="00262AED">
        <w:rPr>
          <w:rFonts w:ascii="Arial" w:hAnsi="Arial" w:cs="Arial"/>
          <w:lang w:val="fr-CA"/>
        </w:rPr>
        <w:t xml:space="preserve"> met l’accent sur l’intégration,</w:t>
      </w:r>
      <w:r w:rsidR="00BA3E63" w:rsidRPr="004635B2">
        <w:rPr>
          <w:rFonts w:ascii="Arial" w:hAnsi="Arial" w:cs="Arial"/>
          <w:lang w:val="fr-CA"/>
        </w:rPr>
        <w:t xml:space="preserve"> a été la priorité des dépenses de 165,6 millions </w:t>
      </w:r>
      <w:r w:rsidR="00262AED">
        <w:rPr>
          <w:rFonts w:ascii="Arial" w:hAnsi="Arial" w:cs="Arial"/>
          <w:lang w:val="fr-CA"/>
        </w:rPr>
        <w:t>$US</w:t>
      </w:r>
      <w:r w:rsidR="00BA3E63" w:rsidRPr="004635B2">
        <w:rPr>
          <w:rFonts w:ascii="Arial" w:hAnsi="Arial" w:cs="Arial"/>
          <w:lang w:val="fr-CA"/>
        </w:rPr>
        <w:t>, ou 69 pour cent des sommes</w:t>
      </w:r>
      <w:r w:rsidR="00326FBD">
        <w:rPr>
          <w:rFonts w:ascii="Arial" w:hAnsi="Arial" w:cs="Arial"/>
          <w:lang w:val="fr-CA"/>
        </w:rPr>
        <w:t xml:space="preserve"> au cours des 18 </w:t>
      </w:r>
      <w:r w:rsidR="00326FBD" w:rsidRPr="004635B2">
        <w:rPr>
          <w:rFonts w:ascii="Arial" w:hAnsi="Arial" w:cs="Arial"/>
          <w:lang w:val="fr-CA"/>
        </w:rPr>
        <w:t xml:space="preserve">premiers mois </w:t>
      </w:r>
      <w:r w:rsidR="00326FBD">
        <w:rPr>
          <w:rFonts w:ascii="Arial" w:hAnsi="Arial" w:cs="Arial"/>
          <w:lang w:val="fr-CA"/>
        </w:rPr>
        <w:t>de la FEM-7 (jusqu’en décembre 2019)</w:t>
      </w:r>
      <w:r w:rsidR="00BA3E63" w:rsidRPr="004635B2">
        <w:rPr>
          <w:rFonts w:ascii="Arial" w:hAnsi="Arial" w:cs="Arial"/>
          <w:lang w:val="fr-CA"/>
        </w:rPr>
        <w:t>. Le deuxième objectif, qui mettait l’accent sur la gestion des aires protégées et la protection des espèces, s’</w:t>
      </w:r>
      <w:r w:rsidR="00494304" w:rsidRPr="004635B2">
        <w:rPr>
          <w:rFonts w:ascii="Arial" w:hAnsi="Arial" w:cs="Arial"/>
          <w:lang w:val="fr-CA"/>
        </w:rPr>
        <w:t>est avéré u</w:t>
      </w:r>
      <w:r w:rsidR="00BA3E63" w:rsidRPr="004635B2">
        <w:rPr>
          <w:rFonts w:ascii="Arial" w:hAnsi="Arial" w:cs="Arial"/>
          <w:lang w:val="fr-CA"/>
        </w:rPr>
        <w:t xml:space="preserve">n objectif secondaire pour les pays, ne recevant que 65,7 millions </w:t>
      </w:r>
      <w:r w:rsidR="00326FBD">
        <w:rPr>
          <w:rFonts w:ascii="Arial" w:hAnsi="Arial" w:cs="Arial"/>
          <w:lang w:val="fr-CA"/>
        </w:rPr>
        <w:t>$US</w:t>
      </w:r>
      <w:r w:rsidR="00BA3E63" w:rsidRPr="004635B2">
        <w:rPr>
          <w:rFonts w:ascii="Arial" w:hAnsi="Arial" w:cs="Arial"/>
          <w:lang w:val="fr-CA"/>
        </w:rPr>
        <w:t xml:space="preserve"> ou 28 pour cent des investissements. Le troisième objectif, qui vise à soutenir la mise en œuvre des </w:t>
      </w:r>
      <w:r w:rsidR="00494304" w:rsidRPr="004635B2">
        <w:rPr>
          <w:rFonts w:ascii="Arial" w:hAnsi="Arial" w:cs="Arial"/>
          <w:lang w:val="fr-CA"/>
        </w:rPr>
        <w:t>deux protocoles et les obligatio</w:t>
      </w:r>
      <w:r w:rsidR="00BA3E63" w:rsidRPr="004635B2">
        <w:rPr>
          <w:rFonts w:ascii="Arial" w:hAnsi="Arial" w:cs="Arial"/>
          <w:lang w:val="fr-CA"/>
        </w:rPr>
        <w:t>ns de remise de rapports</w:t>
      </w:r>
      <w:r w:rsidR="00494304" w:rsidRPr="004635B2">
        <w:rPr>
          <w:rFonts w:ascii="Arial" w:hAnsi="Arial" w:cs="Arial"/>
          <w:lang w:val="fr-CA"/>
        </w:rPr>
        <w:t xml:space="preserve"> de la Convention, n’a reçu qu’une faible part des allocations du FEM, même si les dépenses </w:t>
      </w:r>
      <w:r w:rsidR="00326FBD">
        <w:rPr>
          <w:rFonts w:ascii="Arial" w:hAnsi="Arial" w:cs="Arial"/>
          <w:lang w:val="fr-CA"/>
        </w:rPr>
        <w:t>relatives à</w:t>
      </w:r>
      <w:r w:rsidR="00494304" w:rsidRPr="004635B2">
        <w:rPr>
          <w:rFonts w:ascii="Arial" w:hAnsi="Arial" w:cs="Arial"/>
          <w:lang w:val="fr-CA"/>
        </w:rPr>
        <w:t xml:space="preserve"> ces sommes ont été élevées.</w:t>
      </w:r>
    </w:p>
    <w:p w14:paraId="68EA3AFF" w14:textId="77777777" w:rsidR="00BA3E63" w:rsidRPr="004635B2" w:rsidRDefault="00BA3E63" w:rsidP="00B13B18">
      <w:pPr>
        <w:pStyle w:val="NoSpacing"/>
        <w:suppressLineNumbers/>
        <w:suppressAutoHyphens/>
        <w:adjustRightInd w:val="0"/>
        <w:snapToGrid w:val="0"/>
        <w:rPr>
          <w:rFonts w:ascii="Arial" w:hAnsi="Arial" w:cs="Arial"/>
          <w:lang w:val="fr-CA"/>
        </w:rPr>
      </w:pPr>
    </w:p>
    <w:p w14:paraId="6315FBDB" w14:textId="5AB2B190" w:rsidR="00974917" w:rsidRPr="004635B2" w:rsidRDefault="00494304" w:rsidP="00B13B18">
      <w:pPr>
        <w:pStyle w:val="NoSpacing"/>
        <w:suppressLineNumbers/>
        <w:suppressAutoHyphens/>
        <w:adjustRightInd w:val="0"/>
        <w:snapToGrid w:val="0"/>
        <w:rPr>
          <w:rFonts w:ascii="Arial" w:hAnsi="Arial" w:cs="Arial"/>
          <w:lang w:val="fr-CA"/>
        </w:rPr>
      </w:pPr>
      <w:r w:rsidRPr="004635B2">
        <w:rPr>
          <w:rFonts w:ascii="Arial" w:hAnsi="Arial" w:cs="Arial"/>
          <w:lang w:val="fr-CA"/>
        </w:rPr>
        <w:t>22.</w:t>
      </w:r>
      <w:r w:rsidRPr="004635B2">
        <w:rPr>
          <w:rFonts w:ascii="Arial" w:hAnsi="Arial" w:cs="Arial"/>
          <w:lang w:val="fr-CA"/>
        </w:rPr>
        <w:tab/>
      </w:r>
      <w:r w:rsidR="00974917" w:rsidRPr="004635B2">
        <w:rPr>
          <w:rFonts w:ascii="Arial" w:hAnsi="Arial" w:cs="Arial"/>
          <w:lang w:val="fr-CA"/>
        </w:rPr>
        <w:t xml:space="preserve">Les stratégies et plans d’action nationaux pour la </w:t>
      </w:r>
      <w:r w:rsidR="0016663A">
        <w:rPr>
          <w:rFonts w:ascii="Arial" w:hAnsi="Arial" w:cs="Arial"/>
          <w:lang w:val="fr-CA"/>
        </w:rPr>
        <w:t>biodiversité</w:t>
      </w:r>
      <w:r w:rsidR="00974917" w:rsidRPr="004635B2">
        <w:rPr>
          <w:rFonts w:ascii="Arial" w:hAnsi="Arial" w:cs="Arial"/>
          <w:lang w:val="fr-CA"/>
        </w:rPr>
        <w:t xml:space="preserve"> (SPANB) commandés par la CDB constituent un instrument essentiel au niveau national pour la planification de l'intégration de la biodiversité (CDB et PNUE, 2008). </w:t>
      </w:r>
      <w:r w:rsidRPr="004635B2">
        <w:rPr>
          <w:rFonts w:ascii="Arial" w:hAnsi="Arial" w:cs="Arial"/>
          <w:lang w:val="fr-CA"/>
        </w:rPr>
        <w:t>Au total, 193 des 196 Parties à la CDB ont préparé et présenté au moins un SPANB. Le soutien du FEM a permis d’aider</w:t>
      </w:r>
      <w:r w:rsidR="008B6723" w:rsidRPr="004635B2">
        <w:rPr>
          <w:rFonts w:ascii="Arial" w:hAnsi="Arial" w:cs="Arial"/>
          <w:lang w:val="fr-CA"/>
        </w:rPr>
        <w:t xml:space="preserve"> tous le</w:t>
      </w:r>
      <w:r w:rsidRPr="004635B2">
        <w:rPr>
          <w:rFonts w:ascii="Arial" w:hAnsi="Arial" w:cs="Arial"/>
          <w:lang w:val="fr-CA"/>
        </w:rPr>
        <w:t>s</w:t>
      </w:r>
      <w:r w:rsidR="008B6723" w:rsidRPr="004635B2">
        <w:rPr>
          <w:rFonts w:ascii="Arial" w:hAnsi="Arial" w:cs="Arial"/>
          <w:lang w:val="fr-CA"/>
        </w:rPr>
        <w:t xml:space="preserve"> </w:t>
      </w:r>
      <w:r w:rsidRPr="004635B2">
        <w:rPr>
          <w:rFonts w:ascii="Arial" w:hAnsi="Arial" w:cs="Arial"/>
          <w:lang w:val="fr-CA"/>
        </w:rPr>
        <w:t xml:space="preserve">pays </w:t>
      </w:r>
      <w:r w:rsidR="008B6723" w:rsidRPr="004635B2">
        <w:rPr>
          <w:rFonts w:ascii="Arial" w:hAnsi="Arial" w:cs="Arial"/>
          <w:lang w:val="fr-CA"/>
        </w:rPr>
        <w:t xml:space="preserve">admissibles </w:t>
      </w:r>
      <w:r w:rsidR="0016663A">
        <w:rPr>
          <w:rFonts w:ascii="Arial" w:hAnsi="Arial" w:cs="Arial"/>
          <w:lang w:val="fr-CA"/>
        </w:rPr>
        <w:t xml:space="preserve">au FEM </w:t>
      </w:r>
      <w:r w:rsidRPr="004635B2">
        <w:rPr>
          <w:rFonts w:ascii="Arial" w:hAnsi="Arial" w:cs="Arial"/>
          <w:lang w:val="fr-CA"/>
        </w:rPr>
        <w:t>ayant</w:t>
      </w:r>
      <w:r w:rsidR="008B6723" w:rsidRPr="004635B2">
        <w:rPr>
          <w:rFonts w:ascii="Arial" w:hAnsi="Arial" w:cs="Arial"/>
          <w:lang w:val="fr-CA"/>
        </w:rPr>
        <w:t xml:space="preserve"> présenté une demande de soutien </w:t>
      </w:r>
      <w:r w:rsidR="00326FBD">
        <w:rPr>
          <w:rFonts w:ascii="Arial" w:hAnsi="Arial" w:cs="Arial"/>
          <w:lang w:val="fr-CA"/>
        </w:rPr>
        <w:t xml:space="preserve">pour préparer et présenter </w:t>
      </w:r>
      <w:r w:rsidR="008B6723" w:rsidRPr="004635B2">
        <w:rPr>
          <w:rFonts w:ascii="Arial" w:hAnsi="Arial" w:cs="Arial"/>
          <w:lang w:val="fr-CA"/>
        </w:rPr>
        <w:t>leur SPANB</w:t>
      </w:r>
      <w:r w:rsidR="001D65D2" w:rsidRPr="004635B2">
        <w:rPr>
          <w:rFonts w:ascii="Arial" w:hAnsi="Arial" w:cs="Arial"/>
          <w:lang w:val="fr-CA"/>
        </w:rPr>
        <w:t>.</w:t>
      </w:r>
      <w:r w:rsidR="00974917" w:rsidRPr="004635B2">
        <w:rPr>
          <w:rFonts w:ascii="Arial" w:hAnsi="Arial" w:cs="Arial"/>
          <w:lang w:val="fr-CA"/>
        </w:rPr>
        <w:t xml:space="preserve"> </w:t>
      </w:r>
    </w:p>
    <w:p w14:paraId="391996ED" w14:textId="77777777" w:rsidR="008B6723" w:rsidRPr="004635B2" w:rsidRDefault="008B6723" w:rsidP="00B13B18">
      <w:pPr>
        <w:pStyle w:val="NoSpacing"/>
        <w:suppressLineNumbers/>
        <w:suppressAutoHyphens/>
        <w:adjustRightInd w:val="0"/>
        <w:snapToGrid w:val="0"/>
        <w:rPr>
          <w:rFonts w:ascii="Arial" w:hAnsi="Arial" w:cs="Arial"/>
          <w:lang w:val="fr-CA"/>
        </w:rPr>
      </w:pPr>
    </w:p>
    <w:p w14:paraId="25BFD0A0" w14:textId="6AFF7A05" w:rsidR="008B6723" w:rsidRPr="004635B2" w:rsidRDefault="008B6723" w:rsidP="00B13B18">
      <w:pPr>
        <w:pStyle w:val="NoSpacing"/>
        <w:suppressLineNumbers/>
        <w:suppressAutoHyphens/>
        <w:adjustRightInd w:val="0"/>
        <w:snapToGrid w:val="0"/>
        <w:rPr>
          <w:rFonts w:ascii="Arial" w:hAnsi="Arial" w:cs="Arial"/>
          <w:lang w:val="fr-CA"/>
        </w:rPr>
      </w:pPr>
      <w:r w:rsidRPr="004635B2">
        <w:rPr>
          <w:rFonts w:ascii="Arial" w:hAnsi="Arial" w:cs="Arial"/>
          <w:lang w:val="fr-CA"/>
        </w:rPr>
        <w:t>23.</w:t>
      </w:r>
      <w:r w:rsidRPr="004635B2">
        <w:rPr>
          <w:rFonts w:ascii="Arial" w:hAnsi="Arial" w:cs="Arial"/>
          <w:lang w:val="fr-CA"/>
        </w:rPr>
        <w:tab/>
      </w:r>
      <w:r w:rsidR="006B5CB8" w:rsidRPr="004635B2">
        <w:rPr>
          <w:rFonts w:ascii="Arial" w:hAnsi="Arial" w:cs="Arial"/>
          <w:lang w:val="fr-CA"/>
        </w:rPr>
        <w:t xml:space="preserve">Le rapport de rendement annuel de 2021 présente des données sur </w:t>
      </w:r>
      <w:r w:rsidR="00F55535">
        <w:rPr>
          <w:rFonts w:ascii="Arial" w:hAnsi="Arial" w:cs="Arial"/>
          <w:lang w:val="fr-CA"/>
        </w:rPr>
        <w:t xml:space="preserve">les résultats de </w:t>
      </w:r>
      <w:r w:rsidR="006B5CB8" w:rsidRPr="004635B2">
        <w:rPr>
          <w:rFonts w:ascii="Arial" w:hAnsi="Arial" w:cs="Arial"/>
          <w:lang w:val="fr-CA"/>
        </w:rPr>
        <w:t xml:space="preserve">l’évaluation finale des projets sur la diversité biologique achevés. Il présente </w:t>
      </w:r>
      <w:r w:rsidR="00F55535">
        <w:rPr>
          <w:rFonts w:ascii="Arial" w:hAnsi="Arial" w:cs="Arial"/>
          <w:lang w:val="fr-CA"/>
        </w:rPr>
        <w:t xml:space="preserve">des données </w:t>
      </w:r>
      <w:r w:rsidR="009003C5">
        <w:rPr>
          <w:rFonts w:ascii="Arial" w:hAnsi="Arial" w:cs="Arial"/>
          <w:lang w:val="fr-CA"/>
        </w:rPr>
        <w:t>semblables</w:t>
      </w:r>
      <w:r w:rsidR="00F55535">
        <w:rPr>
          <w:rFonts w:ascii="Arial" w:hAnsi="Arial" w:cs="Arial"/>
          <w:lang w:val="fr-CA"/>
        </w:rPr>
        <w:t xml:space="preserve"> de </w:t>
      </w:r>
      <w:r w:rsidR="009003C5">
        <w:rPr>
          <w:rFonts w:ascii="Arial" w:hAnsi="Arial" w:cs="Arial"/>
          <w:lang w:val="fr-CA"/>
        </w:rPr>
        <w:t xml:space="preserve">résultats satisfaisants à </w:t>
      </w:r>
      <w:r w:rsidR="006B5CB8" w:rsidRPr="004635B2">
        <w:rPr>
          <w:rFonts w:ascii="Arial" w:hAnsi="Arial" w:cs="Arial"/>
          <w:lang w:val="fr-CA"/>
        </w:rPr>
        <w:t xml:space="preserve">80 pour cent des projets </w:t>
      </w:r>
      <w:r w:rsidR="00F55535">
        <w:rPr>
          <w:rFonts w:ascii="Arial" w:hAnsi="Arial" w:cs="Arial"/>
          <w:lang w:val="fr-CA"/>
        </w:rPr>
        <w:t>en ce qui concerne</w:t>
      </w:r>
      <w:r w:rsidR="006B5CB8" w:rsidRPr="004635B2">
        <w:rPr>
          <w:rFonts w:ascii="Arial" w:hAnsi="Arial" w:cs="Arial"/>
          <w:lang w:val="fr-CA"/>
        </w:rPr>
        <w:t xml:space="preserve"> l’</w:t>
      </w:r>
      <w:r w:rsidR="00065B28" w:rsidRPr="004635B2">
        <w:rPr>
          <w:rFonts w:ascii="Arial" w:hAnsi="Arial" w:cs="Arial"/>
          <w:lang w:val="fr-CA"/>
        </w:rPr>
        <w:t>exé</w:t>
      </w:r>
      <w:r w:rsidR="006B5CB8" w:rsidRPr="004635B2">
        <w:rPr>
          <w:rFonts w:ascii="Arial" w:hAnsi="Arial" w:cs="Arial"/>
          <w:lang w:val="fr-CA"/>
        </w:rPr>
        <w:t xml:space="preserve">cution, et </w:t>
      </w:r>
      <w:r w:rsidR="009003C5">
        <w:rPr>
          <w:rFonts w:ascii="Arial" w:hAnsi="Arial" w:cs="Arial"/>
          <w:lang w:val="fr-CA"/>
        </w:rPr>
        <w:t>aussi</w:t>
      </w:r>
      <w:r w:rsidR="006B5CB8" w:rsidRPr="004635B2">
        <w:rPr>
          <w:rFonts w:ascii="Arial" w:hAnsi="Arial" w:cs="Arial"/>
          <w:lang w:val="fr-CA"/>
        </w:rPr>
        <w:t xml:space="preserve"> la mise en œuvre. Les résultats ont été inférieurs en ce qui concerne le suivi et l’évaluation, la conception et la mise en œuvre</w:t>
      </w:r>
      <w:r w:rsidR="00065B28" w:rsidRPr="004635B2">
        <w:rPr>
          <w:rFonts w:ascii="Arial" w:hAnsi="Arial" w:cs="Arial"/>
          <w:lang w:val="fr-CA"/>
        </w:rPr>
        <w:t xml:space="preserve">, pour lesquels 60 pour cent ont offert des résultats satisfaisants. </w:t>
      </w:r>
    </w:p>
    <w:p w14:paraId="0636217C" w14:textId="77777777" w:rsidR="00065B28" w:rsidRPr="004635B2" w:rsidRDefault="00065B28" w:rsidP="00B13B18">
      <w:pPr>
        <w:pStyle w:val="NoSpacing"/>
        <w:suppressLineNumbers/>
        <w:suppressAutoHyphens/>
        <w:adjustRightInd w:val="0"/>
        <w:snapToGrid w:val="0"/>
        <w:rPr>
          <w:rFonts w:ascii="Arial" w:hAnsi="Arial" w:cs="Arial"/>
          <w:lang w:val="fr-CA"/>
        </w:rPr>
      </w:pPr>
    </w:p>
    <w:p w14:paraId="013F4FA3" w14:textId="1F8597F2" w:rsidR="007F55BB" w:rsidRDefault="00065B28" w:rsidP="00B13B18">
      <w:pPr>
        <w:pStyle w:val="NoSpacing"/>
        <w:suppressLineNumbers/>
        <w:suppressAutoHyphens/>
        <w:adjustRightInd w:val="0"/>
        <w:snapToGrid w:val="0"/>
        <w:rPr>
          <w:rFonts w:ascii="Arial" w:hAnsi="Arial" w:cs="Arial"/>
          <w:lang w:val="fr-CA"/>
        </w:rPr>
      </w:pPr>
      <w:r w:rsidRPr="004635B2">
        <w:rPr>
          <w:rFonts w:ascii="Arial" w:hAnsi="Arial" w:cs="Arial"/>
          <w:lang w:val="fr-CA"/>
        </w:rPr>
        <w:t>24.</w:t>
      </w:r>
      <w:r w:rsidRPr="004635B2">
        <w:rPr>
          <w:rFonts w:ascii="Arial" w:hAnsi="Arial" w:cs="Arial"/>
          <w:lang w:val="fr-CA"/>
        </w:rPr>
        <w:tab/>
        <w:t xml:space="preserve">Ces chiffres pourraient cacher des écarts de rendement, et une analyse a été entreprise afin de découvrir l’importance des facteurs régionaux. En ce qui concerne la mise en œuvre, les résultats </w:t>
      </w:r>
      <w:r w:rsidR="003F17F5" w:rsidRPr="004635B2">
        <w:rPr>
          <w:rFonts w:ascii="Arial" w:hAnsi="Arial" w:cs="Arial"/>
          <w:lang w:val="fr-CA"/>
        </w:rPr>
        <w:t xml:space="preserve">des projets </w:t>
      </w:r>
      <w:r w:rsidRPr="004635B2">
        <w:rPr>
          <w:rFonts w:ascii="Arial" w:hAnsi="Arial" w:cs="Arial"/>
          <w:lang w:val="fr-CA"/>
        </w:rPr>
        <w:t>mondiaux et de l’Europe et Asie centrale</w:t>
      </w:r>
      <w:r w:rsidR="003F17F5" w:rsidRPr="004635B2">
        <w:rPr>
          <w:rFonts w:ascii="Arial" w:hAnsi="Arial" w:cs="Arial"/>
          <w:lang w:val="fr-CA"/>
        </w:rPr>
        <w:t xml:space="preserve"> affichent majoritairement des résultats satisfaisants, tandis que les projets de l’Asie, de l’Afrique et de l’Amérique latine et Caraïbes, a</w:t>
      </w:r>
      <w:r w:rsidR="00F55535">
        <w:rPr>
          <w:rFonts w:ascii="Arial" w:hAnsi="Arial" w:cs="Arial"/>
          <w:lang w:val="fr-CA"/>
        </w:rPr>
        <w:t>insi que les projets régionaux présente</w:t>
      </w:r>
      <w:r w:rsidR="003F17F5" w:rsidRPr="004635B2">
        <w:rPr>
          <w:rFonts w:ascii="Arial" w:hAnsi="Arial" w:cs="Arial"/>
          <w:lang w:val="fr-CA"/>
        </w:rPr>
        <w:t>nt des résultats inférieurs. Les résultats des projets suivent les mêmes tendances, où les projets de l’Europe et Asie c</w:t>
      </w:r>
      <w:r w:rsidR="009003C5">
        <w:rPr>
          <w:rFonts w:ascii="Arial" w:hAnsi="Arial" w:cs="Arial"/>
          <w:lang w:val="fr-CA"/>
        </w:rPr>
        <w:t>entrale et mondiaux présentent l</w:t>
      </w:r>
      <w:r w:rsidR="003F17F5" w:rsidRPr="004635B2">
        <w:rPr>
          <w:rFonts w:ascii="Arial" w:hAnsi="Arial" w:cs="Arial"/>
          <w:lang w:val="fr-CA"/>
        </w:rPr>
        <w:t>es résultats les plus é</w:t>
      </w:r>
      <w:r w:rsidR="007F55BB">
        <w:rPr>
          <w:rFonts w:ascii="Arial" w:hAnsi="Arial" w:cs="Arial"/>
          <w:lang w:val="fr-CA"/>
        </w:rPr>
        <w:t>levés, suivis des projets de l’</w:t>
      </w:r>
      <w:r w:rsidR="003F17F5" w:rsidRPr="004635B2">
        <w:rPr>
          <w:rFonts w:ascii="Arial" w:hAnsi="Arial" w:cs="Arial"/>
          <w:lang w:val="fr-CA"/>
        </w:rPr>
        <w:t>Asie et régionaux.</w:t>
      </w:r>
    </w:p>
    <w:p w14:paraId="244F14C2" w14:textId="08DC28D4" w:rsidR="007F55BB" w:rsidRDefault="007F55BB">
      <w:pPr>
        <w:rPr>
          <w:rFonts w:ascii="Arial" w:eastAsiaTheme="minorEastAsia" w:hAnsi="Arial" w:cs="Arial"/>
          <w:sz w:val="22"/>
          <w:szCs w:val="22"/>
          <w:lang w:val="fr-CA"/>
        </w:rPr>
      </w:pPr>
      <w:r>
        <w:rPr>
          <w:rFonts w:ascii="Arial" w:hAnsi="Arial" w:cs="Arial"/>
          <w:lang w:val="fr-CA"/>
        </w:rPr>
        <w:br w:type="page"/>
      </w:r>
    </w:p>
    <w:p w14:paraId="3E4E2EC4" w14:textId="77777777" w:rsidR="00974917" w:rsidRPr="004635B2" w:rsidRDefault="00974917" w:rsidP="00B13B18">
      <w:pPr>
        <w:suppressLineNumbers/>
        <w:suppressAutoHyphens/>
        <w:autoSpaceDE w:val="0"/>
        <w:autoSpaceDN w:val="0"/>
        <w:adjustRightInd w:val="0"/>
        <w:snapToGrid w:val="0"/>
        <w:rPr>
          <w:rFonts w:ascii="Arial" w:hAnsi="Arial" w:cs="Arial"/>
          <w:color w:val="000000"/>
          <w:sz w:val="22"/>
          <w:szCs w:val="22"/>
          <w:lang w:val="fr-CA"/>
        </w:rPr>
      </w:pPr>
    </w:p>
    <w:p w14:paraId="5864DB69" w14:textId="4EE585C3" w:rsidR="00974917" w:rsidRPr="004635B2" w:rsidRDefault="0076102E" w:rsidP="0076102E">
      <w:pPr>
        <w:pStyle w:val="ListParagraph"/>
        <w:suppressLineNumbers/>
        <w:suppressAutoHyphens/>
        <w:autoSpaceDE w:val="0"/>
        <w:autoSpaceDN w:val="0"/>
        <w:adjustRightInd w:val="0"/>
        <w:snapToGrid w:val="0"/>
        <w:ind w:left="0"/>
        <w:rPr>
          <w:rFonts w:ascii="Arial" w:hAnsi="Arial" w:cs="Arial"/>
          <w:color w:val="000000"/>
          <w:sz w:val="22"/>
          <w:szCs w:val="22"/>
          <w:u w:val="single"/>
          <w:lang w:val="fr-CA"/>
        </w:rPr>
      </w:pPr>
      <w:r w:rsidRPr="004635B2">
        <w:rPr>
          <w:rFonts w:ascii="Arial" w:hAnsi="Arial" w:cs="Arial"/>
          <w:color w:val="000000"/>
          <w:sz w:val="22"/>
          <w:szCs w:val="22"/>
          <w:lang w:val="fr-CA"/>
        </w:rPr>
        <w:t>d.</w:t>
      </w:r>
      <w:r w:rsidRPr="004635B2">
        <w:rPr>
          <w:rFonts w:ascii="Arial" w:hAnsi="Arial" w:cs="Arial"/>
          <w:color w:val="000000"/>
          <w:sz w:val="22"/>
          <w:szCs w:val="22"/>
          <w:lang w:val="fr-CA"/>
        </w:rPr>
        <w:tab/>
      </w:r>
      <w:r w:rsidR="00974917" w:rsidRPr="004635B2">
        <w:rPr>
          <w:rFonts w:ascii="Arial" w:hAnsi="Arial" w:cs="Arial"/>
          <w:color w:val="000000"/>
          <w:sz w:val="22"/>
          <w:szCs w:val="22"/>
          <w:u w:val="single"/>
          <w:lang w:val="fr-CA"/>
        </w:rPr>
        <w:t xml:space="preserve">Recommandation de la Conférence des Parties concernant </w:t>
      </w:r>
      <w:r w:rsidR="007F55BB">
        <w:rPr>
          <w:rFonts w:ascii="Arial" w:hAnsi="Arial" w:cs="Arial"/>
          <w:color w:val="000000"/>
          <w:sz w:val="22"/>
          <w:szCs w:val="22"/>
          <w:u w:val="single"/>
          <w:lang w:val="fr-CA"/>
        </w:rPr>
        <w:t>l’efficacité</w:t>
      </w:r>
      <w:r w:rsidR="00974917" w:rsidRPr="004635B2">
        <w:rPr>
          <w:rFonts w:ascii="Arial" w:hAnsi="Arial" w:cs="Arial"/>
          <w:color w:val="000000"/>
          <w:sz w:val="22"/>
          <w:szCs w:val="22"/>
          <w:u w:val="single"/>
          <w:lang w:val="fr-CA"/>
        </w:rPr>
        <w:t xml:space="preserve"> du FEM</w:t>
      </w:r>
    </w:p>
    <w:p w14:paraId="30422C8D" w14:textId="77777777" w:rsidR="00974917" w:rsidRPr="004635B2" w:rsidRDefault="00974917" w:rsidP="00B13B18">
      <w:pPr>
        <w:pStyle w:val="ListParagraph"/>
        <w:suppressLineNumbers/>
        <w:suppressAutoHyphens/>
        <w:autoSpaceDE w:val="0"/>
        <w:autoSpaceDN w:val="0"/>
        <w:adjustRightInd w:val="0"/>
        <w:snapToGrid w:val="0"/>
        <w:ind w:left="0"/>
        <w:rPr>
          <w:rFonts w:ascii="Arial" w:hAnsi="Arial" w:cs="Arial"/>
          <w:color w:val="000000"/>
          <w:sz w:val="22"/>
          <w:szCs w:val="22"/>
          <w:u w:val="single"/>
          <w:lang w:val="fr-CA"/>
        </w:rPr>
      </w:pPr>
    </w:p>
    <w:p w14:paraId="75B3FC27" w14:textId="0EEFE651" w:rsidR="00974917" w:rsidRPr="004635B2" w:rsidRDefault="001D34C8" w:rsidP="00B13B18">
      <w:pPr>
        <w:suppressLineNumbers/>
        <w:suppressAutoHyphens/>
        <w:autoSpaceDE w:val="0"/>
        <w:autoSpaceDN w:val="0"/>
        <w:adjustRightInd w:val="0"/>
        <w:snapToGrid w:val="0"/>
        <w:rPr>
          <w:rFonts w:ascii="Arial" w:hAnsi="Arial" w:cs="Arial"/>
          <w:kern w:val="22"/>
          <w:sz w:val="22"/>
          <w:szCs w:val="22"/>
          <w:lang w:val="fr-CA"/>
        </w:rPr>
      </w:pPr>
      <w:r w:rsidRPr="004635B2">
        <w:rPr>
          <w:rFonts w:ascii="Arial" w:hAnsi="Arial" w:cs="Arial"/>
          <w:kern w:val="22"/>
          <w:sz w:val="22"/>
          <w:szCs w:val="22"/>
          <w:lang w:val="fr-CA"/>
        </w:rPr>
        <w:t>25.</w:t>
      </w:r>
      <w:r w:rsidRPr="004635B2">
        <w:rPr>
          <w:rFonts w:ascii="Arial" w:hAnsi="Arial" w:cs="Arial"/>
          <w:kern w:val="22"/>
          <w:sz w:val="22"/>
          <w:szCs w:val="22"/>
          <w:lang w:val="fr-CA"/>
        </w:rPr>
        <w:tab/>
      </w:r>
      <w:r w:rsidR="00974917" w:rsidRPr="004635B2">
        <w:rPr>
          <w:rFonts w:ascii="Arial" w:hAnsi="Arial" w:cs="Arial"/>
          <w:kern w:val="22"/>
          <w:sz w:val="22"/>
          <w:szCs w:val="22"/>
          <w:lang w:val="fr-CA"/>
        </w:rPr>
        <w:t xml:space="preserve">La Conférence des Parties, à sa quatorzième réunion, a considéré que le sixième bilan global du Fonds pour l'environnement mondial constituait une bonne base pour le cinquième examen de l'efficacité du mécanisme de financement, </w:t>
      </w:r>
      <w:r w:rsidR="007F55BB">
        <w:rPr>
          <w:rFonts w:ascii="Arial" w:hAnsi="Arial" w:cs="Arial"/>
          <w:kern w:val="22"/>
          <w:sz w:val="22"/>
          <w:szCs w:val="22"/>
          <w:lang w:val="fr-CA"/>
        </w:rPr>
        <w:t>au même titre que</w:t>
      </w:r>
      <w:r w:rsidR="00974917" w:rsidRPr="004635B2">
        <w:rPr>
          <w:rFonts w:ascii="Arial" w:hAnsi="Arial" w:cs="Arial"/>
          <w:kern w:val="22"/>
          <w:sz w:val="22"/>
          <w:szCs w:val="22"/>
          <w:lang w:val="fr-CA"/>
        </w:rPr>
        <w:t xml:space="preserve"> les communications connexes adressées par les Parties, et a invité le Conseil du Fonds pour l'environnement mondial à agir</w:t>
      </w:r>
      <w:r w:rsidR="00974917" w:rsidRPr="004635B2">
        <w:rPr>
          <w:rStyle w:val="FootnoteReference"/>
          <w:rFonts w:ascii="Arial" w:hAnsi="Arial" w:cs="Arial"/>
          <w:kern w:val="22"/>
          <w:sz w:val="22"/>
          <w:szCs w:val="22"/>
          <w:u w:val="none"/>
          <w:vertAlign w:val="superscript"/>
          <w:lang w:val="fr-CA"/>
        </w:rPr>
        <w:footnoteReference w:id="9"/>
      </w:r>
      <w:r w:rsidR="00974917" w:rsidRPr="004635B2">
        <w:rPr>
          <w:rFonts w:ascii="Arial" w:hAnsi="Arial" w:cs="Arial"/>
          <w:kern w:val="22"/>
          <w:sz w:val="22"/>
          <w:szCs w:val="22"/>
          <w:lang w:val="fr-CA"/>
        </w:rPr>
        <w:t xml:space="preserve"> afin d'améliorer encore davantage l'efficacité du mécanisme de financement</w:t>
      </w:r>
      <w:r w:rsidR="009003C5">
        <w:rPr>
          <w:rFonts w:ascii="Arial" w:hAnsi="Arial" w:cs="Arial"/>
          <w:kern w:val="22"/>
          <w:sz w:val="22"/>
          <w:szCs w:val="22"/>
          <w:lang w:val="fr-CA"/>
        </w:rPr>
        <w:t>.</w:t>
      </w:r>
    </w:p>
    <w:p w14:paraId="14DD69B1" w14:textId="77777777" w:rsidR="00974917" w:rsidRPr="004635B2" w:rsidRDefault="00974917" w:rsidP="00B13B18">
      <w:pPr>
        <w:suppressLineNumbers/>
        <w:suppressAutoHyphens/>
        <w:autoSpaceDE w:val="0"/>
        <w:autoSpaceDN w:val="0"/>
        <w:adjustRightInd w:val="0"/>
        <w:snapToGrid w:val="0"/>
        <w:rPr>
          <w:rFonts w:ascii="Arial" w:hAnsi="Arial" w:cs="Arial"/>
          <w:kern w:val="22"/>
          <w:sz w:val="22"/>
          <w:szCs w:val="22"/>
          <w:lang w:val="fr-CA"/>
        </w:rPr>
      </w:pPr>
    </w:p>
    <w:p w14:paraId="0D2C7928" w14:textId="50664C4B" w:rsidR="00974917" w:rsidRPr="004635B2" w:rsidRDefault="001D34C8" w:rsidP="001D34C8">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e.</w:t>
      </w:r>
      <w:r w:rsidRPr="004635B2">
        <w:rPr>
          <w:rFonts w:ascii="Arial" w:hAnsi="Arial" w:cs="Arial"/>
          <w:sz w:val="22"/>
          <w:szCs w:val="22"/>
          <w:lang w:val="fr-CA"/>
        </w:rPr>
        <w:tab/>
      </w:r>
      <w:r w:rsidR="00974917" w:rsidRPr="004635B2">
        <w:rPr>
          <w:rFonts w:ascii="Arial" w:hAnsi="Arial" w:cs="Arial"/>
          <w:sz w:val="22"/>
          <w:szCs w:val="22"/>
          <w:u w:val="single"/>
          <w:lang w:val="fr-CA"/>
        </w:rPr>
        <w:t>Implications financières des orientations futures</w:t>
      </w:r>
    </w:p>
    <w:p w14:paraId="7E309C70" w14:textId="77777777" w:rsidR="00974917" w:rsidRPr="004635B2" w:rsidRDefault="00974917" w:rsidP="00B13B18">
      <w:pPr>
        <w:pStyle w:val="ListParagraph"/>
        <w:suppressLineNumbers/>
        <w:suppressAutoHyphens/>
        <w:adjustRightInd w:val="0"/>
        <w:snapToGrid w:val="0"/>
        <w:ind w:left="0"/>
        <w:rPr>
          <w:rFonts w:ascii="Arial" w:hAnsi="Arial" w:cs="Arial"/>
          <w:sz w:val="22"/>
          <w:szCs w:val="22"/>
          <w:lang w:val="fr-CA"/>
        </w:rPr>
      </w:pPr>
    </w:p>
    <w:p w14:paraId="29EE7BA3" w14:textId="2511F2DE" w:rsidR="00974917" w:rsidRPr="004635B2" w:rsidRDefault="001D34C8" w:rsidP="00B13B18">
      <w:pPr>
        <w:pStyle w:val="ListParagraph"/>
        <w:suppressLineNumbers/>
        <w:suppressAutoHyphens/>
        <w:adjustRightInd w:val="0"/>
        <w:snapToGrid w:val="0"/>
        <w:ind w:left="0"/>
        <w:rPr>
          <w:rFonts w:ascii="Arial" w:hAnsi="Arial" w:cs="Arial"/>
          <w:sz w:val="22"/>
          <w:szCs w:val="22"/>
          <w:lang w:val="fr-CA"/>
        </w:rPr>
      </w:pPr>
      <w:r w:rsidRPr="004635B2">
        <w:rPr>
          <w:rFonts w:ascii="Arial" w:hAnsi="Arial" w:cs="Arial"/>
          <w:sz w:val="22"/>
          <w:szCs w:val="22"/>
          <w:lang w:val="fr-CA"/>
        </w:rPr>
        <w:t>26.</w:t>
      </w:r>
      <w:r w:rsidRPr="004635B2">
        <w:rPr>
          <w:rFonts w:ascii="Arial" w:hAnsi="Arial" w:cs="Arial"/>
          <w:sz w:val="22"/>
          <w:szCs w:val="22"/>
          <w:lang w:val="fr-CA"/>
        </w:rPr>
        <w:tab/>
      </w:r>
      <w:r w:rsidR="00974917" w:rsidRPr="004635B2">
        <w:rPr>
          <w:rFonts w:ascii="Arial" w:hAnsi="Arial" w:cs="Arial"/>
          <w:sz w:val="22"/>
          <w:szCs w:val="22"/>
          <w:lang w:val="fr-CA"/>
        </w:rPr>
        <w:t xml:space="preserve">Les estimations </w:t>
      </w:r>
      <w:r w:rsidR="007F55BB">
        <w:rPr>
          <w:rFonts w:ascii="Arial" w:hAnsi="Arial" w:cs="Arial"/>
          <w:sz w:val="22"/>
          <w:szCs w:val="22"/>
          <w:lang w:val="fr-CA"/>
        </w:rPr>
        <w:t>relatives aux</w:t>
      </w:r>
      <w:r w:rsidR="00974917" w:rsidRPr="004635B2">
        <w:rPr>
          <w:rFonts w:ascii="Arial" w:hAnsi="Arial" w:cs="Arial"/>
          <w:sz w:val="22"/>
          <w:szCs w:val="22"/>
          <w:lang w:val="fr-CA"/>
        </w:rPr>
        <w:t xml:space="preserve"> implications financières des </w:t>
      </w:r>
      <w:r w:rsidRPr="004635B2">
        <w:rPr>
          <w:rFonts w:ascii="Arial" w:hAnsi="Arial" w:cs="Arial"/>
          <w:sz w:val="22"/>
          <w:szCs w:val="22"/>
          <w:lang w:val="fr-CA"/>
        </w:rPr>
        <w:t xml:space="preserve">futures </w:t>
      </w:r>
      <w:r w:rsidR="00974917" w:rsidRPr="004635B2">
        <w:rPr>
          <w:rFonts w:ascii="Arial" w:hAnsi="Arial" w:cs="Arial"/>
          <w:sz w:val="22"/>
          <w:szCs w:val="22"/>
          <w:lang w:val="fr-CA"/>
        </w:rPr>
        <w:t>orientations de la CDB pour le mécanisme de financement</w:t>
      </w:r>
      <w:r w:rsidR="00974F47" w:rsidRPr="004635B2">
        <w:rPr>
          <w:rFonts w:ascii="Arial" w:hAnsi="Arial" w:cs="Arial"/>
          <w:sz w:val="22"/>
          <w:szCs w:val="22"/>
          <w:lang w:val="fr-CA"/>
        </w:rPr>
        <w:t xml:space="preserve"> lié au cadre quadriennal des</w:t>
      </w:r>
      <w:r w:rsidR="00974917" w:rsidRPr="004635B2">
        <w:rPr>
          <w:rFonts w:ascii="Arial" w:hAnsi="Arial" w:cs="Arial"/>
          <w:sz w:val="22"/>
          <w:szCs w:val="22"/>
          <w:lang w:val="fr-CA"/>
        </w:rPr>
        <w:t xml:space="preserve"> priorités de programme</w:t>
      </w:r>
      <w:r w:rsidR="00974F47" w:rsidRPr="004635B2">
        <w:rPr>
          <w:rFonts w:ascii="Arial" w:hAnsi="Arial" w:cs="Arial"/>
          <w:sz w:val="22"/>
          <w:szCs w:val="22"/>
          <w:lang w:val="fr-CA"/>
        </w:rPr>
        <w:t xml:space="preserve"> pour l</w:t>
      </w:r>
      <w:r w:rsidR="00545360">
        <w:rPr>
          <w:rFonts w:ascii="Arial" w:hAnsi="Arial" w:cs="Arial"/>
          <w:sz w:val="22"/>
          <w:szCs w:val="22"/>
          <w:lang w:val="fr-CA"/>
        </w:rPr>
        <w:t>a</w:t>
      </w:r>
      <w:r w:rsidR="00974F47" w:rsidRPr="004635B2">
        <w:rPr>
          <w:rFonts w:ascii="Arial" w:hAnsi="Arial" w:cs="Arial"/>
          <w:sz w:val="22"/>
          <w:szCs w:val="22"/>
          <w:lang w:val="fr-CA"/>
        </w:rPr>
        <w:t xml:space="preserve"> FEM-8</w:t>
      </w:r>
      <w:r w:rsidR="007F55BB">
        <w:rPr>
          <w:rFonts w:ascii="Arial" w:hAnsi="Arial" w:cs="Arial"/>
          <w:sz w:val="22"/>
          <w:szCs w:val="22"/>
          <w:lang w:val="fr-CA"/>
        </w:rPr>
        <w:t>,</w:t>
      </w:r>
      <w:r w:rsidR="00974917" w:rsidRPr="004635B2">
        <w:rPr>
          <w:rFonts w:ascii="Arial" w:hAnsi="Arial" w:cs="Arial"/>
          <w:sz w:val="22"/>
          <w:szCs w:val="22"/>
          <w:lang w:val="fr-CA"/>
        </w:rPr>
        <w:t xml:space="preserve"> </w:t>
      </w:r>
      <w:r w:rsidR="00974F47" w:rsidRPr="004635B2">
        <w:rPr>
          <w:rFonts w:ascii="Arial" w:hAnsi="Arial" w:cs="Arial"/>
          <w:sz w:val="22"/>
          <w:szCs w:val="22"/>
          <w:lang w:val="fr-CA"/>
        </w:rPr>
        <w:t>harmonisé au</w:t>
      </w:r>
      <w:r w:rsidR="00974917" w:rsidRPr="004635B2">
        <w:rPr>
          <w:rFonts w:ascii="Arial" w:hAnsi="Arial" w:cs="Arial"/>
          <w:sz w:val="22"/>
          <w:szCs w:val="22"/>
          <w:lang w:val="fr-CA"/>
        </w:rPr>
        <w:t xml:space="preserve"> Cadre mondial de la biodiversité pour l'après-2020</w:t>
      </w:r>
      <w:r w:rsidR="007F55BB">
        <w:rPr>
          <w:rFonts w:ascii="Arial" w:hAnsi="Arial" w:cs="Arial"/>
          <w:sz w:val="22"/>
          <w:szCs w:val="22"/>
          <w:lang w:val="fr-CA"/>
        </w:rPr>
        <w:t>,</w:t>
      </w:r>
      <w:r w:rsidR="00974F47" w:rsidRPr="004635B2">
        <w:rPr>
          <w:rFonts w:ascii="Arial" w:hAnsi="Arial" w:cs="Arial"/>
          <w:sz w:val="22"/>
          <w:szCs w:val="22"/>
          <w:lang w:val="fr-CA"/>
        </w:rPr>
        <w:t xml:space="preserve"> ne sont pas disponibles car les négociations sont toujours en cours. Les renseignements disponibles </w:t>
      </w:r>
      <w:r w:rsidR="00974917" w:rsidRPr="004635B2">
        <w:rPr>
          <w:rFonts w:ascii="Arial" w:hAnsi="Arial" w:cs="Arial"/>
          <w:sz w:val="22"/>
          <w:szCs w:val="22"/>
          <w:lang w:val="fr-CA"/>
        </w:rPr>
        <w:t>concernant l</w:t>
      </w:r>
      <w:r w:rsidR="00D2339C" w:rsidRPr="004635B2">
        <w:rPr>
          <w:rFonts w:ascii="Arial" w:hAnsi="Arial" w:cs="Arial"/>
          <w:sz w:val="22"/>
          <w:szCs w:val="22"/>
          <w:lang w:val="fr-CA"/>
        </w:rPr>
        <w:t>’estimation d</w:t>
      </w:r>
      <w:r w:rsidR="00974917" w:rsidRPr="004635B2">
        <w:rPr>
          <w:rFonts w:ascii="Arial" w:hAnsi="Arial" w:cs="Arial"/>
          <w:sz w:val="22"/>
          <w:szCs w:val="22"/>
          <w:lang w:val="fr-CA"/>
        </w:rPr>
        <w:t>es besoins totaux en ressources</w:t>
      </w:r>
      <w:r w:rsidR="00974F47" w:rsidRPr="004635B2">
        <w:rPr>
          <w:rFonts w:ascii="Arial" w:hAnsi="Arial" w:cs="Arial"/>
          <w:sz w:val="22"/>
          <w:szCs w:val="22"/>
          <w:lang w:val="fr-CA"/>
        </w:rPr>
        <w:t xml:space="preserve"> </w:t>
      </w:r>
      <w:r w:rsidR="00D2339C" w:rsidRPr="004635B2">
        <w:rPr>
          <w:rFonts w:ascii="Arial" w:hAnsi="Arial" w:cs="Arial"/>
          <w:sz w:val="22"/>
          <w:szCs w:val="22"/>
          <w:lang w:val="fr-CA"/>
        </w:rPr>
        <w:t>nécessaires à la mise en œuvre du Cadre mondial de la biodiversité sont présentés sous la rubrique des rapports mondiaux du présent rapport</w:t>
      </w:r>
      <w:r w:rsidR="00974917" w:rsidRPr="004635B2">
        <w:rPr>
          <w:rFonts w:ascii="Arial" w:hAnsi="Arial" w:cs="Arial"/>
          <w:sz w:val="22"/>
          <w:szCs w:val="22"/>
          <w:lang w:val="fr-CA"/>
        </w:rPr>
        <w:t>.</w:t>
      </w:r>
    </w:p>
    <w:p w14:paraId="3D09D4F0" w14:textId="77777777" w:rsidR="00974917" w:rsidRPr="004635B2" w:rsidRDefault="00974917" w:rsidP="0065103C">
      <w:pPr>
        <w:pStyle w:val="ListParagraph"/>
        <w:suppressLineNumbers/>
        <w:suppressAutoHyphens/>
        <w:adjustRightInd w:val="0"/>
        <w:snapToGrid w:val="0"/>
        <w:ind w:left="1440"/>
        <w:rPr>
          <w:rFonts w:ascii="Arial" w:hAnsi="Arial" w:cs="Arial"/>
          <w:sz w:val="22"/>
          <w:szCs w:val="22"/>
          <w:lang w:val="fr-CA"/>
        </w:rPr>
      </w:pPr>
    </w:p>
    <w:p w14:paraId="122E4032" w14:textId="10233A3B" w:rsidR="00974917" w:rsidRPr="004635B2" w:rsidRDefault="00D2339C" w:rsidP="00B050BD">
      <w:pPr>
        <w:pStyle w:val="ListParagraph"/>
        <w:suppressLineNumbers/>
        <w:suppressAutoHyphens/>
        <w:adjustRightInd w:val="0"/>
        <w:snapToGrid w:val="0"/>
        <w:ind w:left="0"/>
        <w:rPr>
          <w:rFonts w:ascii="Arial" w:hAnsi="Arial" w:cs="Arial"/>
          <w:b/>
          <w:bCs/>
          <w:color w:val="000000"/>
          <w:sz w:val="22"/>
          <w:szCs w:val="22"/>
          <w:lang w:val="fr-CA"/>
        </w:rPr>
      </w:pPr>
      <w:r w:rsidRPr="004635B2">
        <w:rPr>
          <w:rFonts w:ascii="Arial" w:hAnsi="Arial" w:cs="Arial"/>
          <w:b/>
          <w:bCs/>
          <w:color w:val="000000"/>
          <w:sz w:val="22"/>
          <w:szCs w:val="22"/>
          <w:lang w:val="fr-CA"/>
        </w:rPr>
        <w:t>4.</w:t>
      </w:r>
      <w:r w:rsidRPr="004635B2">
        <w:rPr>
          <w:rFonts w:ascii="Arial" w:hAnsi="Arial" w:cs="Arial"/>
          <w:b/>
          <w:bCs/>
          <w:color w:val="000000"/>
          <w:sz w:val="22"/>
          <w:szCs w:val="22"/>
          <w:lang w:val="fr-CA"/>
        </w:rPr>
        <w:tab/>
      </w:r>
      <w:r w:rsidR="00974917" w:rsidRPr="004635B2">
        <w:rPr>
          <w:rFonts w:ascii="Arial" w:hAnsi="Arial" w:cs="Arial"/>
          <w:b/>
          <w:bCs/>
          <w:color w:val="000000"/>
          <w:sz w:val="22"/>
          <w:szCs w:val="22"/>
          <w:lang w:val="fr-CA"/>
        </w:rPr>
        <w:t>Analyse des rapports nationaux et mondiaux pertinents</w:t>
      </w:r>
    </w:p>
    <w:p w14:paraId="1E81F909" w14:textId="77777777" w:rsidR="00974917" w:rsidRPr="004635B2" w:rsidRDefault="00974917" w:rsidP="0012639A">
      <w:pPr>
        <w:pStyle w:val="Default"/>
        <w:suppressLineNumbers/>
        <w:suppressAutoHyphens/>
        <w:adjustRightInd w:val="0"/>
        <w:snapToGrid w:val="0"/>
        <w:rPr>
          <w:rFonts w:ascii="Arial" w:hAnsi="Arial" w:cs="Arial"/>
          <w:sz w:val="22"/>
          <w:szCs w:val="22"/>
          <w:lang w:val="fr-CA"/>
        </w:rPr>
      </w:pPr>
    </w:p>
    <w:p w14:paraId="1A9F1E9F" w14:textId="5B840BD5" w:rsidR="00974917" w:rsidRPr="004635B2" w:rsidRDefault="0012639A" w:rsidP="0012639A">
      <w:pPr>
        <w:pStyle w:val="Default"/>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27.</w:t>
      </w:r>
      <w:r w:rsidRPr="004635B2">
        <w:rPr>
          <w:rFonts w:ascii="Arial" w:hAnsi="Arial" w:cs="Arial"/>
          <w:sz w:val="22"/>
          <w:szCs w:val="22"/>
          <w:lang w:val="fr-CA"/>
        </w:rPr>
        <w:tab/>
        <w:t xml:space="preserve">L’équipe d’experts a étudié et analysé les rapports nationaux et mondiaux mentionnés ci-dessous, </w:t>
      </w:r>
      <w:r w:rsidR="00657AE9">
        <w:rPr>
          <w:rFonts w:ascii="Arial" w:hAnsi="Arial" w:cs="Arial"/>
          <w:sz w:val="22"/>
          <w:szCs w:val="22"/>
          <w:lang w:val="fr-CA"/>
        </w:rPr>
        <w:t>et présenté les détails de leurs travaux</w:t>
      </w:r>
      <w:r w:rsidRPr="004635B2">
        <w:rPr>
          <w:rFonts w:ascii="Arial" w:hAnsi="Arial" w:cs="Arial"/>
          <w:sz w:val="22"/>
          <w:szCs w:val="22"/>
          <w:lang w:val="fr-CA"/>
        </w:rPr>
        <w:t xml:space="preserve">. Ces rapports fournissent des données financières pour la réalisation du Plan stratégique </w:t>
      </w:r>
      <w:r w:rsidR="004B4661" w:rsidRPr="004635B2">
        <w:rPr>
          <w:rFonts w:ascii="Arial" w:hAnsi="Arial" w:cs="Arial"/>
          <w:sz w:val="22"/>
          <w:szCs w:val="22"/>
          <w:lang w:val="fr-CA"/>
        </w:rPr>
        <w:t>2011-2020 pour la diversité biologique ou précisent les besoins financiers mondiaux pour la mise en œuvre de la Convention et de ses protocoles. Bien que ces données ne puissent servir à l’évaluation des besoins financiers (</w:t>
      </w:r>
      <w:r w:rsidR="00657AE9">
        <w:rPr>
          <w:rFonts w:ascii="Arial" w:hAnsi="Arial" w:cs="Arial"/>
          <w:sz w:val="22"/>
          <w:szCs w:val="22"/>
          <w:lang w:val="fr-CA"/>
        </w:rPr>
        <w:t>coûts différentiels</w:t>
      </w:r>
      <w:r w:rsidR="004B4661" w:rsidRPr="004635B2">
        <w:rPr>
          <w:rFonts w:ascii="Arial" w:hAnsi="Arial" w:cs="Arial"/>
          <w:sz w:val="22"/>
          <w:szCs w:val="22"/>
          <w:lang w:val="fr-CA"/>
        </w:rPr>
        <w:t>) dans le contexte du FEM pour la hui</w:t>
      </w:r>
      <w:r w:rsidR="00657AE9">
        <w:rPr>
          <w:rFonts w:ascii="Arial" w:hAnsi="Arial" w:cs="Arial"/>
          <w:sz w:val="22"/>
          <w:szCs w:val="22"/>
          <w:lang w:val="fr-CA"/>
        </w:rPr>
        <w:t>tième période de reconstitution</w:t>
      </w:r>
      <w:r w:rsidR="004B4661" w:rsidRPr="004635B2">
        <w:rPr>
          <w:rFonts w:ascii="Arial" w:hAnsi="Arial" w:cs="Arial"/>
          <w:sz w:val="22"/>
          <w:szCs w:val="22"/>
          <w:lang w:val="fr-CA"/>
        </w:rPr>
        <w:t xml:space="preserve"> des ressources, elles peuvent fournir des renseignements utiles sur les tendances passées concernant l</w:t>
      </w:r>
      <w:r w:rsidR="00B050BD" w:rsidRPr="004635B2">
        <w:rPr>
          <w:rFonts w:ascii="Arial" w:hAnsi="Arial" w:cs="Arial"/>
          <w:sz w:val="22"/>
          <w:szCs w:val="22"/>
          <w:lang w:val="fr-CA"/>
        </w:rPr>
        <w:t xml:space="preserve">es dépenses </w:t>
      </w:r>
      <w:r w:rsidR="00657AE9">
        <w:rPr>
          <w:rFonts w:ascii="Arial" w:hAnsi="Arial" w:cs="Arial"/>
          <w:sz w:val="22"/>
          <w:szCs w:val="22"/>
          <w:lang w:val="fr-CA"/>
        </w:rPr>
        <w:t>des pays</w:t>
      </w:r>
      <w:r w:rsidR="00B050BD" w:rsidRPr="004635B2">
        <w:rPr>
          <w:rFonts w:ascii="Arial" w:hAnsi="Arial" w:cs="Arial"/>
          <w:sz w:val="22"/>
          <w:szCs w:val="22"/>
          <w:lang w:val="fr-CA"/>
        </w:rPr>
        <w:t xml:space="preserve"> pour la </w:t>
      </w:r>
      <w:r w:rsidR="004B4661" w:rsidRPr="004635B2">
        <w:rPr>
          <w:rFonts w:ascii="Arial" w:hAnsi="Arial" w:cs="Arial"/>
          <w:sz w:val="22"/>
          <w:szCs w:val="22"/>
          <w:lang w:val="fr-CA"/>
        </w:rPr>
        <w:t>diversité biologique</w:t>
      </w:r>
      <w:r w:rsidR="00B050BD" w:rsidRPr="004635B2">
        <w:rPr>
          <w:rFonts w:ascii="Arial" w:hAnsi="Arial" w:cs="Arial"/>
          <w:sz w:val="22"/>
          <w:szCs w:val="22"/>
          <w:lang w:val="fr-CA"/>
        </w:rPr>
        <w:t xml:space="preserve"> dans le contexte de la mise en œuvre de la Convention et de ses protocoles.</w:t>
      </w:r>
    </w:p>
    <w:p w14:paraId="129E8188" w14:textId="77777777" w:rsidR="0012639A" w:rsidRPr="004635B2" w:rsidRDefault="0012639A" w:rsidP="0012639A">
      <w:pPr>
        <w:suppressLineNumbers/>
        <w:suppressAutoHyphens/>
        <w:adjustRightInd w:val="0"/>
        <w:snapToGrid w:val="0"/>
        <w:rPr>
          <w:rFonts w:ascii="Arial" w:hAnsi="Arial" w:cs="Arial"/>
          <w:sz w:val="22"/>
          <w:szCs w:val="22"/>
          <w:lang w:val="fr-CA"/>
        </w:rPr>
      </w:pPr>
    </w:p>
    <w:p w14:paraId="4530A2E8" w14:textId="035ACCEA" w:rsidR="00B050BD" w:rsidRPr="004635B2" w:rsidRDefault="00B050BD" w:rsidP="0012639A">
      <w:pPr>
        <w:pStyle w:val="ListParagraph"/>
        <w:numPr>
          <w:ilvl w:val="1"/>
          <w:numId w:val="17"/>
        </w:numPr>
        <w:suppressLineNumbers/>
        <w:suppressAutoHyphens/>
        <w:adjustRightInd w:val="0"/>
        <w:snapToGrid w:val="0"/>
        <w:ind w:left="0" w:firstLine="0"/>
        <w:rPr>
          <w:rFonts w:ascii="Arial" w:hAnsi="Arial" w:cs="Arial"/>
          <w:sz w:val="22"/>
          <w:szCs w:val="22"/>
          <w:u w:val="single"/>
          <w:lang w:val="fr-CA"/>
        </w:rPr>
      </w:pPr>
      <w:r w:rsidRPr="004635B2">
        <w:rPr>
          <w:rFonts w:ascii="Arial" w:hAnsi="Arial" w:cs="Arial"/>
          <w:sz w:val="22"/>
          <w:szCs w:val="22"/>
          <w:u w:val="single"/>
          <w:lang w:val="fr-CA"/>
        </w:rPr>
        <w:t xml:space="preserve">Stratégies et plans d’action nationaux pour la </w:t>
      </w:r>
      <w:r w:rsidR="00545360">
        <w:rPr>
          <w:rFonts w:ascii="Arial" w:hAnsi="Arial" w:cs="Arial"/>
          <w:sz w:val="22"/>
          <w:szCs w:val="22"/>
          <w:u w:val="single"/>
          <w:lang w:val="fr-CA"/>
        </w:rPr>
        <w:t>biodiversité</w:t>
      </w:r>
      <w:r w:rsidRPr="004635B2">
        <w:rPr>
          <w:rFonts w:ascii="Arial" w:hAnsi="Arial" w:cs="Arial"/>
          <w:sz w:val="22"/>
          <w:szCs w:val="22"/>
          <w:u w:val="single"/>
          <w:lang w:val="fr-CA"/>
        </w:rPr>
        <w:t xml:space="preserve"> (SPANB)</w:t>
      </w:r>
    </w:p>
    <w:p w14:paraId="613B90D8" w14:textId="77777777" w:rsidR="00B050BD" w:rsidRPr="004635B2" w:rsidRDefault="00B050BD" w:rsidP="0012639A">
      <w:pPr>
        <w:suppressLineNumbers/>
        <w:suppressAutoHyphens/>
        <w:adjustRightInd w:val="0"/>
        <w:snapToGrid w:val="0"/>
        <w:rPr>
          <w:rFonts w:ascii="Arial" w:hAnsi="Arial" w:cs="Arial"/>
          <w:sz w:val="22"/>
          <w:szCs w:val="22"/>
          <w:lang w:val="fr-CA"/>
        </w:rPr>
      </w:pPr>
    </w:p>
    <w:p w14:paraId="65667075" w14:textId="4D5E35AA" w:rsidR="00974917" w:rsidRPr="004635B2" w:rsidRDefault="00B050BD" w:rsidP="0012639A">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28.</w:t>
      </w:r>
      <w:r w:rsidRPr="004635B2">
        <w:rPr>
          <w:rFonts w:ascii="Arial" w:hAnsi="Arial" w:cs="Arial"/>
          <w:sz w:val="22"/>
          <w:szCs w:val="22"/>
          <w:lang w:val="fr-CA"/>
        </w:rPr>
        <w:tab/>
      </w:r>
      <w:r w:rsidR="00657AE9">
        <w:rPr>
          <w:rFonts w:ascii="Arial" w:hAnsi="Arial" w:cs="Arial"/>
          <w:sz w:val="22"/>
          <w:szCs w:val="22"/>
          <w:lang w:val="fr-CA"/>
        </w:rPr>
        <w:t xml:space="preserve">La Secrétaire exécutive a présenté une mise à jour des SPANB </w:t>
      </w:r>
      <w:r w:rsidR="00657AE9" w:rsidRPr="004635B2">
        <w:rPr>
          <w:rFonts w:ascii="Arial" w:hAnsi="Arial" w:cs="Arial"/>
          <w:sz w:val="22"/>
          <w:szCs w:val="22"/>
          <w:lang w:val="fr-CA"/>
        </w:rPr>
        <w:t>(CBD/COP/14/5/Add.1</w:t>
      </w:r>
      <w:r w:rsidR="00657AE9">
        <w:rPr>
          <w:rFonts w:ascii="Arial" w:hAnsi="Arial" w:cs="Arial"/>
          <w:sz w:val="22"/>
          <w:szCs w:val="22"/>
          <w:lang w:val="fr-CA"/>
        </w:rPr>
        <w:t>) lors de</w:t>
      </w:r>
      <w:r w:rsidR="00974917" w:rsidRPr="004635B2">
        <w:rPr>
          <w:rFonts w:ascii="Arial" w:hAnsi="Arial" w:cs="Arial"/>
          <w:sz w:val="22"/>
          <w:szCs w:val="22"/>
          <w:lang w:val="fr-CA"/>
        </w:rPr>
        <w:t xml:space="preserve"> la quatorzième réunion de la Conférenc</w:t>
      </w:r>
      <w:r w:rsidR="00657AE9">
        <w:rPr>
          <w:rFonts w:ascii="Arial" w:hAnsi="Arial" w:cs="Arial"/>
          <w:sz w:val="22"/>
          <w:szCs w:val="22"/>
          <w:lang w:val="fr-CA"/>
        </w:rPr>
        <w:t>e des Parties en novembre 2018</w:t>
      </w:r>
      <w:r w:rsidR="00974917" w:rsidRPr="004635B2">
        <w:rPr>
          <w:rFonts w:ascii="Arial" w:hAnsi="Arial" w:cs="Arial"/>
          <w:sz w:val="22"/>
          <w:szCs w:val="22"/>
          <w:lang w:val="fr-CA"/>
        </w:rPr>
        <w:t xml:space="preserve">. </w:t>
      </w:r>
    </w:p>
    <w:p w14:paraId="25F52946" w14:textId="77777777" w:rsidR="00974917" w:rsidRPr="004635B2" w:rsidRDefault="00974917" w:rsidP="0012639A">
      <w:pPr>
        <w:pStyle w:val="Default"/>
        <w:suppressLineNumbers/>
        <w:suppressAutoHyphens/>
        <w:adjustRightInd w:val="0"/>
        <w:snapToGrid w:val="0"/>
        <w:rPr>
          <w:rFonts w:ascii="Arial" w:hAnsi="Arial" w:cs="Arial"/>
          <w:sz w:val="22"/>
          <w:szCs w:val="22"/>
          <w:lang w:val="fr-CA"/>
        </w:rPr>
      </w:pPr>
    </w:p>
    <w:p w14:paraId="493D2411" w14:textId="02E0B2B1" w:rsidR="00974917" w:rsidRPr="004635B2" w:rsidRDefault="00B050BD" w:rsidP="0012639A">
      <w:pPr>
        <w:suppressLineNumbers/>
        <w:suppressAutoHyphens/>
        <w:adjustRightInd w:val="0"/>
        <w:snapToGrid w:val="0"/>
        <w:rPr>
          <w:rFonts w:ascii="Arial" w:hAnsi="Arial" w:cs="Arial"/>
          <w:b/>
          <w:bCs/>
          <w:sz w:val="22"/>
          <w:szCs w:val="22"/>
          <w:lang w:val="fr-CA"/>
        </w:rPr>
      </w:pPr>
      <w:r w:rsidRPr="004635B2">
        <w:rPr>
          <w:rFonts w:ascii="Arial" w:hAnsi="Arial" w:cs="Arial"/>
          <w:sz w:val="22"/>
          <w:szCs w:val="22"/>
          <w:lang w:val="fr-CA"/>
        </w:rPr>
        <w:t>29.</w:t>
      </w:r>
      <w:r w:rsidRPr="004635B2">
        <w:rPr>
          <w:rFonts w:ascii="Arial" w:hAnsi="Arial" w:cs="Arial"/>
          <w:sz w:val="22"/>
          <w:szCs w:val="22"/>
          <w:lang w:val="fr-CA"/>
        </w:rPr>
        <w:tab/>
      </w:r>
      <w:r w:rsidR="00974917" w:rsidRPr="004635B2">
        <w:rPr>
          <w:rFonts w:ascii="Arial" w:hAnsi="Arial" w:cs="Arial"/>
          <w:sz w:val="22"/>
          <w:szCs w:val="22"/>
          <w:lang w:val="fr-CA"/>
        </w:rPr>
        <w:t>Su</w:t>
      </w:r>
      <w:r w:rsidRPr="004635B2">
        <w:rPr>
          <w:rFonts w:ascii="Arial" w:hAnsi="Arial" w:cs="Arial"/>
          <w:sz w:val="22"/>
          <w:szCs w:val="22"/>
          <w:lang w:val="fr-CA"/>
        </w:rPr>
        <w:t>r les 145</w:t>
      </w:r>
      <w:r w:rsidR="00974917" w:rsidRPr="004635B2">
        <w:rPr>
          <w:rFonts w:ascii="Arial" w:hAnsi="Arial" w:cs="Arial"/>
          <w:sz w:val="22"/>
          <w:szCs w:val="22"/>
          <w:lang w:val="fr-CA"/>
        </w:rPr>
        <w:t> pays bénéficiaires du FEM</w:t>
      </w:r>
      <w:r w:rsidRPr="004635B2">
        <w:rPr>
          <w:rFonts w:ascii="Arial" w:hAnsi="Arial" w:cs="Arial"/>
          <w:sz w:val="22"/>
          <w:szCs w:val="22"/>
          <w:lang w:val="fr-CA"/>
        </w:rPr>
        <w:t xml:space="preserve"> à l’étude</w:t>
      </w:r>
      <w:r w:rsidR="00974917" w:rsidRPr="004635B2">
        <w:rPr>
          <w:rFonts w:ascii="Arial" w:hAnsi="Arial" w:cs="Arial"/>
          <w:sz w:val="22"/>
          <w:szCs w:val="22"/>
          <w:lang w:val="fr-CA"/>
        </w:rPr>
        <w:t>, 58 </w:t>
      </w:r>
      <w:r w:rsidRPr="004635B2">
        <w:rPr>
          <w:rFonts w:ascii="Arial" w:hAnsi="Arial" w:cs="Arial"/>
          <w:sz w:val="22"/>
          <w:szCs w:val="22"/>
          <w:lang w:val="fr-CA"/>
        </w:rPr>
        <w:t>pour cent</w:t>
      </w:r>
      <w:r w:rsidR="00974917" w:rsidRPr="004635B2">
        <w:rPr>
          <w:rFonts w:ascii="Arial" w:hAnsi="Arial" w:cs="Arial"/>
          <w:sz w:val="22"/>
          <w:szCs w:val="22"/>
          <w:lang w:val="fr-CA"/>
        </w:rPr>
        <w:t xml:space="preserve"> des 12 pays européens </w:t>
      </w:r>
      <w:r w:rsidRPr="004635B2">
        <w:rPr>
          <w:rFonts w:ascii="Arial" w:hAnsi="Arial" w:cs="Arial"/>
          <w:sz w:val="22"/>
          <w:szCs w:val="22"/>
          <w:lang w:val="fr-CA"/>
        </w:rPr>
        <w:t xml:space="preserve">admissibles </w:t>
      </w:r>
      <w:r w:rsidR="00974917" w:rsidRPr="004635B2">
        <w:rPr>
          <w:rFonts w:ascii="Arial" w:hAnsi="Arial" w:cs="Arial"/>
          <w:sz w:val="22"/>
          <w:szCs w:val="22"/>
          <w:lang w:val="fr-CA"/>
        </w:rPr>
        <w:t>ont communiqué un certain nombre de données financières dans leurs SPANB</w:t>
      </w:r>
      <w:r w:rsidR="00657AE9">
        <w:rPr>
          <w:rFonts w:ascii="Arial" w:hAnsi="Arial" w:cs="Arial"/>
          <w:sz w:val="22"/>
          <w:szCs w:val="22"/>
          <w:lang w:val="fr-CA"/>
        </w:rPr>
        <w:t xml:space="preserve">. Il en est de même pour </w:t>
      </w:r>
      <w:r w:rsidR="00974917" w:rsidRPr="004635B2">
        <w:rPr>
          <w:rFonts w:ascii="Arial" w:hAnsi="Arial" w:cs="Arial"/>
          <w:sz w:val="22"/>
          <w:szCs w:val="22"/>
          <w:lang w:val="fr-CA"/>
        </w:rPr>
        <w:t>68 </w:t>
      </w:r>
      <w:r w:rsidRPr="004635B2">
        <w:rPr>
          <w:rFonts w:ascii="Arial" w:hAnsi="Arial" w:cs="Arial"/>
          <w:sz w:val="22"/>
          <w:szCs w:val="22"/>
          <w:lang w:val="fr-CA"/>
        </w:rPr>
        <w:t>pour cent</w:t>
      </w:r>
      <w:r w:rsidR="00974917" w:rsidRPr="004635B2">
        <w:rPr>
          <w:rFonts w:ascii="Arial" w:hAnsi="Arial" w:cs="Arial"/>
          <w:sz w:val="22"/>
          <w:szCs w:val="22"/>
          <w:lang w:val="fr-CA"/>
        </w:rPr>
        <w:t xml:space="preserve"> des 53 pays africains </w:t>
      </w:r>
      <w:r w:rsidRPr="004635B2">
        <w:rPr>
          <w:rFonts w:ascii="Arial" w:hAnsi="Arial" w:cs="Arial"/>
          <w:sz w:val="22"/>
          <w:szCs w:val="22"/>
          <w:lang w:val="fr-CA"/>
        </w:rPr>
        <w:t>admissibles</w:t>
      </w:r>
      <w:r w:rsidR="002B0D90">
        <w:rPr>
          <w:rFonts w:ascii="Arial" w:hAnsi="Arial" w:cs="Arial"/>
          <w:sz w:val="22"/>
          <w:szCs w:val="22"/>
          <w:lang w:val="fr-CA"/>
        </w:rPr>
        <w:t>,</w:t>
      </w:r>
      <w:r w:rsidR="00974917" w:rsidRPr="004635B2">
        <w:rPr>
          <w:rFonts w:ascii="Arial" w:hAnsi="Arial" w:cs="Arial"/>
          <w:sz w:val="22"/>
          <w:szCs w:val="22"/>
          <w:lang w:val="fr-CA"/>
        </w:rPr>
        <w:t xml:space="preserve"> 55 </w:t>
      </w:r>
      <w:r w:rsidRPr="004635B2">
        <w:rPr>
          <w:rFonts w:ascii="Arial" w:hAnsi="Arial" w:cs="Arial"/>
          <w:sz w:val="22"/>
          <w:szCs w:val="22"/>
          <w:lang w:val="fr-CA"/>
        </w:rPr>
        <w:t>pour cent</w:t>
      </w:r>
      <w:r w:rsidR="00974917" w:rsidRPr="004635B2">
        <w:rPr>
          <w:rFonts w:ascii="Arial" w:hAnsi="Arial" w:cs="Arial"/>
          <w:sz w:val="22"/>
          <w:szCs w:val="22"/>
          <w:lang w:val="fr-CA"/>
        </w:rPr>
        <w:t xml:space="preserve"> des 33 pays d'Amérique latine et des Caraïbes </w:t>
      </w:r>
      <w:r w:rsidRPr="004635B2">
        <w:rPr>
          <w:rFonts w:ascii="Arial" w:hAnsi="Arial" w:cs="Arial"/>
          <w:sz w:val="22"/>
          <w:szCs w:val="22"/>
          <w:lang w:val="fr-CA"/>
        </w:rPr>
        <w:t>admissibles</w:t>
      </w:r>
      <w:r w:rsidR="00974917" w:rsidRPr="004635B2">
        <w:rPr>
          <w:rFonts w:ascii="Arial" w:hAnsi="Arial" w:cs="Arial"/>
          <w:sz w:val="22"/>
          <w:szCs w:val="22"/>
          <w:lang w:val="fr-CA"/>
        </w:rPr>
        <w:t xml:space="preserve"> et 38 </w:t>
      </w:r>
      <w:r w:rsidRPr="004635B2">
        <w:rPr>
          <w:rFonts w:ascii="Arial" w:hAnsi="Arial" w:cs="Arial"/>
          <w:sz w:val="22"/>
          <w:szCs w:val="22"/>
          <w:lang w:val="fr-CA"/>
        </w:rPr>
        <w:t>pour cent</w:t>
      </w:r>
      <w:r w:rsidR="00974917" w:rsidRPr="004635B2">
        <w:rPr>
          <w:rFonts w:ascii="Arial" w:hAnsi="Arial" w:cs="Arial"/>
          <w:sz w:val="22"/>
          <w:szCs w:val="22"/>
          <w:lang w:val="fr-CA"/>
        </w:rPr>
        <w:t xml:space="preserve"> des 45 pays d'Asie/Pacifique</w:t>
      </w:r>
      <w:r w:rsidRPr="004635B2">
        <w:rPr>
          <w:rFonts w:ascii="Arial" w:hAnsi="Arial" w:cs="Arial"/>
          <w:sz w:val="22"/>
          <w:szCs w:val="22"/>
          <w:lang w:val="fr-CA"/>
        </w:rPr>
        <w:t xml:space="preserve"> admissibles</w:t>
      </w:r>
      <w:r w:rsidR="00974917" w:rsidRPr="004635B2">
        <w:rPr>
          <w:rFonts w:ascii="Arial" w:hAnsi="Arial" w:cs="Arial"/>
          <w:sz w:val="22"/>
          <w:szCs w:val="22"/>
          <w:lang w:val="fr-CA"/>
        </w:rPr>
        <w:t xml:space="preserve">. Les données financières figurant dans les SPANB indiquent </w:t>
      </w:r>
      <w:r w:rsidR="00545360">
        <w:rPr>
          <w:rFonts w:ascii="Arial" w:hAnsi="Arial" w:cs="Arial"/>
          <w:sz w:val="22"/>
          <w:szCs w:val="22"/>
          <w:lang w:val="fr-CA"/>
        </w:rPr>
        <w:t xml:space="preserve">que </w:t>
      </w:r>
      <w:r w:rsidR="00974917" w:rsidRPr="004635B2">
        <w:rPr>
          <w:rFonts w:ascii="Arial" w:hAnsi="Arial" w:cs="Arial"/>
          <w:sz w:val="22"/>
          <w:szCs w:val="22"/>
          <w:lang w:val="fr-CA"/>
        </w:rPr>
        <w:t xml:space="preserve">le montant des fonds estimés pour réaliser les objectifs et les </w:t>
      </w:r>
      <w:r w:rsidR="002B0D90">
        <w:rPr>
          <w:rFonts w:ascii="Arial" w:hAnsi="Arial" w:cs="Arial"/>
          <w:sz w:val="22"/>
          <w:szCs w:val="22"/>
          <w:lang w:val="fr-CA"/>
        </w:rPr>
        <w:t>activités définis dans le</w:t>
      </w:r>
      <w:r w:rsidR="00545360">
        <w:rPr>
          <w:rFonts w:ascii="Arial" w:hAnsi="Arial" w:cs="Arial"/>
          <w:sz w:val="22"/>
          <w:szCs w:val="22"/>
          <w:lang w:val="fr-CA"/>
        </w:rPr>
        <w:t>s</w:t>
      </w:r>
      <w:r w:rsidR="002B0D90">
        <w:rPr>
          <w:rFonts w:ascii="Arial" w:hAnsi="Arial" w:cs="Arial"/>
          <w:sz w:val="22"/>
          <w:szCs w:val="22"/>
          <w:lang w:val="fr-CA"/>
        </w:rPr>
        <w:t xml:space="preserve"> SPANB, l</w:t>
      </w:r>
      <w:r w:rsidR="00974917" w:rsidRPr="004635B2">
        <w:rPr>
          <w:rFonts w:ascii="Arial" w:hAnsi="Arial" w:cs="Arial"/>
          <w:sz w:val="22"/>
          <w:szCs w:val="22"/>
          <w:lang w:val="fr-CA"/>
        </w:rPr>
        <w:t xml:space="preserve">orsque les SPANB sont </w:t>
      </w:r>
      <w:r w:rsidR="002B0D90">
        <w:rPr>
          <w:rFonts w:ascii="Arial" w:hAnsi="Arial" w:cs="Arial"/>
          <w:sz w:val="22"/>
          <w:szCs w:val="22"/>
          <w:lang w:val="fr-CA"/>
        </w:rPr>
        <w:t>harmonisés aux</w:t>
      </w:r>
      <w:r w:rsidR="00974917" w:rsidRPr="004635B2">
        <w:rPr>
          <w:rFonts w:ascii="Arial" w:hAnsi="Arial" w:cs="Arial"/>
          <w:sz w:val="22"/>
          <w:szCs w:val="22"/>
          <w:lang w:val="fr-CA"/>
        </w:rPr>
        <w:t xml:space="preserve"> Obj</w:t>
      </w:r>
      <w:r w:rsidR="002B0D90">
        <w:rPr>
          <w:rFonts w:ascii="Arial" w:hAnsi="Arial" w:cs="Arial"/>
          <w:sz w:val="22"/>
          <w:szCs w:val="22"/>
          <w:lang w:val="fr-CA"/>
        </w:rPr>
        <w:t xml:space="preserve">ectifs d'Aichi, </w:t>
      </w:r>
      <w:r w:rsidR="00974917" w:rsidRPr="004635B2">
        <w:rPr>
          <w:rFonts w:ascii="Arial" w:hAnsi="Arial" w:cs="Arial"/>
          <w:sz w:val="22"/>
          <w:szCs w:val="22"/>
          <w:lang w:val="fr-CA"/>
        </w:rPr>
        <w:t xml:space="preserve">s'applique </w:t>
      </w:r>
      <w:r w:rsidR="002B0D90">
        <w:rPr>
          <w:rFonts w:ascii="Arial" w:hAnsi="Arial" w:cs="Arial"/>
          <w:sz w:val="22"/>
          <w:szCs w:val="22"/>
          <w:lang w:val="fr-CA"/>
        </w:rPr>
        <w:t>également à la réalisation des O</w:t>
      </w:r>
      <w:r w:rsidR="00974917" w:rsidRPr="004635B2">
        <w:rPr>
          <w:rFonts w:ascii="Arial" w:hAnsi="Arial" w:cs="Arial"/>
          <w:sz w:val="22"/>
          <w:szCs w:val="22"/>
          <w:lang w:val="fr-CA"/>
        </w:rPr>
        <w:t>bjectifs d'Aichi. Toutefois, nombreux sont les cas dans lesquels les SPANB vont au-delà des Objectifs d'Aichi et, par conséquent, les besoins de financement estimés reflètent également les priorités plus larges du pays en matière de biodiversité.</w:t>
      </w:r>
    </w:p>
    <w:p w14:paraId="499D7E83" w14:textId="77777777" w:rsidR="00974917" w:rsidRPr="004635B2" w:rsidRDefault="00974917" w:rsidP="0012639A">
      <w:pPr>
        <w:pStyle w:val="Default"/>
        <w:suppressLineNumbers/>
        <w:suppressAutoHyphens/>
        <w:adjustRightInd w:val="0"/>
        <w:snapToGrid w:val="0"/>
        <w:rPr>
          <w:rFonts w:ascii="Arial" w:hAnsi="Arial" w:cs="Arial"/>
          <w:color w:val="auto"/>
          <w:sz w:val="22"/>
          <w:szCs w:val="22"/>
          <w:lang w:val="fr-CA"/>
        </w:rPr>
      </w:pPr>
    </w:p>
    <w:p w14:paraId="462F021A" w14:textId="2F19D677" w:rsidR="00BE072B" w:rsidRPr="002B0D90" w:rsidRDefault="00BE072B" w:rsidP="002B0D90">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30.</w:t>
      </w:r>
      <w:r w:rsidRPr="004635B2">
        <w:rPr>
          <w:rFonts w:ascii="Arial" w:hAnsi="Arial" w:cs="Arial"/>
          <w:sz w:val="22"/>
          <w:szCs w:val="22"/>
          <w:lang w:val="fr-CA"/>
        </w:rPr>
        <w:tab/>
      </w:r>
      <w:r w:rsidR="00974917" w:rsidRPr="004635B2">
        <w:rPr>
          <w:rFonts w:ascii="Arial" w:hAnsi="Arial" w:cs="Arial"/>
          <w:sz w:val="22"/>
          <w:szCs w:val="22"/>
          <w:lang w:val="fr-CA"/>
        </w:rPr>
        <w:t>L'équipe d'experts n'a pas pu exploiter les données des SPANB pour extrapoler les besoins de financement, car les SPANB qui comprenaient des informations financières ont fourni un chiffre global pour leur plan, généralement jusqu'en 2020, avec quelques exceptions concernant l'après-2020. Les SPANB couvraient différentes périodes et, en général, les informations financières n'étaient pas ventilées en fonction de la source.</w:t>
      </w:r>
    </w:p>
    <w:p w14:paraId="768D2EF1" w14:textId="77777777" w:rsidR="00974917" w:rsidRPr="004635B2" w:rsidRDefault="00974917" w:rsidP="0012639A">
      <w:pPr>
        <w:suppressLineNumbers/>
        <w:suppressAutoHyphens/>
        <w:adjustRightInd w:val="0"/>
        <w:snapToGrid w:val="0"/>
        <w:rPr>
          <w:rFonts w:ascii="Arial" w:hAnsi="Arial" w:cs="Arial"/>
          <w:b/>
          <w:bCs/>
          <w:sz w:val="22"/>
          <w:szCs w:val="22"/>
          <w:lang w:val="fr-CA" w:eastAsia="en-GB"/>
        </w:rPr>
      </w:pPr>
    </w:p>
    <w:p w14:paraId="14708919" w14:textId="77777777" w:rsidR="00974917" w:rsidRPr="004635B2" w:rsidRDefault="00974917" w:rsidP="0012639A">
      <w:pPr>
        <w:pStyle w:val="ListParagraph"/>
        <w:numPr>
          <w:ilvl w:val="1"/>
          <w:numId w:val="17"/>
        </w:numPr>
        <w:suppressLineNumbers/>
        <w:suppressAutoHyphens/>
        <w:adjustRightInd w:val="0"/>
        <w:snapToGrid w:val="0"/>
        <w:ind w:left="0" w:firstLine="0"/>
        <w:rPr>
          <w:rFonts w:ascii="Arial" w:hAnsi="Arial" w:cs="Arial"/>
          <w:sz w:val="22"/>
          <w:szCs w:val="22"/>
          <w:u w:val="single"/>
          <w:lang w:val="fr-CA" w:eastAsia="en-GB"/>
        </w:rPr>
      </w:pPr>
      <w:r w:rsidRPr="004635B2">
        <w:rPr>
          <w:rFonts w:ascii="Arial" w:hAnsi="Arial" w:cs="Arial"/>
          <w:sz w:val="22"/>
          <w:szCs w:val="22"/>
          <w:u w:val="single"/>
          <w:lang w:val="fr-CA"/>
        </w:rPr>
        <w:t>Rapports nationaux</w:t>
      </w:r>
    </w:p>
    <w:p w14:paraId="3C483BE7" w14:textId="77777777" w:rsidR="00974917" w:rsidRPr="004635B2" w:rsidRDefault="00974917" w:rsidP="0012639A">
      <w:pPr>
        <w:pStyle w:val="ListParagraph"/>
        <w:suppressLineNumbers/>
        <w:suppressAutoHyphens/>
        <w:adjustRightInd w:val="0"/>
        <w:snapToGrid w:val="0"/>
        <w:ind w:left="0"/>
        <w:rPr>
          <w:rFonts w:ascii="Arial" w:hAnsi="Arial" w:cs="Arial"/>
          <w:b/>
          <w:bCs/>
          <w:sz w:val="22"/>
          <w:szCs w:val="22"/>
          <w:lang w:val="fr-CA" w:eastAsia="en-GB"/>
        </w:rPr>
      </w:pPr>
    </w:p>
    <w:p w14:paraId="3A2EF31F" w14:textId="14A2F39C" w:rsidR="00974917" w:rsidRPr="004635B2" w:rsidRDefault="00BE072B" w:rsidP="0012639A">
      <w:pPr>
        <w:suppressLineNumbers/>
        <w:suppressAutoHyphens/>
        <w:adjustRightInd w:val="0"/>
        <w:snapToGrid w:val="0"/>
        <w:rPr>
          <w:rFonts w:ascii="Arial" w:hAnsi="Arial" w:cs="Arial"/>
          <w:sz w:val="22"/>
          <w:szCs w:val="22"/>
          <w:lang w:val="fr-CA" w:eastAsia="en-GB"/>
        </w:rPr>
      </w:pPr>
      <w:r w:rsidRPr="004635B2">
        <w:rPr>
          <w:rFonts w:ascii="Arial" w:hAnsi="Arial" w:cs="Arial"/>
          <w:sz w:val="22"/>
          <w:szCs w:val="22"/>
          <w:lang w:val="fr-CA"/>
        </w:rPr>
        <w:t>31.</w:t>
      </w:r>
      <w:r w:rsidRPr="004635B2">
        <w:rPr>
          <w:rFonts w:ascii="Arial" w:hAnsi="Arial" w:cs="Arial"/>
          <w:sz w:val="22"/>
          <w:szCs w:val="22"/>
          <w:lang w:val="fr-CA"/>
        </w:rPr>
        <w:tab/>
        <w:t xml:space="preserve">L’équipe d’experts a examiné </w:t>
      </w:r>
      <w:r w:rsidR="00974917" w:rsidRPr="004635B2">
        <w:rPr>
          <w:rFonts w:ascii="Arial" w:hAnsi="Arial" w:cs="Arial"/>
          <w:sz w:val="22"/>
          <w:szCs w:val="22"/>
          <w:lang w:val="fr-CA"/>
        </w:rPr>
        <w:t>92 sixièmes rapports nationaux</w:t>
      </w:r>
      <w:r w:rsidR="00802B87" w:rsidRPr="004635B2">
        <w:rPr>
          <w:rFonts w:ascii="Arial" w:hAnsi="Arial" w:cs="Arial"/>
          <w:sz w:val="22"/>
          <w:szCs w:val="22"/>
          <w:lang w:val="fr-CA"/>
        </w:rPr>
        <w:t xml:space="preserve"> </w:t>
      </w:r>
      <w:r w:rsidRPr="004635B2">
        <w:rPr>
          <w:rFonts w:ascii="Arial" w:hAnsi="Arial" w:cs="Arial"/>
          <w:sz w:val="22"/>
          <w:szCs w:val="22"/>
          <w:lang w:val="fr-CA"/>
        </w:rPr>
        <w:t>publiés sur le site Web de la CDB au moment de rédiger ce rapport</w:t>
      </w:r>
      <w:r w:rsidR="00802B87" w:rsidRPr="004635B2">
        <w:rPr>
          <w:rFonts w:ascii="Arial" w:hAnsi="Arial" w:cs="Arial"/>
          <w:sz w:val="22"/>
          <w:szCs w:val="22"/>
          <w:lang w:val="fr-CA"/>
        </w:rPr>
        <w:t>,</w:t>
      </w:r>
      <w:r w:rsidRPr="004635B2">
        <w:rPr>
          <w:rFonts w:ascii="Arial" w:hAnsi="Arial" w:cs="Arial"/>
          <w:sz w:val="22"/>
          <w:szCs w:val="22"/>
          <w:lang w:val="fr-CA"/>
        </w:rPr>
        <w:t xml:space="preserve"> afin de connaître les dépenses des pays.</w:t>
      </w:r>
    </w:p>
    <w:p w14:paraId="0774FED9" w14:textId="77777777" w:rsidR="00974917" w:rsidRPr="004635B2" w:rsidRDefault="00974917" w:rsidP="0012639A">
      <w:pPr>
        <w:suppressLineNumbers/>
        <w:suppressAutoHyphens/>
        <w:adjustRightInd w:val="0"/>
        <w:snapToGrid w:val="0"/>
        <w:rPr>
          <w:rFonts w:ascii="Arial" w:hAnsi="Arial" w:cs="Arial"/>
          <w:sz w:val="22"/>
          <w:szCs w:val="22"/>
          <w:lang w:val="fr-CA" w:eastAsia="en-GB"/>
        </w:rPr>
      </w:pPr>
    </w:p>
    <w:p w14:paraId="2E6190F7" w14:textId="5C6AC0A9" w:rsidR="00974917" w:rsidRPr="004635B2" w:rsidRDefault="00802B87" w:rsidP="0012639A">
      <w:pPr>
        <w:suppressLineNumbers/>
        <w:suppressAutoHyphens/>
        <w:adjustRightInd w:val="0"/>
        <w:snapToGrid w:val="0"/>
        <w:rPr>
          <w:rFonts w:ascii="Arial" w:hAnsi="Arial" w:cs="Arial"/>
          <w:sz w:val="22"/>
          <w:szCs w:val="22"/>
          <w:lang w:val="fr-CA" w:eastAsia="en-GB"/>
        </w:rPr>
      </w:pPr>
      <w:r w:rsidRPr="004635B2">
        <w:rPr>
          <w:rFonts w:ascii="Arial" w:hAnsi="Arial" w:cs="Arial"/>
          <w:sz w:val="22"/>
          <w:szCs w:val="22"/>
          <w:lang w:val="fr-CA"/>
        </w:rPr>
        <w:t>32.</w:t>
      </w:r>
      <w:r w:rsidRPr="004635B2">
        <w:rPr>
          <w:rFonts w:ascii="Arial" w:hAnsi="Arial" w:cs="Arial"/>
          <w:sz w:val="22"/>
          <w:szCs w:val="22"/>
          <w:lang w:val="fr-CA"/>
        </w:rPr>
        <w:tab/>
      </w:r>
      <w:r w:rsidR="00974917" w:rsidRPr="004635B2">
        <w:rPr>
          <w:rFonts w:ascii="Arial" w:hAnsi="Arial" w:cs="Arial"/>
          <w:sz w:val="22"/>
          <w:szCs w:val="22"/>
          <w:lang w:val="fr-CA"/>
        </w:rPr>
        <w:t xml:space="preserve">Sur les 12 pays européens </w:t>
      </w:r>
      <w:r w:rsidRPr="004635B2">
        <w:rPr>
          <w:rFonts w:ascii="Arial" w:hAnsi="Arial" w:cs="Arial"/>
          <w:sz w:val="22"/>
          <w:szCs w:val="22"/>
          <w:lang w:val="fr-CA"/>
        </w:rPr>
        <w:t>admissibles</w:t>
      </w:r>
      <w:r w:rsidR="00974917" w:rsidRPr="004635B2">
        <w:rPr>
          <w:rFonts w:ascii="Arial" w:hAnsi="Arial" w:cs="Arial"/>
          <w:sz w:val="22"/>
          <w:szCs w:val="22"/>
          <w:lang w:val="fr-CA"/>
        </w:rPr>
        <w:t>, 58 </w:t>
      </w:r>
      <w:r w:rsidRPr="004635B2">
        <w:rPr>
          <w:rFonts w:ascii="Arial" w:hAnsi="Arial" w:cs="Arial"/>
          <w:sz w:val="22"/>
          <w:szCs w:val="22"/>
          <w:lang w:val="fr-CA"/>
        </w:rPr>
        <w:t>pour cent</w:t>
      </w:r>
      <w:r w:rsidR="00974917" w:rsidRPr="004635B2">
        <w:rPr>
          <w:rFonts w:ascii="Arial" w:hAnsi="Arial" w:cs="Arial"/>
          <w:sz w:val="22"/>
          <w:szCs w:val="22"/>
          <w:lang w:val="fr-CA"/>
        </w:rPr>
        <w:t xml:space="preserve"> avaient communiqué un certain nombre de données financières dans leurs derniers rapports nationaux. De même, 43 </w:t>
      </w:r>
      <w:r w:rsidRPr="004635B2">
        <w:rPr>
          <w:rFonts w:ascii="Arial" w:hAnsi="Arial" w:cs="Arial"/>
          <w:sz w:val="22"/>
          <w:szCs w:val="22"/>
          <w:lang w:val="fr-CA"/>
        </w:rPr>
        <w:t>pour cent</w:t>
      </w:r>
      <w:r w:rsidR="00974917" w:rsidRPr="004635B2">
        <w:rPr>
          <w:rFonts w:ascii="Arial" w:hAnsi="Arial" w:cs="Arial"/>
          <w:sz w:val="22"/>
          <w:szCs w:val="22"/>
          <w:lang w:val="fr-CA"/>
        </w:rPr>
        <w:t xml:space="preserve"> des 53 pays africains </w:t>
      </w:r>
      <w:r w:rsidRPr="004635B2">
        <w:rPr>
          <w:rFonts w:ascii="Arial" w:hAnsi="Arial" w:cs="Arial"/>
          <w:sz w:val="22"/>
          <w:szCs w:val="22"/>
          <w:lang w:val="fr-CA"/>
        </w:rPr>
        <w:t>admissibles, 42 pour cent</w:t>
      </w:r>
      <w:r w:rsidR="00974917" w:rsidRPr="004635B2">
        <w:rPr>
          <w:rFonts w:ascii="Arial" w:hAnsi="Arial" w:cs="Arial"/>
          <w:sz w:val="22"/>
          <w:szCs w:val="22"/>
          <w:lang w:val="fr-CA"/>
        </w:rPr>
        <w:t xml:space="preserve"> des 33 pays </w:t>
      </w:r>
      <w:r w:rsidRPr="004635B2">
        <w:rPr>
          <w:rFonts w:ascii="Arial" w:hAnsi="Arial" w:cs="Arial"/>
          <w:sz w:val="22"/>
          <w:szCs w:val="22"/>
          <w:lang w:val="fr-CA"/>
        </w:rPr>
        <w:t>admissibles</w:t>
      </w:r>
      <w:r w:rsidR="00974917" w:rsidRPr="004635B2">
        <w:rPr>
          <w:rFonts w:ascii="Arial" w:hAnsi="Arial" w:cs="Arial"/>
          <w:sz w:val="22"/>
          <w:szCs w:val="22"/>
          <w:lang w:val="fr-CA"/>
        </w:rPr>
        <w:t xml:space="preserve"> d'Amérique latine et des Caraïbes et 27 </w:t>
      </w:r>
      <w:r w:rsidRPr="004635B2">
        <w:rPr>
          <w:rFonts w:ascii="Arial" w:hAnsi="Arial" w:cs="Arial"/>
          <w:sz w:val="22"/>
          <w:szCs w:val="22"/>
          <w:lang w:val="fr-CA"/>
        </w:rPr>
        <w:t>pour cent</w:t>
      </w:r>
      <w:r w:rsidR="00974917" w:rsidRPr="004635B2">
        <w:rPr>
          <w:rFonts w:ascii="Arial" w:hAnsi="Arial" w:cs="Arial"/>
          <w:sz w:val="22"/>
          <w:szCs w:val="22"/>
          <w:lang w:val="fr-CA"/>
        </w:rPr>
        <w:t xml:space="preserve"> des 45 pays de la région Asie-Pacifique ont </w:t>
      </w:r>
      <w:r w:rsidRPr="004635B2">
        <w:rPr>
          <w:rFonts w:ascii="Arial" w:hAnsi="Arial" w:cs="Arial"/>
          <w:sz w:val="22"/>
          <w:szCs w:val="22"/>
          <w:lang w:val="fr-CA"/>
        </w:rPr>
        <w:t xml:space="preserve">également </w:t>
      </w:r>
      <w:r w:rsidR="00974917" w:rsidRPr="004635B2">
        <w:rPr>
          <w:rFonts w:ascii="Arial" w:hAnsi="Arial" w:cs="Arial"/>
          <w:sz w:val="22"/>
          <w:szCs w:val="22"/>
          <w:lang w:val="fr-CA"/>
        </w:rPr>
        <w:t>fourni certaines données financières.</w:t>
      </w:r>
    </w:p>
    <w:p w14:paraId="70032E2B" w14:textId="77777777" w:rsidR="00974917" w:rsidRPr="004635B2" w:rsidRDefault="00974917" w:rsidP="0012639A">
      <w:pPr>
        <w:suppressLineNumbers/>
        <w:suppressAutoHyphens/>
        <w:adjustRightInd w:val="0"/>
        <w:snapToGrid w:val="0"/>
        <w:rPr>
          <w:rFonts w:ascii="Arial" w:hAnsi="Arial" w:cs="Arial"/>
          <w:sz w:val="22"/>
          <w:szCs w:val="22"/>
          <w:lang w:val="fr-CA" w:eastAsia="en-GB"/>
        </w:rPr>
      </w:pPr>
    </w:p>
    <w:p w14:paraId="450F0AAD" w14:textId="0D0280F3" w:rsidR="00974917" w:rsidRPr="004635B2" w:rsidRDefault="00802B87" w:rsidP="0012639A">
      <w:pPr>
        <w:suppressLineNumbers/>
        <w:suppressAutoHyphens/>
        <w:adjustRightInd w:val="0"/>
        <w:snapToGrid w:val="0"/>
        <w:rPr>
          <w:rFonts w:ascii="Arial" w:hAnsi="Arial" w:cs="Arial"/>
          <w:sz w:val="22"/>
          <w:szCs w:val="22"/>
          <w:lang w:val="fr-CA" w:eastAsia="en-GB"/>
        </w:rPr>
      </w:pPr>
      <w:r w:rsidRPr="004635B2">
        <w:rPr>
          <w:rFonts w:ascii="Arial" w:hAnsi="Arial" w:cs="Arial"/>
          <w:color w:val="000000"/>
          <w:sz w:val="22"/>
          <w:szCs w:val="22"/>
          <w:lang w:val="fr-CA"/>
        </w:rPr>
        <w:t>33.</w:t>
      </w:r>
      <w:r w:rsidRPr="004635B2">
        <w:rPr>
          <w:rFonts w:ascii="Arial" w:hAnsi="Arial" w:cs="Arial"/>
          <w:color w:val="000000"/>
          <w:sz w:val="22"/>
          <w:szCs w:val="22"/>
          <w:lang w:val="fr-CA"/>
        </w:rPr>
        <w:tab/>
      </w:r>
      <w:r w:rsidR="00974917" w:rsidRPr="004635B2">
        <w:rPr>
          <w:rFonts w:ascii="Arial" w:hAnsi="Arial" w:cs="Arial"/>
          <w:color w:val="000000"/>
          <w:sz w:val="22"/>
          <w:szCs w:val="22"/>
          <w:lang w:val="fr-CA"/>
        </w:rPr>
        <w:t xml:space="preserve">Les données financières fournies dans les rapports financiers nationaux présentent le financement réel assuré pour la mise en œuvre du SPANB. </w:t>
      </w:r>
      <w:r w:rsidRPr="004635B2">
        <w:rPr>
          <w:rFonts w:ascii="Arial" w:hAnsi="Arial" w:cs="Arial"/>
          <w:color w:val="000000"/>
          <w:sz w:val="22"/>
          <w:szCs w:val="22"/>
          <w:lang w:val="fr-CA"/>
        </w:rPr>
        <w:t>Ce</w:t>
      </w:r>
      <w:r w:rsidR="00974917" w:rsidRPr="004635B2">
        <w:rPr>
          <w:rFonts w:ascii="Arial" w:hAnsi="Arial" w:cs="Arial"/>
          <w:color w:val="000000"/>
          <w:sz w:val="22"/>
          <w:szCs w:val="22"/>
          <w:lang w:val="fr-CA"/>
        </w:rPr>
        <w:t xml:space="preserve"> financement n</w:t>
      </w:r>
      <w:r w:rsidRPr="004635B2">
        <w:rPr>
          <w:rFonts w:ascii="Arial" w:hAnsi="Arial" w:cs="Arial"/>
          <w:color w:val="000000"/>
          <w:sz w:val="22"/>
          <w:szCs w:val="22"/>
          <w:lang w:val="fr-CA"/>
        </w:rPr>
        <w:t>’est</w:t>
      </w:r>
      <w:r w:rsidR="00974917" w:rsidRPr="004635B2">
        <w:rPr>
          <w:rFonts w:ascii="Arial" w:hAnsi="Arial" w:cs="Arial"/>
          <w:color w:val="000000"/>
          <w:sz w:val="22"/>
          <w:szCs w:val="22"/>
          <w:lang w:val="fr-CA"/>
        </w:rPr>
        <w:t xml:space="preserve"> ventilé que par sources nationales ou internationales</w:t>
      </w:r>
      <w:r w:rsidRPr="004635B2">
        <w:rPr>
          <w:rFonts w:ascii="Arial" w:hAnsi="Arial" w:cs="Arial"/>
          <w:color w:val="000000"/>
          <w:sz w:val="22"/>
          <w:szCs w:val="22"/>
          <w:lang w:val="fr-CA"/>
        </w:rPr>
        <w:t xml:space="preserve"> et</w:t>
      </w:r>
      <w:r w:rsidR="00974917" w:rsidRPr="004635B2">
        <w:rPr>
          <w:rFonts w:ascii="Arial" w:hAnsi="Arial" w:cs="Arial"/>
          <w:color w:val="000000"/>
          <w:sz w:val="22"/>
          <w:szCs w:val="22"/>
          <w:lang w:val="fr-CA"/>
        </w:rPr>
        <w:t xml:space="preserve"> permet de déterminer les fonds réellement mobilisés. </w:t>
      </w:r>
    </w:p>
    <w:p w14:paraId="6D196DC8" w14:textId="77777777" w:rsidR="00974917" w:rsidRPr="004635B2" w:rsidRDefault="00974917" w:rsidP="0012639A">
      <w:pPr>
        <w:suppressLineNumbers/>
        <w:suppressAutoHyphens/>
        <w:adjustRightInd w:val="0"/>
        <w:snapToGrid w:val="0"/>
        <w:rPr>
          <w:rFonts w:ascii="Arial" w:hAnsi="Arial" w:cs="Arial"/>
          <w:sz w:val="22"/>
          <w:szCs w:val="22"/>
          <w:lang w:val="fr-CA" w:eastAsia="en-GB"/>
        </w:rPr>
      </w:pPr>
    </w:p>
    <w:p w14:paraId="039570D2" w14:textId="654B1F18" w:rsidR="00974917" w:rsidRPr="004635B2" w:rsidRDefault="00802B87" w:rsidP="0012639A">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34.</w:t>
      </w:r>
      <w:r w:rsidRPr="004635B2">
        <w:rPr>
          <w:rFonts w:ascii="Arial" w:hAnsi="Arial" w:cs="Arial"/>
          <w:sz w:val="22"/>
          <w:szCs w:val="22"/>
          <w:lang w:val="fr-CA"/>
        </w:rPr>
        <w:tab/>
      </w:r>
      <w:r w:rsidR="00974917" w:rsidRPr="004635B2">
        <w:rPr>
          <w:rFonts w:ascii="Arial" w:hAnsi="Arial" w:cs="Arial"/>
          <w:sz w:val="22"/>
          <w:szCs w:val="22"/>
          <w:lang w:val="fr-CA"/>
        </w:rPr>
        <w:t>En ce qui concerne le Protocole de Cartagena sur la préventio</w:t>
      </w:r>
      <w:r w:rsidRPr="004635B2">
        <w:rPr>
          <w:rFonts w:ascii="Arial" w:hAnsi="Arial" w:cs="Arial"/>
          <w:sz w:val="22"/>
          <w:szCs w:val="22"/>
          <w:lang w:val="fr-CA"/>
        </w:rPr>
        <w:t>n des risques biotechnologiques</w:t>
      </w:r>
      <w:r w:rsidR="00974917" w:rsidRPr="004635B2">
        <w:rPr>
          <w:rFonts w:ascii="Arial" w:hAnsi="Arial" w:cs="Arial"/>
          <w:sz w:val="22"/>
          <w:szCs w:val="22"/>
          <w:lang w:val="fr-CA"/>
        </w:rPr>
        <w:t>, l'équipe d'experts a examiné les données fournies par les pays dans le cadre du quatrième rapport national. La question 167 du rapport national est liée à l'article 28 sur les mécanismes de financement et les ressources financières, qui demande aux pays d'indiquer le montant des fonds qu'ils ont mobilisés en appui à la mise en œuvre du Protocole de Cartagena au-delà de l'allocation budgétaire nationale ordinaire au cours de la période de référence actuelle. Plus de 60 </w:t>
      </w:r>
      <w:r w:rsidR="002B66FB" w:rsidRPr="004635B2">
        <w:rPr>
          <w:rFonts w:ascii="Arial" w:hAnsi="Arial" w:cs="Arial"/>
          <w:sz w:val="22"/>
          <w:szCs w:val="22"/>
          <w:lang w:val="fr-CA"/>
        </w:rPr>
        <w:t>pour cent</w:t>
      </w:r>
      <w:r w:rsidR="00974917" w:rsidRPr="004635B2">
        <w:rPr>
          <w:rFonts w:ascii="Arial" w:hAnsi="Arial" w:cs="Arial"/>
          <w:sz w:val="22"/>
          <w:szCs w:val="22"/>
          <w:lang w:val="fr-CA"/>
        </w:rPr>
        <w:t xml:space="preserve"> des pays ont déclaré avoir mobilisé entre quelques milliers de dollars et 500 000 </w:t>
      </w:r>
      <w:r w:rsidR="00B958A2">
        <w:rPr>
          <w:rFonts w:ascii="Arial" w:hAnsi="Arial" w:cs="Arial"/>
          <w:sz w:val="22"/>
          <w:szCs w:val="22"/>
          <w:lang w:val="fr-CA"/>
        </w:rPr>
        <w:t>$US</w:t>
      </w:r>
      <w:r w:rsidR="00974917" w:rsidRPr="004635B2">
        <w:rPr>
          <w:rFonts w:ascii="Arial" w:hAnsi="Arial" w:cs="Arial"/>
          <w:sz w:val="22"/>
          <w:szCs w:val="22"/>
          <w:lang w:val="fr-CA"/>
        </w:rPr>
        <w:t xml:space="preserve"> ou plus au cours de la période de référence. Étant donné que la question 167 se limite aux efforts actuels déployés par les pays pour la mobilisation de ressources, les rapports nationaux au titre du Protocole ne fournissent aucune indication sur l'estimation des</w:t>
      </w:r>
      <w:r w:rsidR="002B66FB" w:rsidRPr="004635B2">
        <w:rPr>
          <w:rFonts w:ascii="Arial" w:hAnsi="Arial" w:cs="Arial"/>
          <w:sz w:val="22"/>
          <w:szCs w:val="22"/>
          <w:lang w:val="fr-CA"/>
        </w:rPr>
        <w:t xml:space="preserve"> futurs</w:t>
      </w:r>
      <w:r w:rsidR="00974917" w:rsidRPr="004635B2">
        <w:rPr>
          <w:rFonts w:ascii="Arial" w:hAnsi="Arial" w:cs="Arial"/>
          <w:sz w:val="22"/>
          <w:szCs w:val="22"/>
          <w:lang w:val="fr-CA"/>
        </w:rPr>
        <w:t xml:space="preserve"> be</w:t>
      </w:r>
      <w:r w:rsidR="002B66FB" w:rsidRPr="004635B2">
        <w:rPr>
          <w:rFonts w:ascii="Arial" w:hAnsi="Arial" w:cs="Arial"/>
          <w:sz w:val="22"/>
          <w:szCs w:val="22"/>
          <w:lang w:val="fr-CA"/>
        </w:rPr>
        <w:t>soins de financement par le FEM</w:t>
      </w:r>
      <w:r w:rsidR="00974917" w:rsidRPr="004635B2">
        <w:rPr>
          <w:rFonts w:ascii="Arial" w:hAnsi="Arial" w:cs="Arial"/>
          <w:sz w:val="22"/>
          <w:szCs w:val="22"/>
          <w:lang w:val="fr-CA"/>
        </w:rPr>
        <w:t>.</w:t>
      </w:r>
    </w:p>
    <w:p w14:paraId="1715CFC7" w14:textId="77777777" w:rsidR="00974917" w:rsidRPr="004635B2" w:rsidRDefault="00974917" w:rsidP="0012639A">
      <w:pPr>
        <w:suppressLineNumbers/>
        <w:suppressAutoHyphens/>
        <w:adjustRightInd w:val="0"/>
        <w:snapToGrid w:val="0"/>
        <w:rPr>
          <w:rFonts w:ascii="Arial" w:hAnsi="Arial" w:cs="Arial"/>
          <w:sz w:val="22"/>
          <w:szCs w:val="22"/>
          <w:lang w:val="fr-CA"/>
        </w:rPr>
      </w:pPr>
    </w:p>
    <w:p w14:paraId="3AD0D491" w14:textId="692C7134" w:rsidR="00974917" w:rsidRPr="004635B2" w:rsidRDefault="002B66FB" w:rsidP="0012639A">
      <w:pPr>
        <w:suppressLineNumbers/>
        <w:suppressAutoHyphens/>
        <w:adjustRightInd w:val="0"/>
        <w:snapToGrid w:val="0"/>
        <w:rPr>
          <w:rFonts w:ascii="Arial" w:hAnsi="Arial" w:cs="Arial"/>
          <w:sz w:val="22"/>
          <w:szCs w:val="22"/>
          <w:lang w:val="fr-CA" w:eastAsia="en-GB"/>
        </w:rPr>
      </w:pPr>
      <w:r w:rsidRPr="004635B2">
        <w:rPr>
          <w:rFonts w:ascii="Arial" w:hAnsi="Arial" w:cs="Arial"/>
          <w:sz w:val="22"/>
          <w:szCs w:val="22"/>
          <w:lang w:val="fr-CA"/>
        </w:rPr>
        <w:t>35.</w:t>
      </w:r>
      <w:r w:rsidRPr="004635B2">
        <w:rPr>
          <w:rFonts w:ascii="Arial" w:hAnsi="Arial" w:cs="Arial"/>
          <w:sz w:val="22"/>
          <w:szCs w:val="22"/>
          <w:lang w:val="fr-CA"/>
        </w:rPr>
        <w:tab/>
      </w:r>
      <w:r w:rsidR="00974917" w:rsidRPr="004635B2">
        <w:rPr>
          <w:rFonts w:ascii="Arial" w:hAnsi="Arial" w:cs="Arial"/>
          <w:sz w:val="22"/>
          <w:szCs w:val="22"/>
          <w:lang w:val="fr-CA"/>
        </w:rPr>
        <w:t>De même</w:t>
      </w:r>
      <w:r w:rsidR="004C7750">
        <w:rPr>
          <w:rFonts w:ascii="Arial" w:hAnsi="Arial" w:cs="Arial"/>
          <w:sz w:val="22"/>
          <w:szCs w:val="22"/>
          <w:lang w:val="fr-CA"/>
        </w:rPr>
        <w:t xml:space="preserve">, en ce qui concerne </w:t>
      </w:r>
      <w:r w:rsidR="00974917" w:rsidRPr="004635B2">
        <w:rPr>
          <w:rFonts w:ascii="Arial" w:hAnsi="Arial" w:cs="Arial"/>
          <w:sz w:val="22"/>
          <w:szCs w:val="22"/>
          <w:lang w:val="fr-CA"/>
        </w:rPr>
        <w:t>le Protocole de Nagoya sur l'accès aux ressources génétiques et le partage juste et équitable des avantage</w:t>
      </w:r>
      <w:r w:rsidRPr="004635B2">
        <w:rPr>
          <w:rFonts w:ascii="Arial" w:hAnsi="Arial" w:cs="Arial"/>
          <w:sz w:val="22"/>
          <w:szCs w:val="22"/>
          <w:lang w:val="fr-CA"/>
        </w:rPr>
        <w:t>s découlant de leur utilisation</w:t>
      </w:r>
      <w:r w:rsidR="00974917" w:rsidRPr="004635B2">
        <w:rPr>
          <w:rFonts w:ascii="Arial" w:hAnsi="Arial" w:cs="Arial"/>
          <w:sz w:val="22"/>
          <w:szCs w:val="22"/>
          <w:lang w:val="fr-CA"/>
        </w:rPr>
        <w:t xml:space="preserve">, l'équipe d'experts a examiné les questions 62.1 </w:t>
      </w:r>
      <w:r w:rsidR="00DE3F38">
        <w:rPr>
          <w:rFonts w:ascii="Arial" w:hAnsi="Arial" w:cs="Arial"/>
          <w:color w:val="333333"/>
          <w:sz w:val="22"/>
          <w:szCs w:val="22"/>
          <w:lang w:val="fr-CA"/>
        </w:rPr>
        <w:t>(v</w:t>
      </w:r>
      <w:r w:rsidR="00974917" w:rsidRPr="004635B2">
        <w:rPr>
          <w:rFonts w:ascii="Arial" w:hAnsi="Arial" w:cs="Arial"/>
          <w:color w:val="333333"/>
          <w:sz w:val="22"/>
          <w:szCs w:val="22"/>
          <w:lang w:val="fr-CA"/>
        </w:rPr>
        <w:t>otre pays a-t-il mis des ressources financières à la disposition d'autres Parties ou reçu des ressources financières d'autres Parties ou d'institutions financières aux fins de la mise en œuvre du Protocole, comme prévu à l'article 25)</w:t>
      </w:r>
      <w:r w:rsidR="00974917" w:rsidRPr="004635B2">
        <w:rPr>
          <w:rFonts w:ascii="Arial" w:hAnsi="Arial" w:cs="Arial"/>
          <w:sz w:val="22"/>
          <w:szCs w:val="22"/>
          <w:lang w:val="fr-CA"/>
        </w:rPr>
        <w:t xml:space="preserve"> et 62.3 </w:t>
      </w:r>
      <w:r w:rsidR="00974917" w:rsidRPr="004635B2">
        <w:rPr>
          <w:rFonts w:ascii="Arial" w:hAnsi="Arial" w:cs="Arial"/>
          <w:color w:val="333333"/>
          <w:sz w:val="22"/>
          <w:szCs w:val="22"/>
          <w:lang w:val="fr-CA"/>
        </w:rPr>
        <w:t>(informations sur l'état des fonds mobilisés en appui à la mise en œuvre du Protocole)</w:t>
      </w:r>
      <w:r w:rsidR="00974917" w:rsidRPr="004635B2">
        <w:rPr>
          <w:rFonts w:ascii="Arial" w:hAnsi="Arial" w:cs="Arial"/>
          <w:sz w:val="22"/>
          <w:szCs w:val="22"/>
          <w:lang w:val="fr-CA"/>
        </w:rPr>
        <w:t xml:space="preserve"> du rapport national provisoire sur la mise en œuvre du Protocole de Nagoya. Ces informations ont été fournies par un nombre limité de pays et, en raison des questions liées aux efforts actuels de mobilisation des ressources, les rapports nationaux ne fournissent aucune donnée sur les besoins de financement futurs </w:t>
      </w:r>
      <w:r w:rsidR="004C7750">
        <w:rPr>
          <w:rFonts w:ascii="Arial" w:hAnsi="Arial" w:cs="Arial"/>
          <w:sz w:val="22"/>
          <w:szCs w:val="22"/>
          <w:lang w:val="fr-CA"/>
        </w:rPr>
        <w:t>par le</w:t>
      </w:r>
      <w:r w:rsidR="00974917" w:rsidRPr="004635B2">
        <w:rPr>
          <w:rFonts w:ascii="Arial" w:hAnsi="Arial" w:cs="Arial"/>
          <w:sz w:val="22"/>
          <w:szCs w:val="22"/>
          <w:lang w:val="fr-CA"/>
        </w:rPr>
        <w:t xml:space="preserve"> FEM pour la période 2022-2026.</w:t>
      </w:r>
    </w:p>
    <w:p w14:paraId="78779F41" w14:textId="77777777" w:rsidR="00974917" w:rsidRPr="004635B2" w:rsidRDefault="00974917" w:rsidP="0012639A">
      <w:pPr>
        <w:suppressLineNumbers/>
        <w:suppressAutoHyphens/>
        <w:adjustRightInd w:val="0"/>
        <w:snapToGrid w:val="0"/>
        <w:rPr>
          <w:rFonts w:ascii="Arial" w:hAnsi="Arial" w:cs="Arial"/>
          <w:color w:val="000000"/>
          <w:sz w:val="22"/>
          <w:szCs w:val="22"/>
          <w:lang w:val="fr-CA"/>
        </w:rPr>
      </w:pPr>
      <w:r w:rsidRPr="004635B2">
        <w:rPr>
          <w:rFonts w:ascii="Arial" w:hAnsi="Arial" w:cs="Arial"/>
          <w:color w:val="000000"/>
          <w:sz w:val="22"/>
          <w:szCs w:val="22"/>
          <w:lang w:val="fr-CA"/>
        </w:rPr>
        <w:t xml:space="preserve"> </w:t>
      </w:r>
    </w:p>
    <w:p w14:paraId="202585FD" w14:textId="77777777" w:rsidR="00974917" w:rsidRPr="004635B2" w:rsidRDefault="00974917" w:rsidP="0012639A">
      <w:pPr>
        <w:pStyle w:val="ListParagraph"/>
        <w:numPr>
          <w:ilvl w:val="1"/>
          <w:numId w:val="17"/>
        </w:numPr>
        <w:suppressLineNumbers/>
        <w:suppressAutoHyphens/>
        <w:adjustRightInd w:val="0"/>
        <w:snapToGrid w:val="0"/>
        <w:ind w:left="0" w:firstLine="0"/>
        <w:rPr>
          <w:rFonts w:ascii="Arial" w:hAnsi="Arial" w:cs="Arial"/>
          <w:sz w:val="22"/>
          <w:szCs w:val="22"/>
          <w:u w:val="single"/>
          <w:lang w:val="fr-CA" w:eastAsia="en-GB"/>
        </w:rPr>
      </w:pPr>
      <w:r w:rsidRPr="004635B2">
        <w:rPr>
          <w:rFonts w:ascii="Arial" w:hAnsi="Arial" w:cs="Arial"/>
          <w:sz w:val="22"/>
          <w:szCs w:val="22"/>
          <w:u w:val="single"/>
          <w:lang w:val="fr-CA"/>
        </w:rPr>
        <w:t xml:space="preserve">Cadre de présentation de rapports financiers </w:t>
      </w:r>
    </w:p>
    <w:p w14:paraId="5A91FAAC" w14:textId="77777777" w:rsidR="00974917" w:rsidRPr="004635B2" w:rsidRDefault="00974917" w:rsidP="0012639A">
      <w:pPr>
        <w:suppressLineNumbers/>
        <w:suppressAutoHyphens/>
        <w:adjustRightInd w:val="0"/>
        <w:snapToGrid w:val="0"/>
        <w:rPr>
          <w:rFonts w:ascii="Arial" w:hAnsi="Arial" w:cs="Arial"/>
          <w:sz w:val="22"/>
          <w:szCs w:val="22"/>
          <w:lang w:val="fr-CA" w:eastAsia="en-GB"/>
        </w:rPr>
      </w:pPr>
    </w:p>
    <w:p w14:paraId="59C09CC9" w14:textId="7039D846" w:rsidR="00974917" w:rsidRPr="004635B2" w:rsidRDefault="002B66FB" w:rsidP="0012639A">
      <w:pPr>
        <w:suppressLineNumbers/>
        <w:shd w:val="clear" w:color="auto" w:fill="FFFFFF"/>
        <w:suppressAutoHyphens/>
        <w:adjustRightInd w:val="0"/>
        <w:snapToGrid w:val="0"/>
        <w:outlineLvl w:val="3"/>
        <w:rPr>
          <w:rFonts w:ascii="Arial" w:hAnsi="Arial" w:cs="Arial"/>
          <w:sz w:val="22"/>
          <w:szCs w:val="22"/>
          <w:lang w:val="fr-CA" w:eastAsia="en-GB"/>
        </w:rPr>
      </w:pPr>
      <w:r w:rsidRPr="004635B2">
        <w:rPr>
          <w:rFonts w:ascii="Arial" w:hAnsi="Arial" w:cs="Arial"/>
          <w:sz w:val="22"/>
          <w:szCs w:val="22"/>
          <w:lang w:val="fr-CA"/>
        </w:rPr>
        <w:t>36.</w:t>
      </w:r>
      <w:r w:rsidRPr="004635B2">
        <w:rPr>
          <w:rFonts w:ascii="Arial" w:hAnsi="Arial" w:cs="Arial"/>
          <w:sz w:val="22"/>
          <w:szCs w:val="22"/>
          <w:lang w:val="fr-CA"/>
        </w:rPr>
        <w:tab/>
      </w:r>
      <w:r w:rsidR="00974917" w:rsidRPr="004635B2">
        <w:rPr>
          <w:rFonts w:ascii="Arial" w:hAnsi="Arial" w:cs="Arial"/>
          <w:sz w:val="22"/>
          <w:szCs w:val="22"/>
          <w:lang w:val="fr-CA"/>
        </w:rPr>
        <w:t xml:space="preserve">L'équipe d'experts a examiné les rapports publiés au titre du </w:t>
      </w:r>
      <w:r w:rsidR="00974917" w:rsidRPr="004635B2">
        <w:rPr>
          <w:rFonts w:ascii="Arial" w:hAnsi="Arial" w:cs="Arial"/>
          <w:i/>
          <w:iCs/>
          <w:color w:val="333333"/>
          <w:sz w:val="22"/>
          <w:szCs w:val="22"/>
          <w:lang w:val="fr-CA"/>
        </w:rPr>
        <w:t>Cadre de présentation de rapports financiers : Rapports sur les progrès accomplis dans la réalisation des objectifs définis pour 2020</w:t>
      </w:r>
      <w:r w:rsidR="00974917" w:rsidRPr="004635B2">
        <w:rPr>
          <w:rFonts w:ascii="Arial" w:hAnsi="Arial" w:cs="Arial"/>
          <w:sz w:val="22"/>
          <w:szCs w:val="22"/>
          <w:lang w:val="fr-CA"/>
        </w:rPr>
        <w:t xml:space="preserve"> qui étaient disponibles </w:t>
      </w:r>
      <w:r w:rsidR="004C7750">
        <w:rPr>
          <w:rFonts w:ascii="Arial" w:hAnsi="Arial" w:cs="Arial"/>
          <w:sz w:val="22"/>
          <w:szCs w:val="22"/>
          <w:lang w:val="fr-CA"/>
        </w:rPr>
        <w:t>au</w:t>
      </w:r>
      <w:r w:rsidRPr="004635B2">
        <w:rPr>
          <w:rFonts w:ascii="Arial" w:hAnsi="Arial" w:cs="Arial"/>
          <w:sz w:val="22"/>
          <w:szCs w:val="22"/>
          <w:lang w:val="fr-CA"/>
        </w:rPr>
        <w:t xml:space="preserve"> centre d'échange de la CDB</w:t>
      </w:r>
      <w:r w:rsidR="00974917" w:rsidRPr="004635B2">
        <w:rPr>
          <w:rFonts w:ascii="Arial" w:hAnsi="Arial" w:cs="Arial"/>
          <w:sz w:val="22"/>
          <w:szCs w:val="22"/>
          <w:lang w:val="fr-CA"/>
        </w:rPr>
        <w:t xml:space="preserve">. Au total, 48 rapports de pays </w:t>
      </w:r>
      <w:r w:rsidR="00124D99" w:rsidRPr="004635B2">
        <w:rPr>
          <w:rFonts w:ascii="Arial" w:hAnsi="Arial" w:cs="Arial"/>
          <w:sz w:val="22"/>
          <w:szCs w:val="22"/>
          <w:lang w:val="fr-CA"/>
        </w:rPr>
        <w:t>admissibles</w:t>
      </w:r>
      <w:r w:rsidR="00974917" w:rsidRPr="004635B2">
        <w:rPr>
          <w:rFonts w:ascii="Arial" w:hAnsi="Arial" w:cs="Arial"/>
          <w:sz w:val="22"/>
          <w:szCs w:val="22"/>
          <w:lang w:val="fr-CA"/>
        </w:rPr>
        <w:t xml:space="preserve"> au FEM ont été soumis avec des données sur les dépenses nationales</w:t>
      </w:r>
      <w:r w:rsidR="00DE3F38">
        <w:rPr>
          <w:rFonts w:ascii="Arial" w:hAnsi="Arial" w:cs="Arial"/>
          <w:sz w:val="22"/>
          <w:szCs w:val="22"/>
          <w:lang w:val="fr-CA"/>
        </w:rPr>
        <w:t xml:space="preserve"> jusqu’en 2015</w:t>
      </w:r>
      <w:r w:rsidR="00974917" w:rsidRPr="004635B2">
        <w:rPr>
          <w:rFonts w:ascii="Arial" w:hAnsi="Arial" w:cs="Arial"/>
          <w:sz w:val="22"/>
          <w:szCs w:val="22"/>
          <w:lang w:val="fr-CA"/>
        </w:rPr>
        <w:t xml:space="preserve">, y compris les sources de financement, pour réaliser les Objectifs d’Aichi pour la biodiversité pour 2020. </w:t>
      </w:r>
      <w:r w:rsidR="004C7750">
        <w:rPr>
          <w:rFonts w:ascii="Arial" w:hAnsi="Arial" w:cs="Arial"/>
          <w:sz w:val="22"/>
          <w:szCs w:val="22"/>
          <w:lang w:val="fr-CA"/>
        </w:rPr>
        <w:t>De plus</w:t>
      </w:r>
      <w:r w:rsidR="00974917" w:rsidRPr="004635B2">
        <w:rPr>
          <w:rFonts w:ascii="Arial" w:hAnsi="Arial" w:cs="Arial"/>
          <w:sz w:val="22"/>
          <w:szCs w:val="22"/>
          <w:lang w:val="fr-CA"/>
        </w:rPr>
        <w:t xml:space="preserve">, 17 pays ont présenté des rapports financiers contenant des données jusqu'en 2020, dont quatre seulement provenaient de pays </w:t>
      </w:r>
      <w:r w:rsidRPr="004635B2">
        <w:rPr>
          <w:rFonts w:ascii="Arial" w:hAnsi="Arial" w:cs="Arial"/>
          <w:sz w:val="22"/>
          <w:szCs w:val="22"/>
          <w:lang w:val="fr-CA"/>
        </w:rPr>
        <w:t>admissibles</w:t>
      </w:r>
      <w:r w:rsidR="00974917" w:rsidRPr="004635B2">
        <w:rPr>
          <w:rFonts w:ascii="Arial" w:hAnsi="Arial" w:cs="Arial"/>
          <w:sz w:val="22"/>
          <w:szCs w:val="22"/>
          <w:lang w:val="fr-CA"/>
        </w:rPr>
        <w:t xml:space="preserve"> au FEM. </w:t>
      </w:r>
    </w:p>
    <w:p w14:paraId="4D4BBB09" w14:textId="77777777" w:rsidR="00974917" w:rsidRPr="004635B2" w:rsidRDefault="00974917" w:rsidP="0012639A">
      <w:pPr>
        <w:suppressLineNumbers/>
        <w:suppressAutoHyphens/>
        <w:adjustRightInd w:val="0"/>
        <w:snapToGrid w:val="0"/>
        <w:rPr>
          <w:rFonts w:ascii="Arial" w:hAnsi="Arial" w:cs="Arial"/>
          <w:sz w:val="22"/>
          <w:szCs w:val="22"/>
          <w:lang w:val="fr-CA" w:eastAsia="en-GB"/>
        </w:rPr>
      </w:pPr>
    </w:p>
    <w:p w14:paraId="6D533750" w14:textId="51B5A13A" w:rsidR="00974917" w:rsidRPr="004635B2" w:rsidRDefault="00E262E7" w:rsidP="0012639A">
      <w:pPr>
        <w:suppressLineNumbers/>
        <w:suppressAutoHyphens/>
        <w:adjustRightInd w:val="0"/>
        <w:snapToGrid w:val="0"/>
        <w:rPr>
          <w:rFonts w:ascii="Arial" w:hAnsi="Arial" w:cs="Arial"/>
          <w:sz w:val="22"/>
          <w:szCs w:val="22"/>
          <w:lang w:val="fr-CA" w:eastAsia="en-GB"/>
        </w:rPr>
      </w:pPr>
      <w:r w:rsidRPr="004635B2">
        <w:rPr>
          <w:rFonts w:ascii="Arial" w:hAnsi="Arial" w:cs="Arial"/>
          <w:sz w:val="22"/>
          <w:szCs w:val="22"/>
          <w:lang w:val="fr-CA"/>
        </w:rPr>
        <w:t>37.</w:t>
      </w:r>
      <w:r w:rsidRPr="004635B2">
        <w:rPr>
          <w:rFonts w:ascii="Arial" w:hAnsi="Arial" w:cs="Arial"/>
          <w:sz w:val="22"/>
          <w:szCs w:val="22"/>
          <w:lang w:val="fr-CA"/>
        </w:rPr>
        <w:tab/>
      </w:r>
      <w:r w:rsidR="00974917" w:rsidRPr="004635B2">
        <w:rPr>
          <w:rFonts w:ascii="Arial" w:hAnsi="Arial" w:cs="Arial"/>
          <w:sz w:val="22"/>
          <w:szCs w:val="22"/>
          <w:lang w:val="fr-CA"/>
        </w:rPr>
        <w:t>Une comparaison des dépenses nationales annuelles déclarées pour une sélection de 48 pays d'Asie-Pacifique, d'Europe, d'Afrique et d'Amérique latine et des Caraïbes qui avaient fourni des informations financières jusqu'en 2015 par rappor</w:t>
      </w:r>
      <w:r w:rsidR="004C7750">
        <w:rPr>
          <w:rFonts w:ascii="Arial" w:hAnsi="Arial" w:cs="Arial"/>
          <w:sz w:val="22"/>
          <w:szCs w:val="22"/>
          <w:lang w:val="fr-CA"/>
        </w:rPr>
        <w:t>t à une allocation annualisée de la</w:t>
      </w:r>
      <w:r w:rsidR="00974917" w:rsidRPr="004635B2">
        <w:rPr>
          <w:rFonts w:ascii="Arial" w:hAnsi="Arial" w:cs="Arial"/>
          <w:sz w:val="22"/>
          <w:szCs w:val="22"/>
          <w:lang w:val="fr-CA"/>
        </w:rPr>
        <w:t xml:space="preserve"> FEM-7 dans le cadre du système STAR (au titre de la seule allocation pour la biodiversité) montre que pour une majorité (65 </w:t>
      </w:r>
      <w:r w:rsidRPr="004635B2">
        <w:rPr>
          <w:rFonts w:ascii="Arial" w:hAnsi="Arial" w:cs="Arial"/>
          <w:sz w:val="22"/>
          <w:szCs w:val="22"/>
          <w:lang w:val="fr-CA"/>
        </w:rPr>
        <w:t>pour cent</w:t>
      </w:r>
      <w:r w:rsidR="00974917" w:rsidRPr="004635B2">
        <w:rPr>
          <w:rFonts w:ascii="Arial" w:hAnsi="Arial" w:cs="Arial"/>
          <w:sz w:val="22"/>
          <w:szCs w:val="22"/>
          <w:lang w:val="fr-CA"/>
        </w:rPr>
        <w:t>, soit 31 sur 48), l'allocation annualisée du FEM dans le cadre du système STAR représentait entre 1 et 10 </w:t>
      </w:r>
      <w:r w:rsidRPr="004635B2">
        <w:rPr>
          <w:rFonts w:ascii="Arial" w:hAnsi="Arial" w:cs="Arial"/>
          <w:sz w:val="22"/>
          <w:szCs w:val="22"/>
          <w:lang w:val="fr-CA"/>
        </w:rPr>
        <w:t>pour cent</w:t>
      </w:r>
      <w:r w:rsidR="00974917" w:rsidRPr="004635B2">
        <w:rPr>
          <w:rFonts w:ascii="Arial" w:hAnsi="Arial" w:cs="Arial"/>
          <w:sz w:val="22"/>
          <w:szCs w:val="22"/>
          <w:lang w:val="fr-CA"/>
        </w:rPr>
        <w:t xml:space="preserve"> de leurs propres dépenses nationales, tandis que pour 23 </w:t>
      </w:r>
      <w:r w:rsidRPr="004635B2">
        <w:rPr>
          <w:rFonts w:ascii="Arial" w:hAnsi="Arial" w:cs="Arial"/>
          <w:sz w:val="22"/>
          <w:szCs w:val="22"/>
          <w:lang w:val="fr-CA"/>
        </w:rPr>
        <w:t>pour cent</w:t>
      </w:r>
      <w:r w:rsidR="00974917" w:rsidRPr="004635B2">
        <w:rPr>
          <w:rFonts w:ascii="Arial" w:hAnsi="Arial" w:cs="Arial"/>
          <w:sz w:val="22"/>
          <w:szCs w:val="22"/>
          <w:lang w:val="fr-CA"/>
        </w:rPr>
        <w:t xml:space="preserve"> (11 sur 48), elle représentait entre 11 et 50 </w:t>
      </w:r>
      <w:r w:rsidRPr="004635B2">
        <w:rPr>
          <w:rFonts w:ascii="Arial" w:hAnsi="Arial" w:cs="Arial"/>
          <w:sz w:val="22"/>
          <w:szCs w:val="22"/>
          <w:lang w:val="fr-CA"/>
        </w:rPr>
        <w:t>pour cent</w:t>
      </w:r>
      <w:r w:rsidR="00974917" w:rsidRPr="004635B2">
        <w:rPr>
          <w:rFonts w:ascii="Arial" w:hAnsi="Arial" w:cs="Arial"/>
          <w:sz w:val="22"/>
          <w:szCs w:val="22"/>
          <w:lang w:val="fr-CA"/>
        </w:rPr>
        <w:t xml:space="preserve"> de leurs propres dépenses nationales et pour 13 </w:t>
      </w:r>
      <w:r w:rsidRPr="004635B2">
        <w:rPr>
          <w:rFonts w:ascii="Arial" w:hAnsi="Arial" w:cs="Arial"/>
          <w:sz w:val="22"/>
          <w:szCs w:val="22"/>
          <w:lang w:val="fr-CA"/>
        </w:rPr>
        <w:t>pour cent</w:t>
      </w:r>
      <w:r w:rsidR="00974917" w:rsidRPr="004635B2">
        <w:rPr>
          <w:rFonts w:ascii="Arial" w:hAnsi="Arial" w:cs="Arial"/>
          <w:sz w:val="22"/>
          <w:szCs w:val="22"/>
          <w:lang w:val="fr-CA"/>
        </w:rPr>
        <w:t xml:space="preserve"> (6 sur 48), elle représentait plus de 51 </w:t>
      </w:r>
      <w:r w:rsidRPr="004635B2">
        <w:rPr>
          <w:rFonts w:ascii="Arial" w:hAnsi="Arial" w:cs="Arial"/>
          <w:sz w:val="22"/>
          <w:szCs w:val="22"/>
          <w:lang w:val="fr-CA"/>
        </w:rPr>
        <w:t>pour cent</w:t>
      </w:r>
      <w:r w:rsidR="00974917" w:rsidRPr="004635B2">
        <w:rPr>
          <w:rFonts w:ascii="Arial" w:hAnsi="Arial" w:cs="Arial"/>
          <w:sz w:val="22"/>
          <w:szCs w:val="22"/>
          <w:lang w:val="fr-CA"/>
        </w:rPr>
        <w:t xml:space="preserve"> de leurs propres dépenses nationales.</w:t>
      </w:r>
    </w:p>
    <w:p w14:paraId="2C7DD93F" w14:textId="77777777" w:rsidR="00974917" w:rsidRPr="004635B2" w:rsidRDefault="00974917" w:rsidP="0012639A">
      <w:pPr>
        <w:suppressLineNumbers/>
        <w:suppressAutoHyphens/>
        <w:adjustRightInd w:val="0"/>
        <w:snapToGrid w:val="0"/>
        <w:rPr>
          <w:rFonts w:ascii="Arial" w:hAnsi="Arial" w:cs="Arial"/>
          <w:sz w:val="22"/>
          <w:szCs w:val="22"/>
          <w:lang w:val="fr-CA" w:eastAsia="en-GB"/>
        </w:rPr>
      </w:pPr>
    </w:p>
    <w:p w14:paraId="73040FFD" w14:textId="0BA30AC2" w:rsidR="00974917" w:rsidRPr="004635B2" w:rsidRDefault="00E262E7" w:rsidP="0012639A">
      <w:pPr>
        <w:suppressLineNumbers/>
        <w:suppressAutoHyphens/>
        <w:adjustRightInd w:val="0"/>
        <w:snapToGrid w:val="0"/>
        <w:rPr>
          <w:rFonts w:ascii="Arial" w:hAnsi="Arial" w:cs="Arial"/>
          <w:sz w:val="22"/>
          <w:szCs w:val="22"/>
          <w:lang w:val="fr-CA" w:eastAsia="en-GB"/>
        </w:rPr>
      </w:pPr>
      <w:r w:rsidRPr="004635B2">
        <w:rPr>
          <w:rFonts w:ascii="Arial" w:hAnsi="Arial" w:cs="Arial"/>
          <w:sz w:val="22"/>
          <w:szCs w:val="22"/>
          <w:lang w:val="fr-CA"/>
        </w:rPr>
        <w:t>38.</w:t>
      </w:r>
      <w:r w:rsidRPr="004635B2">
        <w:rPr>
          <w:rFonts w:ascii="Arial" w:hAnsi="Arial" w:cs="Arial"/>
          <w:sz w:val="22"/>
          <w:szCs w:val="22"/>
          <w:lang w:val="fr-CA"/>
        </w:rPr>
        <w:tab/>
      </w:r>
      <w:r w:rsidR="00974917" w:rsidRPr="004635B2">
        <w:rPr>
          <w:rFonts w:ascii="Arial" w:hAnsi="Arial" w:cs="Arial"/>
          <w:sz w:val="22"/>
          <w:szCs w:val="22"/>
          <w:lang w:val="fr-CA"/>
        </w:rPr>
        <w:t>En ce qui concerne les rapports financier</w:t>
      </w:r>
      <w:r w:rsidRPr="004635B2">
        <w:rPr>
          <w:rFonts w:ascii="Arial" w:hAnsi="Arial" w:cs="Arial"/>
          <w:sz w:val="22"/>
          <w:szCs w:val="22"/>
          <w:lang w:val="fr-CA"/>
        </w:rPr>
        <w:t>s jusqu'en 2020 inclus dans le c</w:t>
      </w:r>
      <w:r w:rsidR="00974917" w:rsidRPr="004635B2">
        <w:rPr>
          <w:rFonts w:ascii="Arial" w:hAnsi="Arial" w:cs="Arial"/>
          <w:sz w:val="22"/>
          <w:szCs w:val="22"/>
          <w:lang w:val="fr-CA"/>
        </w:rPr>
        <w:t xml:space="preserve">entre d'échange en ligne de la CDB, sur les </w:t>
      </w:r>
      <w:r w:rsidR="00974917" w:rsidRPr="004635B2">
        <w:rPr>
          <w:rFonts w:ascii="Arial" w:hAnsi="Arial" w:cs="Arial"/>
          <w:bCs/>
          <w:sz w:val="22"/>
          <w:szCs w:val="22"/>
          <w:lang w:val="fr-CA"/>
        </w:rPr>
        <w:t>12</w:t>
      </w:r>
      <w:r w:rsidR="00974917" w:rsidRPr="004635B2">
        <w:rPr>
          <w:rFonts w:ascii="Arial" w:hAnsi="Arial" w:cs="Arial"/>
          <w:sz w:val="22"/>
          <w:szCs w:val="22"/>
          <w:lang w:val="fr-CA"/>
        </w:rPr>
        <w:t xml:space="preserve"> pays européens </w:t>
      </w:r>
      <w:r w:rsidRPr="004635B2">
        <w:rPr>
          <w:rFonts w:ascii="Arial" w:hAnsi="Arial" w:cs="Arial"/>
          <w:sz w:val="22"/>
          <w:szCs w:val="22"/>
          <w:lang w:val="fr-CA"/>
        </w:rPr>
        <w:t>admissibles</w:t>
      </w:r>
      <w:r w:rsidR="00974917" w:rsidRPr="004635B2">
        <w:rPr>
          <w:rFonts w:ascii="Arial" w:hAnsi="Arial" w:cs="Arial"/>
          <w:sz w:val="22"/>
          <w:szCs w:val="22"/>
          <w:lang w:val="fr-CA"/>
        </w:rPr>
        <w:t xml:space="preserve">, </w:t>
      </w:r>
      <w:r w:rsidR="00974917" w:rsidRPr="004635B2">
        <w:rPr>
          <w:rFonts w:ascii="Arial" w:hAnsi="Arial" w:cs="Arial"/>
          <w:bCs/>
          <w:sz w:val="22"/>
          <w:szCs w:val="22"/>
          <w:lang w:val="fr-CA"/>
        </w:rPr>
        <w:t>33 </w:t>
      </w:r>
      <w:r w:rsidRPr="004635B2">
        <w:rPr>
          <w:rFonts w:ascii="Arial" w:hAnsi="Arial" w:cs="Arial"/>
          <w:bCs/>
          <w:sz w:val="22"/>
          <w:szCs w:val="22"/>
          <w:lang w:val="fr-CA"/>
        </w:rPr>
        <w:t>pour cent</w:t>
      </w:r>
      <w:r w:rsidR="00974917" w:rsidRPr="004635B2">
        <w:rPr>
          <w:rFonts w:ascii="Arial" w:hAnsi="Arial" w:cs="Arial"/>
          <w:bCs/>
          <w:sz w:val="22"/>
          <w:szCs w:val="22"/>
          <w:lang w:val="fr-CA"/>
        </w:rPr>
        <w:t xml:space="preserve"> </w:t>
      </w:r>
      <w:r w:rsidR="00974917" w:rsidRPr="004635B2">
        <w:rPr>
          <w:rFonts w:ascii="Arial" w:hAnsi="Arial" w:cs="Arial"/>
          <w:sz w:val="22"/>
          <w:szCs w:val="22"/>
          <w:lang w:val="fr-CA"/>
        </w:rPr>
        <w:t>avaient communiqué certaines données financières dans leurs derniers rapports nationaux</w:t>
      </w:r>
      <w:r w:rsidR="006F5D18">
        <w:rPr>
          <w:rFonts w:ascii="Arial" w:hAnsi="Arial" w:cs="Arial"/>
          <w:sz w:val="22"/>
          <w:szCs w:val="22"/>
          <w:lang w:val="fr-CA"/>
        </w:rPr>
        <w:t>, ainsi que</w:t>
      </w:r>
      <w:r w:rsidR="00974917" w:rsidRPr="004635B2">
        <w:rPr>
          <w:rFonts w:ascii="Arial" w:hAnsi="Arial" w:cs="Arial"/>
          <w:sz w:val="22"/>
          <w:szCs w:val="22"/>
          <w:lang w:val="fr-CA"/>
        </w:rPr>
        <w:t xml:space="preserve"> </w:t>
      </w:r>
      <w:r w:rsidRPr="004635B2">
        <w:rPr>
          <w:rFonts w:ascii="Arial" w:hAnsi="Arial" w:cs="Arial"/>
          <w:bCs/>
          <w:sz w:val="22"/>
          <w:szCs w:val="22"/>
          <w:lang w:val="fr-CA"/>
        </w:rPr>
        <w:t>34 pour cent</w:t>
      </w:r>
      <w:r w:rsidR="00974917" w:rsidRPr="004635B2">
        <w:rPr>
          <w:rFonts w:ascii="Arial" w:hAnsi="Arial" w:cs="Arial"/>
          <w:sz w:val="22"/>
          <w:szCs w:val="22"/>
          <w:lang w:val="fr-CA"/>
        </w:rPr>
        <w:t xml:space="preserve"> des </w:t>
      </w:r>
      <w:r w:rsidR="00974917" w:rsidRPr="004635B2">
        <w:rPr>
          <w:rFonts w:ascii="Arial" w:hAnsi="Arial" w:cs="Arial"/>
          <w:bCs/>
          <w:sz w:val="22"/>
          <w:szCs w:val="22"/>
          <w:lang w:val="fr-CA"/>
        </w:rPr>
        <w:t>53</w:t>
      </w:r>
      <w:r w:rsidR="00974917" w:rsidRPr="004635B2">
        <w:rPr>
          <w:rFonts w:ascii="Arial" w:hAnsi="Arial" w:cs="Arial"/>
          <w:sz w:val="22"/>
          <w:szCs w:val="22"/>
          <w:lang w:val="fr-CA"/>
        </w:rPr>
        <w:t xml:space="preserve"> pays africains </w:t>
      </w:r>
      <w:r w:rsidRPr="004635B2">
        <w:rPr>
          <w:rFonts w:ascii="Arial" w:hAnsi="Arial" w:cs="Arial"/>
          <w:sz w:val="22"/>
          <w:szCs w:val="22"/>
          <w:lang w:val="fr-CA"/>
        </w:rPr>
        <w:t>admissibles</w:t>
      </w:r>
      <w:r w:rsidR="006F5D18">
        <w:rPr>
          <w:rFonts w:ascii="Arial" w:hAnsi="Arial" w:cs="Arial"/>
          <w:sz w:val="22"/>
          <w:szCs w:val="22"/>
          <w:lang w:val="fr-CA"/>
        </w:rPr>
        <w:t xml:space="preserve">, </w:t>
      </w:r>
      <w:r w:rsidRPr="004635B2">
        <w:rPr>
          <w:rFonts w:ascii="Arial" w:hAnsi="Arial" w:cs="Arial"/>
          <w:bCs/>
          <w:sz w:val="22"/>
          <w:szCs w:val="22"/>
          <w:lang w:val="fr-CA"/>
        </w:rPr>
        <w:t>45 pour cent</w:t>
      </w:r>
      <w:r w:rsidR="00974917" w:rsidRPr="004635B2">
        <w:rPr>
          <w:rFonts w:ascii="Arial" w:hAnsi="Arial" w:cs="Arial"/>
          <w:sz w:val="22"/>
          <w:szCs w:val="22"/>
          <w:lang w:val="fr-CA"/>
        </w:rPr>
        <w:t xml:space="preserve"> des </w:t>
      </w:r>
      <w:r w:rsidR="00974917" w:rsidRPr="004635B2">
        <w:rPr>
          <w:rFonts w:ascii="Arial" w:hAnsi="Arial" w:cs="Arial"/>
          <w:bCs/>
          <w:sz w:val="22"/>
          <w:szCs w:val="22"/>
          <w:lang w:val="fr-CA"/>
        </w:rPr>
        <w:t>33</w:t>
      </w:r>
      <w:r w:rsidR="00974917" w:rsidRPr="004635B2">
        <w:rPr>
          <w:rFonts w:ascii="Arial" w:hAnsi="Arial" w:cs="Arial"/>
          <w:sz w:val="22"/>
          <w:szCs w:val="22"/>
          <w:lang w:val="fr-CA"/>
        </w:rPr>
        <w:t xml:space="preserve"> pays d'Amérique latine et des Caraïbes </w:t>
      </w:r>
      <w:r w:rsidRPr="004635B2">
        <w:rPr>
          <w:rFonts w:ascii="Arial" w:hAnsi="Arial" w:cs="Arial"/>
          <w:sz w:val="22"/>
          <w:szCs w:val="22"/>
          <w:lang w:val="fr-CA"/>
        </w:rPr>
        <w:t>admissibles</w:t>
      </w:r>
      <w:r w:rsidR="00974917" w:rsidRPr="004635B2">
        <w:rPr>
          <w:rFonts w:ascii="Arial" w:hAnsi="Arial" w:cs="Arial"/>
          <w:sz w:val="22"/>
          <w:szCs w:val="22"/>
          <w:lang w:val="fr-CA"/>
        </w:rPr>
        <w:t xml:space="preserve"> et </w:t>
      </w:r>
      <w:r w:rsidR="00974917" w:rsidRPr="004635B2">
        <w:rPr>
          <w:rFonts w:ascii="Arial" w:hAnsi="Arial" w:cs="Arial"/>
          <w:bCs/>
          <w:sz w:val="22"/>
          <w:szCs w:val="22"/>
          <w:lang w:val="fr-CA"/>
        </w:rPr>
        <w:t>27 </w:t>
      </w:r>
      <w:r w:rsidRPr="004635B2">
        <w:rPr>
          <w:rFonts w:ascii="Arial" w:hAnsi="Arial" w:cs="Arial"/>
          <w:bCs/>
          <w:sz w:val="22"/>
          <w:szCs w:val="22"/>
          <w:lang w:val="fr-CA"/>
        </w:rPr>
        <w:t>pour cent</w:t>
      </w:r>
      <w:r w:rsidR="00974917" w:rsidRPr="004635B2">
        <w:rPr>
          <w:rFonts w:ascii="Arial" w:hAnsi="Arial" w:cs="Arial"/>
          <w:sz w:val="22"/>
          <w:szCs w:val="22"/>
          <w:lang w:val="fr-CA"/>
        </w:rPr>
        <w:t xml:space="preserve"> des </w:t>
      </w:r>
      <w:r w:rsidR="00974917" w:rsidRPr="004635B2">
        <w:rPr>
          <w:rFonts w:ascii="Arial" w:hAnsi="Arial" w:cs="Arial"/>
          <w:bCs/>
          <w:sz w:val="22"/>
          <w:szCs w:val="22"/>
          <w:lang w:val="fr-CA"/>
        </w:rPr>
        <w:t>45</w:t>
      </w:r>
      <w:r w:rsidR="00974917" w:rsidRPr="004635B2">
        <w:rPr>
          <w:rFonts w:ascii="Arial" w:hAnsi="Arial" w:cs="Arial"/>
          <w:sz w:val="22"/>
          <w:szCs w:val="22"/>
          <w:lang w:val="fr-CA"/>
        </w:rPr>
        <w:t xml:space="preserve"> pays d'Asie-Pacifique. Les données financières rapportées concernent les dépenses nationales. </w:t>
      </w:r>
    </w:p>
    <w:p w14:paraId="7DE64F66" w14:textId="77777777" w:rsidR="00974917" w:rsidRPr="004635B2" w:rsidRDefault="00974917" w:rsidP="0012639A">
      <w:pPr>
        <w:suppressLineNumbers/>
        <w:suppressAutoHyphens/>
        <w:adjustRightInd w:val="0"/>
        <w:snapToGrid w:val="0"/>
        <w:rPr>
          <w:rFonts w:ascii="Arial" w:hAnsi="Arial" w:cs="Arial"/>
          <w:sz w:val="22"/>
          <w:szCs w:val="22"/>
          <w:lang w:val="fr-CA" w:eastAsia="en-GB"/>
        </w:rPr>
      </w:pPr>
    </w:p>
    <w:p w14:paraId="0780EAE1" w14:textId="21B94791" w:rsidR="00974917" w:rsidRPr="004635B2" w:rsidRDefault="002C104E" w:rsidP="0012639A">
      <w:pPr>
        <w:suppressLineNumbers/>
        <w:suppressAutoHyphens/>
        <w:adjustRightInd w:val="0"/>
        <w:snapToGrid w:val="0"/>
        <w:rPr>
          <w:rFonts w:ascii="Arial" w:hAnsi="Arial" w:cs="Arial"/>
          <w:sz w:val="22"/>
          <w:szCs w:val="22"/>
          <w:lang w:val="fr-CA" w:eastAsia="en-GB"/>
        </w:rPr>
      </w:pPr>
      <w:r w:rsidRPr="004635B2">
        <w:rPr>
          <w:rFonts w:ascii="Arial" w:hAnsi="Arial" w:cs="Arial"/>
          <w:sz w:val="22"/>
          <w:szCs w:val="22"/>
          <w:lang w:val="fr-CA"/>
        </w:rPr>
        <w:t>39.</w:t>
      </w:r>
      <w:r w:rsidRPr="004635B2">
        <w:rPr>
          <w:rFonts w:ascii="Arial" w:hAnsi="Arial" w:cs="Arial"/>
          <w:sz w:val="22"/>
          <w:szCs w:val="22"/>
          <w:lang w:val="fr-CA"/>
        </w:rPr>
        <w:tab/>
      </w:r>
      <w:r w:rsidR="00974917" w:rsidRPr="004635B2">
        <w:rPr>
          <w:rFonts w:ascii="Arial" w:hAnsi="Arial" w:cs="Arial"/>
          <w:sz w:val="22"/>
          <w:szCs w:val="22"/>
          <w:lang w:val="fr-CA"/>
        </w:rPr>
        <w:t>Outre les données concernant les dépenses nationales au cours de la dernière décennie, l'équipe d'experts a examiné l'allocation STAR réelle des pays pour l</w:t>
      </w:r>
      <w:r w:rsidR="006F5D18">
        <w:rPr>
          <w:rFonts w:ascii="Arial" w:hAnsi="Arial" w:cs="Arial"/>
          <w:sz w:val="22"/>
          <w:szCs w:val="22"/>
          <w:lang w:val="fr-CA"/>
        </w:rPr>
        <w:t>a</w:t>
      </w:r>
      <w:r w:rsidR="00974917" w:rsidRPr="004635B2">
        <w:rPr>
          <w:rFonts w:ascii="Arial" w:hAnsi="Arial" w:cs="Arial"/>
          <w:sz w:val="22"/>
          <w:szCs w:val="22"/>
          <w:lang w:val="fr-CA"/>
        </w:rPr>
        <w:t xml:space="preserve"> FEM-7 par rapport à leurs besoins estimés en s'appuyant sur le questionnaire de la CDB sur l'évaluation des besoins en 2016. </w:t>
      </w:r>
    </w:p>
    <w:p w14:paraId="77BF5FB9" w14:textId="77777777" w:rsidR="00974917" w:rsidRPr="004635B2" w:rsidRDefault="00974917" w:rsidP="0012639A">
      <w:pPr>
        <w:suppressLineNumbers/>
        <w:suppressAutoHyphens/>
        <w:adjustRightInd w:val="0"/>
        <w:snapToGrid w:val="0"/>
        <w:rPr>
          <w:rFonts w:ascii="Arial" w:hAnsi="Arial" w:cs="Arial"/>
          <w:sz w:val="22"/>
          <w:szCs w:val="22"/>
          <w:lang w:val="fr-CA" w:eastAsia="en-GB"/>
        </w:rPr>
      </w:pPr>
    </w:p>
    <w:p w14:paraId="03C83FEF" w14:textId="3160AB04" w:rsidR="00974917" w:rsidRPr="004635B2" w:rsidRDefault="002C104E" w:rsidP="0012639A">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40.</w:t>
      </w:r>
      <w:r w:rsidRPr="004635B2">
        <w:rPr>
          <w:rFonts w:ascii="Arial" w:hAnsi="Arial" w:cs="Arial"/>
          <w:sz w:val="22"/>
          <w:szCs w:val="22"/>
          <w:lang w:val="fr-CA"/>
        </w:rPr>
        <w:tab/>
      </w:r>
      <w:r w:rsidR="00974917" w:rsidRPr="004635B2">
        <w:rPr>
          <w:rFonts w:ascii="Arial" w:hAnsi="Arial" w:cs="Arial"/>
          <w:sz w:val="22"/>
          <w:szCs w:val="22"/>
          <w:lang w:val="fr-CA"/>
        </w:rPr>
        <w:t xml:space="preserve">Pour 52 pays </w:t>
      </w:r>
      <w:r w:rsidRPr="004635B2">
        <w:rPr>
          <w:rFonts w:ascii="Arial" w:hAnsi="Arial" w:cs="Arial"/>
          <w:sz w:val="22"/>
          <w:szCs w:val="22"/>
          <w:lang w:val="fr-CA"/>
        </w:rPr>
        <w:t>admissibles</w:t>
      </w:r>
      <w:r w:rsidR="00974917" w:rsidRPr="004635B2">
        <w:rPr>
          <w:rFonts w:ascii="Arial" w:hAnsi="Arial" w:cs="Arial"/>
          <w:sz w:val="22"/>
          <w:szCs w:val="22"/>
          <w:lang w:val="fr-CA"/>
        </w:rPr>
        <w:t xml:space="preserve"> au FEM qui avaient rempli le questionnaire d'évaluation des besoins en 2016, l'équipe d'experts a comparé les besoins de financement estimés dans le questionnaire au montant alloué dans le cadre de l'allocation STAR d</w:t>
      </w:r>
      <w:r w:rsidR="006F5D18">
        <w:rPr>
          <w:rFonts w:ascii="Arial" w:hAnsi="Arial" w:cs="Arial"/>
          <w:sz w:val="22"/>
          <w:szCs w:val="22"/>
          <w:lang w:val="fr-CA"/>
        </w:rPr>
        <w:t>e la</w:t>
      </w:r>
      <w:r w:rsidR="00974917" w:rsidRPr="004635B2">
        <w:rPr>
          <w:rFonts w:ascii="Arial" w:hAnsi="Arial" w:cs="Arial"/>
          <w:sz w:val="22"/>
          <w:szCs w:val="22"/>
          <w:lang w:val="fr-CA"/>
        </w:rPr>
        <w:t xml:space="preserve"> FEM-7 pour la seule </w:t>
      </w:r>
      <w:r w:rsidR="006F5D18">
        <w:rPr>
          <w:rFonts w:ascii="Arial" w:hAnsi="Arial" w:cs="Arial"/>
          <w:sz w:val="22"/>
          <w:szCs w:val="22"/>
          <w:lang w:val="fr-CA"/>
        </w:rPr>
        <w:t>biodiversité (n'incluant pas le financement</w:t>
      </w:r>
      <w:r w:rsidR="00974917" w:rsidRPr="004635B2">
        <w:rPr>
          <w:rFonts w:ascii="Arial" w:hAnsi="Arial" w:cs="Arial"/>
          <w:sz w:val="22"/>
          <w:szCs w:val="22"/>
          <w:lang w:val="fr-CA"/>
        </w:rPr>
        <w:t xml:space="preserve"> des programmes à impact ou les allocations STAR des autres domaines qui </w:t>
      </w:r>
      <w:r w:rsidR="00215F03">
        <w:rPr>
          <w:rFonts w:ascii="Arial" w:hAnsi="Arial" w:cs="Arial"/>
          <w:sz w:val="22"/>
          <w:szCs w:val="22"/>
          <w:lang w:val="fr-CA"/>
        </w:rPr>
        <w:t>auraient</w:t>
      </w:r>
      <w:r w:rsidR="00974917" w:rsidRPr="004635B2">
        <w:rPr>
          <w:rFonts w:ascii="Arial" w:hAnsi="Arial" w:cs="Arial"/>
          <w:sz w:val="22"/>
          <w:szCs w:val="22"/>
          <w:lang w:val="fr-CA"/>
        </w:rPr>
        <w:t xml:space="preserve"> pu inclure des résultats en matière de biodiversité)</w:t>
      </w:r>
      <w:r w:rsidR="00974917" w:rsidRPr="004635B2">
        <w:rPr>
          <w:rStyle w:val="FootnoteReference"/>
          <w:rFonts w:ascii="Arial" w:hAnsi="Arial" w:cs="Arial"/>
          <w:sz w:val="22"/>
          <w:szCs w:val="22"/>
          <w:u w:val="none"/>
          <w:vertAlign w:val="superscript"/>
          <w:lang w:val="fr-CA"/>
        </w:rPr>
        <w:footnoteReference w:id="10"/>
      </w:r>
      <w:r w:rsidR="00974917" w:rsidRPr="004635B2">
        <w:rPr>
          <w:rFonts w:ascii="Arial" w:hAnsi="Arial" w:cs="Arial"/>
          <w:sz w:val="22"/>
          <w:szCs w:val="22"/>
          <w:lang w:val="fr-CA"/>
        </w:rPr>
        <w:t>.</w:t>
      </w:r>
    </w:p>
    <w:p w14:paraId="344973E4" w14:textId="77777777" w:rsidR="00974917" w:rsidRPr="004635B2" w:rsidRDefault="00974917" w:rsidP="0012639A">
      <w:pPr>
        <w:suppressLineNumbers/>
        <w:suppressAutoHyphens/>
        <w:adjustRightInd w:val="0"/>
        <w:snapToGrid w:val="0"/>
        <w:rPr>
          <w:rFonts w:ascii="Arial" w:hAnsi="Arial" w:cs="Arial"/>
          <w:sz w:val="22"/>
          <w:szCs w:val="22"/>
          <w:lang w:val="fr-CA"/>
        </w:rPr>
      </w:pPr>
    </w:p>
    <w:p w14:paraId="00EFB0EC" w14:textId="1EB0AE35" w:rsidR="00974917" w:rsidRPr="004635B2" w:rsidRDefault="002C104E" w:rsidP="0012639A">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41.</w:t>
      </w:r>
      <w:r w:rsidRPr="004635B2">
        <w:rPr>
          <w:rFonts w:ascii="Arial" w:hAnsi="Arial" w:cs="Arial"/>
          <w:sz w:val="22"/>
          <w:szCs w:val="22"/>
          <w:lang w:val="fr-CA"/>
        </w:rPr>
        <w:tab/>
      </w:r>
      <w:r w:rsidR="00974917" w:rsidRPr="004635B2">
        <w:rPr>
          <w:rFonts w:ascii="Arial" w:hAnsi="Arial" w:cs="Arial"/>
          <w:sz w:val="22"/>
          <w:szCs w:val="22"/>
          <w:lang w:val="fr-CA"/>
        </w:rPr>
        <w:t xml:space="preserve">Cette comparaison montre que la </w:t>
      </w:r>
      <w:r w:rsidR="006F5D18">
        <w:rPr>
          <w:rFonts w:ascii="Arial" w:hAnsi="Arial" w:cs="Arial"/>
          <w:sz w:val="22"/>
          <w:szCs w:val="22"/>
          <w:lang w:val="fr-CA"/>
        </w:rPr>
        <w:t>part la plus importante</w:t>
      </w:r>
      <w:r w:rsidRPr="004635B2">
        <w:rPr>
          <w:rFonts w:ascii="Arial" w:hAnsi="Arial" w:cs="Arial"/>
          <w:sz w:val="22"/>
          <w:szCs w:val="22"/>
          <w:lang w:val="fr-CA"/>
        </w:rPr>
        <w:t xml:space="preserve"> des pays (40 pour cent</w:t>
      </w:r>
      <w:r w:rsidR="006F5D18">
        <w:rPr>
          <w:rFonts w:ascii="Arial" w:hAnsi="Arial" w:cs="Arial"/>
          <w:sz w:val="22"/>
          <w:szCs w:val="22"/>
          <w:lang w:val="fr-CA"/>
        </w:rPr>
        <w:t>, soit 21 </w:t>
      </w:r>
      <w:r w:rsidR="00974917" w:rsidRPr="004635B2">
        <w:rPr>
          <w:rFonts w:ascii="Arial" w:hAnsi="Arial" w:cs="Arial"/>
          <w:sz w:val="22"/>
          <w:szCs w:val="22"/>
          <w:lang w:val="fr-CA"/>
        </w:rPr>
        <w:t>sur 52) qui ont rempli le questionnaire de 2016 ont reçu, dans le cadre de l'</w:t>
      </w:r>
      <w:r w:rsidR="006F5D18">
        <w:rPr>
          <w:rFonts w:ascii="Arial" w:hAnsi="Arial" w:cs="Arial"/>
          <w:sz w:val="22"/>
          <w:szCs w:val="22"/>
          <w:lang w:val="fr-CA"/>
        </w:rPr>
        <w:t>allocation STAR de la</w:t>
      </w:r>
      <w:r w:rsidR="00974917" w:rsidRPr="004635B2">
        <w:rPr>
          <w:rFonts w:ascii="Arial" w:hAnsi="Arial" w:cs="Arial"/>
          <w:sz w:val="22"/>
          <w:szCs w:val="22"/>
          <w:lang w:val="fr-CA"/>
        </w:rPr>
        <w:t xml:space="preserve"> </w:t>
      </w:r>
      <w:r w:rsidRPr="004635B2">
        <w:rPr>
          <w:rFonts w:ascii="Arial" w:hAnsi="Arial" w:cs="Arial"/>
          <w:sz w:val="22"/>
          <w:szCs w:val="22"/>
          <w:lang w:val="fr-CA"/>
        </w:rPr>
        <w:t>FEM-7 pour la biodiversité, 20 pour cent</w:t>
      </w:r>
      <w:r w:rsidR="00974917" w:rsidRPr="004635B2">
        <w:rPr>
          <w:rFonts w:ascii="Arial" w:hAnsi="Arial" w:cs="Arial"/>
          <w:sz w:val="22"/>
          <w:szCs w:val="22"/>
          <w:lang w:val="fr-CA"/>
        </w:rPr>
        <w:t xml:space="preserve"> ou moins de leurs besoins de financement esti</w:t>
      </w:r>
      <w:r w:rsidRPr="004635B2">
        <w:rPr>
          <w:rFonts w:ascii="Arial" w:hAnsi="Arial" w:cs="Arial"/>
          <w:sz w:val="22"/>
          <w:szCs w:val="22"/>
          <w:lang w:val="fr-CA"/>
        </w:rPr>
        <w:t>més dans le questionnaire</w:t>
      </w:r>
      <w:r w:rsidR="0011176D">
        <w:rPr>
          <w:rFonts w:ascii="Arial" w:hAnsi="Arial" w:cs="Arial"/>
          <w:sz w:val="22"/>
          <w:szCs w:val="22"/>
          <w:lang w:val="fr-CA"/>
        </w:rPr>
        <w:t xml:space="preserve">, </w:t>
      </w:r>
      <w:r w:rsidRPr="004635B2">
        <w:rPr>
          <w:rFonts w:ascii="Arial" w:hAnsi="Arial" w:cs="Arial"/>
          <w:sz w:val="22"/>
          <w:szCs w:val="22"/>
          <w:lang w:val="fr-CA"/>
        </w:rPr>
        <w:t>31 pour cent</w:t>
      </w:r>
      <w:r w:rsidR="00974917" w:rsidRPr="004635B2">
        <w:rPr>
          <w:rFonts w:ascii="Arial" w:hAnsi="Arial" w:cs="Arial"/>
          <w:sz w:val="22"/>
          <w:szCs w:val="22"/>
          <w:lang w:val="fr-CA"/>
        </w:rPr>
        <w:t xml:space="preserve"> (soit 16 s</w:t>
      </w:r>
      <w:r w:rsidRPr="004635B2">
        <w:rPr>
          <w:rFonts w:ascii="Arial" w:hAnsi="Arial" w:cs="Arial"/>
          <w:sz w:val="22"/>
          <w:szCs w:val="22"/>
          <w:lang w:val="fr-CA"/>
        </w:rPr>
        <w:t>ur 52) ont reçu entre 21 et 50 pour cent, 19 pour cent</w:t>
      </w:r>
      <w:r w:rsidR="00974917" w:rsidRPr="004635B2">
        <w:rPr>
          <w:rFonts w:ascii="Arial" w:hAnsi="Arial" w:cs="Arial"/>
          <w:sz w:val="22"/>
          <w:szCs w:val="22"/>
          <w:lang w:val="fr-CA"/>
        </w:rPr>
        <w:t xml:space="preserve"> (soit 10 su</w:t>
      </w:r>
      <w:r w:rsidRPr="004635B2">
        <w:rPr>
          <w:rFonts w:ascii="Arial" w:hAnsi="Arial" w:cs="Arial"/>
          <w:sz w:val="22"/>
          <w:szCs w:val="22"/>
          <w:lang w:val="fr-CA"/>
        </w:rPr>
        <w:t>r 52) ont reçu entre 51 et 100 pour cent, tandis que 10 pour cent</w:t>
      </w:r>
      <w:r w:rsidR="00974917" w:rsidRPr="004635B2">
        <w:rPr>
          <w:rFonts w:ascii="Arial" w:hAnsi="Arial" w:cs="Arial"/>
          <w:sz w:val="22"/>
          <w:szCs w:val="22"/>
          <w:lang w:val="fr-CA"/>
        </w:rPr>
        <w:t xml:space="preserve"> (soit 5 sur 52) ont reçu plus que le montant </w:t>
      </w:r>
      <w:r w:rsidRPr="004635B2">
        <w:rPr>
          <w:rFonts w:ascii="Arial" w:hAnsi="Arial" w:cs="Arial"/>
          <w:sz w:val="22"/>
          <w:szCs w:val="22"/>
          <w:lang w:val="fr-CA"/>
        </w:rPr>
        <w:t>estimé</w:t>
      </w:r>
      <w:r w:rsidR="00974917" w:rsidRPr="004635B2">
        <w:rPr>
          <w:rFonts w:ascii="Arial" w:hAnsi="Arial" w:cs="Arial"/>
          <w:sz w:val="22"/>
          <w:szCs w:val="22"/>
          <w:lang w:val="fr-CA"/>
        </w:rPr>
        <w:t xml:space="preserve">.  </w:t>
      </w:r>
    </w:p>
    <w:p w14:paraId="0662FEF7" w14:textId="77777777" w:rsidR="00974917" w:rsidRPr="004635B2" w:rsidRDefault="00974917" w:rsidP="0065103C">
      <w:pPr>
        <w:pStyle w:val="ListParagraph"/>
        <w:suppressLineNumbers/>
        <w:suppressAutoHyphens/>
        <w:adjustRightInd w:val="0"/>
        <w:snapToGrid w:val="0"/>
        <w:ind w:left="1134"/>
        <w:rPr>
          <w:rFonts w:ascii="Arial" w:hAnsi="Arial" w:cs="Arial"/>
          <w:color w:val="000000"/>
          <w:sz w:val="22"/>
          <w:szCs w:val="22"/>
          <w:u w:val="single"/>
          <w:lang w:val="fr-CA"/>
        </w:rPr>
      </w:pPr>
    </w:p>
    <w:p w14:paraId="1EDC0A2C" w14:textId="77777777" w:rsidR="00974917" w:rsidRPr="004635B2" w:rsidRDefault="00974917" w:rsidP="0012639A">
      <w:pPr>
        <w:pStyle w:val="ListParagraph"/>
        <w:numPr>
          <w:ilvl w:val="1"/>
          <w:numId w:val="17"/>
        </w:numPr>
        <w:suppressLineNumbers/>
        <w:suppressAutoHyphens/>
        <w:adjustRightInd w:val="0"/>
        <w:snapToGrid w:val="0"/>
        <w:ind w:left="0" w:firstLine="0"/>
        <w:rPr>
          <w:rFonts w:ascii="Arial" w:hAnsi="Arial" w:cs="Arial"/>
          <w:color w:val="000000"/>
          <w:sz w:val="22"/>
          <w:szCs w:val="22"/>
          <w:u w:val="single"/>
          <w:lang w:val="fr-CA"/>
        </w:rPr>
      </w:pPr>
      <w:r w:rsidRPr="004635B2">
        <w:rPr>
          <w:rFonts w:ascii="Arial" w:hAnsi="Arial" w:cs="Arial"/>
          <w:sz w:val="22"/>
          <w:szCs w:val="22"/>
          <w:u w:val="single"/>
          <w:lang w:val="fr-CA"/>
        </w:rPr>
        <w:t>BIOFIN</w:t>
      </w:r>
    </w:p>
    <w:p w14:paraId="7A7F010C" w14:textId="77777777" w:rsidR="00974917" w:rsidRPr="004635B2" w:rsidRDefault="00974917" w:rsidP="0012639A">
      <w:pPr>
        <w:pStyle w:val="Default"/>
        <w:suppressLineNumbers/>
        <w:suppressAutoHyphens/>
        <w:adjustRightInd w:val="0"/>
        <w:snapToGrid w:val="0"/>
        <w:rPr>
          <w:rFonts w:ascii="Arial" w:hAnsi="Arial" w:cs="Arial"/>
          <w:sz w:val="22"/>
          <w:szCs w:val="22"/>
          <w:lang w:val="fr-CA"/>
        </w:rPr>
      </w:pPr>
    </w:p>
    <w:p w14:paraId="755819B6" w14:textId="6F9A5CA2" w:rsidR="00974917" w:rsidRPr="004635B2" w:rsidRDefault="002C104E" w:rsidP="0012639A">
      <w:pPr>
        <w:suppressLineNumbers/>
        <w:suppressAutoHyphens/>
        <w:adjustRightInd w:val="0"/>
        <w:snapToGrid w:val="0"/>
        <w:rPr>
          <w:rFonts w:ascii="Arial" w:hAnsi="Arial" w:cs="Arial"/>
          <w:color w:val="212121"/>
          <w:sz w:val="22"/>
          <w:szCs w:val="22"/>
          <w:lang w:val="fr-CA"/>
        </w:rPr>
      </w:pPr>
      <w:r w:rsidRPr="004635B2">
        <w:rPr>
          <w:rFonts w:ascii="Arial" w:hAnsi="Arial" w:cs="Arial"/>
          <w:sz w:val="22"/>
          <w:szCs w:val="22"/>
          <w:lang w:val="fr-CA"/>
        </w:rPr>
        <w:t>42.</w:t>
      </w:r>
      <w:r w:rsidRPr="004635B2">
        <w:rPr>
          <w:rFonts w:ascii="Arial" w:hAnsi="Arial" w:cs="Arial"/>
          <w:sz w:val="22"/>
          <w:szCs w:val="22"/>
          <w:lang w:val="fr-CA"/>
        </w:rPr>
        <w:tab/>
      </w:r>
      <w:r w:rsidR="00974917" w:rsidRPr="004635B2">
        <w:rPr>
          <w:rFonts w:ascii="Arial" w:hAnsi="Arial" w:cs="Arial"/>
          <w:sz w:val="22"/>
          <w:szCs w:val="22"/>
          <w:lang w:val="fr-CA"/>
        </w:rPr>
        <w:t xml:space="preserve">Le groupe d'experts a examiné tous les rapports du programme PNUD-BIOFIN pour obtenir des informations et des données sur les besoins de financement des pays. </w:t>
      </w:r>
      <w:r w:rsidR="00974917" w:rsidRPr="004635B2">
        <w:rPr>
          <w:rFonts w:ascii="Arial" w:hAnsi="Arial" w:cs="Arial"/>
          <w:color w:val="212121"/>
          <w:sz w:val="22"/>
          <w:szCs w:val="22"/>
          <w:lang w:val="fr-CA"/>
        </w:rPr>
        <w:t xml:space="preserve">Actuellement, BIOFIN aide 36 pays à examiner les politiques et les institutions pertinentes pour le financement de la biodiversité, à déterminer les investissements de base, à évaluer les coûts de mise en œuvre des stratégies et plans d’action nationaux pour la </w:t>
      </w:r>
      <w:r w:rsidR="00215F03">
        <w:rPr>
          <w:rFonts w:ascii="Arial" w:hAnsi="Arial" w:cs="Arial"/>
          <w:color w:val="212121"/>
          <w:sz w:val="22"/>
          <w:szCs w:val="22"/>
          <w:lang w:val="fr-CA"/>
        </w:rPr>
        <w:t>biodiversité</w:t>
      </w:r>
      <w:r w:rsidR="00974917" w:rsidRPr="004635B2">
        <w:rPr>
          <w:rFonts w:ascii="Arial" w:hAnsi="Arial" w:cs="Arial"/>
          <w:color w:val="212121"/>
          <w:sz w:val="22"/>
          <w:szCs w:val="22"/>
          <w:lang w:val="fr-CA"/>
        </w:rPr>
        <w:t xml:space="preserve"> et à quantifier le déficit de financement de la biodiversité. </w:t>
      </w:r>
      <w:r w:rsidRPr="004635B2">
        <w:rPr>
          <w:rFonts w:ascii="Arial" w:hAnsi="Arial" w:cs="Arial"/>
          <w:color w:val="212121"/>
          <w:sz w:val="22"/>
          <w:szCs w:val="22"/>
          <w:lang w:val="fr-CA"/>
        </w:rPr>
        <w:t>Cette démarche inclut la Convention et ses protocoles.</w:t>
      </w:r>
    </w:p>
    <w:p w14:paraId="4FDF5660" w14:textId="77777777" w:rsidR="00974917" w:rsidRPr="004635B2" w:rsidRDefault="00974917" w:rsidP="0012639A">
      <w:pPr>
        <w:suppressLineNumbers/>
        <w:suppressAutoHyphens/>
        <w:adjustRightInd w:val="0"/>
        <w:snapToGrid w:val="0"/>
        <w:rPr>
          <w:rFonts w:ascii="Arial" w:hAnsi="Arial" w:cs="Arial"/>
          <w:color w:val="212121"/>
          <w:sz w:val="22"/>
          <w:szCs w:val="22"/>
          <w:lang w:val="fr-CA"/>
        </w:rPr>
      </w:pPr>
    </w:p>
    <w:p w14:paraId="46017312" w14:textId="7CD053C0" w:rsidR="00974917" w:rsidRPr="004635B2" w:rsidRDefault="00F77A17" w:rsidP="0012639A">
      <w:pPr>
        <w:suppressLineNumbers/>
        <w:suppressAutoHyphens/>
        <w:adjustRightInd w:val="0"/>
        <w:snapToGrid w:val="0"/>
        <w:rPr>
          <w:rFonts w:ascii="Arial" w:hAnsi="Arial" w:cs="Arial"/>
          <w:color w:val="212121"/>
          <w:sz w:val="22"/>
          <w:szCs w:val="22"/>
          <w:lang w:val="fr-CA"/>
        </w:rPr>
      </w:pPr>
      <w:r w:rsidRPr="004635B2">
        <w:rPr>
          <w:rFonts w:ascii="Arial" w:hAnsi="Arial" w:cs="Arial"/>
          <w:color w:val="212121"/>
          <w:sz w:val="22"/>
          <w:szCs w:val="22"/>
          <w:lang w:val="fr-CA"/>
        </w:rPr>
        <w:t>43.</w:t>
      </w:r>
      <w:r w:rsidRPr="004635B2">
        <w:rPr>
          <w:rFonts w:ascii="Arial" w:hAnsi="Arial" w:cs="Arial"/>
          <w:color w:val="212121"/>
          <w:sz w:val="22"/>
          <w:szCs w:val="22"/>
          <w:lang w:val="fr-CA"/>
        </w:rPr>
        <w:tab/>
      </w:r>
      <w:r w:rsidR="00974917" w:rsidRPr="004635B2">
        <w:rPr>
          <w:rFonts w:ascii="Arial" w:hAnsi="Arial" w:cs="Arial"/>
          <w:color w:val="212121"/>
          <w:sz w:val="22"/>
          <w:szCs w:val="22"/>
          <w:lang w:val="fr-CA"/>
        </w:rPr>
        <w:t xml:space="preserve">À ce jour, BIOFIN a travaillé avec la plupart des pays qu'il soutient afin d'examiner leurs dépenses liées à la biodiversité et d'élaborer des plans financiers pour mobiliser des ressources à l'avenir. Par exemple, dans son examen des dépenses pour 2018, la Colombie a indiqué que les investissements dans la biodiversité représentaient un total de 272 millions </w:t>
      </w:r>
      <w:r w:rsidR="00B51554" w:rsidRPr="004635B2">
        <w:rPr>
          <w:rFonts w:ascii="Arial" w:hAnsi="Arial" w:cs="Arial"/>
          <w:color w:val="212121"/>
          <w:sz w:val="22"/>
          <w:szCs w:val="22"/>
          <w:lang w:val="fr-CA"/>
        </w:rPr>
        <w:t>$US</w:t>
      </w:r>
      <w:r w:rsidR="00974917" w:rsidRPr="004635B2">
        <w:rPr>
          <w:rFonts w:ascii="Arial" w:hAnsi="Arial" w:cs="Arial"/>
          <w:color w:val="212121"/>
          <w:sz w:val="22"/>
          <w:szCs w:val="22"/>
          <w:lang w:val="fr-CA"/>
        </w:rPr>
        <w:t xml:space="preserve"> par an (0,12 </w:t>
      </w:r>
      <w:r w:rsidRPr="004635B2">
        <w:rPr>
          <w:rFonts w:ascii="Arial" w:hAnsi="Arial" w:cs="Arial"/>
          <w:color w:val="212121"/>
          <w:sz w:val="22"/>
          <w:szCs w:val="22"/>
          <w:lang w:val="fr-CA"/>
        </w:rPr>
        <w:t>pour cent</w:t>
      </w:r>
      <w:r w:rsidR="00974917" w:rsidRPr="004635B2">
        <w:rPr>
          <w:rFonts w:ascii="Arial" w:hAnsi="Arial" w:cs="Arial"/>
          <w:color w:val="212121"/>
          <w:sz w:val="22"/>
          <w:szCs w:val="22"/>
          <w:lang w:val="fr-CA"/>
        </w:rPr>
        <w:t xml:space="preserve"> du PIB national) environ. En comparaison, son évaluation des besoins a fait état de besoins financiers s'élevant à 4,2 milliards </w:t>
      </w:r>
      <w:r w:rsidR="00B51554" w:rsidRPr="004635B2">
        <w:rPr>
          <w:rFonts w:ascii="Arial" w:hAnsi="Arial" w:cs="Arial"/>
          <w:color w:val="212121"/>
          <w:sz w:val="22"/>
          <w:szCs w:val="22"/>
          <w:lang w:val="fr-CA"/>
        </w:rPr>
        <w:t>$US</w:t>
      </w:r>
      <w:r w:rsidR="00974917" w:rsidRPr="004635B2">
        <w:rPr>
          <w:rFonts w:ascii="Arial" w:hAnsi="Arial" w:cs="Arial"/>
          <w:color w:val="212121"/>
          <w:sz w:val="22"/>
          <w:szCs w:val="22"/>
          <w:lang w:val="fr-CA"/>
        </w:rPr>
        <w:t xml:space="preserve"> pour</w:t>
      </w:r>
      <w:r w:rsidRPr="004635B2">
        <w:rPr>
          <w:rFonts w:ascii="Arial" w:hAnsi="Arial" w:cs="Arial"/>
          <w:color w:val="212121"/>
          <w:sz w:val="22"/>
          <w:szCs w:val="22"/>
          <w:lang w:val="fr-CA"/>
        </w:rPr>
        <w:t xml:space="preserve"> la période 2017-2030, dont 24 pour cent</w:t>
      </w:r>
      <w:r w:rsidR="00974917" w:rsidRPr="004635B2">
        <w:rPr>
          <w:rFonts w:ascii="Arial" w:hAnsi="Arial" w:cs="Arial"/>
          <w:color w:val="212121"/>
          <w:sz w:val="22"/>
          <w:szCs w:val="22"/>
          <w:lang w:val="fr-CA"/>
        </w:rPr>
        <w:t xml:space="preserve"> devraient provenir de mécanismes de financement</w:t>
      </w:r>
      <w:r w:rsidRPr="004635B2">
        <w:rPr>
          <w:rFonts w:ascii="Arial" w:hAnsi="Arial" w:cs="Arial"/>
          <w:color w:val="212121"/>
          <w:sz w:val="22"/>
          <w:szCs w:val="22"/>
          <w:lang w:val="fr-CA"/>
        </w:rPr>
        <w:t>.</w:t>
      </w:r>
      <w:r w:rsidR="00974917" w:rsidRPr="004635B2">
        <w:rPr>
          <w:rStyle w:val="FootnoteReference"/>
          <w:rFonts w:ascii="Arial" w:hAnsi="Arial" w:cs="Arial"/>
          <w:color w:val="212121"/>
          <w:sz w:val="22"/>
          <w:szCs w:val="22"/>
          <w:u w:val="none"/>
          <w:vertAlign w:val="superscript"/>
          <w:lang w:val="fr-CA"/>
        </w:rPr>
        <w:footnoteReference w:id="11"/>
      </w:r>
      <w:r w:rsidR="00974917" w:rsidRPr="004635B2">
        <w:rPr>
          <w:rFonts w:ascii="Arial" w:hAnsi="Arial" w:cs="Arial"/>
          <w:color w:val="212121"/>
          <w:sz w:val="22"/>
          <w:szCs w:val="22"/>
          <w:lang w:val="fr-CA"/>
        </w:rPr>
        <w:t xml:space="preserve"> </w:t>
      </w:r>
    </w:p>
    <w:p w14:paraId="40A85D58" w14:textId="77777777" w:rsidR="00974917" w:rsidRPr="004635B2" w:rsidRDefault="00974917" w:rsidP="0012639A">
      <w:pPr>
        <w:suppressLineNumbers/>
        <w:suppressAutoHyphens/>
        <w:adjustRightInd w:val="0"/>
        <w:snapToGrid w:val="0"/>
        <w:rPr>
          <w:rFonts w:ascii="Arial" w:hAnsi="Arial" w:cs="Arial"/>
          <w:color w:val="212121"/>
          <w:sz w:val="22"/>
          <w:szCs w:val="22"/>
          <w:lang w:val="fr-CA"/>
        </w:rPr>
      </w:pPr>
    </w:p>
    <w:p w14:paraId="1611D0B6" w14:textId="0ED7BC56" w:rsidR="00974917" w:rsidRPr="004635B2" w:rsidRDefault="00F77A17" w:rsidP="0012639A">
      <w:pPr>
        <w:suppressLineNumbers/>
        <w:suppressAutoHyphens/>
        <w:adjustRightInd w:val="0"/>
        <w:snapToGrid w:val="0"/>
        <w:rPr>
          <w:rFonts w:ascii="Arial" w:hAnsi="Arial" w:cs="Arial"/>
          <w:color w:val="212121"/>
          <w:sz w:val="22"/>
          <w:szCs w:val="22"/>
          <w:lang w:val="fr-CA"/>
        </w:rPr>
      </w:pPr>
      <w:r w:rsidRPr="004635B2">
        <w:rPr>
          <w:rFonts w:ascii="Arial" w:hAnsi="Arial" w:cs="Arial"/>
          <w:color w:val="212121"/>
          <w:sz w:val="22"/>
          <w:szCs w:val="22"/>
          <w:lang w:val="fr-CA"/>
        </w:rPr>
        <w:t>44.</w:t>
      </w:r>
      <w:r w:rsidRPr="004635B2">
        <w:rPr>
          <w:rFonts w:ascii="Arial" w:hAnsi="Arial" w:cs="Arial"/>
          <w:color w:val="212121"/>
          <w:sz w:val="22"/>
          <w:szCs w:val="22"/>
          <w:lang w:val="fr-CA"/>
        </w:rPr>
        <w:tab/>
      </w:r>
      <w:r w:rsidR="00974917" w:rsidRPr="004635B2">
        <w:rPr>
          <w:rFonts w:ascii="Arial" w:hAnsi="Arial" w:cs="Arial"/>
          <w:color w:val="212121"/>
          <w:sz w:val="22"/>
          <w:szCs w:val="22"/>
          <w:lang w:val="fr-CA"/>
        </w:rPr>
        <w:t>Bien que certains rapports de dépenses soient disponibles pour certains pays sur son site Web, il n'y a pas de données pertinentes qui pourraient être utilisées pour identifier les besoins futurs pour la période 2022-2026 du FEM. Dès qu'un nombre important de pays aur</w:t>
      </w:r>
      <w:r w:rsidR="0011176D">
        <w:rPr>
          <w:rFonts w:ascii="Arial" w:hAnsi="Arial" w:cs="Arial"/>
          <w:color w:val="212121"/>
          <w:sz w:val="22"/>
          <w:szCs w:val="22"/>
          <w:lang w:val="fr-CA"/>
        </w:rPr>
        <w:t>a</w:t>
      </w:r>
      <w:r w:rsidR="00974917" w:rsidRPr="004635B2">
        <w:rPr>
          <w:rFonts w:ascii="Arial" w:hAnsi="Arial" w:cs="Arial"/>
          <w:color w:val="212121"/>
          <w:sz w:val="22"/>
          <w:szCs w:val="22"/>
          <w:lang w:val="fr-CA"/>
        </w:rPr>
        <w:t xml:space="preserve"> terminé les projets BIOFIN, une estimation des besoins de financement totaux du pays</w:t>
      </w:r>
      <w:r w:rsidR="0011176D">
        <w:rPr>
          <w:rFonts w:ascii="Arial" w:hAnsi="Arial" w:cs="Arial"/>
          <w:color w:val="212121"/>
          <w:sz w:val="22"/>
          <w:szCs w:val="22"/>
          <w:lang w:val="fr-CA"/>
        </w:rPr>
        <w:t>,</w:t>
      </w:r>
      <w:r w:rsidR="00974917" w:rsidRPr="004635B2">
        <w:rPr>
          <w:rFonts w:ascii="Arial" w:hAnsi="Arial" w:cs="Arial"/>
          <w:color w:val="212121"/>
          <w:sz w:val="22"/>
          <w:szCs w:val="22"/>
          <w:lang w:val="fr-CA"/>
        </w:rPr>
        <w:t xml:space="preserve"> au moins</w:t>
      </w:r>
      <w:r w:rsidR="0011176D">
        <w:rPr>
          <w:rFonts w:ascii="Arial" w:hAnsi="Arial" w:cs="Arial"/>
          <w:color w:val="212121"/>
          <w:sz w:val="22"/>
          <w:szCs w:val="22"/>
          <w:lang w:val="fr-CA"/>
        </w:rPr>
        <w:t>,</w:t>
      </w:r>
      <w:r w:rsidR="00974917" w:rsidRPr="004635B2">
        <w:rPr>
          <w:rFonts w:ascii="Arial" w:hAnsi="Arial" w:cs="Arial"/>
          <w:color w:val="212121"/>
          <w:sz w:val="22"/>
          <w:szCs w:val="22"/>
          <w:lang w:val="fr-CA"/>
        </w:rPr>
        <w:t xml:space="preserve"> sera disponible et pourra être enregistrée pour cette évaluation.</w:t>
      </w:r>
    </w:p>
    <w:p w14:paraId="4480A47E" w14:textId="77777777" w:rsidR="00974917" w:rsidRPr="004635B2" w:rsidRDefault="00974917" w:rsidP="0012639A">
      <w:pPr>
        <w:suppressLineNumbers/>
        <w:suppressAutoHyphens/>
        <w:adjustRightInd w:val="0"/>
        <w:snapToGrid w:val="0"/>
        <w:rPr>
          <w:rFonts w:ascii="Arial" w:hAnsi="Arial" w:cs="Arial"/>
          <w:color w:val="212121"/>
          <w:sz w:val="22"/>
          <w:szCs w:val="22"/>
          <w:lang w:val="fr-CA"/>
        </w:rPr>
      </w:pPr>
    </w:p>
    <w:p w14:paraId="16334F77" w14:textId="77777777" w:rsidR="00974917" w:rsidRPr="004635B2" w:rsidRDefault="00974917" w:rsidP="0012639A">
      <w:pPr>
        <w:numPr>
          <w:ilvl w:val="1"/>
          <w:numId w:val="17"/>
        </w:numPr>
        <w:suppressLineNumbers/>
        <w:suppressAutoHyphens/>
        <w:adjustRightInd w:val="0"/>
        <w:snapToGrid w:val="0"/>
        <w:ind w:left="0" w:firstLine="0"/>
        <w:rPr>
          <w:rFonts w:ascii="Arial" w:hAnsi="Arial" w:cs="Arial"/>
          <w:color w:val="000000"/>
          <w:sz w:val="22"/>
          <w:szCs w:val="22"/>
          <w:u w:val="single"/>
          <w:lang w:val="fr-CA"/>
        </w:rPr>
      </w:pPr>
      <w:r w:rsidRPr="004635B2">
        <w:rPr>
          <w:rFonts w:ascii="Arial" w:hAnsi="Arial" w:cs="Arial"/>
          <w:color w:val="000000"/>
          <w:sz w:val="22"/>
          <w:szCs w:val="22"/>
          <w:u w:val="single"/>
          <w:lang w:val="fr-CA"/>
        </w:rPr>
        <w:t>Rapports mondiaux</w:t>
      </w:r>
    </w:p>
    <w:p w14:paraId="5148A5B5" w14:textId="77777777" w:rsidR="009D0267" w:rsidRPr="004635B2" w:rsidRDefault="009D0267" w:rsidP="009D0267">
      <w:pPr>
        <w:suppressLineNumbers/>
        <w:suppressAutoHyphens/>
        <w:adjustRightInd w:val="0"/>
        <w:snapToGrid w:val="0"/>
        <w:rPr>
          <w:rFonts w:ascii="Arial" w:hAnsi="Arial" w:cs="Arial"/>
          <w:color w:val="000000"/>
          <w:sz w:val="22"/>
          <w:szCs w:val="22"/>
          <w:u w:val="single"/>
          <w:lang w:val="fr-CA"/>
        </w:rPr>
      </w:pPr>
    </w:p>
    <w:p w14:paraId="497C4BF7" w14:textId="225ABB11" w:rsidR="00974917" w:rsidRPr="004635B2" w:rsidRDefault="009D0267" w:rsidP="0012639A">
      <w:pPr>
        <w:suppressLineNumbers/>
        <w:suppressAutoHyphens/>
        <w:adjustRightInd w:val="0"/>
        <w:snapToGrid w:val="0"/>
        <w:rPr>
          <w:rFonts w:ascii="Arial" w:hAnsi="Arial" w:cs="Arial"/>
          <w:color w:val="000000"/>
          <w:sz w:val="22"/>
          <w:szCs w:val="22"/>
          <w:u w:val="single"/>
          <w:lang w:val="fr-CA"/>
        </w:rPr>
      </w:pPr>
      <w:r w:rsidRPr="004635B2">
        <w:rPr>
          <w:rFonts w:ascii="Arial" w:hAnsi="Arial" w:cs="Arial"/>
          <w:color w:val="212121"/>
          <w:sz w:val="22"/>
          <w:szCs w:val="22"/>
          <w:lang w:val="fr-CA"/>
        </w:rPr>
        <w:t>45.</w:t>
      </w:r>
      <w:r w:rsidRPr="004635B2">
        <w:rPr>
          <w:rFonts w:ascii="Arial" w:hAnsi="Arial" w:cs="Arial"/>
          <w:color w:val="212121"/>
          <w:sz w:val="22"/>
          <w:szCs w:val="22"/>
          <w:lang w:val="fr-CA"/>
        </w:rPr>
        <w:tab/>
      </w:r>
      <w:r w:rsidR="00974917" w:rsidRPr="004635B2">
        <w:rPr>
          <w:rFonts w:ascii="Arial" w:hAnsi="Arial" w:cs="Arial"/>
          <w:color w:val="212121"/>
          <w:sz w:val="22"/>
          <w:szCs w:val="22"/>
          <w:lang w:val="fr-CA"/>
        </w:rPr>
        <w:t xml:space="preserve">Cinq rapports mondiaux sur les besoins financiers pour la conservation de la biodiversité sont inclus dans cette section. Ces rapports concernent l'estimation des flux mondiaux actuels de ressources financières pour la conservation de la biodiversité (OCDE et </w:t>
      </w:r>
      <w:proofErr w:type="spellStart"/>
      <w:r w:rsidR="00974917" w:rsidRPr="004635B2">
        <w:rPr>
          <w:rFonts w:ascii="Arial" w:hAnsi="Arial" w:cs="Arial"/>
          <w:color w:val="212121"/>
          <w:sz w:val="22"/>
          <w:szCs w:val="22"/>
          <w:lang w:val="fr-CA"/>
        </w:rPr>
        <w:t>Financing</w:t>
      </w:r>
      <w:proofErr w:type="spellEnd"/>
      <w:r w:rsidR="00974917" w:rsidRPr="004635B2">
        <w:rPr>
          <w:rFonts w:ascii="Arial" w:hAnsi="Arial" w:cs="Arial"/>
          <w:color w:val="212121"/>
          <w:sz w:val="22"/>
          <w:szCs w:val="22"/>
          <w:lang w:val="fr-CA"/>
        </w:rPr>
        <w:t xml:space="preserve"> Nature) ; les besoins de financement mondiaux futurs pour la conservation de la biodiversité ou l'écart entre les ressources actuelles et les besoins futurs (Groupe de haut niveau et </w:t>
      </w:r>
      <w:proofErr w:type="spellStart"/>
      <w:r w:rsidR="00974917" w:rsidRPr="004635B2">
        <w:rPr>
          <w:rFonts w:ascii="Arial" w:hAnsi="Arial" w:cs="Arial"/>
          <w:color w:val="212121"/>
          <w:sz w:val="22"/>
          <w:szCs w:val="22"/>
          <w:lang w:val="fr-CA"/>
        </w:rPr>
        <w:t>Financing</w:t>
      </w:r>
      <w:proofErr w:type="spellEnd"/>
      <w:r w:rsidR="00974917" w:rsidRPr="004635B2">
        <w:rPr>
          <w:rFonts w:ascii="Arial" w:hAnsi="Arial" w:cs="Arial"/>
          <w:color w:val="212121"/>
          <w:sz w:val="22"/>
          <w:szCs w:val="22"/>
          <w:lang w:val="fr-CA"/>
        </w:rPr>
        <w:t xml:space="preserve"> Nature) ; et les performances passées des ressources financières consacrées à la conservation de la biodiversité (WWF et Global Monitoring). Ces rapports indiquent que les pays </w:t>
      </w:r>
      <w:r w:rsidRPr="004635B2">
        <w:rPr>
          <w:rFonts w:ascii="Arial" w:hAnsi="Arial" w:cs="Arial"/>
          <w:color w:val="212121"/>
          <w:sz w:val="22"/>
          <w:szCs w:val="22"/>
          <w:lang w:val="fr-CA"/>
        </w:rPr>
        <w:t>dével</w:t>
      </w:r>
      <w:r w:rsidR="00FB2853">
        <w:rPr>
          <w:rFonts w:ascii="Arial" w:hAnsi="Arial" w:cs="Arial"/>
          <w:color w:val="212121"/>
          <w:sz w:val="22"/>
          <w:szCs w:val="22"/>
          <w:lang w:val="fr-CA"/>
        </w:rPr>
        <w:t>o</w:t>
      </w:r>
      <w:r w:rsidRPr="004635B2">
        <w:rPr>
          <w:rFonts w:ascii="Arial" w:hAnsi="Arial" w:cs="Arial"/>
          <w:color w:val="212121"/>
          <w:sz w:val="22"/>
          <w:szCs w:val="22"/>
          <w:lang w:val="fr-CA"/>
        </w:rPr>
        <w:t xml:space="preserve">ppés </w:t>
      </w:r>
      <w:r w:rsidR="00974917" w:rsidRPr="004635B2">
        <w:rPr>
          <w:rFonts w:ascii="Arial" w:hAnsi="Arial" w:cs="Arial"/>
          <w:color w:val="212121"/>
          <w:sz w:val="22"/>
          <w:szCs w:val="22"/>
          <w:lang w:val="fr-CA"/>
        </w:rPr>
        <w:t>ont</w:t>
      </w:r>
      <w:r w:rsidRPr="004635B2">
        <w:rPr>
          <w:rFonts w:ascii="Arial" w:hAnsi="Arial" w:cs="Arial"/>
          <w:color w:val="212121"/>
          <w:sz w:val="22"/>
          <w:szCs w:val="22"/>
          <w:lang w:val="fr-CA"/>
        </w:rPr>
        <w:t xml:space="preserve"> collectivement </w:t>
      </w:r>
      <w:r w:rsidR="00974917" w:rsidRPr="004635B2">
        <w:rPr>
          <w:rFonts w:ascii="Arial" w:hAnsi="Arial" w:cs="Arial"/>
          <w:color w:val="212121"/>
          <w:sz w:val="22"/>
          <w:szCs w:val="22"/>
          <w:lang w:val="fr-CA"/>
        </w:rPr>
        <w:t xml:space="preserve">doublé leurs efforts de mobilisation des ressources financières au cours de la dernière décennie en faveur de la biodiversité, mais que cet effort n'a pas nécessairement été égalé dans la même proportion par le FEM. </w:t>
      </w:r>
    </w:p>
    <w:p w14:paraId="407B245D" w14:textId="77777777" w:rsidR="00974917" w:rsidRPr="004635B2" w:rsidRDefault="00974917" w:rsidP="0012639A">
      <w:pPr>
        <w:suppressLineNumbers/>
        <w:suppressAutoHyphens/>
        <w:adjustRightInd w:val="0"/>
        <w:snapToGrid w:val="0"/>
        <w:rPr>
          <w:rFonts w:ascii="Arial" w:hAnsi="Arial" w:cs="Arial"/>
          <w:color w:val="212121"/>
          <w:sz w:val="22"/>
          <w:szCs w:val="22"/>
          <w:lang w:val="fr-CA"/>
        </w:rPr>
      </w:pPr>
    </w:p>
    <w:p w14:paraId="312AD6A0" w14:textId="7D561F62" w:rsidR="009D0267" w:rsidRPr="004635B2" w:rsidRDefault="009D0267" w:rsidP="0012639A">
      <w:pPr>
        <w:suppressLineNumbers/>
        <w:suppressAutoHyphens/>
        <w:adjustRightInd w:val="0"/>
        <w:snapToGrid w:val="0"/>
        <w:rPr>
          <w:rFonts w:ascii="Arial" w:hAnsi="Arial" w:cs="Arial"/>
          <w:color w:val="212121"/>
          <w:sz w:val="22"/>
          <w:szCs w:val="22"/>
          <w:lang w:val="fr-CA"/>
        </w:rPr>
      </w:pPr>
      <w:r w:rsidRPr="004635B2">
        <w:rPr>
          <w:rFonts w:ascii="Arial" w:hAnsi="Arial" w:cs="Arial"/>
          <w:color w:val="212121"/>
          <w:sz w:val="22"/>
          <w:szCs w:val="22"/>
          <w:lang w:val="fr-CA"/>
        </w:rPr>
        <w:t>46.</w:t>
      </w:r>
      <w:r w:rsidRPr="004635B2">
        <w:rPr>
          <w:rFonts w:ascii="Arial" w:hAnsi="Arial" w:cs="Arial"/>
          <w:color w:val="212121"/>
          <w:sz w:val="22"/>
          <w:szCs w:val="22"/>
          <w:lang w:val="fr-CA"/>
        </w:rPr>
        <w:tab/>
      </w:r>
      <w:r w:rsidR="00974917" w:rsidRPr="004635B2">
        <w:rPr>
          <w:rFonts w:ascii="Arial" w:hAnsi="Arial" w:cs="Arial"/>
          <w:color w:val="212121"/>
          <w:sz w:val="22"/>
          <w:szCs w:val="22"/>
          <w:lang w:val="fr-CA"/>
        </w:rPr>
        <w:t xml:space="preserve">Ces rapports sont inclus </w:t>
      </w:r>
      <w:r w:rsidR="00FB2853">
        <w:rPr>
          <w:rFonts w:ascii="Arial" w:hAnsi="Arial" w:cs="Arial"/>
          <w:color w:val="212121"/>
          <w:sz w:val="22"/>
          <w:szCs w:val="22"/>
          <w:lang w:val="fr-CA"/>
        </w:rPr>
        <w:t>afin de</w:t>
      </w:r>
      <w:r w:rsidR="00974917" w:rsidRPr="004635B2">
        <w:rPr>
          <w:rFonts w:ascii="Arial" w:hAnsi="Arial" w:cs="Arial"/>
          <w:color w:val="212121"/>
          <w:sz w:val="22"/>
          <w:szCs w:val="22"/>
          <w:lang w:val="fr-CA"/>
        </w:rPr>
        <w:t xml:space="preserve"> décrire le contexte relatif à l'écart important entre les flux financiers actuels et les besoins de financement futurs pour la conservation de la biodiversité, indiquant un besoin urgent d'augmenter les ressources financières de tous types pour le Cadre mondial de la biodiversité pour l'après-2020, y compris par le FEM. </w:t>
      </w:r>
    </w:p>
    <w:p w14:paraId="52FD687B" w14:textId="77777777" w:rsidR="009D0267" w:rsidRPr="004635B2" w:rsidRDefault="009D0267" w:rsidP="0012639A">
      <w:pPr>
        <w:suppressLineNumbers/>
        <w:suppressAutoHyphens/>
        <w:adjustRightInd w:val="0"/>
        <w:snapToGrid w:val="0"/>
        <w:rPr>
          <w:rFonts w:ascii="Arial" w:hAnsi="Arial" w:cs="Arial"/>
          <w:color w:val="212121"/>
          <w:sz w:val="22"/>
          <w:szCs w:val="22"/>
          <w:lang w:val="fr-CA"/>
        </w:rPr>
      </w:pPr>
    </w:p>
    <w:p w14:paraId="4F2ED143" w14:textId="5E9E11F2" w:rsidR="00974917" w:rsidRPr="004635B2" w:rsidRDefault="009D0267" w:rsidP="0012639A">
      <w:pPr>
        <w:suppressLineNumbers/>
        <w:suppressAutoHyphens/>
        <w:adjustRightInd w:val="0"/>
        <w:snapToGrid w:val="0"/>
        <w:rPr>
          <w:rFonts w:ascii="Arial" w:hAnsi="Arial" w:cs="Arial"/>
          <w:color w:val="212121"/>
          <w:sz w:val="22"/>
          <w:szCs w:val="22"/>
          <w:lang w:val="fr-CA"/>
        </w:rPr>
      </w:pPr>
      <w:r w:rsidRPr="004635B2">
        <w:rPr>
          <w:rFonts w:ascii="Arial" w:hAnsi="Arial" w:cs="Arial"/>
          <w:color w:val="212121"/>
          <w:sz w:val="22"/>
          <w:szCs w:val="22"/>
          <w:lang w:val="fr-CA"/>
        </w:rPr>
        <w:t>47.</w:t>
      </w:r>
      <w:r w:rsidRPr="004635B2">
        <w:rPr>
          <w:rFonts w:ascii="Arial" w:hAnsi="Arial" w:cs="Arial"/>
          <w:color w:val="212121"/>
          <w:sz w:val="22"/>
          <w:szCs w:val="22"/>
          <w:lang w:val="fr-CA"/>
        </w:rPr>
        <w:tab/>
      </w:r>
      <w:r w:rsidR="00974917" w:rsidRPr="004635B2">
        <w:rPr>
          <w:rFonts w:ascii="Arial" w:hAnsi="Arial" w:cs="Arial"/>
          <w:color w:val="212121"/>
          <w:sz w:val="22"/>
          <w:szCs w:val="22"/>
          <w:lang w:val="fr-CA"/>
        </w:rPr>
        <w:t xml:space="preserve">Selon ces estimations, l'écart entre les ressources financières est d'au moins 5 à 8 fois supérieur aux flux financiers actuels pour la conservation. Il n'y a aucune raison de croire que l'écart serait inférieur à cela pour le FEM. </w:t>
      </w:r>
    </w:p>
    <w:p w14:paraId="521ECA23" w14:textId="77777777" w:rsidR="00974917" w:rsidRPr="004635B2" w:rsidRDefault="00974917" w:rsidP="0012639A">
      <w:pPr>
        <w:suppressLineNumbers/>
        <w:suppressAutoHyphens/>
        <w:adjustRightInd w:val="0"/>
        <w:snapToGrid w:val="0"/>
        <w:rPr>
          <w:rFonts w:ascii="Arial" w:hAnsi="Arial" w:cs="Arial"/>
          <w:color w:val="212121"/>
          <w:sz w:val="22"/>
          <w:szCs w:val="22"/>
          <w:lang w:val="fr-CA"/>
        </w:rPr>
      </w:pPr>
    </w:p>
    <w:p w14:paraId="023D6F8B" w14:textId="01D7C8D3" w:rsidR="00974917" w:rsidRPr="004635B2" w:rsidRDefault="009D0267" w:rsidP="0012639A">
      <w:pPr>
        <w:suppressLineNumbers/>
        <w:suppressAutoHyphens/>
        <w:adjustRightInd w:val="0"/>
        <w:snapToGrid w:val="0"/>
        <w:rPr>
          <w:rFonts w:ascii="Arial" w:hAnsi="Arial" w:cs="Arial"/>
          <w:color w:val="212121"/>
          <w:sz w:val="22"/>
          <w:szCs w:val="22"/>
          <w:lang w:val="fr-CA"/>
        </w:rPr>
      </w:pPr>
      <w:r w:rsidRPr="004635B2">
        <w:rPr>
          <w:rFonts w:ascii="Arial" w:hAnsi="Arial" w:cs="Arial"/>
          <w:color w:val="212121"/>
          <w:sz w:val="22"/>
          <w:szCs w:val="22"/>
          <w:lang w:val="fr-CA"/>
        </w:rPr>
        <w:t>48.</w:t>
      </w:r>
      <w:r w:rsidRPr="004635B2">
        <w:rPr>
          <w:rFonts w:ascii="Arial" w:hAnsi="Arial" w:cs="Arial"/>
          <w:color w:val="212121"/>
          <w:sz w:val="22"/>
          <w:szCs w:val="22"/>
          <w:lang w:val="fr-CA"/>
        </w:rPr>
        <w:tab/>
      </w:r>
      <w:r w:rsidR="00974917" w:rsidRPr="004635B2">
        <w:rPr>
          <w:rFonts w:ascii="Arial" w:hAnsi="Arial" w:cs="Arial"/>
          <w:color w:val="212121"/>
          <w:sz w:val="22"/>
          <w:szCs w:val="22"/>
          <w:lang w:val="fr-CA"/>
        </w:rPr>
        <w:t>Le montant des ressources pour la conservation de la biodiversité devrait augmenter à un rythme plus élevé qu'auparavant pour faire face aux objectifs ambitieux du nouveau cadre, et on peut donc en déduire que les ressources pour les deux prochains cycles du FEM (2022-2026 et 2026-2030) devraient également augmenter</w:t>
      </w:r>
      <w:r w:rsidR="002D7DDE">
        <w:rPr>
          <w:rFonts w:ascii="Arial" w:hAnsi="Arial" w:cs="Arial"/>
          <w:color w:val="212121"/>
          <w:sz w:val="22"/>
          <w:szCs w:val="22"/>
          <w:lang w:val="fr-CA"/>
        </w:rPr>
        <w:t xml:space="preserve"> considérablement</w:t>
      </w:r>
      <w:r w:rsidR="00974917" w:rsidRPr="004635B2">
        <w:rPr>
          <w:rFonts w:ascii="Arial" w:hAnsi="Arial" w:cs="Arial"/>
          <w:color w:val="212121"/>
          <w:sz w:val="22"/>
          <w:szCs w:val="22"/>
          <w:lang w:val="fr-CA"/>
        </w:rPr>
        <w:t xml:space="preserve">. </w:t>
      </w:r>
    </w:p>
    <w:p w14:paraId="3AD9784B" w14:textId="77777777" w:rsidR="00974917" w:rsidRPr="004635B2" w:rsidRDefault="00974917" w:rsidP="0012639A">
      <w:pPr>
        <w:suppressLineNumbers/>
        <w:suppressAutoHyphens/>
        <w:adjustRightInd w:val="0"/>
        <w:snapToGrid w:val="0"/>
        <w:rPr>
          <w:rFonts w:ascii="Arial" w:hAnsi="Arial" w:cs="Arial"/>
          <w:sz w:val="22"/>
          <w:szCs w:val="22"/>
          <w:lang w:val="fr-CA"/>
        </w:rPr>
      </w:pPr>
    </w:p>
    <w:p w14:paraId="43E89682" w14:textId="46A1CA6D" w:rsidR="00974917" w:rsidRPr="004635B2" w:rsidRDefault="006D0A9B" w:rsidP="0012639A">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49.</w:t>
      </w:r>
      <w:r w:rsidRPr="004635B2">
        <w:rPr>
          <w:rFonts w:ascii="Arial" w:hAnsi="Arial" w:cs="Arial"/>
          <w:sz w:val="22"/>
          <w:szCs w:val="22"/>
          <w:lang w:val="fr-CA"/>
        </w:rPr>
        <w:tab/>
      </w:r>
      <w:r w:rsidR="00974917" w:rsidRPr="004635B2">
        <w:rPr>
          <w:rFonts w:ascii="Arial" w:hAnsi="Arial" w:cs="Arial"/>
          <w:sz w:val="22"/>
          <w:szCs w:val="22"/>
          <w:lang w:val="fr-CA"/>
        </w:rPr>
        <w:t xml:space="preserve">Les </w:t>
      </w:r>
      <w:r w:rsidRPr="004635B2">
        <w:rPr>
          <w:rFonts w:ascii="Arial" w:hAnsi="Arial" w:cs="Arial"/>
          <w:sz w:val="22"/>
          <w:szCs w:val="22"/>
          <w:lang w:val="fr-CA"/>
        </w:rPr>
        <w:t xml:space="preserve">membres Parties à la CBD </w:t>
      </w:r>
      <w:r w:rsidR="00974917" w:rsidRPr="004635B2">
        <w:rPr>
          <w:rFonts w:ascii="Arial" w:hAnsi="Arial" w:cs="Arial"/>
          <w:sz w:val="22"/>
          <w:szCs w:val="22"/>
          <w:lang w:val="fr-CA"/>
        </w:rPr>
        <w:t>ont collectivement doublé leur financement lié à la biodiversité de 130 </w:t>
      </w:r>
      <w:r w:rsidRPr="004635B2">
        <w:rPr>
          <w:rFonts w:ascii="Arial" w:hAnsi="Arial" w:cs="Arial"/>
          <w:sz w:val="22"/>
          <w:szCs w:val="22"/>
          <w:lang w:val="fr-CA"/>
        </w:rPr>
        <w:t>pour cent</w:t>
      </w:r>
      <w:r w:rsidR="00974917" w:rsidRPr="004635B2">
        <w:rPr>
          <w:rFonts w:ascii="Arial" w:hAnsi="Arial" w:cs="Arial"/>
          <w:sz w:val="22"/>
          <w:szCs w:val="22"/>
          <w:lang w:val="fr-CA"/>
        </w:rPr>
        <w:t xml:space="preserve"> à partir </w:t>
      </w:r>
      <w:r w:rsidR="001420DA" w:rsidRPr="004635B2">
        <w:rPr>
          <w:rFonts w:ascii="Arial" w:hAnsi="Arial" w:cs="Arial"/>
          <w:sz w:val="22"/>
          <w:szCs w:val="22"/>
          <w:lang w:val="fr-CA"/>
        </w:rPr>
        <w:t>de la valeur de référence jusqu’en 2015</w:t>
      </w:r>
      <w:r w:rsidR="00974917" w:rsidRPr="004635B2">
        <w:rPr>
          <w:rFonts w:ascii="Arial" w:hAnsi="Arial" w:cs="Arial"/>
          <w:sz w:val="22"/>
          <w:szCs w:val="22"/>
          <w:lang w:val="fr-CA"/>
        </w:rPr>
        <w:t>.</w:t>
      </w:r>
      <w:r w:rsidR="001420DA" w:rsidRPr="004635B2">
        <w:rPr>
          <w:rStyle w:val="FootnoteReference"/>
          <w:rFonts w:asciiTheme="minorBidi" w:hAnsiTheme="minorBidi" w:cstheme="minorBidi"/>
          <w:bCs/>
          <w:u w:val="none"/>
          <w:vertAlign w:val="superscript"/>
          <w:lang w:val="fr-CA"/>
        </w:rPr>
        <w:footnoteReference w:id="12"/>
      </w:r>
      <w:r w:rsidR="00974917" w:rsidRPr="004635B2">
        <w:rPr>
          <w:rFonts w:ascii="Arial" w:hAnsi="Arial" w:cs="Arial"/>
          <w:sz w:val="22"/>
          <w:szCs w:val="22"/>
          <w:lang w:val="fr-CA"/>
        </w:rPr>
        <w:t xml:space="preserve"> Le niveau de financement a atteint 7,8 milliards </w:t>
      </w:r>
      <w:r w:rsidR="00B51554" w:rsidRPr="004635B2">
        <w:rPr>
          <w:rFonts w:ascii="Arial" w:hAnsi="Arial" w:cs="Arial"/>
          <w:sz w:val="22"/>
          <w:szCs w:val="22"/>
          <w:lang w:val="fr-CA"/>
        </w:rPr>
        <w:t>$US</w:t>
      </w:r>
      <w:r w:rsidR="00974917" w:rsidRPr="004635B2">
        <w:rPr>
          <w:rFonts w:ascii="Arial" w:hAnsi="Arial" w:cs="Arial"/>
          <w:sz w:val="22"/>
          <w:szCs w:val="22"/>
          <w:lang w:val="fr-CA"/>
        </w:rPr>
        <w:t xml:space="preserve"> </w:t>
      </w:r>
      <w:r w:rsidR="001420DA" w:rsidRPr="004635B2">
        <w:rPr>
          <w:rFonts w:ascii="Arial" w:hAnsi="Arial" w:cs="Arial"/>
          <w:sz w:val="22"/>
          <w:szCs w:val="22"/>
          <w:lang w:val="fr-CA"/>
        </w:rPr>
        <w:t>en 2015</w:t>
      </w:r>
      <w:r w:rsidR="00974917" w:rsidRPr="004635B2">
        <w:rPr>
          <w:rFonts w:ascii="Arial" w:hAnsi="Arial" w:cs="Arial"/>
          <w:sz w:val="22"/>
          <w:szCs w:val="22"/>
          <w:lang w:val="fr-CA"/>
        </w:rPr>
        <w:t xml:space="preserve">. </w:t>
      </w:r>
      <w:r w:rsidR="001420DA" w:rsidRPr="004635B2">
        <w:rPr>
          <w:rFonts w:ascii="Arial" w:hAnsi="Arial" w:cs="Arial"/>
          <w:sz w:val="22"/>
          <w:szCs w:val="22"/>
          <w:lang w:val="fr-CA"/>
        </w:rPr>
        <w:t>Quarante-trois pour cent</w:t>
      </w:r>
      <w:r w:rsidR="00974917" w:rsidRPr="004635B2">
        <w:rPr>
          <w:rFonts w:ascii="Arial" w:hAnsi="Arial" w:cs="Arial"/>
          <w:sz w:val="22"/>
          <w:szCs w:val="22"/>
          <w:lang w:val="fr-CA"/>
        </w:rPr>
        <w:t xml:space="preserve"> des pays </w:t>
      </w:r>
      <w:r w:rsidR="001420DA" w:rsidRPr="004635B2">
        <w:rPr>
          <w:rFonts w:ascii="Arial" w:hAnsi="Arial" w:cs="Arial"/>
          <w:sz w:val="22"/>
          <w:szCs w:val="22"/>
          <w:lang w:val="fr-CA"/>
        </w:rPr>
        <w:t>ont doublé leurs dépenses</w:t>
      </w:r>
      <w:r w:rsidR="00FB2853">
        <w:rPr>
          <w:rFonts w:ascii="Arial" w:hAnsi="Arial" w:cs="Arial"/>
          <w:sz w:val="22"/>
          <w:szCs w:val="22"/>
          <w:lang w:val="fr-CA"/>
        </w:rPr>
        <w:t>,</w:t>
      </w:r>
      <w:r w:rsidR="001420DA" w:rsidRPr="004635B2">
        <w:rPr>
          <w:rFonts w:ascii="Arial" w:hAnsi="Arial" w:cs="Arial"/>
          <w:sz w:val="22"/>
          <w:szCs w:val="22"/>
          <w:lang w:val="fr-CA"/>
        </w:rPr>
        <w:t xml:space="preserve"> 28 pour cent</w:t>
      </w:r>
      <w:r w:rsidR="00974917" w:rsidRPr="004635B2">
        <w:rPr>
          <w:rFonts w:ascii="Arial" w:hAnsi="Arial" w:cs="Arial"/>
          <w:sz w:val="22"/>
          <w:szCs w:val="22"/>
          <w:lang w:val="fr-CA"/>
        </w:rPr>
        <w:t xml:space="preserve"> des pays ont augmenté, mais pas encore doublé leur financement</w:t>
      </w:r>
      <w:r w:rsidR="00FB2853">
        <w:rPr>
          <w:rFonts w:ascii="Arial" w:hAnsi="Arial" w:cs="Arial"/>
          <w:sz w:val="22"/>
          <w:szCs w:val="22"/>
          <w:lang w:val="fr-CA"/>
        </w:rPr>
        <w:t>,</w:t>
      </w:r>
      <w:r w:rsidR="00974917" w:rsidRPr="004635B2">
        <w:rPr>
          <w:rFonts w:ascii="Arial" w:hAnsi="Arial" w:cs="Arial"/>
          <w:sz w:val="22"/>
          <w:szCs w:val="22"/>
          <w:lang w:val="fr-CA"/>
        </w:rPr>
        <w:t xml:space="preserve"> et 29 </w:t>
      </w:r>
      <w:r w:rsidR="001420DA" w:rsidRPr="004635B2">
        <w:rPr>
          <w:rFonts w:ascii="Arial" w:hAnsi="Arial" w:cs="Arial"/>
          <w:sz w:val="22"/>
          <w:szCs w:val="22"/>
          <w:lang w:val="fr-CA"/>
        </w:rPr>
        <w:t>pour cent</w:t>
      </w:r>
      <w:r w:rsidR="00974917" w:rsidRPr="004635B2">
        <w:rPr>
          <w:rFonts w:ascii="Arial" w:hAnsi="Arial" w:cs="Arial"/>
          <w:sz w:val="22"/>
          <w:szCs w:val="22"/>
          <w:lang w:val="fr-CA"/>
        </w:rPr>
        <w:t xml:space="preserve"> des pays ont diminué leur financement en 2015 par rapport aux données de référence.  </w:t>
      </w:r>
    </w:p>
    <w:p w14:paraId="4CE2DB15" w14:textId="77777777" w:rsidR="00974917" w:rsidRPr="004635B2" w:rsidRDefault="00974917" w:rsidP="0012639A">
      <w:pPr>
        <w:suppressLineNumbers/>
        <w:suppressAutoHyphens/>
        <w:adjustRightInd w:val="0"/>
        <w:snapToGrid w:val="0"/>
        <w:rPr>
          <w:rFonts w:ascii="Arial" w:hAnsi="Arial" w:cs="Arial"/>
          <w:sz w:val="22"/>
          <w:szCs w:val="22"/>
          <w:lang w:val="fr-CA"/>
        </w:rPr>
      </w:pPr>
    </w:p>
    <w:p w14:paraId="35FB9703" w14:textId="614217A2" w:rsidR="00974917" w:rsidRPr="004635B2" w:rsidRDefault="001420DA" w:rsidP="0012639A">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50.</w:t>
      </w:r>
      <w:r w:rsidRPr="004635B2">
        <w:rPr>
          <w:rFonts w:ascii="Arial" w:hAnsi="Arial" w:cs="Arial"/>
          <w:sz w:val="22"/>
          <w:szCs w:val="22"/>
          <w:lang w:val="fr-CA"/>
        </w:rPr>
        <w:tab/>
        <w:t>De plus amples renseignements sur les rapports sont offerts dans le rapport complet sur l’évaluation des besoins</w:t>
      </w:r>
      <w:r w:rsidR="00051FBC" w:rsidRPr="004635B2">
        <w:rPr>
          <w:rFonts w:ascii="Arial" w:hAnsi="Arial" w:cs="Arial"/>
          <w:sz w:val="22"/>
          <w:szCs w:val="22"/>
          <w:lang w:val="fr-CA"/>
        </w:rPr>
        <w:t xml:space="preserve"> présenté en tant que document d’information</w:t>
      </w:r>
      <w:r w:rsidR="00974917" w:rsidRPr="004635B2">
        <w:rPr>
          <w:rFonts w:ascii="Arial" w:hAnsi="Arial" w:cs="Arial"/>
          <w:sz w:val="22"/>
          <w:szCs w:val="22"/>
          <w:lang w:val="fr-CA"/>
        </w:rPr>
        <w:t xml:space="preserve">. </w:t>
      </w:r>
    </w:p>
    <w:p w14:paraId="0FDD1487" w14:textId="77777777" w:rsidR="00974917" w:rsidRPr="004635B2" w:rsidRDefault="00974917" w:rsidP="0012639A">
      <w:pPr>
        <w:suppressLineNumbers/>
        <w:suppressAutoHyphens/>
        <w:adjustRightInd w:val="0"/>
        <w:snapToGrid w:val="0"/>
        <w:rPr>
          <w:rFonts w:ascii="Arial" w:hAnsi="Arial" w:cs="Arial"/>
          <w:sz w:val="22"/>
          <w:szCs w:val="22"/>
          <w:lang w:val="fr-CA"/>
        </w:rPr>
      </w:pPr>
    </w:p>
    <w:p w14:paraId="2F6928A1" w14:textId="0AF1ACC3" w:rsidR="00974917" w:rsidRPr="004635B2" w:rsidRDefault="00051FBC" w:rsidP="00051FBC">
      <w:pPr>
        <w:suppressLineNumbers/>
        <w:suppressAutoHyphens/>
        <w:adjustRightInd w:val="0"/>
        <w:snapToGrid w:val="0"/>
        <w:rPr>
          <w:rFonts w:ascii="Arial" w:hAnsi="Arial" w:cs="Arial"/>
          <w:sz w:val="22"/>
          <w:szCs w:val="22"/>
          <w:lang w:val="fr-CA"/>
        </w:rPr>
      </w:pPr>
      <w:r w:rsidRPr="004635B2">
        <w:rPr>
          <w:rFonts w:ascii="Arial" w:hAnsi="Arial" w:cs="Arial"/>
          <w:b/>
          <w:bCs/>
          <w:sz w:val="22"/>
          <w:szCs w:val="22"/>
          <w:lang w:val="fr-CA"/>
        </w:rPr>
        <w:t>5.</w:t>
      </w:r>
      <w:r w:rsidRPr="004635B2">
        <w:rPr>
          <w:rFonts w:ascii="Arial" w:hAnsi="Arial" w:cs="Arial"/>
          <w:b/>
          <w:bCs/>
          <w:sz w:val="22"/>
          <w:szCs w:val="22"/>
          <w:lang w:val="fr-CA"/>
        </w:rPr>
        <w:tab/>
      </w:r>
      <w:r w:rsidR="00974917" w:rsidRPr="004635B2">
        <w:rPr>
          <w:rFonts w:ascii="Arial" w:hAnsi="Arial" w:cs="Arial"/>
          <w:b/>
          <w:bCs/>
          <w:sz w:val="22"/>
          <w:szCs w:val="22"/>
          <w:u w:val="single"/>
          <w:lang w:val="fr-CA"/>
        </w:rPr>
        <w:t>Consultations avec les groupes régionaux et les organismes d'exécution du FEM</w:t>
      </w:r>
    </w:p>
    <w:p w14:paraId="70487B0E" w14:textId="77777777" w:rsidR="00974917" w:rsidRPr="004635B2" w:rsidRDefault="00974917" w:rsidP="0012639A">
      <w:pPr>
        <w:suppressLineNumbers/>
        <w:suppressAutoHyphens/>
        <w:adjustRightInd w:val="0"/>
        <w:snapToGrid w:val="0"/>
        <w:rPr>
          <w:rFonts w:ascii="Arial" w:hAnsi="Arial" w:cs="Arial"/>
          <w:sz w:val="22"/>
          <w:szCs w:val="22"/>
          <w:lang w:val="fr-CA"/>
        </w:rPr>
      </w:pPr>
    </w:p>
    <w:p w14:paraId="27A5CEBC" w14:textId="4A13B7A5" w:rsidR="00974917" w:rsidRPr="004635B2" w:rsidRDefault="00051FBC" w:rsidP="0012639A">
      <w:pPr>
        <w:suppressLineNumbers/>
        <w:suppressAutoHyphens/>
        <w:autoSpaceDE w:val="0"/>
        <w:autoSpaceDN w:val="0"/>
        <w:adjustRightInd w:val="0"/>
        <w:snapToGrid w:val="0"/>
        <w:rPr>
          <w:rFonts w:ascii="Arial" w:eastAsiaTheme="minorEastAsia" w:hAnsi="Arial" w:cs="Arial"/>
          <w:color w:val="000000"/>
          <w:sz w:val="22"/>
          <w:szCs w:val="22"/>
          <w:lang w:val="fr-CA"/>
        </w:rPr>
      </w:pPr>
      <w:r w:rsidRPr="004635B2">
        <w:rPr>
          <w:rFonts w:ascii="Arial" w:eastAsiaTheme="minorEastAsia" w:hAnsi="Arial" w:cs="Arial"/>
          <w:color w:val="000000"/>
          <w:sz w:val="22"/>
          <w:szCs w:val="22"/>
          <w:lang w:val="fr-CA"/>
        </w:rPr>
        <w:t>51.</w:t>
      </w:r>
      <w:r w:rsidRPr="004635B2">
        <w:rPr>
          <w:rFonts w:ascii="Arial" w:eastAsiaTheme="minorEastAsia" w:hAnsi="Arial" w:cs="Arial"/>
          <w:color w:val="000000"/>
          <w:sz w:val="22"/>
          <w:szCs w:val="22"/>
          <w:lang w:val="fr-CA"/>
        </w:rPr>
        <w:tab/>
      </w:r>
      <w:r w:rsidR="00974917" w:rsidRPr="004635B2">
        <w:rPr>
          <w:rFonts w:ascii="Arial" w:eastAsiaTheme="minorEastAsia" w:hAnsi="Arial" w:cs="Arial"/>
          <w:color w:val="000000"/>
          <w:sz w:val="22"/>
          <w:szCs w:val="22"/>
          <w:lang w:val="fr-CA"/>
        </w:rPr>
        <w:t>L'équipe d'experts a participé à la deuxième réunion du Groupe de travail à composition non limitée sur le Cadre mondial de la biodiversité pour l'après-2020 à Rome et a présenté l'évaluation et le questionnaire à quatre groupes régionaux (PECO, GRULAC, Asie-Pacifique et Afrique), ce qui a permis d'or</w:t>
      </w:r>
      <w:r w:rsidRPr="004635B2">
        <w:rPr>
          <w:rFonts w:ascii="Arial" w:eastAsiaTheme="minorEastAsia" w:hAnsi="Arial" w:cs="Arial"/>
          <w:color w:val="000000"/>
          <w:sz w:val="22"/>
          <w:szCs w:val="22"/>
          <w:lang w:val="fr-CA"/>
        </w:rPr>
        <w:t xml:space="preserve">ganiser une séance de questions et réponses, qui a été suivie d’une autre ronde de réunions régionales virtuelles. </w:t>
      </w:r>
      <w:r w:rsidR="00974917" w:rsidRPr="004635B2">
        <w:rPr>
          <w:rFonts w:ascii="Arial" w:eastAsiaTheme="minorEastAsia" w:hAnsi="Arial" w:cs="Arial"/>
          <w:color w:val="000000"/>
          <w:sz w:val="22"/>
          <w:szCs w:val="22"/>
          <w:lang w:val="fr-CA"/>
        </w:rPr>
        <w:t xml:space="preserve">Des réunions individuelles ont également été organisées avec les pays qui en ont fait la demande lors de la deuxième réunion du Groupe de travail à composition non limitée sur le Cadre mondial de la biodiversité pour l'après-2020. </w:t>
      </w:r>
      <w:r w:rsidRPr="004635B2">
        <w:rPr>
          <w:rFonts w:ascii="Arial" w:eastAsiaTheme="minorEastAsia" w:hAnsi="Arial" w:cs="Arial"/>
          <w:color w:val="000000"/>
          <w:sz w:val="22"/>
          <w:szCs w:val="22"/>
          <w:lang w:val="fr-CA"/>
        </w:rPr>
        <w:t>En outre, l’équipe d’experts a répondu aux demandes d’assistance et a organisé plusieurs webinaires infrarégionaux en ligne.</w:t>
      </w:r>
    </w:p>
    <w:p w14:paraId="1EF8C583" w14:textId="77777777" w:rsidR="00974917" w:rsidRPr="004635B2" w:rsidRDefault="00974917" w:rsidP="0012639A">
      <w:pPr>
        <w:numPr>
          <w:ilvl w:val="0"/>
          <w:numId w:val="19"/>
        </w:numPr>
        <w:suppressLineNumbers/>
        <w:suppressAutoHyphens/>
        <w:autoSpaceDE w:val="0"/>
        <w:autoSpaceDN w:val="0"/>
        <w:adjustRightInd w:val="0"/>
        <w:snapToGrid w:val="0"/>
        <w:spacing w:after="11"/>
        <w:rPr>
          <w:rFonts w:ascii="Arial" w:eastAsiaTheme="minorEastAsia" w:hAnsi="Arial" w:cs="Arial"/>
          <w:color w:val="000000"/>
          <w:sz w:val="22"/>
          <w:szCs w:val="22"/>
          <w:lang w:val="fr-CA"/>
        </w:rPr>
      </w:pPr>
    </w:p>
    <w:p w14:paraId="48BDE371" w14:textId="279D0030" w:rsidR="00974917" w:rsidRPr="004635B2" w:rsidRDefault="00007F64" w:rsidP="00007F64">
      <w:pPr>
        <w:numPr>
          <w:ilvl w:val="0"/>
          <w:numId w:val="20"/>
        </w:numPr>
        <w:suppressLineNumbers/>
        <w:suppressAutoHyphens/>
        <w:autoSpaceDE w:val="0"/>
        <w:autoSpaceDN w:val="0"/>
        <w:adjustRightInd w:val="0"/>
        <w:snapToGrid w:val="0"/>
        <w:spacing w:after="11"/>
        <w:ind w:left="360"/>
        <w:rPr>
          <w:rFonts w:ascii="Arial" w:eastAsiaTheme="minorEastAsia" w:hAnsi="Arial" w:cs="Arial"/>
          <w:color w:val="000000"/>
          <w:sz w:val="22"/>
          <w:szCs w:val="22"/>
          <w:lang w:val="fr-CA"/>
        </w:rPr>
      </w:pPr>
      <w:r w:rsidRPr="004635B2">
        <w:rPr>
          <w:rFonts w:ascii="Arial" w:eastAsiaTheme="minorEastAsia" w:hAnsi="Arial" w:cs="Arial"/>
          <w:color w:val="000000"/>
          <w:sz w:val="22"/>
          <w:szCs w:val="22"/>
          <w:lang w:val="fr-CA"/>
        </w:rPr>
        <w:t>La r</w:t>
      </w:r>
      <w:r w:rsidR="00974917" w:rsidRPr="004635B2">
        <w:rPr>
          <w:rFonts w:ascii="Arial" w:eastAsiaTheme="minorEastAsia" w:hAnsi="Arial" w:cs="Arial"/>
          <w:color w:val="000000"/>
          <w:sz w:val="22"/>
          <w:szCs w:val="22"/>
          <w:lang w:val="fr-CA"/>
        </w:rPr>
        <w:t>éunion régionale pour l'Afrique présidée par le délégué de l'Afrique du Sud</w:t>
      </w:r>
      <w:r w:rsidRPr="004635B2">
        <w:rPr>
          <w:rFonts w:ascii="Arial" w:eastAsiaTheme="minorEastAsia" w:hAnsi="Arial" w:cs="Arial"/>
          <w:color w:val="000000"/>
          <w:sz w:val="22"/>
          <w:szCs w:val="22"/>
          <w:lang w:val="fr-CA"/>
        </w:rPr>
        <w:t xml:space="preserve"> </w:t>
      </w:r>
      <w:r w:rsidR="00974917" w:rsidRPr="004635B2">
        <w:rPr>
          <w:rFonts w:ascii="Arial" w:eastAsiaTheme="minorEastAsia" w:hAnsi="Arial" w:cs="Arial"/>
          <w:color w:val="000000"/>
          <w:sz w:val="22"/>
          <w:szCs w:val="22"/>
          <w:lang w:val="fr-CA"/>
        </w:rPr>
        <w:t xml:space="preserve">a été particulièrement bien accueillie </w:t>
      </w:r>
      <w:r w:rsidR="002234BB">
        <w:rPr>
          <w:rFonts w:ascii="Arial" w:eastAsiaTheme="minorEastAsia" w:hAnsi="Arial" w:cs="Arial"/>
          <w:color w:val="000000"/>
          <w:sz w:val="22"/>
          <w:szCs w:val="22"/>
          <w:lang w:val="fr-CA"/>
        </w:rPr>
        <w:t>en ce qui concerne la</w:t>
      </w:r>
      <w:r w:rsidR="00974917" w:rsidRPr="004635B2">
        <w:rPr>
          <w:rFonts w:ascii="Arial" w:eastAsiaTheme="minorEastAsia" w:hAnsi="Arial" w:cs="Arial"/>
          <w:color w:val="000000"/>
          <w:sz w:val="22"/>
          <w:szCs w:val="22"/>
          <w:lang w:val="fr-CA"/>
        </w:rPr>
        <w:t xml:space="preserve"> participation et </w:t>
      </w:r>
      <w:r w:rsidR="002234BB">
        <w:rPr>
          <w:rFonts w:ascii="Arial" w:eastAsiaTheme="minorEastAsia" w:hAnsi="Arial" w:cs="Arial"/>
          <w:color w:val="000000"/>
          <w:sz w:val="22"/>
          <w:szCs w:val="22"/>
          <w:lang w:val="fr-CA"/>
        </w:rPr>
        <w:t>les échanges</w:t>
      </w:r>
      <w:r w:rsidR="00974917" w:rsidRPr="004635B2">
        <w:rPr>
          <w:rFonts w:ascii="Arial" w:eastAsiaTheme="minorEastAsia" w:hAnsi="Arial" w:cs="Arial"/>
          <w:color w:val="000000"/>
          <w:sz w:val="22"/>
          <w:szCs w:val="22"/>
          <w:lang w:val="fr-CA"/>
        </w:rPr>
        <w:t xml:space="preserve">. Des questions ont été spécifiquement soulevées par l'Éthiopie, l'Égypte, l'Afrique du Sud et </w:t>
      </w:r>
      <w:r w:rsidRPr="004635B2">
        <w:rPr>
          <w:rFonts w:ascii="Arial" w:eastAsiaTheme="minorEastAsia" w:hAnsi="Arial" w:cs="Arial"/>
          <w:color w:val="000000"/>
          <w:sz w:val="22"/>
          <w:szCs w:val="22"/>
          <w:lang w:val="fr-CA"/>
        </w:rPr>
        <w:t>l’Eswatini</w:t>
      </w:r>
      <w:r w:rsidR="00974917" w:rsidRPr="004635B2">
        <w:rPr>
          <w:rFonts w:ascii="Arial" w:eastAsiaTheme="minorEastAsia" w:hAnsi="Arial" w:cs="Arial"/>
          <w:color w:val="000000"/>
          <w:sz w:val="22"/>
          <w:szCs w:val="22"/>
          <w:lang w:val="fr-CA"/>
        </w:rPr>
        <w:t xml:space="preserve">. À titre de suivi, le membre du groupe d'experts a rencontré l'Afrique du Sud et </w:t>
      </w:r>
      <w:r w:rsidR="00016D26">
        <w:rPr>
          <w:rFonts w:ascii="Arial" w:eastAsiaTheme="minorEastAsia" w:hAnsi="Arial" w:cs="Arial"/>
          <w:color w:val="000000"/>
          <w:sz w:val="22"/>
          <w:szCs w:val="22"/>
          <w:lang w:val="fr-CA"/>
        </w:rPr>
        <w:t xml:space="preserve">le </w:t>
      </w:r>
      <w:r w:rsidR="00974917" w:rsidRPr="004635B2">
        <w:rPr>
          <w:rFonts w:ascii="Arial" w:eastAsiaTheme="minorEastAsia" w:hAnsi="Arial" w:cs="Arial"/>
          <w:color w:val="000000"/>
          <w:sz w:val="22"/>
          <w:szCs w:val="22"/>
          <w:lang w:val="fr-CA"/>
        </w:rPr>
        <w:t xml:space="preserve">Madagascar pour passer en revue le questionnaire. </w:t>
      </w:r>
    </w:p>
    <w:p w14:paraId="37CB5060" w14:textId="77777777" w:rsidR="00974917" w:rsidRPr="004635B2" w:rsidRDefault="00974917" w:rsidP="00007F64">
      <w:pPr>
        <w:numPr>
          <w:ilvl w:val="0"/>
          <w:numId w:val="20"/>
        </w:numPr>
        <w:suppressLineNumbers/>
        <w:suppressAutoHyphens/>
        <w:autoSpaceDE w:val="0"/>
        <w:autoSpaceDN w:val="0"/>
        <w:adjustRightInd w:val="0"/>
        <w:snapToGrid w:val="0"/>
        <w:spacing w:after="11"/>
        <w:ind w:left="360"/>
        <w:rPr>
          <w:rFonts w:ascii="Arial" w:eastAsiaTheme="minorEastAsia" w:hAnsi="Arial" w:cs="Arial"/>
          <w:color w:val="000000"/>
          <w:sz w:val="22"/>
          <w:szCs w:val="22"/>
          <w:lang w:val="fr-CA"/>
        </w:rPr>
      </w:pPr>
      <w:r w:rsidRPr="004635B2">
        <w:rPr>
          <w:rFonts w:ascii="Arial" w:eastAsiaTheme="minorEastAsia" w:hAnsi="Arial" w:cs="Arial"/>
          <w:color w:val="000000"/>
          <w:sz w:val="22"/>
          <w:szCs w:val="22"/>
          <w:lang w:val="fr-CA"/>
        </w:rPr>
        <w:t xml:space="preserve">La réunion régionale des PECO a été présidée par le délégué de la Géorgie. Cette réunion a également reçu un excellent accueil et des questions ont été posées par l'Arménie, le Bélarus, la Russie, le Tadjikistan et la Bosnie-Herzégovine. À titre de suivi, le membre du groupe d'experts a rencontré l'Arménie pour passer en revue le questionnaire. </w:t>
      </w:r>
    </w:p>
    <w:p w14:paraId="0DD7430D" w14:textId="77777777" w:rsidR="00974917" w:rsidRPr="004635B2" w:rsidRDefault="00974917" w:rsidP="00007F64">
      <w:pPr>
        <w:numPr>
          <w:ilvl w:val="0"/>
          <w:numId w:val="20"/>
        </w:numPr>
        <w:suppressLineNumbers/>
        <w:suppressAutoHyphens/>
        <w:autoSpaceDE w:val="0"/>
        <w:autoSpaceDN w:val="0"/>
        <w:adjustRightInd w:val="0"/>
        <w:snapToGrid w:val="0"/>
        <w:ind w:left="360"/>
        <w:rPr>
          <w:rFonts w:ascii="Arial" w:eastAsiaTheme="minorEastAsia" w:hAnsi="Arial" w:cs="Arial"/>
          <w:color w:val="000000"/>
          <w:sz w:val="22"/>
          <w:szCs w:val="22"/>
          <w:lang w:val="fr-CA"/>
        </w:rPr>
      </w:pPr>
      <w:r w:rsidRPr="004635B2">
        <w:rPr>
          <w:rFonts w:ascii="Arial" w:eastAsiaTheme="minorEastAsia" w:hAnsi="Arial" w:cs="Arial"/>
          <w:color w:val="000000"/>
          <w:sz w:val="22"/>
          <w:szCs w:val="22"/>
          <w:lang w:val="fr-CA"/>
        </w:rPr>
        <w:t>La réunion régionale du GRULAC a été présidée par le délégué du Mexique et des questions ont été soulevées par le Mexique et la Colombie. À titre de suivi, le membre du groupe d'experts a rencontré la Colombie, le Venezuela, le Mexique et le Pérou pour passer en revue le questionnaire.</w:t>
      </w:r>
      <w:r w:rsidRPr="004635B2">
        <w:rPr>
          <w:rFonts w:ascii="Calibri" w:eastAsiaTheme="minorEastAsia" w:hAnsi="Calibri" w:cs="Calibri"/>
          <w:sz w:val="22"/>
          <w:szCs w:val="22"/>
          <w:lang w:val="fr-CA"/>
        </w:rPr>
        <w:t xml:space="preserve"> </w:t>
      </w:r>
    </w:p>
    <w:p w14:paraId="16340AD7" w14:textId="4C59E1FE" w:rsidR="00974917" w:rsidRPr="004635B2" w:rsidRDefault="00974917" w:rsidP="00007F64">
      <w:pPr>
        <w:pStyle w:val="ListParagraph"/>
        <w:numPr>
          <w:ilvl w:val="0"/>
          <w:numId w:val="20"/>
        </w:numPr>
        <w:suppressLineNumbers/>
        <w:suppressAutoHyphens/>
        <w:autoSpaceDE w:val="0"/>
        <w:autoSpaceDN w:val="0"/>
        <w:adjustRightInd w:val="0"/>
        <w:snapToGrid w:val="0"/>
        <w:ind w:left="360"/>
        <w:rPr>
          <w:rFonts w:ascii="Arial" w:eastAsiaTheme="minorEastAsia" w:hAnsi="Arial" w:cs="Arial"/>
          <w:color w:val="000000"/>
          <w:sz w:val="22"/>
          <w:szCs w:val="22"/>
          <w:lang w:val="fr-CA"/>
        </w:rPr>
      </w:pPr>
      <w:r w:rsidRPr="004635B2">
        <w:rPr>
          <w:rFonts w:ascii="Arial" w:eastAsiaTheme="minorEastAsia" w:hAnsi="Arial" w:cs="Arial"/>
          <w:sz w:val="22"/>
          <w:szCs w:val="22"/>
          <w:lang w:val="fr-CA"/>
        </w:rPr>
        <w:t>La réunion Asie-Pacifique était présidée par le délégué de l'Inde et du Koweït.</w:t>
      </w:r>
      <w:r w:rsidRPr="004635B2">
        <w:rPr>
          <w:rFonts w:ascii="Arial" w:eastAsiaTheme="minorEastAsia" w:hAnsi="Arial" w:cs="Arial"/>
          <w:color w:val="000000"/>
          <w:sz w:val="22"/>
          <w:szCs w:val="22"/>
          <w:lang w:val="fr-CA"/>
        </w:rPr>
        <w:t xml:space="preserve"> Aucune question spécifique n'a été soulevée lors de la réunion. À titre de suivi, le membre du groupe d'experts a rencontré la Malaisie, </w:t>
      </w:r>
      <w:r w:rsidR="00007F64" w:rsidRPr="004635B2">
        <w:rPr>
          <w:rFonts w:ascii="Arial" w:eastAsiaTheme="minorEastAsia" w:hAnsi="Arial" w:cs="Arial"/>
          <w:color w:val="000000"/>
          <w:sz w:val="22"/>
          <w:szCs w:val="22"/>
          <w:lang w:val="fr-CA"/>
        </w:rPr>
        <w:t>le Centre pour la biodiversité de l’ANASE</w:t>
      </w:r>
      <w:r w:rsidR="00410D04" w:rsidRPr="004635B2">
        <w:rPr>
          <w:rFonts w:ascii="Arial" w:eastAsiaTheme="minorEastAsia" w:hAnsi="Arial" w:cs="Arial"/>
          <w:color w:val="000000"/>
          <w:sz w:val="22"/>
          <w:szCs w:val="22"/>
          <w:lang w:val="fr-CA"/>
        </w:rPr>
        <w:t>,</w:t>
      </w:r>
      <w:r w:rsidR="00410D04" w:rsidRPr="004635B2">
        <w:rPr>
          <w:lang w:val="fr-CA"/>
        </w:rPr>
        <w:t xml:space="preserve"> </w:t>
      </w:r>
      <w:r w:rsidRPr="004635B2">
        <w:rPr>
          <w:rFonts w:ascii="Arial" w:eastAsiaTheme="minorEastAsia" w:hAnsi="Arial" w:cs="Arial"/>
          <w:color w:val="000000"/>
          <w:sz w:val="22"/>
          <w:szCs w:val="22"/>
          <w:lang w:val="fr-CA"/>
        </w:rPr>
        <w:t xml:space="preserve">l'Inde et le Cambodge.  </w:t>
      </w:r>
    </w:p>
    <w:p w14:paraId="659087A9" w14:textId="1BBE11BF" w:rsidR="00974917" w:rsidRPr="004635B2" w:rsidRDefault="00974917" w:rsidP="00007F64">
      <w:pPr>
        <w:numPr>
          <w:ilvl w:val="0"/>
          <w:numId w:val="20"/>
        </w:numPr>
        <w:suppressLineNumbers/>
        <w:suppressAutoHyphens/>
        <w:autoSpaceDE w:val="0"/>
        <w:autoSpaceDN w:val="0"/>
        <w:adjustRightInd w:val="0"/>
        <w:snapToGrid w:val="0"/>
        <w:ind w:left="360"/>
        <w:rPr>
          <w:rFonts w:ascii="Arial" w:eastAsiaTheme="minorEastAsia" w:hAnsi="Arial" w:cs="Arial"/>
          <w:color w:val="000000"/>
          <w:sz w:val="22"/>
          <w:szCs w:val="22"/>
          <w:lang w:val="fr-CA"/>
        </w:rPr>
      </w:pPr>
      <w:r w:rsidRPr="004635B2">
        <w:rPr>
          <w:rFonts w:ascii="Arial" w:eastAsiaTheme="minorEastAsia" w:hAnsi="Arial" w:cs="Arial"/>
          <w:color w:val="000000"/>
          <w:sz w:val="22"/>
          <w:szCs w:val="22"/>
          <w:lang w:val="fr-CA"/>
        </w:rPr>
        <w:t xml:space="preserve">Le groupe d'experts a effectué des présentations lors de la session d'information </w:t>
      </w:r>
      <w:r w:rsidR="002D4BAE" w:rsidRPr="004635B2">
        <w:rPr>
          <w:rFonts w:ascii="Arial" w:eastAsiaTheme="minorEastAsia" w:hAnsi="Arial" w:cs="Arial"/>
          <w:color w:val="000000"/>
          <w:sz w:val="22"/>
          <w:szCs w:val="22"/>
          <w:lang w:val="fr-CA"/>
        </w:rPr>
        <w:t xml:space="preserve">fort populaire </w:t>
      </w:r>
      <w:r w:rsidRPr="004635B2">
        <w:rPr>
          <w:rFonts w:ascii="Arial" w:eastAsiaTheme="minorEastAsia" w:hAnsi="Arial" w:cs="Arial"/>
          <w:color w:val="000000"/>
          <w:sz w:val="22"/>
          <w:szCs w:val="22"/>
          <w:lang w:val="fr-CA"/>
        </w:rPr>
        <w:t>de la CDB du 26 février 2020, organisée conjointement avec le groupe de mobilisation des ressources de la CDB présidé par M</w:t>
      </w:r>
      <w:r w:rsidRPr="004635B2">
        <w:rPr>
          <w:rFonts w:ascii="Arial" w:eastAsiaTheme="minorEastAsia" w:hAnsi="Arial" w:cs="Arial"/>
          <w:color w:val="000000"/>
          <w:sz w:val="22"/>
          <w:szCs w:val="22"/>
          <w:vertAlign w:val="superscript"/>
          <w:lang w:val="fr-CA"/>
        </w:rPr>
        <w:t>me </w:t>
      </w:r>
      <w:r w:rsidRPr="004635B2">
        <w:rPr>
          <w:rFonts w:ascii="Arial" w:eastAsiaTheme="minorEastAsia" w:hAnsi="Arial" w:cs="Arial"/>
          <w:color w:val="000000"/>
          <w:sz w:val="22"/>
          <w:szCs w:val="22"/>
          <w:lang w:val="fr-CA"/>
        </w:rPr>
        <w:t xml:space="preserve">Odile </w:t>
      </w:r>
      <w:proofErr w:type="spellStart"/>
      <w:r w:rsidRPr="004635B2">
        <w:rPr>
          <w:rFonts w:ascii="Arial" w:eastAsiaTheme="minorEastAsia" w:hAnsi="Arial" w:cs="Arial"/>
          <w:color w:val="000000"/>
          <w:sz w:val="22"/>
          <w:szCs w:val="22"/>
          <w:lang w:val="fr-CA"/>
        </w:rPr>
        <w:t>Conchou</w:t>
      </w:r>
      <w:proofErr w:type="spellEnd"/>
      <w:r w:rsidRPr="004635B2">
        <w:rPr>
          <w:rFonts w:ascii="Arial" w:eastAsiaTheme="minorEastAsia" w:hAnsi="Arial" w:cs="Arial"/>
          <w:color w:val="000000"/>
          <w:sz w:val="22"/>
          <w:szCs w:val="22"/>
          <w:lang w:val="fr-CA"/>
        </w:rPr>
        <w:t xml:space="preserve">.  </w:t>
      </w:r>
    </w:p>
    <w:p w14:paraId="74B14904" w14:textId="77777777" w:rsidR="00974917" w:rsidRPr="004635B2" w:rsidRDefault="00974917" w:rsidP="00007F64">
      <w:pPr>
        <w:pStyle w:val="ListParagraph"/>
        <w:numPr>
          <w:ilvl w:val="0"/>
          <w:numId w:val="20"/>
        </w:numPr>
        <w:suppressLineNumbers/>
        <w:suppressAutoHyphens/>
        <w:autoSpaceDE w:val="0"/>
        <w:autoSpaceDN w:val="0"/>
        <w:adjustRightInd w:val="0"/>
        <w:snapToGrid w:val="0"/>
        <w:ind w:left="360"/>
        <w:rPr>
          <w:rFonts w:ascii="Arial" w:eastAsiaTheme="minorEastAsia" w:hAnsi="Arial" w:cs="Arial"/>
          <w:color w:val="000000"/>
          <w:sz w:val="22"/>
          <w:szCs w:val="22"/>
          <w:lang w:val="fr-CA"/>
        </w:rPr>
      </w:pPr>
      <w:r w:rsidRPr="004635B2">
        <w:rPr>
          <w:rFonts w:ascii="Arial" w:eastAsiaTheme="minorEastAsia" w:hAnsi="Arial" w:cs="Arial"/>
          <w:color w:val="000000"/>
          <w:sz w:val="22"/>
          <w:szCs w:val="22"/>
          <w:lang w:val="fr-CA"/>
        </w:rPr>
        <w:t xml:space="preserve">Une réunion s'est tenue avec les membres de l'équipe d'experts de la CDB en matière de mobilisation des ressources. </w:t>
      </w:r>
    </w:p>
    <w:p w14:paraId="415D31F1" w14:textId="5D635BCD" w:rsidR="00607704" w:rsidRPr="004635B2" w:rsidRDefault="00607704" w:rsidP="00007F64">
      <w:pPr>
        <w:pStyle w:val="ListParagraph"/>
        <w:numPr>
          <w:ilvl w:val="0"/>
          <w:numId w:val="20"/>
        </w:numPr>
        <w:suppressLineNumbers/>
        <w:suppressAutoHyphens/>
        <w:autoSpaceDE w:val="0"/>
        <w:autoSpaceDN w:val="0"/>
        <w:adjustRightInd w:val="0"/>
        <w:snapToGrid w:val="0"/>
        <w:ind w:left="360"/>
        <w:rPr>
          <w:rFonts w:ascii="Arial" w:eastAsiaTheme="minorEastAsia" w:hAnsi="Arial" w:cs="Arial"/>
          <w:color w:val="000000"/>
          <w:sz w:val="22"/>
          <w:szCs w:val="22"/>
          <w:lang w:val="fr-CA"/>
        </w:rPr>
      </w:pPr>
      <w:r w:rsidRPr="004635B2">
        <w:rPr>
          <w:rFonts w:ascii="Arial" w:eastAsiaTheme="minorEastAsia" w:hAnsi="Arial" w:cs="Arial"/>
          <w:color w:val="000000"/>
          <w:sz w:val="22"/>
          <w:szCs w:val="22"/>
          <w:lang w:val="fr-CA"/>
        </w:rPr>
        <w:t>Des webinaires régionaux ont été organisés avec les groupes régionaux en août et septembre 2021</w:t>
      </w:r>
      <w:r w:rsidR="002234BB">
        <w:rPr>
          <w:rFonts w:ascii="Arial" w:eastAsiaTheme="minorEastAsia" w:hAnsi="Arial" w:cs="Arial"/>
          <w:color w:val="000000"/>
          <w:sz w:val="22"/>
          <w:szCs w:val="22"/>
          <w:lang w:val="fr-CA"/>
        </w:rPr>
        <w:t>,</w:t>
      </w:r>
      <w:r w:rsidRPr="004635B2">
        <w:rPr>
          <w:rFonts w:ascii="Arial" w:eastAsiaTheme="minorEastAsia" w:hAnsi="Arial" w:cs="Arial"/>
          <w:color w:val="000000"/>
          <w:sz w:val="22"/>
          <w:szCs w:val="22"/>
          <w:lang w:val="fr-CA"/>
        </w:rPr>
        <w:t xml:space="preserve"> afin de présenter le questionnaire de nouveau et répondre aux questions en instance. Deux webin</w:t>
      </w:r>
      <w:r w:rsidR="00983AE4" w:rsidRPr="004635B2">
        <w:rPr>
          <w:rFonts w:ascii="Arial" w:eastAsiaTheme="minorEastAsia" w:hAnsi="Arial" w:cs="Arial"/>
          <w:color w:val="000000"/>
          <w:sz w:val="22"/>
          <w:szCs w:val="22"/>
          <w:lang w:val="fr-CA"/>
        </w:rPr>
        <w:t>a</w:t>
      </w:r>
      <w:r w:rsidRPr="004635B2">
        <w:rPr>
          <w:rFonts w:ascii="Arial" w:eastAsiaTheme="minorEastAsia" w:hAnsi="Arial" w:cs="Arial"/>
          <w:color w:val="000000"/>
          <w:sz w:val="22"/>
          <w:szCs w:val="22"/>
          <w:lang w:val="fr-CA"/>
        </w:rPr>
        <w:t>ires ont été offerts aux pays francophones en septembre 2021. Des participants de trois pays (Benin, République démocratique du Congo et Congo) y ont assisté.</w:t>
      </w:r>
    </w:p>
    <w:p w14:paraId="78751FEC" w14:textId="14ED88AB" w:rsidR="00607704" w:rsidRPr="004635B2" w:rsidRDefault="00983AE4" w:rsidP="00007F64">
      <w:pPr>
        <w:pStyle w:val="ListParagraph"/>
        <w:numPr>
          <w:ilvl w:val="0"/>
          <w:numId w:val="20"/>
        </w:numPr>
        <w:suppressLineNumbers/>
        <w:suppressAutoHyphens/>
        <w:autoSpaceDE w:val="0"/>
        <w:autoSpaceDN w:val="0"/>
        <w:adjustRightInd w:val="0"/>
        <w:snapToGrid w:val="0"/>
        <w:ind w:left="360"/>
        <w:rPr>
          <w:rFonts w:ascii="Arial" w:eastAsiaTheme="minorEastAsia" w:hAnsi="Arial" w:cs="Arial"/>
          <w:color w:val="000000"/>
          <w:sz w:val="22"/>
          <w:szCs w:val="22"/>
          <w:lang w:val="fr-CA"/>
        </w:rPr>
      </w:pPr>
      <w:r w:rsidRPr="004635B2">
        <w:rPr>
          <w:rFonts w:ascii="Arial" w:eastAsiaTheme="minorEastAsia" w:hAnsi="Arial" w:cs="Arial"/>
          <w:color w:val="000000"/>
          <w:sz w:val="22"/>
          <w:szCs w:val="22"/>
          <w:lang w:val="fr-CA"/>
        </w:rPr>
        <w:t>Un webinaire en anglais a eu lieu en août 2021 pour les pays africains anglophones. Cinq pays y ont participé (Botswana, Égypte, Liberia, Kenya et Namibie).</w:t>
      </w:r>
    </w:p>
    <w:p w14:paraId="72BF52B3" w14:textId="030FAD11" w:rsidR="00983AE4" w:rsidRPr="004635B2" w:rsidRDefault="00983AE4" w:rsidP="00007F64">
      <w:pPr>
        <w:pStyle w:val="ListParagraph"/>
        <w:numPr>
          <w:ilvl w:val="0"/>
          <w:numId w:val="20"/>
        </w:numPr>
        <w:suppressLineNumbers/>
        <w:suppressAutoHyphens/>
        <w:autoSpaceDE w:val="0"/>
        <w:autoSpaceDN w:val="0"/>
        <w:adjustRightInd w:val="0"/>
        <w:snapToGrid w:val="0"/>
        <w:ind w:left="360"/>
        <w:rPr>
          <w:rFonts w:ascii="Arial" w:eastAsiaTheme="minorEastAsia" w:hAnsi="Arial" w:cs="Arial"/>
          <w:color w:val="000000"/>
          <w:sz w:val="22"/>
          <w:szCs w:val="22"/>
          <w:lang w:val="fr-CA"/>
        </w:rPr>
      </w:pPr>
      <w:r w:rsidRPr="004635B2">
        <w:rPr>
          <w:rFonts w:ascii="Arial" w:eastAsiaTheme="minorEastAsia" w:hAnsi="Arial" w:cs="Arial"/>
          <w:color w:val="000000"/>
          <w:sz w:val="22"/>
          <w:szCs w:val="22"/>
          <w:lang w:val="fr-CA"/>
        </w:rPr>
        <w:t>Un webinaire a été organisé pour l’Asie du Sud en août 2021. Treize participants de cinq pays y ont pris part (Afghanistan, Bangladesh, Inde, Népal, Sri Lanka). Il a été suivi de webinaires</w:t>
      </w:r>
      <w:r w:rsidR="002234BB">
        <w:rPr>
          <w:rFonts w:ascii="Arial" w:eastAsiaTheme="minorEastAsia" w:hAnsi="Arial" w:cs="Arial"/>
          <w:color w:val="000000"/>
          <w:sz w:val="22"/>
          <w:szCs w:val="22"/>
          <w:lang w:val="fr-CA"/>
        </w:rPr>
        <w:t xml:space="preserve"> nationaux </w:t>
      </w:r>
      <w:r w:rsidRPr="004635B2">
        <w:rPr>
          <w:rFonts w:ascii="Arial" w:eastAsiaTheme="minorEastAsia" w:hAnsi="Arial" w:cs="Arial"/>
          <w:color w:val="000000"/>
          <w:sz w:val="22"/>
          <w:szCs w:val="22"/>
          <w:lang w:val="fr-CA"/>
        </w:rPr>
        <w:t>pour le Bangladesh, le Népal et le Sri Lanka, à la demande de ces pays.</w:t>
      </w:r>
    </w:p>
    <w:p w14:paraId="06C43740" w14:textId="1C7F0DFB" w:rsidR="00983AE4" w:rsidRPr="004635B2" w:rsidRDefault="00983AE4" w:rsidP="00007F64">
      <w:pPr>
        <w:pStyle w:val="ListParagraph"/>
        <w:numPr>
          <w:ilvl w:val="0"/>
          <w:numId w:val="20"/>
        </w:numPr>
        <w:suppressLineNumbers/>
        <w:suppressAutoHyphens/>
        <w:autoSpaceDE w:val="0"/>
        <w:autoSpaceDN w:val="0"/>
        <w:adjustRightInd w:val="0"/>
        <w:snapToGrid w:val="0"/>
        <w:ind w:left="360"/>
        <w:rPr>
          <w:rFonts w:ascii="Arial" w:eastAsiaTheme="minorEastAsia" w:hAnsi="Arial" w:cs="Arial"/>
          <w:color w:val="000000"/>
          <w:sz w:val="22"/>
          <w:szCs w:val="22"/>
          <w:lang w:val="fr-CA"/>
        </w:rPr>
      </w:pPr>
      <w:r w:rsidRPr="004635B2">
        <w:rPr>
          <w:rFonts w:ascii="Arial" w:eastAsiaTheme="minorEastAsia" w:hAnsi="Arial" w:cs="Arial"/>
          <w:color w:val="000000"/>
          <w:sz w:val="22"/>
          <w:szCs w:val="22"/>
          <w:lang w:val="fr-CA"/>
        </w:rPr>
        <w:t>Un webinaire a été présenté pour la région de l’A</w:t>
      </w:r>
      <w:r w:rsidR="0003314D" w:rsidRPr="004635B2">
        <w:rPr>
          <w:rFonts w:ascii="Arial" w:eastAsiaTheme="minorEastAsia" w:hAnsi="Arial" w:cs="Arial"/>
          <w:color w:val="000000"/>
          <w:sz w:val="22"/>
          <w:szCs w:val="22"/>
          <w:lang w:val="fr-CA"/>
        </w:rPr>
        <w:t>NASE en août 2021. Douze participants de quatre pays y ont pris part (Malaisie, Viet Nam, Laos et Philippines).</w:t>
      </w:r>
    </w:p>
    <w:p w14:paraId="0CBF2870" w14:textId="09E44AA2" w:rsidR="0003314D" w:rsidRPr="004635B2" w:rsidRDefault="0003314D" w:rsidP="00007F64">
      <w:pPr>
        <w:pStyle w:val="ListParagraph"/>
        <w:numPr>
          <w:ilvl w:val="0"/>
          <w:numId w:val="20"/>
        </w:numPr>
        <w:suppressLineNumbers/>
        <w:suppressAutoHyphens/>
        <w:autoSpaceDE w:val="0"/>
        <w:autoSpaceDN w:val="0"/>
        <w:adjustRightInd w:val="0"/>
        <w:snapToGrid w:val="0"/>
        <w:ind w:left="360"/>
        <w:rPr>
          <w:rFonts w:ascii="Arial" w:eastAsiaTheme="minorEastAsia" w:hAnsi="Arial" w:cs="Arial"/>
          <w:color w:val="000000"/>
          <w:sz w:val="22"/>
          <w:szCs w:val="22"/>
          <w:lang w:val="fr-CA"/>
        </w:rPr>
      </w:pPr>
      <w:r w:rsidRPr="004635B2">
        <w:rPr>
          <w:rFonts w:ascii="Arial" w:eastAsiaTheme="minorEastAsia" w:hAnsi="Arial" w:cs="Arial"/>
          <w:color w:val="000000"/>
          <w:sz w:val="22"/>
          <w:szCs w:val="22"/>
          <w:lang w:val="fr-CA"/>
        </w:rPr>
        <w:t>Un webinaire a été présenté pour la région Pacifique. Trois pays y ont participé (Micronésie, Samoa, Îles Cook).</w:t>
      </w:r>
    </w:p>
    <w:p w14:paraId="10E1E4A2" w14:textId="61DB6D74" w:rsidR="0003314D" w:rsidRPr="004635B2" w:rsidRDefault="0003314D" w:rsidP="00007F64">
      <w:pPr>
        <w:pStyle w:val="ListParagraph"/>
        <w:numPr>
          <w:ilvl w:val="0"/>
          <w:numId w:val="20"/>
        </w:numPr>
        <w:suppressLineNumbers/>
        <w:suppressAutoHyphens/>
        <w:autoSpaceDE w:val="0"/>
        <w:autoSpaceDN w:val="0"/>
        <w:adjustRightInd w:val="0"/>
        <w:snapToGrid w:val="0"/>
        <w:ind w:left="360"/>
        <w:rPr>
          <w:rFonts w:ascii="Arial" w:eastAsiaTheme="minorEastAsia" w:hAnsi="Arial" w:cs="Arial"/>
          <w:color w:val="000000"/>
          <w:sz w:val="22"/>
          <w:szCs w:val="22"/>
          <w:lang w:val="fr-CA"/>
        </w:rPr>
      </w:pPr>
      <w:r w:rsidRPr="004635B2">
        <w:rPr>
          <w:rFonts w:ascii="Arial" w:eastAsiaTheme="minorEastAsia" w:hAnsi="Arial" w:cs="Arial"/>
          <w:color w:val="000000"/>
          <w:sz w:val="22"/>
          <w:szCs w:val="22"/>
          <w:lang w:val="fr-CA"/>
        </w:rPr>
        <w:t>Deux webinaires ont été présentés pour la région du GRULAC</w:t>
      </w:r>
      <w:r w:rsidR="00EB0BA3" w:rsidRPr="004635B2">
        <w:rPr>
          <w:rFonts w:ascii="Arial" w:eastAsiaTheme="minorEastAsia" w:hAnsi="Arial" w:cs="Arial"/>
          <w:color w:val="000000"/>
          <w:sz w:val="22"/>
          <w:szCs w:val="22"/>
          <w:lang w:val="fr-CA"/>
        </w:rPr>
        <w:t>, dont un pour les pays hispanophones et l’autre pour les pays anglophones. Plus de quatre pays ont participé à chacun des webinaires.</w:t>
      </w:r>
    </w:p>
    <w:p w14:paraId="504B0A80" w14:textId="77777777" w:rsidR="00974917" w:rsidRPr="004635B2" w:rsidRDefault="00974917" w:rsidP="0012639A">
      <w:pPr>
        <w:suppressLineNumbers/>
        <w:suppressAutoHyphens/>
        <w:adjustRightInd w:val="0"/>
        <w:snapToGrid w:val="0"/>
        <w:rPr>
          <w:rFonts w:ascii="Arial" w:hAnsi="Arial" w:cs="Arial"/>
          <w:sz w:val="22"/>
          <w:szCs w:val="22"/>
          <w:lang w:val="fr-CA"/>
        </w:rPr>
      </w:pPr>
    </w:p>
    <w:p w14:paraId="7D5543D6" w14:textId="29E6ED49" w:rsidR="00EB0BA3" w:rsidRPr="004635B2" w:rsidRDefault="00EB0BA3" w:rsidP="0012639A">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52.</w:t>
      </w:r>
      <w:r w:rsidRPr="004635B2">
        <w:rPr>
          <w:rFonts w:ascii="Arial" w:hAnsi="Arial" w:cs="Arial"/>
          <w:sz w:val="22"/>
          <w:szCs w:val="22"/>
          <w:lang w:val="fr-CA"/>
        </w:rPr>
        <w:tab/>
        <w:t>Le Secrétariat de la CDB a communiqué avec cinq agences d’exécution du FEM concernant des consultations par l’équipe d’experts. Des consultations ont eu lieu avec la Banque mondiale et l’UICN.</w:t>
      </w:r>
    </w:p>
    <w:p w14:paraId="017C294E" w14:textId="77777777" w:rsidR="00EB0BA3" w:rsidRPr="004635B2" w:rsidRDefault="00EB0BA3" w:rsidP="0012639A">
      <w:pPr>
        <w:suppressLineNumbers/>
        <w:suppressAutoHyphens/>
        <w:adjustRightInd w:val="0"/>
        <w:snapToGrid w:val="0"/>
        <w:rPr>
          <w:rFonts w:ascii="Arial" w:hAnsi="Arial" w:cs="Arial"/>
          <w:sz w:val="22"/>
          <w:szCs w:val="22"/>
          <w:lang w:val="fr-CA"/>
        </w:rPr>
      </w:pPr>
    </w:p>
    <w:p w14:paraId="73FE0793" w14:textId="05322AB0" w:rsidR="00974917" w:rsidRPr="004635B2" w:rsidRDefault="00EB0BA3" w:rsidP="00EB0BA3">
      <w:pPr>
        <w:pStyle w:val="ListParagraph"/>
        <w:suppressLineNumbers/>
        <w:suppressAutoHyphens/>
        <w:adjustRightInd w:val="0"/>
        <w:snapToGrid w:val="0"/>
        <w:ind w:left="0"/>
        <w:rPr>
          <w:rFonts w:ascii="Arial" w:hAnsi="Arial" w:cs="Arial"/>
          <w:b/>
          <w:bCs/>
          <w:sz w:val="22"/>
          <w:szCs w:val="22"/>
          <w:lang w:val="fr-CA"/>
        </w:rPr>
      </w:pPr>
      <w:r w:rsidRPr="004635B2">
        <w:rPr>
          <w:rFonts w:ascii="Arial" w:hAnsi="Arial" w:cs="Arial"/>
          <w:b/>
          <w:bCs/>
          <w:sz w:val="22"/>
          <w:szCs w:val="22"/>
          <w:lang w:val="fr-CA"/>
        </w:rPr>
        <w:t>6.</w:t>
      </w:r>
      <w:r w:rsidRPr="004635B2">
        <w:rPr>
          <w:rFonts w:ascii="Arial" w:hAnsi="Arial" w:cs="Arial"/>
          <w:b/>
          <w:bCs/>
          <w:sz w:val="22"/>
          <w:szCs w:val="22"/>
          <w:lang w:val="fr-CA"/>
        </w:rPr>
        <w:tab/>
      </w:r>
      <w:r w:rsidR="00974917" w:rsidRPr="004635B2">
        <w:rPr>
          <w:rFonts w:ascii="Arial" w:hAnsi="Arial" w:cs="Arial"/>
          <w:b/>
          <w:bCs/>
          <w:sz w:val="22"/>
          <w:szCs w:val="22"/>
          <w:u w:val="single"/>
          <w:lang w:val="fr-CA"/>
        </w:rPr>
        <w:t>Évaluation du questionnaire soumis sur les besoins de financement</w:t>
      </w:r>
      <w:r w:rsidRPr="004635B2">
        <w:rPr>
          <w:rFonts w:ascii="Arial" w:hAnsi="Arial" w:cs="Arial"/>
          <w:b/>
          <w:bCs/>
          <w:sz w:val="22"/>
          <w:szCs w:val="22"/>
          <w:u w:val="single"/>
          <w:lang w:val="fr-CA"/>
        </w:rPr>
        <w:t xml:space="preserve"> pour la mise en œuvre de la Convention et de ses protocoles</w:t>
      </w:r>
    </w:p>
    <w:p w14:paraId="7375930D" w14:textId="77777777" w:rsidR="00974917" w:rsidRPr="004635B2" w:rsidRDefault="00974917" w:rsidP="0012639A">
      <w:pPr>
        <w:suppressLineNumbers/>
        <w:suppressAutoHyphens/>
        <w:adjustRightInd w:val="0"/>
        <w:snapToGrid w:val="0"/>
        <w:rPr>
          <w:rFonts w:ascii="Arial" w:hAnsi="Arial" w:cs="Arial"/>
          <w:b/>
          <w:bCs/>
          <w:sz w:val="22"/>
          <w:szCs w:val="22"/>
          <w:lang w:val="fr-CA"/>
        </w:rPr>
      </w:pPr>
    </w:p>
    <w:p w14:paraId="00975549" w14:textId="720315FB" w:rsidR="00974917" w:rsidRPr="004635B2" w:rsidRDefault="00EB0BA3" w:rsidP="0012639A">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53.</w:t>
      </w:r>
      <w:r w:rsidRPr="004635B2">
        <w:rPr>
          <w:rFonts w:ascii="Arial" w:hAnsi="Arial" w:cs="Arial"/>
          <w:sz w:val="22"/>
          <w:szCs w:val="22"/>
          <w:lang w:val="fr-CA"/>
        </w:rPr>
        <w:tab/>
      </w:r>
      <w:r w:rsidR="00974917" w:rsidRPr="004635B2">
        <w:rPr>
          <w:rFonts w:ascii="Arial" w:hAnsi="Arial" w:cs="Arial"/>
          <w:sz w:val="22"/>
          <w:szCs w:val="22"/>
          <w:lang w:val="fr-CA"/>
        </w:rPr>
        <w:t xml:space="preserve">Conformément au paragraphe 11 du mandat, un questionnaire a été élaboré par l'équipe d'experts afin de fournir des informations sur les besoins de financement totaux </w:t>
      </w:r>
      <w:r w:rsidR="003C7B8B">
        <w:rPr>
          <w:rFonts w:ascii="Arial" w:hAnsi="Arial" w:cs="Arial"/>
          <w:sz w:val="22"/>
          <w:szCs w:val="22"/>
          <w:lang w:val="fr-CA"/>
        </w:rPr>
        <w:t>des projets prioritaires pour la</w:t>
      </w:r>
      <w:r w:rsidR="00974917" w:rsidRPr="004635B2">
        <w:rPr>
          <w:rFonts w:ascii="Arial" w:hAnsi="Arial" w:cs="Arial"/>
          <w:sz w:val="22"/>
          <w:szCs w:val="22"/>
          <w:lang w:val="fr-CA"/>
        </w:rPr>
        <w:t xml:space="preserve"> FEM-8</w:t>
      </w:r>
      <w:r w:rsidR="00733BD5" w:rsidRPr="004635B2">
        <w:rPr>
          <w:rFonts w:ascii="Arial" w:hAnsi="Arial" w:cs="Arial"/>
          <w:sz w:val="22"/>
          <w:szCs w:val="22"/>
          <w:lang w:val="fr-CA"/>
        </w:rPr>
        <w:t>.</w:t>
      </w:r>
      <w:r w:rsidR="00974917" w:rsidRPr="004635B2">
        <w:rPr>
          <w:rStyle w:val="FootnoteReference"/>
          <w:rFonts w:ascii="Arial" w:hAnsi="Arial" w:cs="Arial"/>
          <w:sz w:val="22"/>
          <w:szCs w:val="22"/>
          <w:u w:val="none"/>
          <w:vertAlign w:val="superscript"/>
          <w:lang w:val="fr-CA"/>
        </w:rPr>
        <w:footnoteReference w:id="13"/>
      </w:r>
      <w:r w:rsidR="00974917" w:rsidRPr="004635B2">
        <w:rPr>
          <w:rFonts w:ascii="Arial" w:hAnsi="Arial" w:cs="Arial"/>
          <w:sz w:val="22"/>
          <w:szCs w:val="22"/>
          <w:lang w:val="fr-CA"/>
        </w:rPr>
        <w:t xml:space="preserve"> Le questionnaire et ses orientations ont été mis en ligne </w:t>
      </w:r>
      <w:r w:rsidR="003C7B8B">
        <w:rPr>
          <w:rFonts w:ascii="Arial" w:hAnsi="Arial" w:cs="Arial"/>
          <w:sz w:val="22"/>
          <w:szCs w:val="22"/>
          <w:lang w:val="fr-CA"/>
        </w:rPr>
        <w:t>en anglais, en français et en espagnol</w:t>
      </w:r>
      <w:r w:rsidR="00974917" w:rsidRPr="004635B2">
        <w:rPr>
          <w:rFonts w:ascii="Arial" w:hAnsi="Arial" w:cs="Arial"/>
          <w:sz w:val="22"/>
          <w:szCs w:val="22"/>
          <w:lang w:val="fr-CA"/>
        </w:rPr>
        <w:t xml:space="preserve"> entre </w:t>
      </w:r>
      <w:r w:rsidR="00EE31B7">
        <w:rPr>
          <w:rFonts w:ascii="Arial" w:hAnsi="Arial" w:cs="Arial"/>
          <w:sz w:val="22"/>
          <w:szCs w:val="22"/>
          <w:lang w:val="fr-CA"/>
        </w:rPr>
        <w:t xml:space="preserve">la </w:t>
      </w:r>
      <w:r w:rsidR="00974917" w:rsidRPr="004635B2">
        <w:rPr>
          <w:rFonts w:ascii="Arial" w:hAnsi="Arial" w:cs="Arial"/>
          <w:sz w:val="22"/>
          <w:szCs w:val="22"/>
          <w:lang w:val="fr-CA"/>
        </w:rPr>
        <w:t xml:space="preserve">fin février </w:t>
      </w:r>
      <w:r w:rsidR="00733BD5" w:rsidRPr="004635B2">
        <w:rPr>
          <w:rFonts w:ascii="Arial" w:hAnsi="Arial" w:cs="Arial"/>
          <w:sz w:val="22"/>
          <w:szCs w:val="22"/>
          <w:lang w:val="fr-CA"/>
        </w:rPr>
        <w:t xml:space="preserve">2020 et octobre 2021. </w:t>
      </w:r>
      <w:r w:rsidR="00974917" w:rsidRPr="004635B2">
        <w:rPr>
          <w:rFonts w:ascii="Arial" w:hAnsi="Arial" w:cs="Arial"/>
          <w:sz w:val="22"/>
          <w:szCs w:val="22"/>
          <w:lang w:val="fr-CA"/>
        </w:rPr>
        <w:t>Au total, 11 discussions de suivi ont été menées avec les Parties. Les réponses au questionnaire étaient positives, les Parties ayant confirmé qu'il était facile à remplir.</w:t>
      </w:r>
    </w:p>
    <w:p w14:paraId="48AF72DD" w14:textId="77777777" w:rsidR="00974917" w:rsidRPr="004635B2" w:rsidRDefault="00974917" w:rsidP="0012639A">
      <w:pPr>
        <w:suppressLineNumbers/>
        <w:suppressAutoHyphens/>
        <w:adjustRightInd w:val="0"/>
        <w:snapToGrid w:val="0"/>
        <w:rPr>
          <w:rFonts w:ascii="Arial" w:hAnsi="Arial" w:cs="Arial"/>
          <w:sz w:val="22"/>
          <w:szCs w:val="22"/>
          <w:u w:val="single"/>
          <w:lang w:val="fr-CA"/>
        </w:rPr>
      </w:pPr>
    </w:p>
    <w:p w14:paraId="0DD65B9C" w14:textId="6F46A7C4" w:rsidR="00974917" w:rsidRPr="004635B2" w:rsidRDefault="00733BD5" w:rsidP="0012639A">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54.</w:t>
      </w:r>
      <w:r w:rsidRPr="004635B2">
        <w:rPr>
          <w:rFonts w:ascii="Arial" w:hAnsi="Arial" w:cs="Arial"/>
          <w:sz w:val="22"/>
          <w:szCs w:val="22"/>
          <w:lang w:val="fr-CA"/>
        </w:rPr>
        <w:tab/>
      </w:r>
      <w:r w:rsidR="00974917" w:rsidRPr="004635B2">
        <w:rPr>
          <w:rFonts w:ascii="Arial" w:hAnsi="Arial" w:cs="Arial"/>
          <w:sz w:val="22"/>
          <w:szCs w:val="22"/>
          <w:lang w:val="fr-CA"/>
        </w:rPr>
        <w:t xml:space="preserve">Le questionnaire comprend des informations à la fois qualitatives et quantitatives. Il demande aux Parties d'énumérer pour chaque projet les besoins de financement totaux estimés, le cofinancement probable disponible et les besoins de financements issus du FEM en utilisant la méthode des coûts différentiels. En outre, des informations ont été demandées aux Parties concernant les caractéristiques </w:t>
      </w:r>
      <w:r w:rsidRPr="004635B2">
        <w:rPr>
          <w:rFonts w:ascii="Arial" w:hAnsi="Arial" w:cs="Arial"/>
          <w:sz w:val="22"/>
          <w:szCs w:val="22"/>
          <w:lang w:val="fr-CA"/>
        </w:rPr>
        <w:t xml:space="preserve">probables des projets proposés (biome, espèces, programmes intégrés, stratégies, </w:t>
      </w:r>
      <w:r w:rsidR="00974917" w:rsidRPr="004635B2">
        <w:rPr>
          <w:rFonts w:ascii="Arial" w:hAnsi="Arial" w:cs="Arial"/>
          <w:sz w:val="22"/>
          <w:szCs w:val="22"/>
          <w:lang w:val="fr-CA"/>
        </w:rPr>
        <w:t>liens avec d'autres conventions et les objectifs de développement durable</w:t>
      </w:r>
      <w:r w:rsidR="005F762A" w:rsidRPr="004635B2">
        <w:rPr>
          <w:rFonts w:ascii="Arial" w:hAnsi="Arial" w:cs="Arial"/>
          <w:sz w:val="22"/>
          <w:szCs w:val="22"/>
          <w:lang w:val="fr-CA"/>
        </w:rPr>
        <w:t>)</w:t>
      </w:r>
      <w:r w:rsidR="00974917" w:rsidRPr="004635B2">
        <w:rPr>
          <w:rFonts w:ascii="Arial" w:hAnsi="Arial" w:cs="Arial"/>
          <w:sz w:val="22"/>
          <w:szCs w:val="22"/>
          <w:lang w:val="fr-CA"/>
        </w:rPr>
        <w:t>.</w:t>
      </w:r>
    </w:p>
    <w:p w14:paraId="73852E02" w14:textId="77777777" w:rsidR="00974917" w:rsidRPr="004635B2" w:rsidRDefault="00974917" w:rsidP="0012639A">
      <w:pPr>
        <w:suppressLineNumbers/>
        <w:suppressAutoHyphens/>
        <w:adjustRightInd w:val="0"/>
        <w:snapToGrid w:val="0"/>
        <w:rPr>
          <w:rFonts w:ascii="Arial" w:hAnsi="Arial" w:cs="Arial"/>
          <w:sz w:val="22"/>
          <w:szCs w:val="22"/>
          <w:u w:val="single"/>
          <w:lang w:val="fr-CA"/>
        </w:rPr>
      </w:pPr>
    </w:p>
    <w:p w14:paraId="574307B9" w14:textId="3D655B28" w:rsidR="00974917" w:rsidRPr="004635B2" w:rsidRDefault="005F762A" w:rsidP="0012639A">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55.</w:t>
      </w:r>
      <w:r w:rsidRPr="004635B2">
        <w:rPr>
          <w:rFonts w:ascii="Arial" w:hAnsi="Arial" w:cs="Arial"/>
          <w:sz w:val="22"/>
          <w:szCs w:val="22"/>
          <w:lang w:val="fr-CA"/>
        </w:rPr>
        <w:tab/>
      </w:r>
      <w:r w:rsidR="00974917" w:rsidRPr="004635B2">
        <w:rPr>
          <w:rFonts w:ascii="Arial" w:hAnsi="Arial" w:cs="Arial"/>
          <w:sz w:val="22"/>
          <w:szCs w:val="22"/>
          <w:lang w:val="fr-CA"/>
        </w:rPr>
        <w:t xml:space="preserve">Au </w:t>
      </w:r>
      <w:r w:rsidRPr="004635B2">
        <w:rPr>
          <w:rFonts w:ascii="Arial" w:hAnsi="Arial" w:cs="Arial"/>
          <w:sz w:val="22"/>
          <w:szCs w:val="22"/>
          <w:lang w:val="fr-CA"/>
        </w:rPr>
        <w:t>22 octobre 2021</w:t>
      </w:r>
      <w:r w:rsidR="00974917" w:rsidRPr="004635B2">
        <w:rPr>
          <w:rFonts w:ascii="Arial" w:hAnsi="Arial" w:cs="Arial"/>
          <w:sz w:val="22"/>
          <w:szCs w:val="22"/>
          <w:lang w:val="fr-CA"/>
        </w:rPr>
        <w:t xml:space="preserve">, </w:t>
      </w:r>
      <w:r w:rsidRPr="004635B2">
        <w:rPr>
          <w:rFonts w:ascii="Arial" w:hAnsi="Arial" w:cs="Arial"/>
          <w:sz w:val="22"/>
          <w:szCs w:val="22"/>
          <w:lang w:val="fr-CA"/>
        </w:rPr>
        <w:t>44</w:t>
      </w:r>
      <w:r w:rsidR="00974917" w:rsidRPr="004635B2">
        <w:rPr>
          <w:rFonts w:ascii="Arial" w:hAnsi="Arial" w:cs="Arial"/>
          <w:sz w:val="22"/>
          <w:szCs w:val="22"/>
          <w:lang w:val="fr-CA"/>
        </w:rPr>
        <w:t xml:space="preserve"> pays bénéficiaires du FEM avaient répondu au questionnaire, fournissant des données sur un total de </w:t>
      </w:r>
      <w:r w:rsidRPr="004635B2">
        <w:rPr>
          <w:rFonts w:ascii="Arial" w:hAnsi="Arial" w:cs="Arial"/>
          <w:sz w:val="22"/>
          <w:szCs w:val="22"/>
          <w:lang w:val="fr-CA"/>
        </w:rPr>
        <w:t>210</w:t>
      </w:r>
      <w:r w:rsidR="00974917" w:rsidRPr="004635B2">
        <w:rPr>
          <w:rFonts w:ascii="Arial" w:hAnsi="Arial" w:cs="Arial"/>
          <w:sz w:val="22"/>
          <w:szCs w:val="22"/>
          <w:lang w:val="fr-CA"/>
        </w:rPr>
        <w:t> projets</w:t>
      </w:r>
      <w:r w:rsidRPr="004635B2">
        <w:rPr>
          <w:rFonts w:ascii="Arial" w:hAnsi="Arial" w:cs="Arial"/>
          <w:sz w:val="22"/>
          <w:szCs w:val="22"/>
          <w:lang w:val="fr-CA"/>
        </w:rPr>
        <w:t xml:space="preserve"> potentiels. Cette proportion (3</w:t>
      </w:r>
      <w:r w:rsidR="00974917" w:rsidRPr="004635B2">
        <w:rPr>
          <w:rFonts w:ascii="Arial" w:hAnsi="Arial" w:cs="Arial"/>
          <w:sz w:val="22"/>
          <w:szCs w:val="22"/>
          <w:lang w:val="fr-CA"/>
        </w:rPr>
        <w:t>0 </w:t>
      </w:r>
      <w:r w:rsidRPr="004635B2">
        <w:rPr>
          <w:rFonts w:ascii="Arial" w:hAnsi="Arial" w:cs="Arial"/>
          <w:sz w:val="22"/>
          <w:szCs w:val="22"/>
          <w:lang w:val="fr-CA"/>
        </w:rPr>
        <w:t>pour cent</w:t>
      </w:r>
      <w:r w:rsidR="00974917" w:rsidRPr="004635B2">
        <w:rPr>
          <w:rFonts w:ascii="Arial" w:hAnsi="Arial" w:cs="Arial"/>
          <w:sz w:val="22"/>
          <w:szCs w:val="22"/>
          <w:lang w:val="fr-CA"/>
        </w:rPr>
        <w:t xml:space="preserve">) </w:t>
      </w:r>
      <w:r w:rsidRPr="004635B2">
        <w:rPr>
          <w:rFonts w:ascii="Arial" w:hAnsi="Arial" w:cs="Arial"/>
          <w:sz w:val="22"/>
          <w:szCs w:val="22"/>
          <w:lang w:val="fr-CA"/>
        </w:rPr>
        <w:t>est relativement faible pour en arriver à une solide conclusion, compte tenu qu’elle ne provient pas d’</w:t>
      </w:r>
      <w:r w:rsidR="00D54D9C" w:rsidRPr="004635B2">
        <w:rPr>
          <w:rFonts w:ascii="Arial" w:hAnsi="Arial" w:cs="Arial"/>
          <w:sz w:val="22"/>
          <w:szCs w:val="22"/>
          <w:lang w:val="fr-CA"/>
        </w:rPr>
        <w:t>un échantillon al</w:t>
      </w:r>
      <w:r w:rsidRPr="004635B2">
        <w:rPr>
          <w:rFonts w:ascii="Arial" w:hAnsi="Arial" w:cs="Arial"/>
          <w:sz w:val="22"/>
          <w:szCs w:val="22"/>
          <w:lang w:val="fr-CA"/>
        </w:rPr>
        <w:t>éatoire, mais elle a néanmoins permis à l’équipe d’experts de réaliser une an</w:t>
      </w:r>
      <w:r w:rsidR="00D54D9C" w:rsidRPr="004635B2">
        <w:rPr>
          <w:rFonts w:ascii="Arial" w:hAnsi="Arial" w:cs="Arial"/>
          <w:sz w:val="22"/>
          <w:szCs w:val="22"/>
          <w:lang w:val="fr-CA"/>
        </w:rPr>
        <w:t xml:space="preserve">alyse indicative pour le </w:t>
      </w:r>
      <w:r w:rsidRPr="004635B2">
        <w:rPr>
          <w:rFonts w:ascii="Arial" w:hAnsi="Arial" w:cs="Arial"/>
          <w:sz w:val="22"/>
          <w:szCs w:val="22"/>
          <w:lang w:val="fr-CA"/>
        </w:rPr>
        <w:t>présent rapport.  L’analyse d’un échantillon des réponses révèle une représentation bien équilibrée des pays répartis dans toutes les régions géographiques pertinentes, dont des pays</w:t>
      </w:r>
      <w:r w:rsidR="0078644E">
        <w:rPr>
          <w:rFonts w:ascii="Arial" w:hAnsi="Arial" w:cs="Arial"/>
          <w:sz w:val="22"/>
          <w:szCs w:val="22"/>
          <w:lang w:val="fr-CA"/>
        </w:rPr>
        <w:t xml:space="preserve"> les moins avancés, d</w:t>
      </w:r>
      <w:r w:rsidR="00C60C38">
        <w:rPr>
          <w:rFonts w:ascii="Arial" w:hAnsi="Arial" w:cs="Arial"/>
          <w:sz w:val="22"/>
          <w:szCs w:val="22"/>
          <w:lang w:val="fr-CA"/>
        </w:rPr>
        <w:t xml:space="preserve">es petits </w:t>
      </w:r>
      <w:r w:rsidRPr="004635B2">
        <w:rPr>
          <w:rFonts w:ascii="Arial" w:hAnsi="Arial" w:cs="Arial"/>
          <w:sz w:val="22"/>
          <w:szCs w:val="22"/>
          <w:lang w:val="fr-CA"/>
        </w:rPr>
        <w:t>États insulaires et des pays méga</w:t>
      </w:r>
      <w:r w:rsidR="00D54D9C" w:rsidRPr="004635B2">
        <w:rPr>
          <w:rFonts w:ascii="Arial" w:hAnsi="Arial" w:cs="Arial"/>
          <w:sz w:val="22"/>
          <w:szCs w:val="22"/>
          <w:lang w:val="fr-CA"/>
        </w:rPr>
        <w:t>-</w:t>
      </w:r>
      <w:r w:rsidRPr="004635B2">
        <w:rPr>
          <w:rFonts w:ascii="Arial" w:hAnsi="Arial" w:cs="Arial"/>
          <w:sz w:val="22"/>
          <w:szCs w:val="22"/>
          <w:lang w:val="fr-CA"/>
        </w:rPr>
        <w:t xml:space="preserve">divers. </w:t>
      </w:r>
    </w:p>
    <w:p w14:paraId="418C2DEE" w14:textId="77777777" w:rsidR="00974917" w:rsidRPr="004635B2" w:rsidRDefault="00974917" w:rsidP="0012639A">
      <w:pPr>
        <w:suppressLineNumbers/>
        <w:suppressAutoHyphens/>
        <w:adjustRightInd w:val="0"/>
        <w:snapToGrid w:val="0"/>
        <w:rPr>
          <w:rFonts w:ascii="Arial" w:hAnsi="Arial" w:cs="Arial"/>
          <w:sz w:val="22"/>
          <w:szCs w:val="22"/>
          <w:lang w:val="fr-CA"/>
        </w:rPr>
      </w:pPr>
    </w:p>
    <w:p w14:paraId="39CAE89D" w14:textId="2ADDF827" w:rsidR="00974917" w:rsidRPr="004635B2" w:rsidRDefault="00D54D9C" w:rsidP="0012639A">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56.</w:t>
      </w:r>
      <w:r w:rsidRPr="004635B2">
        <w:rPr>
          <w:rFonts w:ascii="Arial" w:hAnsi="Arial" w:cs="Arial"/>
          <w:sz w:val="22"/>
          <w:szCs w:val="22"/>
          <w:lang w:val="fr-CA"/>
        </w:rPr>
        <w:tab/>
      </w:r>
      <w:r w:rsidR="00974917" w:rsidRPr="004635B2">
        <w:rPr>
          <w:rFonts w:ascii="Arial" w:hAnsi="Arial" w:cs="Arial"/>
          <w:sz w:val="22"/>
          <w:szCs w:val="22"/>
          <w:lang w:val="fr-CA"/>
        </w:rPr>
        <w:t>Comme les années précédentes, dans l'hypothèse où toutes les Parties ne répondr</w:t>
      </w:r>
      <w:r w:rsidRPr="004635B2">
        <w:rPr>
          <w:rFonts w:ascii="Arial" w:hAnsi="Arial" w:cs="Arial"/>
          <w:sz w:val="22"/>
          <w:szCs w:val="22"/>
          <w:lang w:val="fr-CA"/>
        </w:rPr>
        <w:t>ont</w:t>
      </w:r>
      <w:r w:rsidR="00974917" w:rsidRPr="004635B2">
        <w:rPr>
          <w:rFonts w:ascii="Arial" w:hAnsi="Arial" w:cs="Arial"/>
          <w:sz w:val="22"/>
          <w:szCs w:val="22"/>
          <w:lang w:val="fr-CA"/>
        </w:rPr>
        <w:t xml:space="preserve"> pas, des extrapolations seront nécessaires pour atteindre le chiffre global final de</w:t>
      </w:r>
      <w:r w:rsidR="0078644E">
        <w:rPr>
          <w:rFonts w:ascii="Arial" w:hAnsi="Arial" w:cs="Arial"/>
          <w:sz w:val="22"/>
          <w:szCs w:val="22"/>
          <w:lang w:val="fr-CA"/>
        </w:rPr>
        <w:t>s besoins de financement pour la</w:t>
      </w:r>
      <w:r w:rsidR="00974917" w:rsidRPr="004635B2">
        <w:rPr>
          <w:rFonts w:ascii="Arial" w:hAnsi="Arial" w:cs="Arial"/>
          <w:sz w:val="22"/>
          <w:szCs w:val="22"/>
          <w:lang w:val="fr-CA"/>
        </w:rPr>
        <w:t xml:space="preserve"> FEM-8.</w:t>
      </w:r>
    </w:p>
    <w:p w14:paraId="384AB11E" w14:textId="77777777" w:rsidR="00974917" w:rsidRPr="004635B2" w:rsidRDefault="00974917" w:rsidP="0012639A">
      <w:pPr>
        <w:suppressLineNumbers/>
        <w:suppressAutoHyphens/>
        <w:adjustRightInd w:val="0"/>
        <w:snapToGrid w:val="0"/>
        <w:rPr>
          <w:rFonts w:ascii="Arial" w:hAnsi="Arial" w:cs="Arial"/>
          <w:sz w:val="22"/>
          <w:szCs w:val="22"/>
          <w:lang w:val="fr-CA"/>
        </w:rPr>
      </w:pPr>
    </w:p>
    <w:p w14:paraId="24799CD3" w14:textId="2461FAFE" w:rsidR="00974917" w:rsidRPr="004635B2" w:rsidRDefault="00D54D9C" w:rsidP="0012639A">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57.</w:t>
      </w:r>
      <w:r w:rsidRPr="004635B2">
        <w:rPr>
          <w:rFonts w:ascii="Arial" w:hAnsi="Arial" w:cs="Arial"/>
          <w:sz w:val="22"/>
          <w:szCs w:val="22"/>
          <w:lang w:val="fr-CA"/>
        </w:rPr>
        <w:tab/>
      </w:r>
      <w:r w:rsidR="00974917" w:rsidRPr="004635B2">
        <w:rPr>
          <w:rFonts w:ascii="Arial" w:hAnsi="Arial" w:cs="Arial"/>
          <w:sz w:val="22"/>
          <w:szCs w:val="22"/>
          <w:lang w:val="fr-CA"/>
        </w:rPr>
        <w:t>L'analyse du questionnaire fournit également une description qualitative de l'ensemble du portefeuille de proje</w:t>
      </w:r>
      <w:r w:rsidR="0078644E">
        <w:rPr>
          <w:rFonts w:ascii="Arial" w:hAnsi="Arial" w:cs="Arial"/>
          <w:sz w:val="22"/>
          <w:szCs w:val="22"/>
          <w:lang w:val="fr-CA"/>
        </w:rPr>
        <w:t>ts susceptibles d'être soumis à la</w:t>
      </w:r>
      <w:r w:rsidR="00974917" w:rsidRPr="004635B2">
        <w:rPr>
          <w:rFonts w:ascii="Arial" w:hAnsi="Arial" w:cs="Arial"/>
          <w:sz w:val="22"/>
          <w:szCs w:val="22"/>
          <w:lang w:val="fr-CA"/>
        </w:rPr>
        <w:t xml:space="preserve"> FEM-8. La description du portefeuille global de projets proposés </w:t>
      </w:r>
      <w:r w:rsidRPr="004635B2">
        <w:rPr>
          <w:rFonts w:ascii="Arial" w:hAnsi="Arial" w:cs="Arial"/>
          <w:sz w:val="22"/>
          <w:szCs w:val="22"/>
          <w:lang w:val="fr-CA"/>
        </w:rPr>
        <w:t xml:space="preserve">est fournie et </w:t>
      </w:r>
      <w:r w:rsidR="00974917" w:rsidRPr="004635B2">
        <w:rPr>
          <w:rFonts w:ascii="Arial" w:hAnsi="Arial" w:cs="Arial"/>
          <w:sz w:val="22"/>
          <w:szCs w:val="22"/>
          <w:lang w:val="fr-CA"/>
        </w:rPr>
        <w:t xml:space="preserve">répartie entre les biomes, les caractéristiques des espèces, </w:t>
      </w:r>
      <w:r w:rsidRPr="004635B2">
        <w:rPr>
          <w:rFonts w:ascii="Arial" w:hAnsi="Arial" w:cs="Arial"/>
          <w:sz w:val="22"/>
          <w:szCs w:val="22"/>
          <w:lang w:val="fr-CA"/>
        </w:rPr>
        <w:t xml:space="preserve">les objectifs stratégiques et </w:t>
      </w:r>
      <w:r w:rsidR="00974917" w:rsidRPr="004635B2">
        <w:rPr>
          <w:rFonts w:ascii="Arial" w:hAnsi="Arial" w:cs="Arial"/>
          <w:sz w:val="22"/>
          <w:szCs w:val="22"/>
          <w:lang w:val="fr-CA"/>
        </w:rPr>
        <w:t>les programmes intégrés. Ces informations peuvent être utiles pour orienter les décisions programmatiques</w:t>
      </w:r>
      <w:r w:rsidR="0056676A" w:rsidRPr="004635B2">
        <w:rPr>
          <w:rFonts w:ascii="Arial" w:hAnsi="Arial" w:cs="Arial"/>
          <w:sz w:val="22"/>
          <w:szCs w:val="22"/>
          <w:lang w:val="fr-CA"/>
        </w:rPr>
        <w:t xml:space="preserve"> du FEM</w:t>
      </w:r>
      <w:r w:rsidR="00974917" w:rsidRPr="004635B2">
        <w:rPr>
          <w:rFonts w:ascii="Arial" w:hAnsi="Arial" w:cs="Arial"/>
          <w:sz w:val="22"/>
          <w:szCs w:val="22"/>
          <w:lang w:val="fr-CA"/>
        </w:rPr>
        <w:t>.</w:t>
      </w:r>
    </w:p>
    <w:p w14:paraId="52C1DDD1" w14:textId="77777777" w:rsidR="0056676A" w:rsidRPr="004635B2" w:rsidRDefault="0056676A" w:rsidP="0012639A">
      <w:pPr>
        <w:suppressLineNumbers/>
        <w:suppressAutoHyphens/>
        <w:adjustRightInd w:val="0"/>
        <w:snapToGrid w:val="0"/>
        <w:rPr>
          <w:rFonts w:ascii="Arial" w:hAnsi="Arial" w:cs="Arial"/>
          <w:sz w:val="22"/>
          <w:szCs w:val="22"/>
          <w:lang w:val="fr-CA"/>
        </w:rPr>
      </w:pPr>
    </w:p>
    <w:p w14:paraId="7267841F" w14:textId="32D36B97" w:rsidR="0056676A" w:rsidRPr="004635B2" w:rsidRDefault="0056676A" w:rsidP="0012639A">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58.</w:t>
      </w:r>
      <w:r w:rsidRPr="004635B2">
        <w:rPr>
          <w:rFonts w:ascii="Arial" w:hAnsi="Arial" w:cs="Arial"/>
          <w:sz w:val="22"/>
          <w:szCs w:val="22"/>
          <w:lang w:val="fr-CA"/>
        </w:rPr>
        <w:tab/>
        <w:t xml:space="preserve">L’analyse repose entièrement sur les données fournies par les Parties ayant répondu au questionnaire. Deux mises en garde s’appliquent à cette analyse : </w:t>
      </w:r>
      <w:r w:rsidR="004A3ECE" w:rsidRPr="004635B2">
        <w:rPr>
          <w:rFonts w:ascii="Arial" w:hAnsi="Arial" w:cs="Arial"/>
          <w:sz w:val="22"/>
          <w:szCs w:val="22"/>
          <w:lang w:val="fr-CA"/>
        </w:rPr>
        <w:t>premièrement, l’analyse n’est pas représentative de</w:t>
      </w:r>
      <w:r w:rsidRPr="004635B2">
        <w:rPr>
          <w:rFonts w:ascii="Arial" w:hAnsi="Arial" w:cs="Arial"/>
          <w:sz w:val="22"/>
          <w:szCs w:val="22"/>
          <w:lang w:val="fr-CA"/>
        </w:rPr>
        <w:t xml:space="preserve"> l’intégralité du portefeuille</w:t>
      </w:r>
      <w:r w:rsidR="004A3ECE" w:rsidRPr="004635B2">
        <w:rPr>
          <w:rFonts w:ascii="Arial" w:hAnsi="Arial" w:cs="Arial"/>
          <w:sz w:val="22"/>
          <w:szCs w:val="22"/>
          <w:lang w:val="fr-CA"/>
        </w:rPr>
        <w:t xml:space="preserve"> vraisemblablement proposé au FEM (en raison du taux de réponse de 30 pour cent) et deuxièmement, elle est assujettie aux contradictions possibles du questionnaire (c.-à-d., les erreurs ou interprétations erronées possibles). </w:t>
      </w:r>
    </w:p>
    <w:p w14:paraId="688204B8" w14:textId="77777777" w:rsidR="00974917" w:rsidRPr="004635B2" w:rsidRDefault="00974917" w:rsidP="0012639A">
      <w:pPr>
        <w:suppressLineNumbers/>
        <w:suppressAutoHyphens/>
        <w:adjustRightInd w:val="0"/>
        <w:snapToGrid w:val="0"/>
        <w:rPr>
          <w:rFonts w:ascii="Arial" w:hAnsi="Arial" w:cs="Arial"/>
          <w:sz w:val="22"/>
          <w:szCs w:val="22"/>
          <w:lang w:val="fr-CA"/>
        </w:rPr>
      </w:pPr>
    </w:p>
    <w:p w14:paraId="5EFBFE47" w14:textId="111D8FC7" w:rsidR="00974917" w:rsidRPr="004635B2" w:rsidRDefault="003063CE" w:rsidP="0012639A">
      <w:pPr>
        <w:pStyle w:val="ListParagraph"/>
        <w:numPr>
          <w:ilvl w:val="1"/>
          <w:numId w:val="16"/>
        </w:numPr>
        <w:suppressLineNumbers/>
        <w:suppressAutoHyphens/>
        <w:adjustRightInd w:val="0"/>
        <w:snapToGrid w:val="0"/>
        <w:ind w:left="0" w:firstLine="0"/>
        <w:rPr>
          <w:rFonts w:ascii="Arial" w:hAnsi="Arial" w:cs="Arial"/>
          <w:sz w:val="22"/>
          <w:szCs w:val="22"/>
          <w:u w:val="single"/>
          <w:lang w:val="fr-CA"/>
        </w:rPr>
      </w:pPr>
      <w:r w:rsidRPr="004635B2">
        <w:rPr>
          <w:rFonts w:ascii="Arial" w:hAnsi="Arial" w:cs="Arial"/>
          <w:sz w:val="22"/>
          <w:szCs w:val="22"/>
          <w:u w:val="single"/>
          <w:lang w:val="fr-CA"/>
        </w:rPr>
        <w:t>Caractéristiques</w:t>
      </w:r>
      <w:r w:rsidR="00974917" w:rsidRPr="004635B2">
        <w:rPr>
          <w:rFonts w:ascii="Arial" w:hAnsi="Arial" w:cs="Arial"/>
          <w:sz w:val="22"/>
          <w:szCs w:val="22"/>
          <w:u w:val="single"/>
          <w:lang w:val="fr-CA"/>
        </w:rPr>
        <w:t xml:space="preserve"> du portefeuille proposée</w:t>
      </w:r>
      <w:r w:rsidR="00C60C38">
        <w:rPr>
          <w:rFonts w:ascii="Arial" w:hAnsi="Arial" w:cs="Arial"/>
          <w:sz w:val="22"/>
          <w:szCs w:val="22"/>
          <w:u w:val="single"/>
          <w:lang w:val="fr-CA"/>
        </w:rPr>
        <w:t>s</w:t>
      </w:r>
      <w:r w:rsidR="00974917" w:rsidRPr="004635B2">
        <w:rPr>
          <w:rFonts w:ascii="Arial" w:hAnsi="Arial" w:cs="Arial"/>
          <w:sz w:val="22"/>
          <w:szCs w:val="22"/>
          <w:u w:val="single"/>
          <w:lang w:val="fr-CA"/>
        </w:rPr>
        <w:t xml:space="preserve"> sur la base des réponses au questionnaire</w:t>
      </w:r>
    </w:p>
    <w:p w14:paraId="4C249839" w14:textId="77777777" w:rsidR="003063CE" w:rsidRPr="004635B2" w:rsidRDefault="003063CE" w:rsidP="003063CE">
      <w:pPr>
        <w:pStyle w:val="ListParagraph"/>
        <w:suppressLineNumbers/>
        <w:suppressAutoHyphens/>
        <w:adjustRightInd w:val="0"/>
        <w:snapToGrid w:val="0"/>
        <w:ind w:left="0"/>
        <w:rPr>
          <w:rFonts w:ascii="Arial" w:hAnsi="Arial" w:cs="Arial"/>
          <w:sz w:val="22"/>
          <w:szCs w:val="22"/>
          <w:u w:val="single"/>
          <w:lang w:val="fr-CA"/>
        </w:rPr>
      </w:pPr>
    </w:p>
    <w:p w14:paraId="3E72D6F9" w14:textId="73F66F48" w:rsidR="003063CE" w:rsidRPr="004635B2" w:rsidRDefault="003063CE" w:rsidP="00920122">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59.</w:t>
      </w:r>
      <w:r w:rsidRPr="004635B2">
        <w:rPr>
          <w:rFonts w:ascii="Arial" w:hAnsi="Arial" w:cs="Arial"/>
          <w:sz w:val="22"/>
          <w:szCs w:val="22"/>
          <w:lang w:val="fr-CA"/>
        </w:rPr>
        <w:tab/>
        <w:t>En date d’octobre 2021, 44 Parties admissibles au FEM (sur 145) avaient répondu au questionnaire. L’analyse de ces questionnaires fournit une estimation des besoins de financement pour les 210 projets proposés.</w:t>
      </w:r>
    </w:p>
    <w:p w14:paraId="3A0BDBA7" w14:textId="77777777" w:rsidR="003063CE" w:rsidRPr="004635B2" w:rsidRDefault="003063CE" w:rsidP="00920122">
      <w:pPr>
        <w:suppressLineNumbers/>
        <w:suppressAutoHyphens/>
        <w:adjustRightInd w:val="0"/>
        <w:snapToGrid w:val="0"/>
        <w:rPr>
          <w:rFonts w:ascii="Arial" w:hAnsi="Arial" w:cs="Arial"/>
          <w:sz w:val="22"/>
          <w:szCs w:val="22"/>
          <w:lang w:val="fr-CA"/>
        </w:rPr>
      </w:pPr>
    </w:p>
    <w:p w14:paraId="50180049" w14:textId="24D2931A" w:rsidR="003063CE" w:rsidRPr="004635B2" w:rsidRDefault="003063CE" w:rsidP="00920122">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60.</w:t>
      </w:r>
      <w:r w:rsidRPr="004635B2">
        <w:rPr>
          <w:rFonts w:ascii="Arial" w:hAnsi="Arial" w:cs="Arial"/>
          <w:sz w:val="22"/>
          <w:szCs w:val="22"/>
          <w:lang w:val="fr-CA"/>
        </w:rPr>
        <w:tab/>
        <w:t>L’analyse révèle que les besoins de fina</w:t>
      </w:r>
      <w:r w:rsidR="009E2938" w:rsidRPr="004635B2">
        <w:rPr>
          <w:rFonts w:ascii="Arial" w:hAnsi="Arial" w:cs="Arial"/>
          <w:sz w:val="22"/>
          <w:szCs w:val="22"/>
          <w:lang w:val="fr-CA"/>
        </w:rPr>
        <w:t>n</w:t>
      </w:r>
      <w:r w:rsidRPr="004635B2">
        <w:rPr>
          <w:rFonts w:ascii="Arial" w:hAnsi="Arial" w:cs="Arial"/>
          <w:sz w:val="22"/>
          <w:szCs w:val="22"/>
          <w:lang w:val="fr-CA"/>
        </w:rPr>
        <w:t xml:space="preserve">cement </w:t>
      </w:r>
      <w:r w:rsidR="009E2938" w:rsidRPr="004635B2">
        <w:rPr>
          <w:rFonts w:ascii="Arial" w:hAnsi="Arial" w:cs="Arial"/>
          <w:sz w:val="22"/>
          <w:szCs w:val="22"/>
          <w:lang w:val="fr-CA"/>
        </w:rPr>
        <w:t>estimatifs</w:t>
      </w:r>
      <w:r w:rsidRPr="004635B2">
        <w:rPr>
          <w:rFonts w:ascii="Arial" w:hAnsi="Arial" w:cs="Arial"/>
          <w:sz w:val="22"/>
          <w:szCs w:val="22"/>
          <w:lang w:val="fr-CA"/>
        </w:rPr>
        <w:t xml:space="preserve"> pour ces 210 projets</w:t>
      </w:r>
      <w:r w:rsidR="00C60C38">
        <w:rPr>
          <w:rFonts w:ascii="Arial" w:hAnsi="Arial" w:cs="Arial"/>
          <w:sz w:val="22"/>
          <w:szCs w:val="22"/>
          <w:lang w:val="fr-CA"/>
        </w:rPr>
        <w:t xml:space="preserve"> de 44 </w:t>
      </w:r>
      <w:r w:rsidR="009E2938" w:rsidRPr="004635B2">
        <w:rPr>
          <w:rFonts w:ascii="Arial" w:hAnsi="Arial" w:cs="Arial"/>
          <w:sz w:val="22"/>
          <w:szCs w:val="22"/>
          <w:lang w:val="fr-CA"/>
        </w:rPr>
        <w:t>pays représentent la somme de 4 049 921 897 $US.</w:t>
      </w:r>
      <w:r w:rsidR="009E2938" w:rsidRPr="004635B2">
        <w:rPr>
          <w:rStyle w:val="FootnoteReference"/>
          <w:rFonts w:ascii="Arial" w:hAnsi="Arial" w:cs="Arial"/>
          <w:u w:val="none"/>
          <w:vertAlign w:val="superscript"/>
          <w:lang w:val="fr-CA"/>
        </w:rPr>
        <w:footnoteReference w:id="14"/>
      </w:r>
      <w:r w:rsidR="009E2938" w:rsidRPr="004635B2">
        <w:rPr>
          <w:rFonts w:ascii="Arial" w:hAnsi="Arial" w:cs="Arial"/>
          <w:sz w:val="22"/>
          <w:szCs w:val="22"/>
          <w:lang w:val="fr-CA"/>
        </w:rPr>
        <w:t xml:space="preserve"> </w:t>
      </w:r>
      <w:r w:rsidR="00C60C38">
        <w:rPr>
          <w:rFonts w:ascii="Arial" w:hAnsi="Arial" w:cs="Arial"/>
          <w:sz w:val="22"/>
          <w:szCs w:val="22"/>
          <w:lang w:val="fr-CA"/>
        </w:rPr>
        <w:t xml:space="preserve">On estime que les gouvernements cofinanceront </w:t>
      </w:r>
      <w:r w:rsidR="009E2938" w:rsidRPr="004635B2">
        <w:rPr>
          <w:rFonts w:ascii="Arial" w:hAnsi="Arial" w:cs="Arial"/>
          <w:sz w:val="22"/>
          <w:szCs w:val="22"/>
          <w:lang w:val="fr-CA"/>
        </w:rPr>
        <w:t xml:space="preserve">39 pour cent de cette somme et </w:t>
      </w:r>
      <w:r w:rsidR="00C60C38">
        <w:rPr>
          <w:rFonts w:ascii="Arial" w:hAnsi="Arial" w:cs="Arial"/>
          <w:sz w:val="22"/>
          <w:szCs w:val="22"/>
          <w:lang w:val="fr-CA"/>
        </w:rPr>
        <w:t xml:space="preserve">que </w:t>
      </w:r>
      <w:r w:rsidR="009E2938" w:rsidRPr="004635B2">
        <w:rPr>
          <w:rFonts w:ascii="Arial" w:hAnsi="Arial" w:cs="Arial"/>
          <w:sz w:val="22"/>
          <w:szCs w:val="22"/>
          <w:lang w:val="fr-CA"/>
        </w:rPr>
        <w:t xml:space="preserve">29 pour cent </w:t>
      </w:r>
      <w:r w:rsidR="00C60C38">
        <w:rPr>
          <w:rFonts w:ascii="Arial" w:hAnsi="Arial" w:cs="Arial"/>
          <w:sz w:val="22"/>
          <w:szCs w:val="22"/>
          <w:lang w:val="fr-CA"/>
        </w:rPr>
        <w:t xml:space="preserve">proviendront </w:t>
      </w:r>
      <w:r w:rsidR="009E2938" w:rsidRPr="004635B2">
        <w:rPr>
          <w:rFonts w:ascii="Arial" w:hAnsi="Arial" w:cs="Arial"/>
          <w:sz w:val="22"/>
          <w:szCs w:val="22"/>
          <w:lang w:val="fr-CA"/>
        </w:rPr>
        <w:t>d’autres sources, de sorte que le FEM cofinancerait 32 pour cent. On estime que 78 pour cent des projets sont en lien avec la Convention, tandis que 21 pour cent sont en lien avec le Protocole de Cartagena et 38 pour cent av</w:t>
      </w:r>
      <w:r w:rsidR="00A70370" w:rsidRPr="004635B2">
        <w:rPr>
          <w:rFonts w:ascii="Arial" w:hAnsi="Arial" w:cs="Arial"/>
          <w:sz w:val="22"/>
          <w:szCs w:val="22"/>
          <w:lang w:val="fr-CA"/>
        </w:rPr>
        <w:t xml:space="preserve">ec le Protocole de Nagoya (la somme représente plus que 100 pour cent car certains projets sont liés à la fois à la Convention </w:t>
      </w:r>
      <w:r w:rsidR="00BB1150">
        <w:rPr>
          <w:rFonts w:ascii="Arial" w:hAnsi="Arial" w:cs="Arial"/>
          <w:sz w:val="22"/>
          <w:szCs w:val="22"/>
          <w:lang w:val="fr-CA"/>
        </w:rPr>
        <w:t xml:space="preserve">à </w:t>
      </w:r>
      <w:r w:rsidR="00A70370" w:rsidRPr="004635B2">
        <w:rPr>
          <w:rFonts w:ascii="Arial" w:hAnsi="Arial" w:cs="Arial"/>
          <w:sz w:val="22"/>
          <w:szCs w:val="22"/>
          <w:lang w:val="fr-CA"/>
        </w:rPr>
        <w:t xml:space="preserve">et l’un ou l’autre ou </w:t>
      </w:r>
      <w:r w:rsidR="002D6BC5">
        <w:rPr>
          <w:rFonts w:ascii="Arial" w:hAnsi="Arial" w:cs="Arial"/>
          <w:sz w:val="22"/>
          <w:szCs w:val="22"/>
          <w:lang w:val="fr-CA"/>
        </w:rPr>
        <w:t>les</w:t>
      </w:r>
      <w:r w:rsidR="00A70370" w:rsidRPr="004635B2">
        <w:rPr>
          <w:rFonts w:ascii="Arial" w:hAnsi="Arial" w:cs="Arial"/>
          <w:sz w:val="22"/>
          <w:szCs w:val="22"/>
          <w:lang w:val="fr-CA"/>
        </w:rPr>
        <w:t xml:space="preserve"> deux protocoles).</w:t>
      </w:r>
    </w:p>
    <w:p w14:paraId="30DED723" w14:textId="77777777" w:rsidR="00920122" w:rsidRPr="004635B2" w:rsidRDefault="00920122" w:rsidP="0012639A">
      <w:pPr>
        <w:suppressLineNumbers/>
        <w:tabs>
          <w:tab w:val="left" w:pos="1134"/>
          <w:tab w:val="left" w:pos="1418"/>
        </w:tabs>
        <w:suppressAutoHyphens/>
        <w:adjustRightInd w:val="0"/>
        <w:snapToGrid w:val="0"/>
        <w:rPr>
          <w:rFonts w:ascii="Arial" w:hAnsi="Arial" w:cs="Arial"/>
          <w:sz w:val="22"/>
          <w:szCs w:val="22"/>
          <w:lang w:val="fr-CA"/>
        </w:rPr>
      </w:pPr>
    </w:p>
    <w:p w14:paraId="6FF02A56" w14:textId="3B3D87F0" w:rsidR="00920122" w:rsidRPr="004635B2" w:rsidRDefault="00920122" w:rsidP="00920122">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61.</w:t>
      </w:r>
      <w:r w:rsidRPr="004635B2">
        <w:rPr>
          <w:rFonts w:ascii="Arial" w:hAnsi="Arial" w:cs="Arial"/>
          <w:sz w:val="22"/>
          <w:szCs w:val="22"/>
          <w:lang w:val="fr-CA"/>
        </w:rPr>
        <w:tab/>
        <w:t>L’analyse des biomes révèle que les zones humides sont le biome le plus couramment visé par les projets. En effet, 61 p</w:t>
      </w:r>
      <w:r w:rsidR="007B15B7" w:rsidRPr="004635B2">
        <w:rPr>
          <w:rFonts w:ascii="Arial" w:hAnsi="Arial" w:cs="Arial"/>
          <w:sz w:val="22"/>
          <w:szCs w:val="22"/>
          <w:lang w:val="fr-CA"/>
        </w:rPr>
        <w:t>o</w:t>
      </w:r>
      <w:r w:rsidRPr="004635B2">
        <w:rPr>
          <w:rFonts w:ascii="Arial" w:hAnsi="Arial" w:cs="Arial"/>
          <w:sz w:val="22"/>
          <w:szCs w:val="22"/>
          <w:lang w:val="fr-CA"/>
        </w:rPr>
        <w:t>ur cent des projets prévus portent sur les zones humides, s</w:t>
      </w:r>
      <w:r w:rsidR="00BB1150">
        <w:rPr>
          <w:rFonts w:ascii="Arial" w:hAnsi="Arial" w:cs="Arial"/>
          <w:sz w:val="22"/>
          <w:szCs w:val="22"/>
          <w:lang w:val="fr-CA"/>
        </w:rPr>
        <w:t>uivies des rivières et des lacs</w:t>
      </w:r>
      <w:r w:rsidRPr="004635B2">
        <w:rPr>
          <w:rFonts w:ascii="Arial" w:hAnsi="Arial" w:cs="Arial"/>
          <w:sz w:val="22"/>
          <w:szCs w:val="22"/>
          <w:lang w:val="fr-CA"/>
        </w:rPr>
        <w:t xml:space="preserve"> à 49 pour cent, et ensuite des for</w:t>
      </w:r>
      <w:r w:rsidR="007B15B7" w:rsidRPr="004635B2">
        <w:rPr>
          <w:rFonts w:ascii="Arial" w:hAnsi="Arial" w:cs="Arial"/>
          <w:sz w:val="22"/>
          <w:szCs w:val="22"/>
          <w:lang w:val="fr-CA"/>
        </w:rPr>
        <w:t>ê</w:t>
      </w:r>
      <w:r w:rsidRPr="004635B2">
        <w:rPr>
          <w:rFonts w:ascii="Arial" w:hAnsi="Arial" w:cs="Arial"/>
          <w:sz w:val="22"/>
          <w:szCs w:val="22"/>
          <w:lang w:val="fr-CA"/>
        </w:rPr>
        <w:t>ts tropicales à 40 pour cent. L</w:t>
      </w:r>
      <w:r w:rsidR="007B15B7" w:rsidRPr="004635B2">
        <w:rPr>
          <w:rFonts w:ascii="Arial" w:hAnsi="Arial" w:cs="Arial"/>
          <w:sz w:val="22"/>
          <w:szCs w:val="22"/>
          <w:lang w:val="fr-CA"/>
        </w:rPr>
        <w:t>es biomes les moins fréquemment</w:t>
      </w:r>
      <w:r w:rsidRPr="004635B2">
        <w:rPr>
          <w:rFonts w:ascii="Arial" w:hAnsi="Arial" w:cs="Arial"/>
          <w:sz w:val="22"/>
          <w:szCs w:val="22"/>
          <w:lang w:val="fr-CA"/>
        </w:rPr>
        <w:t xml:space="preserve"> visés sont le </w:t>
      </w:r>
      <w:proofErr w:type="spellStart"/>
      <w:r w:rsidRPr="004635B2">
        <w:rPr>
          <w:rFonts w:ascii="Arial" w:hAnsi="Arial" w:cs="Arial"/>
          <w:sz w:val="22"/>
          <w:szCs w:val="22"/>
          <w:lang w:val="fr-CA"/>
        </w:rPr>
        <w:t>paramo</w:t>
      </w:r>
      <w:proofErr w:type="spellEnd"/>
      <w:r w:rsidRPr="004635B2">
        <w:rPr>
          <w:rFonts w:ascii="Arial" w:hAnsi="Arial" w:cs="Arial"/>
          <w:sz w:val="22"/>
          <w:szCs w:val="22"/>
          <w:lang w:val="fr-CA"/>
        </w:rPr>
        <w:t>, à 4</w:t>
      </w:r>
      <w:r w:rsidR="00BB1150">
        <w:rPr>
          <w:rFonts w:ascii="Arial" w:hAnsi="Arial" w:cs="Arial"/>
          <w:sz w:val="22"/>
          <w:szCs w:val="22"/>
          <w:lang w:val="fr-CA"/>
        </w:rPr>
        <w:t xml:space="preserve"> pour cent, et les déserts à 10 </w:t>
      </w:r>
      <w:r w:rsidRPr="004635B2">
        <w:rPr>
          <w:rFonts w:ascii="Arial" w:hAnsi="Arial" w:cs="Arial"/>
          <w:sz w:val="22"/>
          <w:szCs w:val="22"/>
          <w:lang w:val="fr-CA"/>
        </w:rPr>
        <w:t>pour cent.</w:t>
      </w:r>
    </w:p>
    <w:p w14:paraId="286694CE" w14:textId="77777777" w:rsidR="007B15B7" w:rsidRPr="004635B2" w:rsidRDefault="007B15B7" w:rsidP="00920122">
      <w:pPr>
        <w:suppressLineNumbers/>
        <w:suppressAutoHyphens/>
        <w:adjustRightInd w:val="0"/>
        <w:snapToGrid w:val="0"/>
        <w:rPr>
          <w:rFonts w:ascii="Arial" w:hAnsi="Arial" w:cs="Arial"/>
          <w:sz w:val="22"/>
          <w:szCs w:val="22"/>
          <w:lang w:val="fr-CA"/>
        </w:rPr>
      </w:pPr>
    </w:p>
    <w:p w14:paraId="02676D3E" w14:textId="6ABAA0E7" w:rsidR="007B15B7" w:rsidRPr="004635B2" w:rsidRDefault="00BB1150" w:rsidP="00920122">
      <w:pPr>
        <w:suppressLineNumbers/>
        <w:suppressAutoHyphens/>
        <w:adjustRightInd w:val="0"/>
        <w:snapToGrid w:val="0"/>
        <w:rPr>
          <w:rFonts w:ascii="Arial" w:hAnsi="Arial" w:cs="Arial"/>
          <w:sz w:val="22"/>
          <w:szCs w:val="22"/>
          <w:lang w:val="fr-CA"/>
        </w:rPr>
      </w:pPr>
      <w:r>
        <w:rPr>
          <w:rFonts w:ascii="Arial" w:hAnsi="Arial" w:cs="Arial"/>
          <w:sz w:val="22"/>
          <w:szCs w:val="22"/>
          <w:lang w:val="fr-CA"/>
        </w:rPr>
        <w:t>62.</w:t>
      </w:r>
      <w:r>
        <w:rPr>
          <w:rFonts w:ascii="Arial" w:hAnsi="Arial" w:cs="Arial"/>
          <w:sz w:val="22"/>
          <w:szCs w:val="22"/>
          <w:lang w:val="fr-CA"/>
        </w:rPr>
        <w:tab/>
        <w:t>Au total</w:t>
      </w:r>
      <w:r w:rsidR="007B15B7" w:rsidRPr="004635B2">
        <w:rPr>
          <w:rFonts w:ascii="Arial" w:hAnsi="Arial" w:cs="Arial"/>
          <w:sz w:val="22"/>
          <w:szCs w:val="22"/>
          <w:lang w:val="fr-CA"/>
        </w:rPr>
        <w:t xml:space="preserve">, 70 pour cent des projets devraient porter sur les espèces menacées, à raison de 60 pour cent pour les ressources phytogénétiques et </w:t>
      </w:r>
      <w:r>
        <w:rPr>
          <w:rFonts w:ascii="Arial" w:hAnsi="Arial" w:cs="Arial"/>
          <w:sz w:val="22"/>
          <w:szCs w:val="22"/>
          <w:lang w:val="fr-CA"/>
        </w:rPr>
        <w:t xml:space="preserve">de </w:t>
      </w:r>
      <w:r w:rsidR="007B15B7" w:rsidRPr="004635B2">
        <w:rPr>
          <w:rFonts w:ascii="Arial" w:hAnsi="Arial" w:cs="Arial"/>
          <w:sz w:val="22"/>
          <w:szCs w:val="22"/>
          <w:lang w:val="fr-CA"/>
        </w:rPr>
        <w:t xml:space="preserve">51 pour cent pour les ressources zoogénétiques. </w:t>
      </w:r>
      <w:r w:rsidR="00C21701" w:rsidRPr="004635B2">
        <w:rPr>
          <w:rFonts w:ascii="Arial" w:hAnsi="Arial" w:cs="Arial"/>
          <w:sz w:val="22"/>
          <w:szCs w:val="22"/>
          <w:lang w:val="fr-CA"/>
        </w:rPr>
        <w:t>Les parents sauvages des animaux d’élevage ne sont visés que dans 23 pour cent des projets.</w:t>
      </w:r>
    </w:p>
    <w:p w14:paraId="1EAB0EBA" w14:textId="77777777" w:rsidR="00C21701" w:rsidRPr="004635B2" w:rsidRDefault="00C21701" w:rsidP="00920122">
      <w:pPr>
        <w:suppressLineNumbers/>
        <w:suppressAutoHyphens/>
        <w:adjustRightInd w:val="0"/>
        <w:snapToGrid w:val="0"/>
        <w:rPr>
          <w:rFonts w:ascii="Arial" w:hAnsi="Arial" w:cs="Arial"/>
          <w:sz w:val="22"/>
          <w:szCs w:val="22"/>
          <w:lang w:val="fr-CA"/>
        </w:rPr>
      </w:pPr>
    </w:p>
    <w:p w14:paraId="51867D66" w14:textId="139F16B0" w:rsidR="00C21701" w:rsidRPr="004635B2" w:rsidRDefault="00C21701" w:rsidP="00920122">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63.</w:t>
      </w:r>
      <w:r w:rsidRPr="004635B2">
        <w:rPr>
          <w:rFonts w:ascii="Arial" w:hAnsi="Arial" w:cs="Arial"/>
          <w:sz w:val="22"/>
          <w:szCs w:val="22"/>
          <w:lang w:val="fr-CA"/>
        </w:rPr>
        <w:tab/>
      </w:r>
      <w:r w:rsidR="003C31DE" w:rsidRPr="004635B2">
        <w:rPr>
          <w:rFonts w:ascii="Arial" w:hAnsi="Arial" w:cs="Arial"/>
          <w:sz w:val="22"/>
          <w:szCs w:val="22"/>
          <w:lang w:val="fr-CA"/>
        </w:rPr>
        <w:t>Tous les programmes i</w:t>
      </w:r>
      <w:r w:rsidR="00BB1150">
        <w:rPr>
          <w:rFonts w:ascii="Arial" w:hAnsi="Arial" w:cs="Arial"/>
          <w:sz w:val="22"/>
          <w:szCs w:val="22"/>
          <w:lang w:val="fr-CA"/>
        </w:rPr>
        <w:t>ntégrés du FEM (selon la</w:t>
      </w:r>
      <w:r w:rsidRPr="004635B2">
        <w:rPr>
          <w:rFonts w:ascii="Arial" w:hAnsi="Arial" w:cs="Arial"/>
          <w:sz w:val="22"/>
          <w:szCs w:val="22"/>
          <w:lang w:val="fr-CA"/>
        </w:rPr>
        <w:t xml:space="preserve"> FEM-7) semblent raisonnablement importants </w:t>
      </w:r>
      <w:r w:rsidR="00BB1150">
        <w:rPr>
          <w:rFonts w:ascii="Arial" w:hAnsi="Arial" w:cs="Arial"/>
          <w:sz w:val="22"/>
          <w:szCs w:val="22"/>
          <w:lang w:val="fr-CA"/>
        </w:rPr>
        <w:t>dans l’ensemble</w:t>
      </w:r>
      <w:r w:rsidR="003C31DE" w:rsidRPr="004635B2">
        <w:rPr>
          <w:rFonts w:ascii="Arial" w:hAnsi="Arial" w:cs="Arial"/>
          <w:sz w:val="22"/>
          <w:szCs w:val="22"/>
          <w:lang w:val="fr-CA"/>
        </w:rPr>
        <w:t xml:space="preserve"> des proj</w:t>
      </w:r>
      <w:r w:rsidRPr="004635B2">
        <w:rPr>
          <w:rFonts w:ascii="Arial" w:hAnsi="Arial" w:cs="Arial"/>
          <w:sz w:val="22"/>
          <w:szCs w:val="22"/>
          <w:lang w:val="fr-CA"/>
        </w:rPr>
        <w:t>ets prévus</w:t>
      </w:r>
      <w:r w:rsidR="003C31DE" w:rsidRPr="004635B2">
        <w:rPr>
          <w:rFonts w:ascii="Arial" w:hAnsi="Arial" w:cs="Arial"/>
          <w:sz w:val="22"/>
          <w:szCs w:val="22"/>
          <w:lang w:val="fr-CA"/>
        </w:rPr>
        <w:t>, où les</w:t>
      </w:r>
      <w:r w:rsidRPr="004635B2">
        <w:rPr>
          <w:rFonts w:ascii="Arial" w:hAnsi="Arial" w:cs="Arial"/>
          <w:sz w:val="22"/>
          <w:szCs w:val="22"/>
          <w:lang w:val="fr-CA"/>
        </w:rPr>
        <w:t xml:space="preserve"> « systèmes alimentaires, l’utilisation et la restauration des terres </w:t>
      </w:r>
      <w:r w:rsidR="003C31DE" w:rsidRPr="004635B2">
        <w:rPr>
          <w:rFonts w:ascii="Arial" w:hAnsi="Arial" w:cs="Arial"/>
          <w:sz w:val="22"/>
          <w:szCs w:val="22"/>
          <w:lang w:val="fr-CA"/>
        </w:rPr>
        <w:t>» figurent en tête de liste à 47 pour cent et les « villes durables » sont au bas de la liste à 17 pour cent.</w:t>
      </w:r>
    </w:p>
    <w:p w14:paraId="2382774A" w14:textId="77777777" w:rsidR="003C31DE" w:rsidRPr="004635B2" w:rsidRDefault="003C31DE" w:rsidP="00920122">
      <w:pPr>
        <w:suppressLineNumbers/>
        <w:suppressAutoHyphens/>
        <w:adjustRightInd w:val="0"/>
        <w:snapToGrid w:val="0"/>
        <w:rPr>
          <w:rFonts w:ascii="Arial" w:hAnsi="Arial" w:cs="Arial"/>
          <w:sz w:val="22"/>
          <w:szCs w:val="22"/>
          <w:lang w:val="fr-CA"/>
        </w:rPr>
      </w:pPr>
    </w:p>
    <w:p w14:paraId="77F9C119" w14:textId="7842D2BC" w:rsidR="003C31DE" w:rsidRPr="004635B2" w:rsidRDefault="003C31DE" w:rsidP="00920122">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64.</w:t>
      </w:r>
      <w:r w:rsidRPr="004635B2">
        <w:rPr>
          <w:rFonts w:ascii="Arial" w:hAnsi="Arial" w:cs="Arial"/>
          <w:sz w:val="22"/>
          <w:szCs w:val="22"/>
          <w:lang w:val="fr-CA"/>
        </w:rPr>
        <w:tab/>
        <w:t>En ce qui concerne les objectifs stratégiques, l’amélioration de l’utilisation durable de la biodiversité</w:t>
      </w:r>
      <w:r w:rsidR="00BB1150">
        <w:rPr>
          <w:rFonts w:ascii="Arial" w:hAnsi="Arial" w:cs="Arial"/>
          <w:sz w:val="22"/>
          <w:szCs w:val="22"/>
          <w:lang w:val="fr-CA"/>
        </w:rPr>
        <w:t xml:space="preserve"> a été la stratégie la pl</w:t>
      </w:r>
      <w:r w:rsidRPr="004635B2">
        <w:rPr>
          <w:rFonts w:ascii="Arial" w:hAnsi="Arial" w:cs="Arial"/>
          <w:sz w:val="22"/>
          <w:szCs w:val="22"/>
          <w:lang w:val="fr-CA"/>
        </w:rPr>
        <w:t>us citée dans les projets proposés,</w:t>
      </w:r>
      <w:r w:rsidR="00BB1150">
        <w:rPr>
          <w:rFonts w:ascii="Arial" w:hAnsi="Arial" w:cs="Arial"/>
          <w:sz w:val="22"/>
          <w:szCs w:val="22"/>
          <w:lang w:val="fr-CA"/>
        </w:rPr>
        <w:t xml:space="preserve"> à 59 pour cent,</w:t>
      </w:r>
      <w:r w:rsidRPr="004635B2">
        <w:rPr>
          <w:rFonts w:ascii="Arial" w:hAnsi="Arial" w:cs="Arial"/>
          <w:sz w:val="22"/>
          <w:szCs w:val="22"/>
          <w:lang w:val="fr-CA"/>
        </w:rPr>
        <w:t xml:space="preserve"> suivie du renforcement des capacités à 55 pour cent et des aires protégées et/ou autres </w:t>
      </w:r>
      <w:r w:rsidR="006A07FE" w:rsidRPr="004635B2">
        <w:rPr>
          <w:rFonts w:ascii="Arial" w:hAnsi="Arial" w:cs="Arial"/>
          <w:sz w:val="22"/>
          <w:szCs w:val="22"/>
          <w:lang w:val="fr-CA"/>
        </w:rPr>
        <w:t>mesures de conservation effica</w:t>
      </w:r>
      <w:r w:rsidRPr="004635B2">
        <w:rPr>
          <w:rFonts w:ascii="Arial" w:hAnsi="Arial" w:cs="Arial"/>
          <w:sz w:val="22"/>
          <w:szCs w:val="22"/>
          <w:lang w:val="fr-CA"/>
        </w:rPr>
        <w:t xml:space="preserve">ces des zones à 52 pour cent. </w:t>
      </w:r>
      <w:r w:rsidR="006A07FE" w:rsidRPr="004635B2">
        <w:rPr>
          <w:rFonts w:ascii="Arial" w:hAnsi="Arial" w:cs="Arial"/>
          <w:sz w:val="22"/>
          <w:szCs w:val="22"/>
          <w:lang w:val="fr-CA"/>
        </w:rPr>
        <w:t xml:space="preserve">La « prévention des impacts négatifs possibles de la biotechnologie » a été parmi les stratégies les moins populaires, à 8 pour cent, au même titre que  le « renforcement des capacités pour la mise en œuvre du Protocole de Cartagena sur la prévention des risques biotechnologiques », à 10 pour cent et « l’amélioration de l’accès aux espaces verts » et « REDD ». tous les deux à 11 pour cent.  </w:t>
      </w:r>
      <w:r w:rsidRPr="004635B2">
        <w:rPr>
          <w:rFonts w:ascii="Arial" w:hAnsi="Arial" w:cs="Arial"/>
          <w:sz w:val="22"/>
          <w:szCs w:val="22"/>
          <w:lang w:val="fr-CA"/>
        </w:rPr>
        <w:t xml:space="preserve"> </w:t>
      </w:r>
    </w:p>
    <w:p w14:paraId="62DCD238" w14:textId="77777777" w:rsidR="006A07FE" w:rsidRPr="004635B2" w:rsidRDefault="006A07FE" w:rsidP="00920122">
      <w:pPr>
        <w:suppressLineNumbers/>
        <w:suppressAutoHyphens/>
        <w:adjustRightInd w:val="0"/>
        <w:snapToGrid w:val="0"/>
        <w:rPr>
          <w:rFonts w:ascii="Arial" w:hAnsi="Arial" w:cs="Arial"/>
          <w:sz w:val="22"/>
          <w:szCs w:val="22"/>
          <w:lang w:val="fr-CA"/>
        </w:rPr>
      </w:pPr>
    </w:p>
    <w:p w14:paraId="4C79918C" w14:textId="2179E2A9" w:rsidR="006A07FE" w:rsidRPr="004635B2" w:rsidRDefault="006A07FE" w:rsidP="00920122">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65.</w:t>
      </w:r>
      <w:r w:rsidRPr="004635B2">
        <w:rPr>
          <w:rFonts w:ascii="Arial" w:hAnsi="Arial" w:cs="Arial"/>
          <w:sz w:val="22"/>
          <w:szCs w:val="22"/>
          <w:lang w:val="fr-CA"/>
        </w:rPr>
        <w:tab/>
      </w:r>
      <w:r w:rsidR="00B73212" w:rsidRPr="004635B2">
        <w:rPr>
          <w:rFonts w:ascii="Arial" w:hAnsi="Arial" w:cs="Arial"/>
          <w:sz w:val="22"/>
          <w:szCs w:val="22"/>
          <w:lang w:val="fr-CA"/>
        </w:rPr>
        <w:t>La plupart des projets décrits (58 pour cent) étaient liés à la CCNUCC, 54 pour cent avaient un lien avec la CITES et 52 pour cent avec la Plateforme intergouvernementale scientifique et politique sur la biodiversité et les services écosystémiques. À l’autre bout du spectre, l’IWC, le Protocole de Montréal relatif à des substances qui appauvrissent la couche d’ozone et la Convention de Minamata sur le mercure n’ont été</w:t>
      </w:r>
      <w:r w:rsidR="002D6BC5">
        <w:rPr>
          <w:rFonts w:ascii="Arial" w:hAnsi="Arial" w:cs="Arial"/>
          <w:sz w:val="22"/>
          <w:szCs w:val="22"/>
          <w:lang w:val="fr-CA"/>
        </w:rPr>
        <w:t xml:space="preserve"> visés respectivement que par 5 </w:t>
      </w:r>
      <w:r w:rsidR="00B73212" w:rsidRPr="004635B2">
        <w:rPr>
          <w:rFonts w:ascii="Arial" w:hAnsi="Arial" w:cs="Arial"/>
          <w:sz w:val="22"/>
          <w:szCs w:val="22"/>
          <w:lang w:val="fr-CA"/>
        </w:rPr>
        <w:t xml:space="preserve">pour cent, 2 pour cent et 3 pour cent des projets. </w:t>
      </w:r>
      <w:r w:rsidR="00E5726D" w:rsidRPr="004635B2">
        <w:rPr>
          <w:rFonts w:ascii="Arial" w:hAnsi="Arial" w:cs="Arial"/>
          <w:sz w:val="22"/>
          <w:szCs w:val="22"/>
          <w:lang w:val="fr-CA"/>
        </w:rPr>
        <w:t>En dernier lieu, l’ODD 15 (la vie sur Terre) a été le plus cité</w:t>
      </w:r>
      <w:r w:rsidR="006615AB">
        <w:rPr>
          <w:rFonts w:ascii="Arial" w:hAnsi="Arial" w:cs="Arial"/>
          <w:sz w:val="22"/>
          <w:szCs w:val="22"/>
          <w:lang w:val="fr-CA"/>
        </w:rPr>
        <w:t xml:space="preserve">, à </w:t>
      </w:r>
      <w:r w:rsidR="00E5726D" w:rsidRPr="004635B2">
        <w:rPr>
          <w:rFonts w:ascii="Arial" w:hAnsi="Arial" w:cs="Arial"/>
          <w:sz w:val="22"/>
          <w:szCs w:val="22"/>
          <w:lang w:val="fr-CA"/>
        </w:rPr>
        <w:t>75 pour cent, suivi de l’ODD 13 (climat) à 61 pour cent</w:t>
      </w:r>
      <w:r w:rsidR="006615AB">
        <w:rPr>
          <w:rFonts w:ascii="Arial" w:hAnsi="Arial" w:cs="Arial"/>
          <w:sz w:val="22"/>
          <w:szCs w:val="22"/>
          <w:lang w:val="fr-CA"/>
        </w:rPr>
        <w:t>, de</w:t>
      </w:r>
      <w:r w:rsidR="00E5726D" w:rsidRPr="004635B2">
        <w:rPr>
          <w:rFonts w:ascii="Arial" w:hAnsi="Arial" w:cs="Arial"/>
          <w:sz w:val="22"/>
          <w:szCs w:val="22"/>
          <w:lang w:val="fr-CA"/>
        </w:rPr>
        <w:t xml:space="preserve"> l’ODD 3 (bonne santé et b</w:t>
      </w:r>
      <w:r w:rsidR="002D6BC5">
        <w:rPr>
          <w:rFonts w:ascii="Arial" w:hAnsi="Arial" w:cs="Arial"/>
          <w:sz w:val="22"/>
          <w:szCs w:val="22"/>
          <w:lang w:val="fr-CA"/>
        </w:rPr>
        <w:t>ien-être humain) à 58 pour cent</w:t>
      </w:r>
      <w:r w:rsidR="00E5726D" w:rsidRPr="004635B2">
        <w:rPr>
          <w:rFonts w:ascii="Arial" w:hAnsi="Arial" w:cs="Arial"/>
          <w:sz w:val="22"/>
          <w:szCs w:val="22"/>
          <w:lang w:val="fr-CA"/>
        </w:rPr>
        <w:t xml:space="preserve"> et </w:t>
      </w:r>
      <w:r w:rsidR="006615AB">
        <w:rPr>
          <w:rFonts w:ascii="Arial" w:hAnsi="Arial" w:cs="Arial"/>
          <w:sz w:val="22"/>
          <w:szCs w:val="22"/>
          <w:lang w:val="fr-CA"/>
        </w:rPr>
        <w:t xml:space="preserve">de </w:t>
      </w:r>
      <w:r w:rsidR="00E5726D" w:rsidRPr="004635B2">
        <w:rPr>
          <w:rFonts w:ascii="Arial" w:hAnsi="Arial" w:cs="Arial"/>
          <w:sz w:val="22"/>
          <w:szCs w:val="22"/>
          <w:lang w:val="fr-CA"/>
        </w:rPr>
        <w:t xml:space="preserve">l’ODD14 (la vie sous l’eau) à 39 pour cent. L’ODD 7 (énergie propre et abordable) a été le moins cité, à 8 pour cent. </w:t>
      </w:r>
    </w:p>
    <w:p w14:paraId="68B85D26" w14:textId="77777777" w:rsidR="003063CE" w:rsidRPr="004635B2" w:rsidRDefault="003063CE" w:rsidP="0012639A">
      <w:pPr>
        <w:suppressLineNumbers/>
        <w:tabs>
          <w:tab w:val="left" w:pos="1134"/>
          <w:tab w:val="left" w:pos="1418"/>
        </w:tabs>
        <w:suppressAutoHyphens/>
        <w:adjustRightInd w:val="0"/>
        <w:snapToGrid w:val="0"/>
        <w:rPr>
          <w:rFonts w:ascii="Arial" w:hAnsi="Arial" w:cs="Arial"/>
          <w:sz w:val="22"/>
          <w:szCs w:val="22"/>
          <w:lang w:val="fr-CA"/>
        </w:rPr>
      </w:pPr>
    </w:p>
    <w:p w14:paraId="12AF8C17" w14:textId="77777777" w:rsidR="00974917" w:rsidRPr="004635B2" w:rsidRDefault="00974917" w:rsidP="0012639A">
      <w:pPr>
        <w:suppressLineNumbers/>
        <w:suppressAutoHyphens/>
        <w:adjustRightInd w:val="0"/>
        <w:snapToGrid w:val="0"/>
        <w:rPr>
          <w:rFonts w:ascii="Arial" w:hAnsi="Arial" w:cs="Arial"/>
          <w:b/>
          <w:bCs/>
          <w:sz w:val="22"/>
          <w:szCs w:val="22"/>
          <w:lang w:val="fr-CA"/>
        </w:rPr>
      </w:pPr>
    </w:p>
    <w:p w14:paraId="739E171C" w14:textId="77777777" w:rsidR="00974917" w:rsidRPr="004635B2" w:rsidRDefault="00974917" w:rsidP="0065103C">
      <w:pPr>
        <w:suppressLineNumbers/>
        <w:suppressAutoHyphens/>
        <w:adjustRightInd w:val="0"/>
        <w:snapToGrid w:val="0"/>
        <w:spacing w:after="160"/>
        <w:rPr>
          <w:rFonts w:ascii="Arial" w:hAnsi="Arial" w:cs="Arial"/>
          <w:sz w:val="22"/>
          <w:szCs w:val="22"/>
          <w:lang w:val="fr-CA"/>
        </w:rPr>
      </w:pPr>
      <w:r w:rsidRPr="004635B2">
        <w:rPr>
          <w:rFonts w:ascii="Arial" w:hAnsi="Arial" w:cs="Arial"/>
          <w:sz w:val="22"/>
          <w:szCs w:val="22"/>
          <w:lang w:val="fr-CA"/>
        </w:rPr>
        <w:br w:type="page"/>
      </w:r>
    </w:p>
    <w:p w14:paraId="12E97553" w14:textId="77777777" w:rsidR="00974917" w:rsidRPr="004635B2" w:rsidRDefault="00974917" w:rsidP="006615AB">
      <w:pPr>
        <w:suppressLineNumbers/>
        <w:suppressAutoHyphens/>
        <w:adjustRightInd w:val="0"/>
        <w:snapToGrid w:val="0"/>
        <w:jc w:val="center"/>
        <w:rPr>
          <w:rFonts w:ascii="Arial" w:hAnsi="Arial" w:cs="Arial"/>
          <w:sz w:val="22"/>
          <w:szCs w:val="22"/>
          <w:lang w:val="fr-CA"/>
        </w:rPr>
      </w:pPr>
      <w:r w:rsidRPr="004635B2">
        <w:rPr>
          <w:rFonts w:ascii="Arial" w:hAnsi="Arial" w:cs="Arial"/>
          <w:sz w:val="22"/>
          <w:szCs w:val="22"/>
          <w:lang w:val="fr-CA"/>
        </w:rPr>
        <w:t>Tableau 1 : Réponses des pays au questionnaire sur les besoins de financement</w:t>
      </w:r>
    </w:p>
    <w:p w14:paraId="0BFB7071" w14:textId="77777777" w:rsidR="00A46099" w:rsidRPr="004635B2" w:rsidRDefault="00A46099" w:rsidP="00A46099">
      <w:pPr>
        <w:suppressLineNumbers/>
        <w:suppressAutoHyphens/>
        <w:adjustRightInd w:val="0"/>
        <w:snapToGrid w:val="0"/>
        <w:ind w:left="1134"/>
        <w:rPr>
          <w:rFonts w:ascii="Arial" w:hAnsi="Arial" w:cs="Arial"/>
          <w:sz w:val="22"/>
          <w:szCs w:val="22"/>
          <w:lang w:val="fr-CA"/>
        </w:rPr>
      </w:pPr>
    </w:p>
    <w:tbl>
      <w:tblPr>
        <w:tblW w:w="8983" w:type="dxa"/>
        <w:tblLook w:val="04A0" w:firstRow="1" w:lastRow="0" w:firstColumn="1" w:lastColumn="0" w:noHBand="0" w:noVBand="1"/>
      </w:tblPr>
      <w:tblGrid>
        <w:gridCol w:w="440"/>
        <w:gridCol w:w="1823"/>
        <w:gridCol w:w="1005"/>
        <w:gridCol w:w="1405"/>
        <w:gridCol w:w="1457"/>
        <w:gridCol w:w="1435"/>
        <w:gridCol w:w="1418"/>
      </w:tblGrid>
      <w:tr w:rsidR="00672E96" w:rsidRPr="004635B2" w14:paraId="39851C53" w14:textId="77777777" w:rsidTr="00510F14">
        <w:trPr>
          <w:trHeight w:val="188"/>
          <w:tblHeader/>
        </w:trPr>
        <w:tc>
          <w:tcPr>
            <w:tcW w:w="440"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1A44F4FE" w14:textId="77777777"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 </w:t>
            </w:r>
          </w:p>
        </w:tc>
        <w:tc>
          <w:tcPr>
            <w:tcW w:w="1823" w:type="dxa"/>
            <w:tcBorders>
              <w:top w:val="single" w:sz="4" w:space="0" w:color="auto"/>
              <w:left w:val="nil"/>
              <w:bottom w:val="single" w:sz="4" w:space="0" w:color="auto"/>
              <w:right w:val="single" w:sz="4" w:space="0" w:color="auto"/>
            </w:tcBorders>
            <w:shd w:val="clear" w:color="auto" w:fill="E7E6E6"/>
            <w:noWrap/>
            <w:vAlign w:val="bottom"/>
            <w:hideMark/>
          </w:tcPr>
          <w:p w14:paraId="62777742" w14:textId="77777777"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 </w:t>
            </w:r>
          </w:p>
        </w:tc>
        <w:tc>
          <w:tcPr>
            <w:tcW w:w="1005" w:type="dxa"/>
            <w:tcBorders>
              <w:top w:val="single" w:sz="4" w:space="0" w:color="auto"/>
              <w:left w:val="nil"/>
              <w:bottom w:val="single" w:sz="4" w:space="0" w:color="auto"/>
              <w:right w:val="single" w:sz="4" w:space="0" w:color="auto"/>
            </w:tcBorders>
            <w:shd w:val="clear" w:color="auto" w:fill="E7E6E6"/>
            <w:noWrap/>
            <w:vAlign w:val="bottom"/>
            <w:hideMark/>
          </w:tcPr>
          <w:p w14:paraId="1C2707A7" w14:textId="77777777"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 </w:t>
            </w:r>
          </w:p>
        </w:tc>
        <w:tc>
          <w:tcPr>
            <w:tcW w:w="5715" w:type="dxa"/>
            <w:gridSpan w:val="4"/>
            <w:tcBorders>
              <w:top w:val="single" w:sz="4" w:space="0" w:color="auto"/>
              <w:left w:val="nil"/>
              <w:bottom w:val="single" w:sz="4" w:space="0" w:color="auto"/>
              <w:right w:val="single" w:sz="4" w:space="0" w:color="auto"/>
            </w:tcBorders>
            <w:shd w:val="clear" w:color="auto" w:fill="E7E6E6"/>
            <w:noWrap/>
            <w:vAlign w:val="bottom"/>
            <w:hideMark/>
          </w:tcPr>
          <w:p w14:paraId="205D61FE" w14:textId="1B1FEE2B"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Financement</w:t>
            </w:r>
          </w:p>
        </w:tc>
      </w:tr>
      <w:tr w:rsidR="00672E96" w:rsidRPr="004635B2" w14:paraId="5B9C92C6" w14:textId="77777777" w:rsidTr="00510F14">
        <w:trPr>
          <w:trHeight w:val="864"/>
          <w:tblHeader/>
        </w:trPr>
        <w:tc>
          <w:tcPr>
            <w:tcW w:w="440" w:type="dxa"/>
            <w:tcBorders>
              <w:top w:val="nil"/>
              <w:left w:val="single" w:sz="4" w:space="0" w:color="auto"/>
              <w:bottom w:val="single" w:sz="4" w:space="0" w:color="auto"/>
              <w:right w:val="single" w:sz="4" w:space="0" w:color="auto"/>
            </w:tcBorders>
            <w:shd w:val="clear" w:color="auto" w:fill="DEEAF6"/>
            <w:noWrap/>
            <w:vAlign w:val="bottom"/>
            <w:hideMark/>
          </w:tcPr>
          <w:p w14:paraId="429C67D5" w14:textId="77777777"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 </w:t>
            </w:r>
          </w:p>
        </w:tc>
        <w:tc>
          <w:tcPr>
            <w:tcW w:w="1823" w:type="dxa"/>
            <w:tcBorders>
              <w:top w:val="nil"/>
              <w:left w:val="nil"/>
              <w:bottom w:val="single" w:sz="4" w:space="0" w:color="auto"/>
              <w:right w:val="single" w:sz="4" w:space="0" w:color="auto"/>
            </w:tcBorders>
            <w:shd w:val="clear" w:color="auto" w:fill="DEEAF6"/>
            <w:noWrap/>
            <w:vAlign w:val="bottom"/>
            <w:hideMark/>
          </w:tcPr>
          <w:p w14:paraId="05481B64" w14:textId="4396713C"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 xml:space="preserve"> Pays </w:t>
            </w:r>
          </w:p>
        </w:tc>
        <w:tc>
          <w:tcPr>
            <w:tcW w:w="1005" w:type="dxa"/>
            <w:tcBorders>
              <w:top w:val="nil"/>
              <w:left w:val="nil"/>
              <w:bottom w:val="single" w:sz="4" w:space="0" w:color="auto"/>
              <w:right w:val="single" w:sz="4" w:space="0" w:color="auto"/>
            </w:tcBorders>
            <w:shd w:val="clear" w:color="auto" w:fill="DEEAF6"/>
            <w:vAlign w:val="bottom"/>
            <w:hideMark/>
          </w:tcPr>
          <w:p w14:paraId="3A4F89F8" w14:textId="4ADC642D" w:rsidR="00672E96" w:rsidRPr="004635B2" w:rsidRDefault="00672E96" w:rsidP="006615AB">
            <w:pPr>
              <w:widowControl w:val="0"/>
              <w:autoSpaceDE w:val="0"/>
              <w:autoSpaceDN w:val="0"/>
              <w:rPr>
                <w:rFonts w:ascii="Calibri" w:hAnsi="Calibri" w:cs="Calibri"/>
                <w:sz w:val="20"/>
                <w:szCs w:val="20"/>
                <w:lang w:val="fr-CA"/>
              </w:rPr>
            </w:pPr>
            <w:proofErr w:type="spellStart"/>
            <w:r w:rsidRPr="004635B2">
              <w:rPr>
                <w:rFonts w:ascii="Calibri" w:hAnsi="Calibri" w:cs="Calibri"/>
                <w:sz w:val="20"/>
                <w:szCs w:val="20"/>
                <w:lang w:val="fr-CA"/>
              </w:rPr>
              <w:t>N</w:t>
            </w:r>
            <w:r w:rsidRPr="006615AB">
              <w:rPr>
                <w:rFonts w:ascii="Calibri" w:hAnsi="Calibri" w:cs="Calibri"/>
                <w:sz w:val="20"/>
                <w:szCs w:val="20"/>
                <w:vertAlign w:val="superscript"/>
                <w:lang w:val="fr-CA"/>
              </w:rPr>
              <w:t>bre</w:t>
            </w:r>
            <w:proofErr w:type="spellEnd"/>
            <w:r w:rsidRPr="004635B2">
              <w:rPr>
                <w:rFonts w:ascii="Calibri" w:hAnsi="Calibri" w:cs="Calibri"/>
                <w:sz w:val="20"/>
                <w:szCs w:val="20"/>
                <w:lang w:val="fr-CA"/>
              </w:rPr>
              <w:t xml:space="preserve"> de projets proposé</w:t>
            </w:r>
          </w:p>
        </w:tc>
        <w:tc>
          <w:tcPr>
            <w:tcW w:w="1405" w:type="dxa"/>
            <w:tcBorders>
              <w:top w:val="nil"/>
              <w:left w:val="nil"/>
              <w:bottom w:val="single" w:sz="4" w:space="0" w:color="auto"/>
              <w:right w:val="single" w:sz="4" w:space="0" w:color="auto"/>
            </w:tcBorders>
            <w:shd w:val="clear" w:color="auto" w:fill="DEEAF6"/>
            <w:noWrap/>
            <w:vAlign w:val="bottom"/>
            <w:hideMark/>
          </w:tcPr>
          <w:p w14:paraId="186CC33E" w14:textId="72E2DC22"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S</w:t>
            </w:r>
            <w:r w:rsidR="006615AB">
              <w:rPr>
                <w:rFonts w:ascii="Calibri" w:hAnsi="Calibri" w:cs="Calibri"/>
                <w:sz w:val="20"/>
                <w:szCs w:val="20"/>
                <w:lang w:val="fr-CA"/>
              </w:rPr>
              <w:t>omme pour le FEM</w:t>
            </w:r>
            <w:r w:rsidRPr="004635B2">
              <w:rPr>
                <w:rFonts w:ascii="Calibri" w:hAnsi="Calibri" w:cs="Calibri"/>
                <w:sz w:val="20"/>
                <w:szCs w:val="20"/>
                <w:lang w:val="fr-CA"/>
              </w:rPr>
              <w:t xml:space="preserve"> ($US)</w:t>
            </w:r>
          </w:p>
        </w:tc>
        <w:tc>
          <w:tcPr>
            <w:tcW w:w="1457" w:type="dxa"/>
            <w:tcBorders>
              <w:top w:val="nil"/>
              <w:left w:val="nil"/>
              <w:bottom w:val="single" w:sz="4" w:space="0" w:color="auto"/>
              <w:right w:val="single" w:sz="4" w:space="0" w:color="auto"/>
            </w:tcBorders>
            <w:shd w:val="clear" w:color="auto" w:fill="DEEAF6"/>
            <w:noWrap/>
            <w:vAlign w:val="bottom"/>
            <w:hideMark/>
          </w:tcPr>
          <w:p w14:paraId="1F8AD454" w14:textId="737ACB5F" w:rsidR="00672E96" w:rsidRPr="004635B2" w:rsidRDefault="00672E96" w:rsidP="006615AB">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 xml:space="preserve">Cofinancement </w:t>
            </w:r>
            <w:r w:rsidR="006615AB">
              <w:rPr>
                <w:rFonts w:ascii="Calibri" w:hAnsi="Calibri" w:cs="Calibri"/>
                <w:sz w:val="20"/>
                <w:szCs w:val="20"/>
                <w:lang w:val="fr-CA"/>
              </w:rPr>
              <w:t>par le</w:t>
            </w:r>
            <w:r w:rsidRPr="004635B2">
              <w:rPr>
                <w:rFonts w:ascii="Calibri" w:hAnsi="Calibri" w:cs="Calibri"/>
                <w:sz w:val="20"/>
                <w:szCs w:val="20"/>
                <w:lang w:val="fr-CA"/>
              </w:rPr>
              <w:t xml:space="preserve"> gouvernement ($US)</w:t>
            </w:r>
          </w:p>
        </w:tc>
        <w:tc>
          <w:tcPr>
            <w:tcW w:w="1435" w:type="dxa"/>
            <w:tcBorders>
              <w:top w:val="nil"/>
              <w:left w:val="nil"/>
              <w:bottom w:val="single" w:sz="4" w:space="0" w:color="auto"/>
              <w:right w:val="single" w:sz="4" w:space="0" w:color="auto"/>
            </w:tcBorders>
            <w:shd w:val="clear" w:color="auto" w:fill="DEEAF6"/>
            <w:noWrap/>
            <w:vAlign w:val="bottom"/>
            <w:hideMark/>
          </w:tcPr>
          <w:p w14:paraId="2C0053D6" w14:textId="07ED1278"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Autre cofinancement ($US)</w:t>
            </w:r>
          </w:p>
        </w:tc>
        <w:tc>
          <w:tcPr>
            <w:tcW w:w="1418" w:type="dxa"/>
            <w:tcBorders>
              <w:top w:val="nil"/>
              <w:left w:val="nil"/>
              <w:bottom w:val="single" w:sz="4" w:space="0" w:color="auto"/>
              <w:right w:val="single" w:sz="4" w:space="0" w:color="auto"/>
            </w:tcBorders>
            <w:shd w:val="clear" w:color="auto" w:fill="DEEAF6"/>
            <w:noWrap/>
            <w:vAlign w:val="bottom"/>
            <w:hideMark/>
          </w:tcPr>
          <w:p w14:paraId="239D10DC" w14:textId="3EC18C5C"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Total ($US)</w:t>
            </w:r>
          </w:p>
        </w:tc>
      </w:tr>
      <w:tr w:rsidR="001466B2" w:rsidRPr="004635B2" w14:paraId="21C3AEF6"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tcPr>
          <w:p w14:paraId="129F1D47" w14:textId="60F8F96D" w:rsidR="001466B2" w:rsidRPr="004635B2" w:rsidRDefault="006755E1"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w:t>
            </w:r>
          </w:p>
        </w:tc>
        <w:tc>
          <w:tcPr>
            <w:tcW w:w="1823" w:type="dxa"/>
            <w:tcBorders>
              <w:top w:val="nil"/>
              <w:left w:val="nil"/>
              <w:bottom w:val="single" w:sz="4" w:space="0" w:color="auto"/>
              <w:right w:val="single" w:sz="4" w:space="0" w:color="auto"/>
            </w:tcBorders>
            <w:shd w:val="clear" w:color="auto" w:fill="F2F2F2"/>
            <w:noWrap/>
            <w:vAlign w:val="bottom"/>
          </w:tcPr>
          <w:p w14:paraId="7D32E0DD" w14:textId="1DC766A9" w:rsidR="001466B2" w:rsidRPr="004635B2" w:rsidRDefault="001466B2"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Afrique du Sud </w:t>
            </w:r>
          </w:p>
        </w:tc>
        <w:tc>
          <w:tcPr>
            <w:tcW w:w="1005" w:type="dxa"/>
            <w:tcBorders>
              <w:top w:val="nil"/>
              <w:left w:val="nil"/>
              <w:bottom w:val="single" w:sz="4" w:space="0" w:color="auto"/>
              <w:right w:val="single" w:sz="4" w:space="0" w:color="auto"/>
            </w:tcBorders>
            <w:shd w:val="clear" w:color="auto" w:fill="auto"/>
            <w:noWrap/>
            <w:vAlign w:val="bottom"/>
          </w:tcPr>
          <w:p w14:paraId="23E987B5" w14:textId="05BA13D3" w:rsidR="001466B2" w:rsidRPr="004635B2" w:rsidRDefault="001466B2"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4 </w:t>
            </w:r>
          </w:p>
        </w:tc>
        <w:tc>
          <w:tcPr>
            <w:tcW w:w="1405" w:type="dxa"/>
            <w:tcBorders>
              <w:top w:val="nil"/>
              <w:left w:val="nil"/>
              <w:bottom w:val="single" w:sz="4" w:space="0" w:color="auto"/>
              <w:right w:val="single" w:sz="4" w:space="0" w:color="auto"/>
            </w:tcBorders>
            <w:shd w:val="clear" w:color="auto" w:fill="D9E2F3"/>
            <w:noWrap/>
            <w:vAlign w:val="bottom"/>
          </w:tcPr>
          <w:p w14:paraId="5107E353" w14:textId="4E97427E" w:rsidR="001466B2" w:rsidRPr="004635B2" w:rsidRDefault="001466B2"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3 000 000</w:t>
            </w:r>
          </w:p>
        </w:tc>
        <w:tc>
          <w:tcPr>
            <w:tcW w:w="1457" w:type="dxa"/>
            <w:tcBorders>
              <w:top w:val="nil"/>
              <w:left w:val="nil"/>
              <w:bottom w:val="single" w:sz="4" w:space="0" w:color="auto"/>
              <w:right w:val="single" w:sz="4" w:space="0" w:color="auto"/>
            </w:tcBorders>
            <w:shd w:val="clear" w:color="auto" w:fill="auto"/>
            <w:noWrap/>
            <w:vAlign w:val="bottom"/>
          </w:tcPr>
          <w:p w14:paraId="36A8C650" w14:textId="1BDEC87F" w:rsidR="001466B2" w:rsidRPr="004635B2" w:rsidRDefault="001466B2"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111 000 000</w:t>
            </w:r>
          </w:p>
        </w:tc>
        <w:tc>
          <w:tcPr>
            <w:tcW w:w="1435" w:type="dxa"/>
            <w:tcBorders>
              <w:top w:val="nil"/>
              <w:left w:val="nil"/>
              <w:bottom w:val="single" w:sz="4" w:space="0" w:color="auto"/>
              <w:right w:val="single" w:sz="4" w:space="0" w:color="auto"/>
            </w:tcBorders>
            <w:shd w:val="clear" w:color="auto" w:fill="auto"/>
            <w:noWrap/>
            <w:vAlign w:val="bottom"/>
          </w:tcPr>
          <w:p w14:paraId="03CCB8C4" w14:textId="4CBE791E" w:rsidR="001466B2" w:rsidRPr="004635B2" w:rsidRDefault="001466B2"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25 000 000</w:t>
            </w:r>
          </w:p>
        </w:tc>
        <w:tc>
          <w:tcPr>
            <w:tcW w:w="1418" w:type="dxa"/>
            <w:tcBorders>
              <w:top w:val="nil"/>
              <w:left w:val="nil"/>
              <w:bottom w:val="single" w:sz="4" w:space="0" w:color="auto"/>
              <w:right w:val="single" w:sz="4" w:space="0" w:color="auto"/>
            </w:tcBorders>
            <w:shd w:val="clear" w:color="auto" w:fill="D0CECE"/>
            <w:noWrap/>
            <w:vAlign w:val="bottom"/>
          </w:tcPr>
          <w:p w14:paraId="5FD8F88A" w14:textId="42394A97" w:rsidR="001466B2" w:rsidRPr="004635B2" w:rsidRDefault="001466B2"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139 000 000</w:t>
            </w:r>
          </w:p>
        </w:tc>
      </w:tr>
      <w:tr w:rsidR="001466B2" w:rsidRPr="004635B2" w14:paraId="38A06CC9"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tcPr>
          <w:p w14:paraId="71CFF02E" w14:textId="05E7F882" w:rsidR="001466B2" w:rsidRPr="004635B2" w:rsidRDefault="006755E1"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w:t>
            </w:r>
          </w:p>
        </w:tc>
        <w:tc>
          <w:tcPr>
            <w:tcW w:w="1823" w:type="dxa"/>
            <w:tcBorders>
              <w:top w:val="nil"/>
              <w:left w:val="nil"/>
              <w:bottom w:val="single" w:sz="4" w:space="0" w:color="auto"/>
              <w:right w:val="single" w:sz="4" w:space="0" w:color="auto"/>
            </w:tcBorders>
            <w:shd w:val="clear" w:color="auto" w:fill="F2F2F2"/>
            <w:noWrap/>
            <w:vAlign w:val="bottom"/>
          </w:tcPr>
          <w:p w14:paraId="513E1596" w14:textId="2254C8BA" w:rsidR="001466B2" w:rsidRPr="004635B2" w:rsidRDefault="001466B2"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Algérie </w:t>
            </w:r>
          </w:p>
        </w:tc>
        <w:tc>
          <w:tcPr>
            <w:tcW w:w="1005" w:type="dxa"/>
            <w:tcBorders>
              <w:top w:val="nil"/>
              <w:left w:val="nil"/>
              <w:bottom w:val="single" w:sz="4" w:space="0" w:color="auto"/>
              <w:right w:val="single" w:sz="4" w:space="0" w:color="auto"/>
            </w:tcBorders>
            <w:shd w:val="clear" w:color="auto" w:fill="auto"/>
            <w:noWrap/>
            <w:vAlign w:val="bottom"/>
          </w:tcPr>
          <w:p w14:paraId="55CF0584" w14:textId="29A53B33" w:rsidR="001466B2" w:rsidRPr="004635B2" w:rsidRDefault="001466B2"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8 </w:t>
            </w:r>
          </w:p>
        </w:tc>
        <w:tc>
          <w:tcPr>
            <w:tcW w:w="1405" w:type="dxa"/>
            <w:tcBorders>
              <w:top w:val="nil"/>
              <w:left w:val="nil"/>
              <w:bottom w:val="single" w:sz="4" w:space="0" w:color="auto"/>
              <w:right w:val="single" w:sz="4" w:space="0" w:color="auto"/>
            </w:tcBorders>
            <w:shd w:val="clear" w:color="auto" w:fill="D9E2F3"/>
            <w:noWrap/>
            <w:vAlign w:val="bottom"/>
          </w:tcPr>
          <w:p w14:paraId="0213739F" w14:textId="42DCCCC6" w:rsidR="001466B2" w:rsidRPr="004635B2" w:rsidRDefault="001466B2"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21 424 500</w:t>
            </w:r>
          </w:p>
        </w:tc>
        <w:tc>
          <w:tcPr>
            <w:tcW w:w="1457" w:type="dxa"/>
            <w:tcBorders>
              <w:top w:val="nil"/>
              <w:left w:val="nil"/>
              <w:bottom w:val="single" w:sz="4" w:space="0" w:color="auto"/>
              <w:right w:val="single" w:sz="4" w:space="0" w:color="auto"/>
            </w:tcBorders>
            <w:shd w:val="clear" w:color="auto" w:fill="auto"/>
            <w:noWrap/>
            <w:vAlign w:val="bottom"/>
          </w:tcPr>
          <w:p w14:paraId="3F4745FF" w14:textId="2BA89914" w:rsidR="001466B2" w:rsidRPr="004635B2" w:rsidRDefault="001466B2"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89 847 000</w:t>
            </w:r>
          </w:p>
        </w:tc>
        <w:tc>
          <w:tcPr>
            <w:tcW w:w="1435" w:type="dxa"/>
            <w:tcBorders>
              <w:top w:val="nil"/>
              <w:left w:val="nil"/>
              <w:bottom w:val="single" w:sz="4" w:space="0" w:color="auto"/>
              <w:right w:val="single" w:sz="4" w:space="0" w:color="auto"/>
            </w:tcBorders>
            <w:shd w:val="clear" w:color="auto" w:fill="auto"/>
            <w:noWrap/>
            <w:vAlign w:val="bottom"/>
          </w:tcPr>
          <w:p w14:paraId="2C551A10" w14:textId="7E05633D" w:rsidR="001466B2" w:rsidRPr="004635B2" w:rsidRDefault="001466B2"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16 600 000</w:t>
            </w:r>
          </w:p>
        </w:tc>
        <w:tc>
          <w:tcPr>
            <w:tcW w:w="1418" w:type="dxa"/>
            <w:tcBorders>
              <w:top w:val="nil"/>
              <w:left w:val="nil"/>
              <w:bottom w:val="single" w:sz="4" w:space="0" w:color="auto"/>
              <w:right w:val="single" w:sz="4" w:space="0" w:color="auto"/>
            </w:tcBorders>
            <w:shd w:val="clear" w:color="auto" w:fill="D0CECE"/>
            <w:noWrap/>
            <w:vAlign w:val="bottom"/>
          </w:tcPr>
          <w:p w14:paraId="57D59ACC" w14:textId="2FBD063C" w:rsidR="001466B2" w:rsidRPr="004635B2" w:rsidRDefault="001466B2"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127 871 500</w:t>
            </w:r>
          </w:p>
        </w:tc>
      </w:tr>
      <w:tr w:rsidR="00672E96" w:rsidRPr="004635B2" w14:paraId="352DBC4C"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68E59D0" w14:textId="28F1E40F"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w:t>
            </w:r>
          </w:p>
        </w:tc>
        <w:tc>
          <w:tcPr>
            <w:tcW w:w="1823" w:type="dxa"/>
            <w:tcBorders>
              <w:top w:val="nil"/>
              <w:left w:val="nil"/>
              <w:bottom w:val="single" w:sz="4" w:space="0" w:color="auto"/>
              <w:right w:val="single" w:sz="4" w:space="0" w:color="auto"/>
            </w:tcBorders>
            <w:shd w:val="clear" w:color="auto" w:fill="F2F2F2"/>
            <w:noWrap/>
            <w:vAlign w:val="bottom"/>
            <w:hideMark/>
          </w:tcPr>
          <w:p w14:paraId="6E183396" w14:textId="2A9B94B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Arménie </w:t>
            </w:r>
          </w:p>
        </w:tc>
        <w:tc>
          <w:tcPr>
            <w:tcW w:w="1005" w:type="dxa"/>
            <w:tcBorders>
              <w:top w:val="nil"/>
              <w:left w:val="nil"/>
              <w:bottom w:val="single" w:sz="4" w:space="0" w:color="auto"/>
              <w:right w:val="single" w:sz="4" w:space="0" w:color="auto"/>
            </w:tcBorders>
            <w:shd w:val="clear" w:color="auto" w:fill="auto"/>
            <w:noWrap/>
            <w:vAlign w:val="bottom"/>
            <w:hideMark/>
          </w:tcPr>
          <w:p w14:paraId="317FF615"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15104F62" w14:textId="11A46E7D"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17 300 000</w:t>
            </w:r>
          </w:p>
        </w:tc>
        <w:tc>
          <w:tcPr>
            <w:tcW w:w="1457" w:type="dxa"/>
            <w:tcBorders>
              <w:top w:val="nil"/>
              <w:left w:val="nil"/>
              <w:bottom w:val="single" w:sz="4" w:space="0" w:color="auto"/>
              <w:right w:val="single" w:sz="4" w:space="0" w:color="auto"/>
            </w:tcBorders>
            <w:shd w:val="clear" w:color="auto" w:fill="auto"/>
            <w:noWrap/>
            <w:vAlign w:val="bottom"/>
            <w:hideMark/>
          </w:tcPr>
          <w:p w14:paraId="2DC22E95" w14:textId="19338FFB"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3 650 000</w:t>
            </w:r>
          </w:p>
        </w:tc>
        <w:tc>
          <w:tcPr>
            <w:tcW w:w="1435" w:type="dxa"/>
            <w:tcBorders>
              <w:top w:val="nil"/>
              <w:left w:val="nil"/>
              <w:bottom w:val="single" w:sz="4" w:space="0" w:color="auto"/>
              <w:right w:val="single" w:sz="4" w:space="0" w:color="auto"/>
            </w:tcBorders>
            <w:shd w:val="clear" w:color="auto" w:fill="auto"/>
            <w:noWrap/>
            <w:vAlign w:val="bottom"/>
            <w:hideMark/>
          </w:tcPr>
          <w:p w14:paraId="0D81C4A7" w14:textId="4275D45F"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5 750 000</w:t>
            </w:r>
          </w:p>
        </w:tc>
        <w:tc>
          <w:tcPr>
            <w:tcW w:w="1418" w:type="dxa"/>
            <w:tcBorders>
              <w:top w:val="nil"/>
              <w:left w:val="nil"/>
              <w:bottom w:val="single" w:sz="4" w:space="0" w:color="auto"/>
              <w:right w:val="single" w:sz="4" w:space="0" w:color="auto"/>
            </w:tcBorders>
            <w:shd w:val="clear" w:color="auto" w:fill="D0CECE"/>
            <w:noWrap/>
            <w:vAlign w:val="bottom"/>
            <w:hideMark/>
          </w:tcPr>
          <w:p w14:paraId="4661E8D3" w14:textId="0B3C4A83"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26 700 000</w:t>
            </w:r>
          </w:p>
        </w:tc>
      </w:tr>
      <w:tr w:rsidR="00672E96" w:rsidRPr="004635B2" w14:paraId="57032F31"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69D7AB0" w14:textId="7F799BE1"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4</w:t>
            </w:r>
          </w:p>
        </w:tc>
        <w:tc>
          <w:tcPr>
            <w:tcW w:w="1823" w:type="dxa"/>
            <w:tcBorders>
              <w:top w:val="nil"/>
              <w:left w:val="nil"/>
              <w:bottom w:val="single" w:sz="4" w:space="0" w:color="auto"/>
              <w:right w:val="single" w:sz="4" w:space="0" w:color="auto"/>
            </w:tcBorders>
            <w:shd w:val="clear" w:color="auto" w:fill="F2F2F2"/>
            <w:noWrap/>
            <w:vAlign w:val="bottom"/>
            <w:hideMark/>
          </w:tcPr>
          <w:p w14:paraId="52788BED"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Bahamas </w:t>
            </w:r>
          </w:p>
        </w:tc>
        <w:tc>
          <w:tcPr>
            <w:tcW w:w="1005" w:type="dxa"/>
            <w:tcBorders>
              <w:top w:val="nil"/>
              <w:left w:val="nil"/>
              <w:bottom w:val="single" w:sz="4" w:space="0" w:color="auto"/>
              <w:right w:val="single" w:sz="4" w:space="0" w:color="auto"/>
            </w:tcBorders>
            <w:shd w:val="clear" w:color="auto" w:fill="auto"/>
            <w:noWrap/>
            <w:vAlign w:val="bottom"/>
            <w:hideMark/>
          </w:tcPr>
          <w:p w14:paraId="759CE2B4"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1EB20AE7" w14:textId="11674390"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2 500 000</w:t>
            </w:r>
          </w:p>
        </w:tc>
        <w:tc>
          <w:tcPr>
            <w:tcW w:w="1457" w:type="dxa"/>
            <w:tcBorders>
              <w:top w:val="nil"/>
              <w:left w:val="nil"/>
              <w:bottom w:val="single" w:sz="4" w:space="0" w:color="auto"/>
              <w:right w:val="single" w:sz="4" w:space="0" w:color="auto"/>
            </w:tcBorders>
            <w:shd w:val="clear" w:color="auto" w:fill="auto"/>
            <w:noWrap/>
            <w:vAlign w:val="bottom"/>
            <w:hideMark/>
          </w:tcPr>
          <w:p w14:paraId="2F590EF8" w14:textId="2400E8CF"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1 000 000</w:t>
            </w:r>
          </w:p>
        </w:tc>
        <w:tc>
          <w:tcPr>
            <w:tcW w:w="1435" w:type="dxa"/>
            <w:tcBorders>
              <w:top w:val="nil"/>
              <w:left w:val="nil"/>
              <w:bottom w:val="single" w:sz="4" w:space="0" w:color="auto"/>
              <w:right w:val="single" w:sz="4" w:space="0" w:color="auto"/>
            </w:tcBorders>
            <w:shd w:val="clear" w:color="auto" w:fill="auto"/>
            <w:noWrap/>
            <w:vAlign w:val="bottom"/>
            <w:hideMark/>
          </w:tcPr>
          <w:p w14:paraId="06A00BC6"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w:t>
            </w:r>
          </w:p>
        </w:tc>
        <w:tc>
          <w:tcPr>
            <w:tcW w:w="1418" w:type="dxa"/>
            <w:tcBorders>
              <w:top w:val="nil"/>
              <w:left w:val="nil"/>
              <w:bottom w:val="single" w:sz="4" w:space="0" w:color="auto"/>
              <w:right w:val="single" w:sz="4" w:space="0" w:color="auto"/>
            </w:tcBorders>
            <w:shd w:val="clear" w:color="auto" w:fill="D0CECE"/>
            <w:noWrap/>
            <w:vAlign w:val="bottom"/>
            <w:hideMark/>
          </w:tcPr>
          <w:p w14:paraId="44F06FF0" w14:textId="1F31B5AC"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3 500 000</w:t>
            </w:r>
          </w:p>
        </w:tc>
      </w:tr>
      <w:tr w:rsidR="00672E96" w:rsidRPr="004635B2" w14:paraId="49317E98"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0363EF2" w14:textId="69FE62BF"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w:t>
            </w:r>
          </w:p>
        </w:tc>
        <w:tc>
          <w:tcPr>
            <w:tcW w:w="1823" w:type="dxa"/>
            <w:tcBorders>
              <w:top w:val="nil"/>
              <w:left w:val="nil"/>
              <w:bottom w:val="single" w:sz="4" w:space="0" w:color="auto"/>
              <w:right w:val="single" w:sz="4" w:space="0" w:color="auto"/>
            </w:tcBorders>
            <w:shd w:val="clear" w:color="auto" w:fill="F2F2F2"/>
            <w:noWrap/>
            <w:vAlign w:val="bottom"/>
            <w:hideMark/>
          </w:tcPr>
          <w:p w14:paraId="2C19A315"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Bangladesh </w:t>
            </w:r>
          </w:p>
        </w:tc>
        <w:tc>
          <w:tcPr>
            <w:tcW w:w="1005" w:type="dxa"/>
            <w:tcBorders>
              <w:top w:val="nil"/>
              <w:left w:val="nil"/>
              <w:bottom w:val="single" w:sz="4" w:space="0" w:color="auto"/>
              <w:right w:val="single" w:sz="4" w:space="0" w:color="auto"/>
            </w:tcBorders>
            <w:shd w:val="clear" w:color="auto" w:fill="auto"/>
            <w:noWrap/>
            <w:vAlign w:val="bottom"/>
            <w:hideMark/>
          </w:tcPr>
          <w:p w14:paraId="6E9215F2"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7560E364" w14:textId="1BEE11B0"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75 000 000</w:t>
            </w:r>
          </w:p>
        </w:tc>
        <w:tc>
          <w:tcPr>
            <w:tcW w:w="1457" w:type="dxa"/>
            <w:tcBorders>
              <w:top w:val="nil"/>
              <w:left w:val="nil"/>
              <w:bottom w:val="single" w:sz="4" w:space="0" w:color="auto"/>
              <w:right w:val="single" w:sz="4" w:space="0" w:color="auto"/>
            </w:tcBorders>
            <w:shd w:val="clear" w:color="auto" w:fill="auto"/>
            <w:noWrap/>
            <w:vAlign w:val="bottom"/>
            <w:hideMark/>
          </w:tcPr>
          <w:p w14:paraId="2100648C" w14:textId="75A70A84"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33 000 000</w:t>
            </w:r>
          </w:p>
        </w:tc>
        <w:tc>
          <w:tcPr>
            <w:tcW w:w="1435" w:type="dxa"/>
            <w:tcBorders>
              <w:top w:val="nil"/>
              <w:left w:val="nil"/>
              <w:bottom w:val="single" w:sz="4" w:space="0" w:color="auto"/>
              <w:right w:val="single" w:sz="4" w:space="0" w:color="auto"/>
            </w:tcBorders>
            <w:shd w:val="clear" w:color="auto" w:fill="auto"/>
            <w:noWrap/>
            <w:vAlign w:val="bottom"/>
            <w:hideMark/>
          </w:tcPr>
          <w:p w14:paraId="271E1405"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47F2D065" w14:textId="26F501E4"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108 000 000</w:t>
            </w:r>
          </w:p>
        </w:tc>
      </w:tr>
      <w:tr w:rsidR="00672E96" w:rsidRPr="004635B2" w14:paraId="6492CF6E"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D26723" w14:textId="487BCF5C"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6</w:t>
            </w:r>
          </w:p>
        </w:tc>
        <w:tc>
          <w:tcPr>
            <w:tcW w:w="1823" w:type="dxa"/>
            <w:tcBorders>
              <w:top w:val="nil"/>
              <w:left w:val="nil"/>
              <w:bottom w:val="single" w:sz="4" w:space="0" w:color="auto"/>
              <w:right w:val="single" w:sz="4" w:space="0" w:color="auto"/>
            </w:tcBorders>
            <w:shd w:val="clear" w:color="auto" w:fill="F2F2F2"/>
            <w:noWrap/>
            <w:vAlign w:val="bottom"/>
            <w:hideMark/>
          </w:tcPr>
          <w:p w14:paraId="44CB5BFE" w14:textId="041E434F" w:rsidR="00672E96" w:rsidRPr="004635B2" w:rsidRDefault="00AF155C" w:rsidP="00672E96">
            <w:pPr>
              <w:widowControl w:val="0"/>
              <w:autoSpaceDE w:val="0"/>
              <w:autoSpaceDN w:val="0"/>
              <w:rPr>
                <w:rFonts w:ascii="Calibri" w:hAnsi="Calibri" w:cs="Calibri"/>
                <w:color w:val="000000"/>
                <w:sz w:val="20"/>
                <w:szCs w:val="20"/>
                <w:lang w:val="fr-CA"/>
              </w:rPr>
            </w:pPr>
            <w:r>
              <w:rPr>
                <w:rFonts w:ascii="Calibri" w:hAnsi="Calibri" w:cs="Calibri"/>
                <w:color w:val="000000"/>
                <w:sz w:val="20"/>
                <w:szCs w:val="20"/>
                <w:lang w:val="fr-CA"/>
              </w:rPr>
              <w:t xml:space="preserve"> Bé</w:t>
            </w:r>
            <w:r w:rsidR="00672E96" w:rsidRPr="004635B2">
              <w:rPr>
                <w:rFonts w:ascii="Calibri" w:hAnsi="Calibri" w:cs="Calibri"/>
                <w:color w:val="000000"/>
                <w:sz w:val="20"/>
                <w:szCs w:val="20"/>
                <w:lang w:val="fr-CA"/>
              </w:rPr>
              <w:t xml:space="preserve">larus </w:t>
            </w:r>
          </w:p>
        </w:tc>
        <w:tc>
          <w:tcPr>
            <w:tcW w:w="1005" w:type="dxa"/>
            <w:tcBorders>
              <w:top w:val="nil"/>
              <w:left w:val="nil"/>
              <w:bottom w:val="single" w:sz="4" w:space="0" w:color="auto"/>
              <w:right w:val="single" w:sz="4" w:space="0" w:color="auto"/>
            </w:tcBorders>
            <w:shd w:val="clear" w:color="auto" w:fill="auto"/>
            <w:noWrap/>
            <w:vAlign w:val="bottom"/>
            <w:hideMark/>
          </w:tcPr>
          <w:p w14:paraId="4894F48B"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15764719" w14:textId="5957B2F6"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2 000 000</w:t>
            </w:r>
          </w:p>
        </w:tc>
        <w:tc>
          <w:tcPr>
            <w:tcW w:w="1457" w:type="dxa"/>
            <w:tcBorders>
              <w:top w:val="nil"/>
              <w:left w:val="nil"/>
              <w:bottom w:val="single" w:sz="4" w:space="0" w:color="auto"/>
              <w:right w:val="single" w:sz="4" w:space="0" w:color="auto"/>
            </w:tcBorders>
            <w:shd w:val="clear" w:color="auto" w:fill="auto"/>
            <w:noWrap/>
            <w:vAlign w:val="bottom"/>
            <w:hideMark/>
          </w:tcPr>
          <w:p w14:paraId="7592524F"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w:t>
            </w:r>
          </w:p>
        </w:tc>
        <w:tc>
          <w:tcPr>
            <w:tcW w:w="1435" w:type="dxa"/>
            <w:tcBorders>
              <w:top w:val="nil"/>
              <w:left w:val="nil"/>
              <w:bottom w:val="single" w:sz="4" w:space="0" w:color="auto"/>
              <w:right w:val="single" w:sz="4" w:space="0" w:color="auto"/>
            </w:tcBorders>
            <w:shd w:val="clear" w:color="auto" w:fill="auto"/>
            <w:noWrap/>
            <w:vAlign w:val="bottom"/>
            <w:hideMark/>
          </w:tcPr>
          <w:p w14:paraId="096CA4CD"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w:t>
            </w:r>
          </w:p>
        </w:tc>
        <w:tc>
          <w:tcPr>
            <w:tcW w:w="1418" w:type="dxa"/>
            <w:tcBorders>
              <w:top w:val="nil"/>
              <w:left w:val="nil"/>
              <w:bottom w:val="single" w:sz="4" w:space="0" w:color="auto"/>
              <w:right w:val="single" w:sz="4" w:space="0" w:color="auto"/>
            </w:tcBorders>
            <w:shd w:val="clear" w:color="auto" w:fill="D0CECE"/>
            <w:noWrap/>
            <w:vAlign w:val="bottom"/>
            <w:hideMark/>
          </w:tcPr>
          <w:p w14:paraId="27FB08F1" w14:textId="7D75260A"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2 000 000</w:t>
            </w:r>
          </w:p>
        </w:tc>
      </w:tr>
      <w:tr w:rsidR="00672E96" w:rsidRPr="004635B2" w14:paraId="1B5E6F61"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F2C8C8B" w14:textId="2A6BD519"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7</w:t>
            </w:r>
          </w:p>
        </w:tc>
        <w:tc>
          <w:tcPr>
            <w:tcW w:w="1823" w:type="dxa"/>
            <w:tcBorders>
              <w:top w:val="nil"/>
              <w:left w:val="nil"/>
              <w:bottom w:val="single" w:sz="4" w:space="0" w:color="auto"/>
              <w:right w:val="single" w:sz="4" w:space="0" w:color="auto"/>
            </w:tcBorders>
            <w:shd w:val="clear" w:color="auto" w:fill="F2F2F2"/>
            <w:noWrap/>
            <w:vAlign w:val="bottom"/>
            <w:hideMark/>
          </w:tcPr>
          <w:p w14:paraId="1B18ABAE" w14:textId="2A4B4F26" w:rsidR="00672E96" w:rsidRPr="004635B2" w:rsidRDefault="00AF155C" w:rsidP="00672E96">
            <w:pPr>
              <w:widowControl w:val="0"/>
              <w:autoSpaceDE w:val="0"/>
              <w:autoSpaceDN w:val="0"/>
              <w:rPr>
                <w:rFonts w:ascii="Calibri" w:hAnsi="Calibri" w:cs="Calibri"/>
                <w:color w:val="000000"/>
                <w:sz w:val="20"/>
                <w:szCs w:val="20"/>
                <w:lang w:val="fr-CA"/>
              </w:rPr>
            </w:pPr>
            <w:r>
              <w:rPr>
                <w:rFonts w:ascii="Calibri" w:hAnsi="Calibri" w:cs="Calibri"/>
                <w:color w:val="000000"/>
                <w:sz w:val="20"/>
                <w:szCs w:val="20"/>
                <w:lang w:val="fr-CA"/>
              </w:rPr>
              <w:t xml:space="preserve"> Bé</w:t>
            </w:r>
            <w:r w:rsidR="00672E96" w:rsidRPr="004635B2">
              <w:rPr>
                <w:rFonts w:ascii="Calibri" w:hAnsi="Calibri" w:cs="Calibri"/>
                <w:color w:val="000000"/>
                <w:sz w:val="20"/>
                <w:szCs w:val="20"/>
                <w:lang w:val="fr-CA"/>
              </w:rPr>
              <w:t xml:space="preserve">nin </w:t>
            </w:r>
          </w:p>
        </w:tc>
        <w:tc>
          <w:tcPr>
            <w:tcW w:w="1005" w:type="dxa"/>
            <w:tcBorders>
              <w:top w:val="nil"/>
              <w:left w:val="nil"/>
              <w:bottom w:val="single" w:sz="4" w:space="0" w:color="auto"/>
              <w:right w:val="single" w:sz="4" w:space="0" w:color="auto"/>
            </w:tcBorders>
            <w:shd w:val="clear" w:color="auto" w:fill="auto"/>
            <w:noWrap/>
            <w:vAlign w:val="bottom"/>
            <w:hideMark/>
          </w:tcPr>
          <w:p w14:paraId="1C7EFD5E"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4ECAB9BE" w14:textId="3C602A28"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75 000 000</w:t>
            </w:r>
          </w:p>
        </w:tc>
        <w:tc>
          <w:tcPr>
            <w:tcW w:w="1457" w:type="dxa"/>
            <w:tcBorders>
              <w:top w:val="nil"/>
              <w:left w:val="nil"/>
              <w:bottom w:val="single" w:sz="4" w:space="0" w:color="auto"/>
              <w:right w:val="single" w:sz="4" w:space="0" w:color="auto"/>
            </w:tcBorders>
            <w:shd w:val="clear" w:color="auto" w:fill="auto"/>
            <w:noWrap/>
            <w:vAlign w:val="bottom"/>
            <w:hideMark/>
          </w:tcPr>
          <w:p w14:paraId="52448983" w14:textId="5AF4EB4F"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13 000 000</w:t>
            </w:r>
          </w:p>
        </w:tc>
        <w:tc>
          <w:tcPr>
            <w:tcW w:w="1435" w:type="dxa"/>
            <w:tcBorders>
              <w:top w:val="nil"/>
              <w:left w:val="nil"/>
              <w:bottom w:val="single" w:sz="4" w:space="0" w:color="auto"/>
              <w:right w:val="single" w:sz="4" w:space="0" w:color="auto"/>
            </w:tcBorders>
            <w:shd w:val="clear" w:color="auto" w:fill="auto"/>
            <w:noWrap/>
            <w:vAlign w:val="bottom"/>
            <w:hideMark/>
          </w:tcPr>
          <w:p w14:paraId="2A5C381D" w14:textId="11D5893E"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19 000 000</w:t>
            </w:r>
          </w:p>
        </w:tc>
        <w:tc>
          <w:tcPr>
            <w:tcW w:w="1418" w:type="dxa"/>
            <w:tcBorders>
              <w:top w:val="nil"/>
              <w:left w:val="nil"/>
              <w:bottom w:val="single" w:sz="4" w:space="0" w:color="auto"/>
              <w:right w:val="single" w:sz="4" w:space="0" w:color="auto"/>
            </w:tcBorders>
            <w:shd w:val="clear" w:color="auto" w:fill="D0CECE"/>
            <w:noWrap/>
            <w:vAlign w:val="bottom"/>
            <w:hideMark/>
          </w:tcPr>
          <w:p w14:paraId="2EE17BFD" w14:textId="7FED2A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107 000 000</w:t>
            </w:r>
          </w:p>
        </w:tc>
      </w:tr>
      <w:tr w:rsidR="00672E96" w:rsidRPr="004635B2" w14:paraId="31AE8A46"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0E3A73F" w14:textId="3C28AA9D"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8</w:t>
            </w:r>
          </w:p>
        </w:tc>
        <w:tc>
          <w:tcPr>
            <w:tcW w:w="1823" w:type="dxa"/>
            <w:tcBorders>
              <w:top w:val="nil"/>
              <w:left w:val="nil"/>
              <w:bottom w:val="single" w:sz="4" w:space="0" w:color="auto"/>
              <w:right w:val="single" w:sz="4" w:space="0" w:color="auto"/>
            </w:tcBorders>
            <w:shd w:val="clear" w:color="auto" w:fill="F2F2F2"/>
            <w:noWrap/>
            <w:vAlign w:val="bottom"/>
            <w:hideMark/>
          </w:tcPr>
          <w:p w14:paraId="0893C88C" w14:textId="2DA50899"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Bhoutan </w:t>
            </w:r>
          </w:p>
        </w:tc>
        <w:tc>
          <w:tcPr>
            <w:tcW w:w="1005" w:type="dxa"/>
            <w:tcBorders>
              <w:top w:val="nil"/>
              <w:left w:val="nil"/>
              <w:bottom w:val="single" w:sz="4" w:space="0" w:color="auto"/>
              <w:right w:val="single" w:sz="4" w:space="0" w:color="auto"/>
            </w:tcBorders>
            <w:shd w:val="clear" w:color="auto" w:fill="auto"/>
            <w:noWrap/>
            <w:vAlign w:val="bottom"/>
            <w:hideMark/>
          </w:tcPr>
          <w:p w14:paraId="2881603A"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065561D9" w14:textId="7912612E"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7 700 000</w:t>
            </w:r>
          </w:p>
        </w:tc>
        <w:tc>
          <w:tcPr>
            <w:tcW w:w="1457" w:type="dxa"/>
            <w:tcBorders>
              <w:top w:val="nil"/>
              <w:left w:val="nil"/>
              <w:bottom w:val="single" w:sz="4" w:space="0" w:color="auto"/>
              <w:right w:val="single" w:sz="4" w:space="0" w:color="auto"/>
            </w:tcBorders>
            <w:shd w:val="clear" w:color="auto" w:fill="auto"/>
            <w:noWrap/>
            <w:vAlign w:val="bottom"/>
            <w:hideMark/>
          </w:tcPr>
          <w:p w14:paraId="14976DF8" w14:textId="2F90496E"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2 750 000</w:t>
            </w:r>
          </w:p>
        </w:tc>
        <w:tc>
          <w:tcPr>
            <w:tcW w:w="1435" w:type="dxa"/>
            <w:tcBorders>
              <w:top w:val="nil"/>
              <w:left w:val="nil"/>
              <w:bottom w:val="single" w:sz="4" w:space="0" w:color="auto"/>
              <w:right w:val="single" w:sz="4" w:space="0" w:color="auto"/>
            </w:tcBorders>
            <w:shd w:val="clear" w:color="auto" w:fill="auto"/>
            <w:noWrap/>
            <w:vAlign w:val="bottom"/>
            <w:hideMark/>
          </w:tcPr>
          <w:p w14:paraId="1062760C" w14:textId="22EDAFAD"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350 000</w:t>
            </w:r>
          </w:p>
        </w:tc>
        <w:tc>
          <w:tcPr>
            <w:tcW w:w="1418" w:type="dxa"/>
            <w:tcBorders>
              <w:top w:val="nil"/>
              <w:left w:val="nil"/>
              <w:bottom w:val="single" w:sz="4" w:space="0" w:color="auto"/>
              <w:right w:val="single" w:sz="4" w:space="0" w:color="auto"/>
            </w:tcBorders>
            <w:shd w:val="clear" w:color="auto" w:fill="D0CECE"/>
            <w:noWrap/>
            <w:vAlign w:val="bottom"/>
            <w:hideMark/>
          </w:tcPr>
          <w:p w14:paraId="2C57719E" w14:textId="79F299EA"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10 800 000</w:t>
            </w:r>
          </w:p>
        </w:tc>
      </w:tr>
      <w:tr w:rsidR="00672E96" w:rsidRPr="004635B2" w14:paraId="3DDB13AD"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FFB6B09" w14:textId="75E97379"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9</w:t>
            </w:r>
          </w:p>
        </w:tc>
        <w:tc>
          <w:tcPr>
            <w:tcW w:w="1823" w:type="dxa"/>
            <w:tcBorders>
              <w:top w:val="nil"/>
              <w:left w:val="nil"/>
              <w:bottom w:val="single" w:sz="4" w:space="0" w:color="auto"/>
              <w:right w:val="single" w:sz="4" w:space="0" w:color="auto"/>
            </w:tcBorders>
            <w:shd w:val="clear" w:color="auto" w:fill="F2F2F2"/>
            <w:noWrap/>
            <w:vAlign w:val="bottom"/>
            <w:hideMark/>
          </w:tcPr>
          <w:p w14:paraId="3B45F650" w14:textId="38314A8A"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Bosnie-Herzégovine </w:t>
            </w:r>
          </w:p>
        </w:tc>
        <w:tc>
          <w:tcPr>
            <w:tcW w:w="1005" w:type="dxa"/>
            <w:tcBorders>
              <w:top w:val="nil"/>
              <w:left w:val="nil"/>
              <w:bottom w:val="single" w:sz="4" w:space="0" w:color="auto"/>
              <w:right w:val="single" w:sz="4" w:space="0" w:color="auto"/>
            </w:tcBorders>
            <w:shd w:val="clear" w:color="auto" w:fill="auto"/>
            <w:noWrap/>
            <w:vAlign w:val="bottom"/>
            <w:hideMark/>
          </w:tcPr>
          <w:p w14:paraId="06071DD4"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5A0FFB6C" w14:textId="0A54FAA4"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7 500 000</w:t>
            </w:r>
          </w:p>
        </w:tc>
        <w:tc>
          <w:tcPr>
            <w:tcW w:w="1457" w:type="dxa"/>
            <w:tcBorders>
              <w:top w:val="nil"/>
              <w:left w:val="nil"/>
              <w:bottom w:val="single" w:sz="4" w:space="0" w:color="auto"/>
              <w:right w:val="single" w:sz="4" w:space="0" w:color="auto"/>
            </w:tcBorders>
            <w:shd w:val="clear" w:color="auto" w:fill="auto"/>
            <w:noWrap/>
            <w:vAlign w:val="bottom"/>
            <w:hideMark/>
          </w:tcPr>
          <w:p w14:paraId="322D3AEC" w14:textId="0C7AB783"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2 600 000</w:t>
            </w:r>
          </w:p>
        </w:tc>
        <w:tc>
          <w:tcPr>
            <w:tcW w:w="1435" w:type="dxa"/>
            <w:tcBorders>
              <w:top w:val="nil"/>
              <w:left w:val="nil"/>
              <w:bottom w:val="single" w:sz="4" w:space="0" w:color="auto"/>
              <w:right w:val="single" w:sz="4" w:space="0" w:color="auto"/>
            </w:tcBorders>
            <w:shd w:val="clear" w:color="auto" w:fill="auto"/>
            <w:noWrap/>
            <w:vAlign w:val="bottom"/>
            <w:hideMark/>
          </w:tcPr>
          <w:p w14:paraId="0C3A3DAA" w14:textId="77777777"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315C52A3" w14:textId="6662E9DE"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10 100 000</w:t>
            </w:r>
          </w:p>
        </w:tc>
      </w:tr>
      <w:tr w:rsidR="00672E96" w:rsidRPr="004635B2" w14:paraId="1FC5B928"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88EB33C" w14:textId="4FDA190E"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10</w:t>
            </w:r>
          </w:p>
        </w:tc>
        <w:tc>
          <w:tcPr>
            <w:tcW w:w="1823" w:type="dxa"/>
            <w:tcBorders>
              <w:top w:val="nil"/>
              <w:left w:val="nil"/>
              <w:bottom w:val="single" w:sz="4" w:space="0" w:color="auto"/>
              <w:right w:val="single" w:sz="4" w:space="0" w:color="auto"/>
            </w:tcBorders>
            <w:shd w:val="clear" w:color="auto" w:fill="F2F2F2"/>
            <w:noWrap/>
            <w:vAlign w:val="bottom"/>
            <w:hideMark/>
          </w:tcPr>
          <w:p w14:paraId="357EC10A" w14:textId="5F1066B3"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Brésil </w:t>
            </w:r>
          </w:p>
        </w:tc>
        <w:tc>
          <w:tcPr>
            <w:tcW w:w="1005" w:type="dxa"/>
            <w:tcBorders>
              <w:top w:val="nil"/>
              <w:left w:val="nil"/>
              <w:bottom w:val="single" w:sz="4" w:space="0" w:color="auto"/>
              <w:right w:val="single" w:sz="4" w:space="0" w:color="auto"/>
            </w:tcBorders>
            <w:shd w:val="clear" w:color="auto" w:fill="auto"/>
            <w:noWrap/>
            <w:vAlign w:val="bottom"/>
            <w:hideMark/>
          </w:tcPr>
          <w:p w14:paraId="5AC077F8"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14:paraId="24C74F0B" w14:textId="50362B58"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262 680 000</w:t>
            </w:r>
          </w:p>
        </w:tc>
        <w:tc>
          <w:tcPr>
            <w:tcW w:w="1457" w:type="dxa"/>
            <w:tcBorders>
              <w:top w:val="nil"/>
              <w:left w:val="nil"/>
              <w:bottom w:val="single" w:sz="4" w:space="0" w:color="auto"/>
              <w:right w:val="single" w:sz="4" w:space="0" w:color="auto"/>
            </w:tcBorders>
            <w:shd w:val="clear" w:color="auto" w:fill="auto"/>
            <w:noWrap/>
            <w:vAlign w:val="bottom"/>
            <w:hideMark/>
          </w:tcPr>
          <w:p w14:paraId="0D302CB2"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0</w:t>
            </w:r>
          </w:p>
        </w:tc>
        <w:tc>
          <w:tcPr>
            <w:tcW w:w="1435" w:type="dxa"/>
            <w:tcBorders>
              <w:top w:val="nil"/>
              <w:left w:val="nil"/>
              <w:bottom w:val="single" w:sz="4" w:space="0" w:color="auto"/>
              <w:right w:val="single" w:sz="4" w:space="0" w:color="auto"/>
            </w:tcBorders>
            <w:shd w:val="clear" w:color="auto" w:fill="auto"/>
            <w:noWrap/>
            <w:vAlign w:val="bottom"/>
            <w:hideMark/>
          </w:tcPr>
          <w:p w14:paraId="0C2F5806" w14:textId="2E2A1734"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138 350 000</w:t>
            </w:r>
          </w:p>
        </w:tc>
        <w:tc>
          <w:tcPr>
            <w:tcW w:w="1418" w:type="dxa"/>
            <w:tcBorders>
              <w:top w:val="nil"/>
              <w:left w:val="nil"/>
              <w:bottom w:val="single" w:sz="4" w:space="0" w:color="auto"/>
              <w:right w:val="single" w:sz="4" w:space="0" w:color="auto"/>
            </w:tcBorders>
            <w:shd w:val="clear" w:color="auto" w:fill="D0CECE"/>
            <w:noWrap/>
            <w:vAlign w:val="bottom"/>
            <w:hideMark/>
          </w:tcPr>
          <w:p w14:paraId="0F5089DE" w14:textId="1AB9FC65"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401 030 000</w:t>
            </w:r>
          </w:p>
        </w:tc>
      </w:tr>
      <w:tr w:rsidR="00672E96" w:rsidRPr="004635B2" w14:paraId="44248C28"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5CED26" w14:textId="055C7F5A"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11</w:t>
            </w:r>
          </w:p>
        </w:tc>
        <w:tc>
          <w:tcPr>
            <w:tcW w:w="1823" w:type="dxa"/>
            <w:tcBorders>
              <w:top w:val="nil"/>
              <w:left w:val="nil"/>
              <w:bottom w:val="single" w:sz="4" w:space="0" w:color="auto"/>
              <w:right w:val="single" w:sz="4" w:space="0" w:color="auto"/>
            </w:tcBorders>
            <w:shd w:val="clear" w:color="auto" w:fill="F2F2F2"/>
            <w:noWrap/>
            <w:vAlign w:val="bottom"/>
            <w:hideMark/>
          </w:tcPr>
          <w:p w14:paraId="2B02BECC"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Burundi </w:t>
            </w:r>
          </w:p>
        </w:tc>
        <w:tc>
          <w:tcPr>
            <w:tcW w:w="1005" w:type="dxa"/>
            <w:tcBorders>
              <w:top w:val="nil"/>
              <w:left w:val="nil"/>
              <w:bottom w:val="single" w:sz="4" w:space="0" w:color="auto"/>
              <w:right w:val="single" w:sz="4" w:space="0" w:color="auto"/>
            </w:tcBorders>
            <w:shd w:val="clear" w:color="auto" w:fill="auto"/>
            <w:noWrap/>
            <w:vAlign w:val="bottom"/>
            <w:hideMark/>
          </w:tcPr>
          <w:p w14:paraId="235E527B"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748EFF43" w14:textId="665CEDE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850 680</w:t>
            </w:r>
          </w:p>
        </w:tc>
        <w:tc>
          <w:tcPr>
            <w:tcW w:w="1457" w:type="dxa"/>
            <w:tcBorders>
              <w:top w:val="nil"/>
              <w:left w:val="nil"/>
              <w:bottom w:val="single" w:sz="4" w:space="0" w:color="auto"/>
              <w:right w:val="single" w:sz="4" w:space="0" w:color="auto"/>
            </w:tcBorders>
            <w:shd w:val="clear" w:color="auto" w:fill="auto"/>
            <w:noWrap/>
            <w:vAlign w:val="bottom"/>
            <w:hideMark/>
          </w:tcPr>
          <w:p w14:paraId="2CE3B197" w14:textId="5531E670"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50 000</w:t>
            </w:r>
          </w:p>
        </w:tc>
        <w:tc>
          <w:tcPr>
            <w:tcW w:w="1435" w:type="dxa"/>
            <w:tcBorders>
              <w:top w:val="nil"/>
              <w:left w:val="nil"/>
              <w:bottom w:val="single" w:sz="4" w:space="0" w:color="auto"/>
              <w:right w:val="single" w:sz="4" w:space="0" w:color="auto"/>
            </w:tcBorders>
            <w:shd w:val="clear" w:color="auto" w:fill="auto"/>
            <w:noWrap/>
            <w:vAlign w:val="bottom"/>
            <w:hideMark/>
          </w:tcPr>
          <w:p w14:paraId="3620B843"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w:t>
            </w:r>
          </w:p>
        </w:tc>
        <w:tc>
          <w:tcPr>
            <w:tcW w:w="1418" w:type="dxa"/>
            <w:tcBorders>
              <w:top w:val="nil"/>
              <w:left w:val="nil"/>
              <w:bottom w:val="single" w:sz="4" w:space="0" w:color="auto"/>
              <w:right w:val="single" w:sz="4" w:space="0" w:color="auto"/>
            </w:tcBorders>
            <w:shd w:val="clear" w:color="auto" w:fill="D0CECE"/>
            <w:noWrap/>
            <w:vAlign w:val="bottom"/>
            <w:hideMark/>
          </w:tcPr>
          <w:p w14:paraId="2049A3FB" w14:textId="3361D4E2"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900 680</w:t>
            </w:r>
          </w:p>
        </w:tc>
      </w:tr>
      <w:tr w:rsidR="00672E96" w:rsidRPr="004635B2" w14:paraId="7ABD0F6E"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8B1091E" w14:textId="15FFDD55"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12</w:t>
            </w:r>
          </w:p>
        </w:tc>
        <w:tc>
          <w:tcPr>
            <w:tcW w:w="1823" w:type="dxa"/>
            <w:tcBorders>
              <w:top w:val="nil"/>
              <w:left w:val="nil"/>
              <w:bottom w:val="single" w:sz="4" w:space="0" w:color="auto"/>
              <w:right w:val="single" w:sz="4" w:space="0" w:color="auto"/>
            </w:tcBorders>
            <w:shd w:val="clear" w:color="auto" w:fill="F2F2F2"/>
            <w:noWrap/>
            <w:vAlign w:val="bottom"/>
            <w:hideMark/>
          </w:tcPr>
          <w:p w14:paraId="0AB7864A" w14:textId="05AB28DB"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Colombie </w:t>
            </w:r>
          </w:p>
        </w:tc>
        <w:tc>
          <w:tcPr>
            <w:tcW w:w="1005" w:type="dxa"/>
            <w:tcBorders>
              <w:top w:val="nil"/>
              <w:left w:val="nil"/>
              <w:bottom w:val="single" w:sz="4" w:space="0" w:color="auto"/>
              <w:right w:val="single" w:sz="4" w:space="0" w:color="auto"/>
            </w:tcBorders>
            <w:shd w:val="clear" w:color="auto" w:fill="auto"/>
            <w:noWrap/>
            <w:vAlign w:val="bottom"/>
            <w:hideMark/>
          </w:tcPr>
          <w:p w14:paraId="3DA775D0"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8 </w:t>
            </w:r>
          </w:p>
        </w:tc>
        <w:tc>
          <w:tcPr>
            <w:tcW w:w="1405" w:type="dxa"/>
            <w:tcBorders>
              <w:top w:val="nil"/>
              <w:left w:val="nil"/>
              <w:bottom w:val="single" w:sz="4" w:space="0" w:color="auto"/>
              <w:right w:val="single" w:sz="4" w:space="0" w:color="auto"/>
            </w:tcBorders>
            <w:shd w:val="clear" w:color="auto" w:fill="D9E2F3"/>
            <w:noWrap/>
            <w:vAlign w:val="bottom"/>
            <w:hideMark/>
          </w:tcPr>
          <w:p w14:paraId="5C5F777D" w14:textId="5E9B7892"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168 380 424</w:t>
            </w:r>
          </w:p>
        </w:tc>
        <w:tc>
          <w:tcPr>
            <w:tcW w:w="1457" w:type="dxa"/>
            <w:tcBorders>
              <w:top w:val="nil"/>
              <w:left w:val="nil"/>
              <w:bottom w:val="single" w:sz="4" w:space="0" w:color="auto"/>
              <w:right w:val="single" w:sz="4" w:space="0" w:color="auto"/>
            </w:tcBorders>
            <w:shd w:val="clear" w:color="auto" w:fill="auto"/>
            <w:noWrap/>
            <w:vAlign w:val="bottom"/>
            <w:hideMark/>
          </w:tcPr>
          <w:p w14:paraId="5577E8D3" w14:textId="37CF8749"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228 546 031</w:t>
            </w:r>
          </w:p>
        </w:tc>
        <w:tc>
          <w:tcPr>
            <w:tcW w:w="1435" w:type="dxa"/>
            <w:tcBorders>
              <w:top w:val="nil"/>
              <w:left w:val="nil"/>
              <w:bottom w:val="single" w:sz="4" w:space="0" w:color="auto"/>
              <w:right w:val="single" w:sz="4" w:space="0" w:color="auto"/>
            </w:tcBorders>
            <w:shd w:val="clear" w:color="auto" w:fill="auto"/>
            <w:noWrap/>
            <w:vAlign w:val="bottom"/>
            <w:hideMark/>
          </w:tcPr>
          <w:p w14:paraId="742BCE80" w14:textId="736955C9"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524 883 446</w:t>
            </w:r>
          </w:p>
        </w:tc>
        <w:tc>
          <w:tcPr>
            <w:tcW w:w="1418" w:type="dxa"/>
            <w:tcBorders>
              <w:top w:val="nil"/>
              <w:left w:val="nil"/>
              <w:bottom w:val="single" w:sz="4" w:space="0" w:color="auto"/>
              <w:right w:val="single" w:sz="4" w:space="0" w:color="auto"/>
            </w:tcBorders>
            <w:shd w:val="clear" w:color="auto" w:fill="D0CECE"/>
            <w:noWrap/>
            <w:vAlign w:val="bottom"/>
            <w:hideMark/>
          </w:tcPr>
          <w:p w14:paraId="4F9DFB43" w14:textId="15930B30"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921 809 901</w:t>
            </w:r>
          </w:p>
        </w:tc>
      </w:tr>
      <w:tr w:rsidR="00672E96" w:rsidRPr="004635B2" w14:paraId="2F405113"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205E3D9" w14:textId="4BFC8797"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13</w:t>
            </w:r>
          </w:p>
        </w:tc>
        <w:tc>
          <w:tcPr>
            <w:tcW w:w="1823" w:type="dxa"/>
            <w:tcBorders>
              <w:top w:val="nil"/>
              <w:left w:val="nil"/>
              <w:bottom w:val="single" w:sz="4" w:space="0" w:color="auto"/>
              <w:right w:val="single" w:sz="4" w:space="0" w:color="auto"/>
            </w:tcBorders>
            <w:shd w:val="clear" w:color="auto" w:fill="F2F2F2"/>
            <w:noWrap/>
            <w:vAlign w:val="bottom"/>
            <w:hideMark/>
          </w:tcPr>
          <w:p w14:paraId="7702E374" w14:textId="618E02FA"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Comores </w:t>
            </w:r>
          </w:p>
        </w:tc>
        <w:tc>
          <w:tcPr>
            <w:tcW w:w="1005" w:type="dxa"/>
            <w:tcBorders>
              <w:top w:val="nil"/>
              <w:left w:val="nil"/>
              <w:bottom w:val="single" w:sz="4" w:space="0" w:color="auto"/>
              <w:right w:val="single" w:sz="4" w:space="0" w:color="auto"/>
            </w:tcBorders>
            <w:shd w:val="clear" w:color="auto" w:fill="auto"/>
            <w:noWrap/>
            <w:vAlign w:val="bottom"/>
            <w:hideMark/>
          </w:tcPr>
          <w:p w14:paraId="44DCE15C"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68BE68F3" w14:textId="5AB209B2"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5 935 000</w:t>
            </w:r>
          </w:p>
        </w:tc>
        <w:tc>
          <w:tcPr>
            <w:tcW w:w="1457" w:type="dxa"/>
            <w:tcBorders>
              <w:top w:val="nil"/>
              <w:left w:val="nil"/>
              <w:bottom w:val="single" w:sz="4" w:space="0" w:color="auto"/>
              <w:right w:val="single" w:sz="4" w:space="0" w:color="auto"/>
            </w:tcBorders>
            <w:shd w:val="clear" w:color="auto" w:fill="auto"/>
            <w:noWrap/>
            <w:vAlign w:val="bottom"/>
            <w:hideMark/>
          </w:tcPr>
          <w:p w14:paraId="6BCD2D02" w14:textId="3471BE2A"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15 000</w:t>
            </w:r>
          </w:p>
        </w:tc>
        <w:tc>
          <w:tcPr>
            <w:tcW w:w="1435" w:type="dxa"/>
            <w:tcBorders>
              <w:top w:val="nil"/>
              <w:left w:val="nil"/>
              <w:bottom w:val="single" w:sz="4" w:space="0" w:color="auto"/>
              <w:right w:val="single" w:sz="4" w:space="0" w:color="auto"/>
            </w:tcBorders>
            <w:shd w:val="clear" w:color="auto" w:fill="auto"/>
            <w:noWrap/>
            <w:vAlign w:val="bottom"/>
            <w:hideMark/>
          </w:tcPr>
          <w:p w14:paraId="394493CC" w14:textId="3053B88D"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50 000</w:t>
            </w:r>
          </w:p>
        </w:tc>
        <w:tc>
          <w:tcPr>
            <w:tcW w:w="1418" w:type="dxa"/>
            <w:tcBorders>
              <w:top w:val="nil"/>
              <w:left w:val="nil"/>
              <w:bottom w:val="single" w:sz="4" w:space="0" w:color="auto"/>
              <w:right w:val="single" w:sz="4" w:space="0" w:color="auto"/>
            </w:tcBorders>
            <w:shd w:val="clear" w:color="auto" w:fill="D0CECE"/>
            <w:noWrap/>
            <w:vAlign w:val="bottom"/>
            <w:hideMark/>
          </w:tcPr>
          <w:p w14:paraId="16E6CC82" w14:textId="11A37184"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6 000 000</w:t>
            </w:r>
          </w:p>
        </w:tc>
      </w:tr>
      <w:tr w:rsidR="00672E96" w:rsidRPr="004635B2" w14:paraId="3FEDEC71"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1730212" w14:textId="0AF5A7E9"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14</w:t>
            </w:r>
          </w:p>
        </w:tc>
        <w:tc>
          <w:tcPr>
            <w:tcW w:w="1823" w:type="dxa"/>
            <w:tcBorders>
              <w:top w:val="nil"/>
              <w:left w:val="nil"/>
              <w:bottom w:val="single" w:sz="4" w:space="0" w:color="auto"/>
              <w:right w:val="single" w:sz="4" w:space="0" w:color="auto"/>
            </w:tcBorders>
            <w:shd w:val="clear" w:color="auto" w:fill="F2F2F2"/>
            <w:noWrap/>
            <w:vAlign w:val="bottom"/>
            <w:hideMark/>
          </w:tcPr>
          <w:p w14:paraId="442340E9"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Congo </w:t>
            </w:r>
          </w:p>
        </w:tc>
        <w:tc>
          <w:tcPr>
            <w:tcW w:w="1005" w:type="dxa"/>
            <w:tcBorders>
              <w:top w:val="nil"/>
              <w:left w:val="nil"/>
              <w:bottom w:val="single" w:sz="4" w:space="0" w:color="auto"/>
              <w:right w:val="single" w:sz="4" w:space="0" w:color="auto"/>
            </w:tcBorders>
            <w:shd w:val="clear" w:color="auto" w:fill="auto"/>
            <w:noWrap/>
            <w:vAlign w:val="bottom"/>
            <w:hideMark/>
          </w:tcPr>
          <w:p w14:paraId="177DF25B"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55C73A04" w14:textId="1A293E6E"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750 000</w:t>
            </w:r>
          </w:p>
        </w:tc>
        <w:tc>
          <w:tcPr>
            <w:tcW w:w="1457" w:type="dxa"/>
            <w:tcBorders>
              <w:top w:val="nil"/>
              <w:left w:val="nil"/>
              <w:bottom w:val="single" w:sz="4" w:space="0" w:color="auto"/>
              <w:right w:val="single" w:sz="4" w:space="0" w:color="auto"/>
            </w:tcBorders>
            <w:shd w:val="clear" w:color="auto" w:fill="auto"/>
            <w:noWrap/>
            <w:vAlign w:val="bottom"/>
            <w:hideMark/>
          </w:tcPr>
          <w:p w14:paraId="570984B1" w14:textId="0A8887F7"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375 000</w:t>
            </w:r>
          </w:p>
        </w:tc>
        <w:tc>
          <w:tcPr>
            <w:tcW w:w="1435" w:type="dxa"/>
            <w:tcBorders>
              <w:top w:val="nil"/>
              <w:left w:val="nil"/>
              <w:bottom w:val="single" w:sz="4" w:space="0" w:color="auto"/>
              <w:right w:val="single" w:sz="4" w:space="0" w:color="auto"/>
            </w:tcBorders>
            <w:shd w:val="clear" w:color="auto" w:fill="auto"/>
            <w:noWrap/>
            <w:vAlign w:val="bottom"/>
            <w:hideMark/>
          </w:tcPr>
          <w:p w14:paraId="233460F4" w14:textId="26734534"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375 000</w:t>
            </w:r>
          </w:p>
        </w:tc>
        <w:tc>
          <w:tcPr>
            <w:tcW w:w="1418" w:type="dxa"/>
            <w:tcBorders>
              <w:top w:val="nil"/>
              <w:left w:val="nil"/>
              <w:bottom w:val="single" w:sz="4" w:space="0" w:color="auto"/>
              <w:right w:val="single" w:sz="4" w:space="0" w:color="auto"/>
            </w:tcBorders>
            <w:shd w:val="clear" w:color="auto" w:fill="D0CECE"/>
            <w:noWrap/>
            <w:vAlign w:val="bottom"/>
            <w:hideMark/>
          </w:tcPr>
          <w:p w14:paraId="2B7844A3" w14:textId="0667F210" w:rsidR="00672E96" w:rsidRPr="004635B2" w:rsidRDefault="00672E96" w:rsidP="00672E96">
            <w:pPr>
              <w:widowControl w:val="0"/>
              <w:autoSpaceDE w:val="0"/>
              <w:autoSpaceDN w:val="0"/>
              <w:rPr>
                <w:rFonts w:ascii="Calibri" w:hAnsi="Calibri" w:cs="Calibri"/>
                <w:sz w:val="20"/>
                <w:szCs w:val="20"/>
                <w:lang w:val="fr-CA"/>
              </w:rPr>
            </w:pPr>
            <w:r w:rsidRPr="004635B2">
              <w:rPr>
                <w:rFonts w:ascii="Calibri" w:hAnsi="Calibri" w:cs="Calibri"/>
                <w:sz w:val="20"/>
                <w:szCs w:val="20"/>
                <w:lang w:val="fr-CA"/>
              </w:rPr>
              <w:t>1 500 000</w:t>
            </w:r>
          </w:p>
        </w:tc>
      </w:tr>
      <w:tr w:rsidR="00672E96" w:rsidRPr="004635B2" w14:paraId="59A46DA7"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59492FA" w14:textId="1F47618E"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15</w:t>
            </w:r>
          </w:p>
        </w:tc>
        <w:tc>
          <w:tcPr>
            <w:tcW w:w="1823" w:type="dxa"/>
            <w:tcBorders>
              <w:top w:val="nil"/>
              <w:left w:val="nil"/>
              <w:bottom w:val="single" w:sz="4" w:space="0" w:color="auto"/>
              <w:right w:val="single" w:sz="4" w:space="0" w:color="auto"/>
            </w:tcBorders>
            <w:shd w:val="clear" w:color="auto" w:fill="F2F2F2"/>
            <w:noWrap/>
            <w:vAlign w:val="bottom"/>
            <w:hideMark/>
          </w:tcPr>
          <w:p w14:paraId="4FD75830"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Costa Rica </w:t>
            </w:r>
          </w:p>
        </w:tc>
        <w:tc>
          <w:tcPr>
            <w:tcW w:w="1005" w:type="dxa"/>
            <w:tcBorders>
              <w:top w:val="nil"/>
              <w:left w:val="nil"/>
              <w:bottom w:val="single" w:sz="4" w:space="0" w:color="auto"/>
              <w:right w:val="single" w:sz="4" w:space="0" w:color="auto"/>
            </w:tcBorders>
            <w:shd w:val="clear" w:color="auto" w:fill="auto"/>
            <w:noWrap/>
            <w:vAlign w:val="bottom"/>
            <w:hideMark/>
          </w:tcPr>
          <w:p w14:paraId="135EFB56"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3DDCDA2C" w14:textId="00ECFB6C"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55 000</w:t>
            </w:r>
          </w:p>
        </w:tc>
        <w:tc>
          <w:tcPr>
            <w:tcW w:w="1457" w:type="dxa"/>
            <w:tcBorders>
              <w:top w:val="nil"/>
              <w:left w:val="nil"/>
              <w:bottom w:val="single" w:sz="4" w:space="0" w:color="auto"/>
              <w:right w:val="single" w:sz="4" w:space="0" w:color="auto"/>
            </w:tcBorders>
            <w:shd w:val="clear" w:color="auto" w:fill="auto"/>
            <w:noWrap/>
            <w:vAlign w:val="bottom"/>
            <w:hideMark/>
          </w:tcPr>
          <w:p w14:paraId="5CAAB235" w14:textId="2FFD2289"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15 000</w:t>
            </w:r>
          </w:p>
        </w:tc>
        <w:tc>
          <w:tcPr>
            <w:tcW w:w="1435" w:type="dxa"/>
            <w:tcBorders>
              <w:top w:val="nil"/>
              <w:left w:val="nil"/>
              <w:bottom w:val="single" w:sz="4" w:space="0" w:color="auto"/>
              <w:right w:val="single" w:sz="4" w:space="0" w:color="auto"/>
            </w:tcBorders>
            <w:shd w:val="clear" w:color="auto" w:fill="auto"/>
            <w:noWrap/>
            <w:vAlign w:val="bottom"/>
            <w:hideMark/>
          </w:tcPr>
          <w:p w14:paraId="1B838E7F"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w:t>
            </w:r>
          </w:p>
        </w:tc>
        <w:tc>
          <w:tcPr>
            <w:tcW w:w="1418" w:type="dxa"/>
            <w:tcBorders>
              <w:top w:val="nil"/>
              <w:left w:val="nil"/>
              <w:bottom w:val="single" w:sz="4" w:space="0" w:color="auto"/>
              <w:right w:val="single" w:sz="4" w:space="0" w:color="auto"/>
            </w:tcBorders>
            <w:shd w:val="clear" w:color="auto" w:fill="D0CECE"/>
            <w:noWrap/>
            <w:vAlign w:val="bottom"/>
            <w:hideMark/>
          </w:tcPr>
          <w:p w14:paraId="20FE5F8D" w14:textId="587CF1AA"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70 000</w:t>
            </w:r>
          </w:p>
        </w:tc>
      </w:tr>
      <w:tr w:rsidR="00672E96" w:rsidRPr="004635B2" w14:paraId="1EA007C3"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C6E5CA6" w14:textId="22BECA92"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w:t>
            </w:r>
            <w:r w:rsidR="006755E1" w:rsidRPr="004635B2">
              <w:rPr>
                <w:rFonts w:ascii="Calibri" w:hAnsi="Calibri" w:cs="Calibri"/>
                <w:color w:val="000000"/>
                <w:sz w:val="20"/>
                <w:szCs w:val="20"/>
                <w:lang w:val="fr-CA"/>
              </w:rPr>
              <w:t>6</w:t>
            </w:r>
          </w:p>
        </w:tc>
        <w:tc>
          <w:tcPr>
            <w:tcW w:w="1823" w:type="dxa"/>
            <w:tcBorders>
              <w:top w:val="nil"/>
              <w:left w:val="nil"/>
              <w:bottom w:val="single" w:sz="4" w:space="0" w:color="auto"/>
              <w:right w:val="single" w:sz="4" w:space="0" w:color="auto"/>
            </w:tcBorders>
            <w:shd w:val="clear" w:color="auto" w:fill="F2F2F2"/>
            <w:noWrap/>
            <w:vAlign w:val="bottom"/>
            <w:hideMark/>
          </w:tcPr>
          <w:p w14:paraId="10E54039" w14:textId="55E96B4E" w:rsidR="00672E96" w:rsidRPr="004635B2" w:rsidRDefault="00672E96"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w:t>
            </w:r>
            <w:r w:rsidR="001466B2" w:rsidRPr="004635B2">
              <w:rPr>
                <w:rFonts w:ascii="Calibri" w:hAnsi="Calibri" w:cs="Calibri"/>
                <w:color w:val="000000"/>
                <w:sz w:val="20"/>
                <w:szCs w:val="20"/>
                <w:lang w:val="fr-CA"/>
              </w:rPr>
              <w:t>Équateur</w:t>
            </w:r>
            <w:r w:rsidRPr="004635B2">
              <w:rPr>
                <w:rFonts w:ascii="Calibri" w:hAnsi="Calibri" w:cs="Calibri"/>
                <w:color w:val="000000"/>
                <w:sz w:val="20"/>
                <w:szCs w:val="20"/>
                <w:lang w:val="fr-CA"/>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14:paraId="45DD7E1C"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15 </w:t>
            </w:r>
          </w:p>
        </w:tc>
        <w:tc>
          <w:tcPr>
            <w:tcW w:w="1405" w:type="dxa"/>
            <w:tcBorders>
              <w:top w:val="nil"/>
              <w:left w:val="nil"/>
              <w:bottom w:val="single" w:sz="4" w:space="0" w:color="auto"/>
              <w:right w:val="single" w:sz="4" w:space="0" w:color="auto"/>
            </w:tcBorders>
            <w:shd w:val="clear" w:color="auto" w:fill="D9E2F3"/>
            <w:noWrap/>
            <w:vAlign w:val="bottom"/>
            <w:hideMark/>
          </w:tcPr>
          <w:p w14:paraId="5D3BC2E0" w14:textId="68503ED0"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60 300 000</w:t>
            </w:r>
          </w:p>
        </w:tc>
        <w:tc>
          <w:tcPr>
            <w:tcW w:w="1457" w:type="dxa"/>
            <w:tcBorders>
              <w:top w:val="nil"/>
              <w:left w:val="nil"/>
              <w:bottom w:val="single" w:sz="4" w:space="0" w:color="auto"/>
              <w:right w:val="single" w:sz="4" w:space="0" w:color="auto"/>
            </w:tcBorders>
            <w:shd w:val="clear" w:color="auto" w:fill="auto"/>
            <w:noWrap/>
            <w:vAlign w:val="bottom"/>
            <w:hideMark/>
          </w:tcPr>
          <w:p w14:paraId="58AFE8E2" w14:textId="7200A7C3"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156 500 000</w:t>
            </w:r>
          </w:p>
        </w:tc>
        <w:tc>
          <w:tcPr>
            <w:tcW w:w="1435" w:type="dxa"/>
            <w:tcBorders>
              <w:top w:val="nil"/>
              <w:left w:val="nil"/>
              <w:bottom w:val="single" w:sz="4" w:space="0" w:color="auto"/>
              <w:right w:val="single" w:sz="4" w:space="0" w:color="auto"/>
            </w:tcBorders>
            <w:shd w:val="clear" w:color="auto" w:fill="auto"/>
            <w:noWrap/>
            <w:vAlign w:val="bottom"/>
            <w:hideMark/>
          </w:tcPr>
          <w:p w14:paraId="6F861A50" w14:textId="36696068"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23 500 000</w:t>
            </w:r>
          </w:p>
        </w:tc>
        <w:tc>
          <w:tcPr>
            <w:tcW w:w="1418" w:type="dxa"/>
            <w:tcBorders>
              <w:top w:val="nil"/>
              <w:left w:val="nil"/>
              <w:bottom w:val="single" w:sz="4" w:space="0" w:color="auto"/>
              <w:right w:val="single" w:sz="4" w:space="0" w:color="auto"/>
            </w:tcBorders>
            <w:shd w:val="clear" w:color="auto" w:fill="D0CECE"/>
            <w:noWrap/>
            <w:vAlign w:val="bottom"/>
            <w:hideMark/>
          </w:tcPr>
          <w:p w14:paraId="06AC64B4" w14:textId="34F0E6FF"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240 300 000</w:t>
            </w:r>
          </w:p>
        </w:tc>
      </w:tr>
      <w:tr w:rsidR="00672E96" w:rsidRPr="004635B2" w14:paraId="6A5D7859"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C568A6B" w14:textId="27467BC9"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17</w:t>
            </w:r>
          </w:p>
        </w:tc>
        <w:tc>
          <w:tcPr>
            <w:tcW w:w="1823" w:type="dxa"/>
            <w:tcBorders>
              <w:top w:val="nil"/>
              <w:left w:val="nil"/>
              <w:bottom w:val="single" w:sz="4" w:space="0" w:color="auto"/>
              <w:right w:val="single" w:sz="4" w:space="0" w:color="auto"/>
            </w:tcBorders>
            <w:shd w:val="clear" w:color="auto" w:fill="F2F2F2"/>
            <w:noWrap/>
            <w:vAlign w:val="bottom"/>
            <w:hideMark/>
          </w:tcPr>
          <w:p w14:paraId="1F092F1F" w14:textId="0423CA13" w:rsidR="00672E96" w:rsidRPr="004635B2" w:rsidRDefault="001466B2" w:rsidP="001466B2">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Gé</w:t>
            </w:r>
            <w:r w:rsidR="00672E96" w:rsidRPr="004635B2">
              <w:rPr>
                <w:rFonts w:ascii="Calibri" w:hAnsi="Calibri" w:cs="Calibri"/>
                <w:color w:val="000000"/>
                <w:sz w:val="20"/>
                <w:szCs w:val="20"/>
                <w:lang w:val="fr-CA"/>
              </w:rPr>
              <w:t>orgi</w:t>
            </w:r>
            <w:r w:rsidRPr="004635B2">
              <w:rPr>
                <w:rFonts w:ascii="Calibri" w:hAnsi="Calibri" w:cs="Calibri"/>
                <w:color w:val="000000"/>
                <w:sz w:val="20"/>
                <w:szCs w:val="20"/>
                <w:lang w:val="fr-CA"/>
              </w:rPr>
              <w:t>e</w:t>
            </w:r>
            <w:r w:rsidR="00672E96" w:rsidRPr="004635B2">
              <w:rPr>
                <w:rFonts w:ascii="Calibri" w:hAnsi="Calibri" w:cs="Calibri"/>
                <w:color w:val="000000"/>
                <w:sz w:val="20"/>
                <w:szCs w:val="20"/>
                <w:lang w:val="fr-CA"/>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14:paraId="3E6182AA"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3DDE9BC2" w14:textId="6AEAB35F"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5 000 000</w:t>
            </w:r>
          </w:p>
        </w:tc>
        <w:tc>
          <w:tcPr>
            <w:tcW w:w="1457" w:type="dxa"/>
            <w:tcBorders>
              <w:top w:val="nil"/>
              <w:left w:val="nil"/>
              <w:bottom w:val="single" w:sz="4" w:space="0" w:color="auto"/>
              <w:right w:val="single" w:sz="4" w:space="0" w:color="auto"/>
            </w:tcBorders>
            <w:shd w:val="clear" w:color="auto" w:fill="auto"/>
            <w:noWrap/>
            <w:vAlign w:val="bottom"/>
            <w:hideMark/>
          </w:tcPr>
          <w:p w14:paraId="200A3FD0" w14:textId="43DB7B3B"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800 000</w:t>
            </w:r>
          </w:p>
        </w:tc>
        <w:tc>
          <w:tcPr>
            <w:tcW w:w="1435" w:type="dxa"/>
            <w:tcBorders>
              <w:top w:val="nil"/>
              <w:left w:val="nil"/>
              <w:bottom w:val="single" w:sz="4" w:space="0" w:color="auto"/>
              <w:right w:val="single" w:sz="4" w:space="0" w:color="auto"/>
            </w:tcBorders>
            <w:shd w:val="clear" w:color="auto" w:fill="auto"/>
            <w:noWrap/>
            <w:vAlign w:val="bottom"/>
            <w:hideMark/>
          </w:tcPr>
          <w:p w14:paraId="443EDC57" w14:textId="0820C0D3"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16 000 000</w:t>
            </w:r>
          </w:p>
        </w:tc>
        <w:tc>
          <w:tcPr>
            <w:tcW w:w="1418" w:type="dxa"/>
            <w:tcBorders>
              <w:top w:val="nil"/>
              <w:left w:val="nil"/>
              <w:bottom w:val="single" w:sz="4" w:space="0" w:color="auto"/>
              <w:right w:val="single" w:sz="4" w:space="0" w:color="auto"/>
            </w:tcBorders>
            <w:shd w:val="clear" w:color="auto" w:fill="D0CECE"/>
            <w:noWrap/>
            <w:vAlign w:val="bottom"/>
            <w:hideMark/>
          </w:tcPr>
          <w:p w14:paraId="3A97BDE9" w14:textId="4F69628F"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21 800 000</w:t>
            </w:r>
          </w:p>
        </w:tc>
      </w:tr>
      <w:tr w:rsidR="00672E96" w:rsidRPr="004635B2" w14:paraId="07E76819"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EDECCF8" w14:textId="7A52E78B"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18</w:t>
            </w:r>
          </w:p>
        </w:tc>
        <w:tc>
          <w:tcPr>
            <w:tcW w:w="1823" w:type="dxa"/>
            <w:tcBorders>
              <w:top w:val="nil"/>
              <w:left w:val="nil"/>
              <w:bottom w:val="single" w:sz="4" w:space="0" w:color="auto"/>
              <w:right w:val="single" w:sz="4" w:space="0" w:color="auto"/>
            </w:tcBorders>
            <w:shd w:val="clear" w:color="auto" w:fill="F2F2F2"/>
            <w:noWrap/>
            <w:vAlign w:val="bottom"/>
            <w:hideMark/>
          </w:tcPr>
          <w:p w14:paraId="646A0961"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Iraq </w:t>
            </w:r>
          </w:p>
        </w:tc>
        <w:tc>
          <w:tcPr>
            <w:tcW w:w="1005" w:type="dxa"/>
            <w:tcBorders>
              <w:top w:val="nil"/>
              <w:left w:val="nil"/>
              <w:bottom w:val="single" w:sz="4" w:space="0" w:color="auto"/>
              <w:right w:val="single" w:sz="4" w:space="0" w:color="auto"/>
            </w:tcBorders>
            <w:shd w:val="clear" w:color="auto" w:fill="auto"/>
            <w:noWrap/>
            <w:vAlign w:val="bottom"/>
            <w:hideMark/>
          </w:tcPr>
          <w:p w14:paraId="52F6AC6C"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5C41916F" w14:textId="50DC641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300 000</w:t>
            </w:r>
          </w:p>
        </w:tc>
        <w:tc>
          <w:tcPr>
            <w:tcW w:w="1457" w:type="dxa"/>
            <w:tcBorders>
              <w:top w:val="nil"/>
              <w:left w:val="nil"/>
              <w:bottom w:val="single" w:sz="4" w:space="0" w:color="auto"/>
              <w:right w:val="single" w:sz="4" w:space="0" w:color="auto"/>
            </w:tcBorders>
            <w:shd w:val="clear" w:color="auto" w:fill="auto"/>
            <w:noWrap/>
            <w:vAlign w:val="bottom"/>
            <w:hideMark/>
          </w:tcPr>
          <w:p w14:paraId="5A75463C" w14:textId="2BEC9B6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100 000</w:t>
            </w:r>
          </w:p>
        </w:tc>
        <w:tc>
          <w:tcPr>
            <w:tcW w:w="1435" w:type="dxa"/>
            <w:tcBorders>
              <w:top w:val="nil"/>
              <w:left w:val="nil"/>
              <w:bottom w:val="single" w:sz="4" w:space="0" w:color="auto"/>
              <w:right w:val="single" w:sz="4" w:space="0" w:color="auto"/>
            </w:tcBorders>
            <w:shd w:val="clear" w:color="auto" w:fill="auto"/>
            <w:noWrap/>
            <w:vAlign w:val="bottom"/>
            <w:hideMark/>
          </w:tcPr>
          <w:p w14:paraId="60144FC0" w14:textId="777EEC9C"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100 000</w:t>
            </w:r>
          </w:p>
        </w:tc>
        <w:tc>
          <w:tcPr>
            <w:tcW w:w="1418" w:type="dxa"/>
            <w:tcBorders>
              <w:top w:val="nil"/>
              <w:left w:val="nil"/>
              <w:bottom w:val="single" w:sz="4" w:space="0" w:color="auto"/>
              <w:right w:val="single" w:sz="4" w:space="0" w:color="auto"/>
            </w:tcBorders>
            <w:shd w:val="clear" w:color="auto" w:fill="D0CECE"/>
            <w:noWrap/>
            <w:vAlign w:val="bottom"/>
            <w:hideMark/>
          </w:tcPr>
          <w:p w14:paraId="06445E6E" w14:textId="79464695"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500 000</w:t>
            </w:r>
          </w:p>
        </w:tc>
      </w:tr>
      <w:tr w:rsidR="00672E96" w:rsidRPr="004635B2" w14:paraId="0F002B78"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3913B28" w14:textId="1657F316"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19</w:t>
            </w:r>
          </w:p>
        </w:tc>
        <w:tc>
          <w:tcPr>
            <w:tcW w:w="1823" w:type="dxa"/>
            <w:tcBorders>
              <w:top w:val="nil"/>
              <w:left w:val="nil"/>
              <w:bottom w:val="single" w:sz="4" w:space="0" w:color="auto"/>
              <w:right w:val="single" w:sz="4" w:space="0" w:color="auto"/>
            </w:tcBorders>
            <w:shd w:val="clear" w:color="auto" w:fill="F2F2F2"/>
            <w:noWrap/>
            <w:vAlign w:val="bottom"/>
            <w:hideMark/>
          </w:tcPr>
          <w:p w14:paraId="05975097" w14:textId="6C0BDE31"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Jordan</w:t>
            </w:r>
            <w:r w:rsidR="001466B2" w:rsidRPr="004635B2">
              <w:rPr>
                <w:rFonts w:ascii="Calibri" w:hAnsi="Calibri" w:cs="Calibri"/>
                <w:color w:val="000000"/>
                <w:sz w:val="20"/>
                <w:szCs w:val="20"/>
                <w:lang w:val="fr-CA"/>
              </w:rPr>
              <w:t>ie</w:t>
            </w:r>
            <w:r w:rsidRPr="004635B2">
              <w:rPr>
                <w:rFonts w:ascii="Calibri" w:hAnsi="Calibri" w:cs="Calibri"/>
                <w:color w:val="000000"/>
                <w:sz w:val="20"/>
                <w:szCs w:val="20"/>
                <w:lang w:val="fr-CA"/>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14:paraId="18FB6947"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14:paraId="00029A05" w14:textId="05914794"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13 500 000</w:t>
            </w:r>
          </w:p>
        </w:tc>
        <w:tc>
          <w:tcPr>
            <w:tcW w:w="1457" w:type="dxa"/>
            <w:tcBorders>
              <w:top w:val="nil"/>
              <w:left w:val="nil"/>
              <w:bottom w:val="single" w:sz="4" w:space="0" w:color="auto"/>
              <w:right w:val="single" w:sz="4" w:space="0" w:color="auto"/>
            </w:tcBorders>
            <w:shd w:val="clear" w:color="auto" w:fill="auto"/>
            <w:noWrap/>
            <w:vAlign w:val="bottom"/>
            <w:hideMark/>
          </w:tcPr>
          <w:p w14:paraId="7EDB6164"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0</w:t>
            </w:r>
          </w:p>
        </w:tc>
        <w:tc>
          <w:tcPr>
            <w:tcW w:w="1435" w:type="dxa"/>
            <w:tcBorders>
              <w:top w:val="nil"/>
              <w:left w:val="nil"/>
              <w:bottom w:val="single" w:sz="4" w:space="0" w:color="auto"/>
              <w:right w:val="single" w:sz="4" w:space="0" w:color="auto"/>
            </w:tcBorders>
            <w:shd w:val="clear" w:color="auto" w:fill="auto"/>
            <w:noWrap/>
            <w:vAlign w:val="bottom"/>
            <w:hideMark/>
          </w:tcPr>
          <w:p w14:paraId="413446A5"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0D86FF63" w14:textId="316D5B6E"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13 500 000</w:t>
            </w:r>
          </w:p>
        </w:tc>
      </w:tr>
      <w:tr w:rsidR="00672E96" w:rsidRPr="004635B2" w14:paraId="4B012136"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4905E68" w14:textId="16235C6F"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20</w:t>
            </w:r>
          </w:p>
        </w:tc>
        <w:tc>
          <w:tcPr>
            <w:tcW w:w="1823" w:type="dxa"/>
            <w:tcBorders>
              <w:top w:val="nil"/>
              <w:left w:val="nil"/>
              <w:bottom w:val="single" w:sz="4" w:space="0" w:color="auto"/>
              <w:right w:val="single" w:sz="4" w:space="0" w:color="auto"/>
            </w:tcBorders>
            <w:shd w:val="clear" w:color="auto" w:fill="F2F2F2"/>
            <w:noWrap/>
            <w:vAlign w:val="bottom"/>
            <w:hideMark/>
          </w:tcPr>
          <w:p w14:paraId="01827E06"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Kenya </w:t>
            </w:r>
          </w:p>
        </w:tc>
        <w:tc>
          <w:tcPr>
            <w:tcW w:w="1005" w:type="dxa"/>
            <w:tcBorders>
              <w:top w:val="nil"/>
              <w:left w:val="nil"/>
              <w:bottom w:val="single" w:sz="4" w:space="0" w:color="auto"/>
              <w:right w:val="single" w:sz="4" w:space="0" w:color="auto"/>
            </w:tcBorders>
            <w:shd w:val="clear" w:color="auto" w:fill="auto"/>
            <w:noWrap/>
            <w:vAlign w:val="bottom"/>
            <w:hideMark/>
          </w:tcPr>
          <w:p w14:paraId="06294F2D"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79CF1E27" w14:textId="3DB6B294"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900 000</w:t>
            </w:r>
          </w:p>
        </w:tc>
        <w:tc>
          <w:tcPr>
            <w:tcW w:w="1457" w:type="dxa"/>
            <w:tcBorders>
              <w:top w:val="nil"/>
              <w:left w:val="nil"/>
              <w:bottom w:val="single" w:sz="4" w:space="0" w:color="auto"/>
              <w:right w:val="single" w:sz="4" w:space="0" w:color="auto"/>
            </w:tcBorders>
            <w:shd w:val="clear" w:color="auto" w:fill="auto"/>
            <w:noWrap/>
            <w:vAlign w:val="bottom"/>
            <w:hideMark/>
          </w:tcPr>
          <w:p w14:paraId="19C4BB55" w14:textId="4D89DB91"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100 000</w:t>
            </w:r>
          </w:p>
        </w:tc>
        <w:tc>
          <w:tcPr>
            <w:tcW w:w="1435" w:type="dxa"/>
            <w:tcBorders>
              <w:top w:val="nil"/>
              <w:left w:val="nil"/>
              <w:bottom w:val="single" w:sz="4" w:space="0" w:color="auto"/>
              <w:right w:val="single" w:sz="4" w:space="0" w:color="auto"/>
            </w:tcBorders>
            <w:shd w:val="clear" w:color="auto" w:fill="auto"/>
            <w:noWrap/>
            <w:vAlign w:val="bottom"/>
            <w:hideMark/>
          </w:tcPr>
          <w:p w14:paraId="2B537B87"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w:t>
            </w:r>
          </w:p>
        </w:tc>
        <w:tc>
          <w:tcPr>
            <w:tcW w:w="1418" w:type="dxa"/>
            <w:tcBorders>
              <w:top w:val="nil"/>
              <w:left w:val="nil"/>
              <w:bottom w:val="single" w:sz="4" w:space="0" w:color="auto"/>
              <w:right w:val="single" w:sz="4" w:space="0" w:color="auto"/>
            </w:tcBorders>
            <w:shd w:val="clear" w:color="auto" w:fill="D0CECE"/>
            <w:noWrap/>
            <w:vAlign w:val="bottom"/>
            <w:hideMark/>
          </w:tcPr>
          <w:p w14:paraId="3CB6C71B" w14:textId="0633FB60"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1 000 000</w:t>
            </w:r>
          </w:p>
        </w:tc>
      </w:tr>
      <w:tr w:rsidR="00672E96" w:rsidRPr="004635B2" w14:paraId="755E3C8F"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563FC9F" w14:textId="6FDE8A1E"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21</w:t>
            </w:r>
          </w:p>
        </w:tc>
        <w:tc>
          <w:tcPr>
            <w:tcW w:w="1823" w:type="dxa"/>
            <w:tcBorders>
              <w:top w:val="nil"/>
              <w:left w:val="nil"/>
              <w:bottom w:val="single" w:sz="4" w:space="0" w:color="auto"/>
              <w:right w:val="single" w:sz="4" w:space="0" w:color="auto"/>
            </w:tcBorders>
            <w:shd w:val="clear" w:color="auto" w:fill="F2F2F2"/>
            <w:noWrap/>
            <w:vAlign w:val="bottom"/>
            <w:hideMark/>
          </w:tcPr>
          <w:p w14:paraId="67DF17BB" w14:textId="6C382851" w:rsidR="00672E96" w:rsidRPr="004635B2" w:rsidRDefault="00672E96" w:rsidP="00AF155C">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Lib</w:t>
            </w:r>
            <w:r w:rsidR="00AF155C">
              <w:rPr>
                <w:rFonts w:ascii="Calibri" w:hAnsi="Calibri" w:cs="Calibri"/>
                <w:color w:val="000000"/>
                <w:sz w:val="20"/>
                <w:szCs w:val="20"/>
                <w:lang w:val="fr-CA"/>
              </w:rPr>
              <w:t>é</w:t>
            </w:r>
            <w:r w:rsidRPr="004635B2">
              <w:rPr>
                <w:rFonts w:ascii="Calibri" w:hAnsi="Calibri" w:cs="Calibri"/>
                <w:color w:val="000000"/>
                <w:sz w:val="20"/>
                <w:szCs w:val="20"/>
                <w:lang w:val="fr-CA"/>
              </w:rPr>
              <w:t xml:space="preserve">ria </w:t>
            </w:r>
          </w:p>
        </w:tc>
        <w:tc>
          <w:tcPr>
            <w:tcW w:w="1005" w:type="dxa"/>
            <w:tcBorders>
              <w:top w:val="nil"/>
              <w:left w:val="nil"/>
              <w:bottom w:val="single" w:sz="4" w:space="0" w:color="auto"/>
              <w:right w:val="single" w:sz="4" w:space="0" w:color="auto"/>
            </w:tcBorders>
            <w:shd w:val="clear" w:color="auto" w:fill="auto"/>
            <w:noWrap/>
            <w:vAlign w:val="bottom"/>
            <w:hideMark/>
          </w:tcPr>
          <w:p w14:paraId="749E5512"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79328234" w14:textId="69F7BC54"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2 000 000</w:t>
            </w:r>
          </w:p>
        </w:tc>
        <w:tc>
          <w:tcPr>
            <w:tcW w:w="1457" w:type="dxa"/>
            <w:tcBorders>
              <w:top w:val="nil"/>
              <w:left w:val="nil"/>
              <w:bottom w:val="single" w:sz="4" w:space="0" w:color="auto"/>
              <w:right w:val="single" w:sz="4" w:space="0" w:color="auto"/>
            </w:tcBorders>
            <w:shd w:val="clear" w:color="auto" w:fill="auto"/>
            <w:noWrap/>
            <w:vAlign w:val="bottom"/>
            <w:hideMark/>
          </w:tcPr>
          <w:p w14:paraId="21BA1009" w14:textId="1C73E51D"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250 000</w:t>
            </w:r>
          </w:p>
        </w:tc>
        <w:tc>
          <w:tcPr>
            <w:tcW w:w="1435" w:type="dxa"/>
            <w:tcBorders>
              <w:top w:val="nil"/>
              <w:left w:val="nil"/>
              <w:bottom w:val="single" w:sz="4" w:space="0" w:color="auto"/>
              <w:right w:val="single" w:sz="4" w:space="0" w:color="auto"/>
            </w:tcBorders>
            <w:shd w:val="clear" w:color="auto" w:fill="auto"/>
            <w:noWrap/>
            <w:vAlign w:val="bottom"/>
            <w:hideMark/>
          </w:tcPr>
          <w:p w14:paraId="7A05E895" w14:textId="3CC56EDA"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500 000</w:t>
            </w:r>
          </w:p>
        </w:tc>
        <w:tc>
          <w:tcPr>
            <w:tcW w:w="1418" w:type="dxa"/>
            <w:tcBorders>
              <w:top w:val="nil"/>
              <w:left w:val="nil"/>
              <w:bottom w:val="single" w:sz="4" w:space="0" w:color="auto"/>
              <w:right w:val="single" w:sz="4" w:space="0" w:color="auto"/>
            </w:tcBorders>
            <w:shd w:val="clear" w:color="auto" w:fill="D0CECE"/>
            <w:noWrap/>
            <w:vAlign w:val="bottom"/>
            <w:hideMark/>
          </w:tcPr>
          <w:p w14:paraId="4FB888A0" w14:textId="5FDCFB4A"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2 750 000</w:t>
            </w:r>
          </w:p>
        </w:tc>
      </w:tr>
      <w:tr w:rsidR="00672E96" w:rsidRPr="004635B2" w14:paraId="3BD97154"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B46435E" w14:textId="1DC5F818"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22</w:t>
            </w:r>
          </w:p>
        </w:tc>
        <w:tc>
          <w:tcPr>
            <w:tcW w:w="1823" w:type="dxa"/>
            <w:tcBorders>
              <w:top w:val="nil"/>
              <w:left w:val="nil"/>
              <w:bottom w:val="single" w:sz="4" w:space="0" w:color="auto"/>
              <w:right w:val="single" w:sz="4" w:space="0" w:color="auto"/>
            </w:tcBorders>
            <w:shd w:val="clear" w:color="auto" w:fill="F2F2F2"/>
            <w:noWrap/>
            <w:vAlign w:val="bottom"/>
            <w:hideMark/>
          </w:tcPr>
          <w:p w14:paraId="11934C16"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Madagascar </w:t>
            </w:r>
          </w:p>
        </w:tc>
        <w:tc>
          <w:tcPr>
            <w:tcW w:w="1005" w:type="dxa"/>
            <w:tcBorders>
              <w:top w:val="nil"/>
              <w:left w:val="nil"/>
              <w:bottom w:val="single" w:sz="4" w:space="0" w:color="auto"/>
              <w:right w:val="single" w:sz="4" w:space="0" w:color="auto"/>
            </w:tcBorders>
            <w:shd w:val="clear" w:color="auto" w:fill="auto"/>
            <w:noWrap/>
            <w:vAlign w:val="bottom"/>
            <w:hideMark/>
          </w:tcPr>
          <w:p w14:paraId="5ADAA0C9"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6 </w:t>
            </w:r>
          </w:p>
        </w:tc>
        <w:tc>
          <w:tcPr>
            <w:tcW w:w="1405" w:type="dxa"/>
            <w:tcBorders>
              <w:top w:val="nil"/>
              <w:left w:val="nil"/>
              <w:bottom w:val="single" w:sz="4" w:space="0" w:color="auto"/>
              <w:right w:val="single" w:sz="4" w:space="0" w:color="auto"/>
            </w:tcBorders>
            <w:shd w:val="clear" w:color="auto" w:fill="D9E2F3"/>
            <w:noWrap/>
            <w:vAlign w:val="bottom"/>
            <w:hideMark/>
          </w:tcPr>
          <w:p w14:paraId="10573316" w14:textId="1E760FAC"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91 000 000</w:t>
            </w:r>
          </w:p>
        </w:tc>
        <w:tc>
          <w:tcPr>
            <w:tcW w:w="1457" w:type="dxa"/>
            <w:tcBorders>
              <w:top w:val="nil"/>
              <w:left w:val="nil"/>
              <w:bottom w:val="single" w:sz="4" w:space="0" w:color="auto"/>
              <w:right w:val="single" w:sz="4" w:space="0" w:color="auto"/>
            </w:tcBorders>
            <w:shd w:val="clear" w:color="auto" w:fill="auto"/>
            <w:noWrap/>
            <w:vAlign w:val="bottom"/>
            <w:hideMark/>
          </w:tcPr>
          <w:p w14:paraId="7C4F9454" w14:textId="7C6E87AF"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14 000 000</w:t>
            </w:r>
          </w:p>
        </w:tc>
        <w:tc>
          <w:tcPr>
            <w:tcW w:w="1435" w:type="dxa"/>
            <w:tcBorders>
              <w:top w:val="nil"/>
              <w:left w:val="nil"/>
              <w:bottom w:val="single" w:sz="4" w:space="0" w:color="auto"/>
              <w:right w:val="single" w:sz="4" w:space="0" w:color="auto"/>
            </w:tcBorders>
            <w:shd w:val="clear" w:color="auto" w:fill="auto"/>
            <w:noWrap/>
            <w:vAlign w:val="bottom"/>
            <w:hideMark/>
          </w:tcPr>
          <w:p w14:paraId="13FA4358" w14:textId="75249C7F"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46 350 000</w:t>
            </w:r>
          </w:p>
        </w:tc>
        <w:tc>
          <w:tcPr>
            <w:tcW w:w="1418" w:type="dxa"/>
            <w:tcBorders>
              <w:top w:val="nil"/>
              <w:left w:val="nil"/>
              <w:bottom w:val="single" w:sz="4" w:space="0" w:color="auto"/>
              <w:right w:val="single" w:sz="4" w:space="0" w:color="auto"/>
            </w:tcBorders>
            <w:shd w:val="clear" w:color="auto" w:fill="D0CECE"/>
            <w:noWrap/>
            <w:vAlign w:val="bottom"/>
            <w:hideMark/>
          </w:tcPr>
          <w:p w14:paraId="02F63EF2" w14:textId="5B359B58"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151 350 000</w:t>
            </w:r>
          </w:p>
        </w:tc>
      </w:tr>
      <w:tr w:rsidR="00672E96" w:rsidRPr="004635B2" w14:paraId="0ED8EA49"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FDD6BD3" w14:textId="6C6DBCB8"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23</w:t>
            </w:r>
          </w:p>
        </w:tc>
        <w:tc>
          <w:tcPr>
            <w:tcW w:w="1823" w:type="dxa"/>
            <w:tcBorders>
              <w:top w:val="nil"/>
              <w:left w:val="nil"/>
              <w:bottom w:val="single" w:sz="4" w:space="0" w:color="auto"/>
              <w:right w:val="single" w:sz="4" w:space="0" w:color="auto"/>
            </w:tcBorders>
            <w:shd w:val="clear" w:color="auto" w:fill="F2F2F2"/>
            <w:noWrap/>
            <w:vAlign w:val="bottom"/>
            <w:hideMark/>
          </w:tcPr>
          <w:p w14:paraId="0C7E5300"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Mali </w:t>
            </w:r>
          </w:p>
        </w:tc>
        <w:tc>
          <w:tcPr>
            <w:tcW w:w="1005" w:type="dxa"/>
            <w:tcBorders>
              <w:top w:val="nil"/>
              <w:left w:val="nil"/>
              <w:bottom w:val="single" w:sz="4" w:space="0" w:color="auto"/>
              <w:right w:val="single" w:sz="4" w:space="0" w:color="auto"/>
            </w:tcBorders>
            <w:shd w:val="clear" w:color="auto" w:fill="auto"/>
            <w:noWrap/>
            <w:vAlign w:val="bottom"/>
            <w:hideMark/>
          </w:tcPr>
          <w:p w14:paraId="6542D634"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14:paraId="5020735D" w14:textId="332DEC22"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5 571 504</w:t>
            </w:r>
          </w:p>
        </w:tc>
        <w:tc>
          <w:tcPr>
            <w:tcW w:w="1457" w:type="dxa"/>
            <w:tcBorders>
              <w:top w:val="nil"/>
              <w:left w:val="nil"/>
              <w:bottom w:val="single" w:sz="4" w:space="0" w:color="auto"/>
              <w:right w:val="single" w:sz="4" w:space="0" w:color="auto"/>
            </w:tcBorders>
            <w:shd w:val="clear" w:color="auto" w:fill="auto"/>
            <w:noWrap/>
            <w:vAlign w:val="bottom"/>
            <w:hideMark/>
          </w:tcPr>
          <w:p w14:paraId="07F694E6" w14:textId="441767C0"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931 767</w:t>
            </w:r>
          </w:p>
        </w:tc>
        <w:tc>
          <w:tcPr>
            <w:tcW w:w="1435" w:type="dxa"/>
            <w:tcBorders>
              <w:top w:val="nil"/>
              <w:left w:val="nil"/>
              <w:bottom w:val="single" w:sz="4" w:space="0" w:color="auto"/>
              <w:right w:val="single" w:sz="4" w:space="0" w:color="auto"/>
            </w:tcBorders>
            <w:shd w:val="clear" w:color="auto" w:fill="auto"/>
            <w:noWrap/>
            <w:vAlign w:val="bottom"/>
            <w:hideMark/>
          </w:tcPr>
          <w:p w14:paraId="19BAF46E" w14:textId="7ACE7A5A"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1 128 651</w:t>
            </w:r>
          </w:p>
        </w:tc>
        <w:tc>
          <w:tcPr>
            <w:tcW w:w="1418" w:type="dxa"/>
            <w:tcBorders>
              <w:top w:val="nil"/>
              <w:left w:val="nil"/>
              <w:bottom w:val="single" w:sz="4" w:space="0" w:color="auto"/>
              <w:right w:val="single" w:sz="4" w:space="0" w:color="auto"/>
            </w:tcBorders>
            <w:shd w:val="clear" w:color="auto" w:fill="D0CECE"/>
            <w:noWrap/>
            <w:vAlign w:val="bottom"/>
            <w:hideMark/>
          </w:tcPr>
          <w:p w14:paraId="343FCE45" w14:textId="2FB6C611"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7 631 922</w:t>
            </w:r>
          </w:p>
        </w:tc>
      </w:tr>
      <w:tr w:rsidR="006755E1" w:rsidRPr="004635B2" w14:paraId="326FB939"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tcPr>
          <w:p w14:paraId="730E014D" w14:textId="69087BBA"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24</w:t>
            </w:r>
          </w:p>
        </w:tc>
        <w:tc>
          <w:tcPr>
            <w:tcW w:w="1823" w:type="dxa"/>
            <w:tcBorders>
              <w:top w:val="nil"/>
              <w:left w:val="nil"/>
              <w:bottom w:val="single" w:sz="4" w:space="0" w:color="auto"/>
              <w:right w:val="single" w:sz="4" w:space="0" w:color="auto"/>
            </w:tcBorders>
            <w:shd w:val="clear" w:color="auto" w:fill="F2F2F2"/>
            <w:noWrap/>
            <w:vAlign w:val="bottom"/>
          </w:tcPr>
          <w:p w14:paraId="7B54EF30" w14:textId="2E879118"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Maroc </w:t>
            </w:r>
          </w:p>
        </w:tc>
        <w:tc>
          <w:tcPr>
            <w:tcW w:w="1005" w:type="dxa"/>
            <w:tcBorders>
              <w:top w:val="nil"/>
              <w:left w:val="nil"/>
              <w:bottom w:val="single" w:sz="4" w:space="0" w:color="auto"/>
              <w:right w:val="single" w:sz="4" w:space="0" w:color="auto"/>
            </w:tcBorders>
            <w:shd w:val="clear" w:color="auto" w:fill="auto"/>
            <w:noWrap/>
            <w:vAlign w:val="bottom"/>
          </w:tcPr>
          <w:p w14:paraId="04690D56" w14:textId="21D604E3"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3 </w:t>
            </w:r>
          </w:p>
        </w:tc>
        <w:tc>
          <w:tcPr>
            <w:tcW w:w="1405" w:type="dxa"/>
            <w:tcBorders>
              <w:top w:val="nil"/>
              <w:left w:val="nil"/>
              <w:bottom w:val="single" w:sz="4" w:space="0" w:color="auto"/>
              <w:right w:val="single" w:sz="4" w:space="0" w:color="auto"/>
            </w:tcBorders>
            <w:shd w:val="clear" w:color="auto" w:fill="D9E2F3"/>
            <w:noWrap/>
            <w:vAlign w:val="bottom"/>
          </w:tcPr>
          <w:p w14:paraId="4D314A53" w14:textId="2A8630AA"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4 125 000</w:t>
            </w:r>
          </w:p>
        </w:tc>
        <w:tc>
          <w:tcPr>
            <w:tcW w:w="1457" w:type="dxa"/>
            <w:tcBorders>
              <w:top w:val="nil"/>
              <w:left w:val="nil"/>
              <w:bottom w:val="single" w:sz="4" w:space="0" w:color="auto"/>
              <w:right w:val="single" w:sz="4" w:space="0" w:color="auto"/>
            </w:tcBorders>
            <w:shd w:val="clear" w:color="auto" w:fill="auto"/>
            <w:noWrap/>
            <w:vAlign w:val="bottom"/>
          </w:tcPr>
          <w:p w14:paraId="76FD20D3" w14:textId="7905A612"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600 000</w:t>
            </w:r>
          </w:p>
        </w:tc>
        <w:tc>
          <w:tcPr>
            <w:tcW w:w="1435" w:type="dxa"/>
            <w:tcBorders>
              <w:top w:val="nil"/>
              <w:left w:val="nil"/>
              <w:bottom w:val="single" w:sz="4" w:space="0" w:color="auto"/>
              <w:right w:val="single" w:sz="4" w:space="0" w:color="auto"/>
            </w:tcBorders>
            <w:shd w:val="clear" w:color="auto" w:fill="auto"/>
            <w:noWrap/>
            <w:vAlign w:val="bottom"/>
          </w:tcPr>
          <w:p w14:paraId="67E13436" w14:textId="68C10935"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1 000 000</w:t>
            </w:r>
          </w:p>
        </w:tc>
        <w:tc>
          <w:tcPr>
            <w:tcW w:w="1418" w:type="dxa"/>
            <w:tcBorders>
              <w:top w:val="nil"/>
              <w:left w:val="nil"/>
              <w:bottom w:val="single" w:sz="4" w:space="0" w:color="auto"/>
              <w:right w:val="single" w:sz="4" w:space="0" w:color="auto"/>
            </w:tcBorders>
            <w:shd w:val="clear" w:color="auto" w:fill="D0CECE"/>
            <w:noWrap/>
            <w:vAlign w:val="bottom"/>
          </w:tcPr>
          <w:p w14:paraId="459CFBAB" w14:textId="508B1C15"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5 725 000</w:t>
            </w:r>
          </w:p>
        </w:tc>
      </w:tr>
      <w:tr w:rsidR="00672E96" w:rsidRPr="004635B2" w14:paraId="0664F590"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2A0B55B" w14:textId="0730CF27"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25</w:t>
            </w:r>
          </w:p>
        </w:tc>
        <w:tc>
          <w:tcPr>
            <w:tcW w:w="1823" w:type="dxa"/>
            <w:tcBorders>
              <w:top w:val="nil"/>
              <w:left w:val="nil"/>
              <w:bottom w:val="single" w:sz="4" w:space="0" w:color="auto"/>
              <w:right w:val="single" w:sz="4" w:space="0" w:color="auto"/>
            </w:tcBorders>
            <w:shd w:val="clear" w:color="auto" w:fill="F2F2F2"/>
            <w:noWrap/>
            <w:vAlign w:val="bottom"/>
            <w:hideMark/>
          </w:tcPr>
          <w:p w14:paraId="5A5A3ECC" w14:textId="0239BF71" w:rsidR="00672E96" w:rsidRPr="004635B2" w:rsidRDefault="001466B2"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Mexique</w:t>
            </w:r>
          </w:p>
        </w:tc>
        <w:tc>
          <w:tcPr>
            <w:tcW w:w="1005" w:type="dxa"/>
            <w:tcBorders>
              <w:top w:val="nil"/>
              <w:left w:val="nil"/>
              <w:bottom w:val="single" w:sz="4" w:space="0" w:color="auto"/>
              <w:right w:val="single" w:sz="4" w:space="0" w:color="auto"/>
            </w:tcBorders>
            <w:shd w:val="clear" w:color="auto" w:fill="auto"/>
            <w:noWrap/>
            <w:vAlign w:val="bottom"/>
            <w:hideMark/>
          </w:tcPr>
          <w:p w14:paraId="5327F0AC"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15 </w:t>
            </w:r>
          </w:p>
        </w:tc>
        <w:tc>
          <w:tcPr>
            <w:tcW w:w="1405" w:type="dxa"/>
            <w:tcBorders>
              <w:top w:val="nil"/>
              <w:left w:val="nil"/>
              <w:bottom w:val="single" w:sz="4" w:space="0" w:color="auto"/>
              <w:right w:val="single" w:sz="4" w:space="0" w:color="auto"/>
            </w:tcBorders>
            <w:shd w:val="clear" w:color="auto" w:fill="D9E2F3"/>
            <w:noWrap/>
            <w:vAlign w:val="bottom"/>
            <w:hideMark/>
          </w:tcPr>
          <w:p w14:paraId="3E48EB26" w14:textId="2C5D241F"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140 780 000</w:t>
            </w:r>
          </w:p>
        </w:tc>
        <w:tc>
          <w:tcPr>
            <w:tcW w:w="1457" w:type="dxa"/>
            <w:tcBorders>
              <w:top w:val="nil"/>
              <w:left w:val="nil"/>
              <w:bottom w:val="single" w:sz="4" w:space="0" w:color="auto"/>
              <w:right w:val="single" w:sz="4" w:space="0" w:color="auto"/>
            </w:tcBorders>
            <w:shd w:val="clear" w:color="auto" w:fill="auto"/>
            <w:noWrap/>
            <w:vAlign w:val="bottom"/>
            <w:hideMark/>
          </w:tcPr>
          <w:p w14:paraId="0E71E387" w14:textId="0FA4C9A1"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579 184 936</w:t>
            </w:r>
          </w:p>
        </w:tc>
        <w:tc>
          <w:tcPr>
            <w:tcW w:w="1435" w:type="dxa"/>
            <w:tcBorders>
              <w:top w:val="nil"/>
              <w:left w:val="nil"/>
              <w:bottom w:val="single" w:sz="4" w:space="0" w:color="auto"/>
              <w:right w:val="single" w:sz="4" w:space="0" w:color="auto"/>
            </w:tcBorders>
            <w:shd w:val="clear" w:color="auto" w:fill="auto"/>
            <w:noWrap/>
            <w:vAlign w:val="bottom"/>
            <w:hideMark/>
          </w:tcPr>
          <w:p w14:paraId="423279E6" w14:textId="19223FD6"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201 420 000</w:t>
            </w:r>
          </w:p>
        </w:tc>
        <w:tc>
          <w:tcPr>
            <w:tcW w:w="1418" w:type="dxa"/>
            <w:tcBorders>
              <w:top w:val="nil"/>
              <w:left w:val="nil"/>
              <w:bottom w:val="single" w:sz="4" w:space="0" w:color="auto"/>
              <w:right w:val="single" w:sz="4" w:space="0" w:color="auto"/>
            </w:tcBorders>
            <w:shd w:val="clear" w:color="auto" w:fill="D0CECE"/>
            <w:noWrap/>
            <w:vAlign w:val="bottom"/>
            <w:hideMark/>
          </w:tcPr>
          <w:p w14:paraId="257B4DD0" w14:textId="05C088D4"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921 384 936</w:t>
            </w:r>
          </w:p>
        </w:tc>
      </w:tr>
      <w:tr w:rsidR="00672E96" w:rsidRPr="004635B2" w14:paraId="5A32BF0E"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A2D5659" w14:textId="4FE8FA47"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26</w:t>
            </w:r>
          </w:p>
        </w:tc>
        <w:tc>
          <w:tcPr>
            <w:tcW w:w="1823" w:type="dxa"/>
            <w:tcBorders>
              <w:top w:val="nil"/>
              <w:left w:val="nil"/>
              <w:bottom w:val="single" w:sz="4" w:space="0" w:color="auto"/>
              <w:right w:val="single" w:sz="4" w:space="0" w:color="auto"/>
            </w:tcBorders>
            <w:shd w:val="clear" w:color="auto" w:fill="F2F2F2"/>
            <w:noWrap/>
            <w:vAlign w:val="bottom"/>
            <w:hideMark/>
          </w:tcPr>
          <w:p w14:paraId="685687A5" w14:textId="23D0163A"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Mongolie</w:t>
            </w:r>
            <w:r w:rsidR="00672E96" w:rsidRPr="004635B2">
              <w:rPr>
                <w:rFonts w:ascii="Calibri" w:hAnsi="Calibri" w:cs="Calibri"/>
                <w:color w:val="000000"/>
                <w:sz w:val="20"/>
                <w:szCs w:val="20"/>
                <w:lang w:val="fr-CA"/>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14:paraId="5A9EB3AF"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15602C40" w14:textId="18BD382A"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3 400 000</w:t>
            </w:r>
          </w:p>
        </w:tc>
        <w:tc>
          <w:tcPr>
            <w:tcW w:w="1457" w:type="dxa"/>
            <w:tcBorders>
              <w:top w:val="nil"/>
              <w:left w:val="nil"/>
              <w:bottom w:val="single" w:sz="4" w:space="0" w:color="auto"/>
              <w:right w:val="single" w:sz="4" w:space="0" w:color="auto"/>
            </w:tcBorders>
            <w:shd w:val="clear" w:color="auto" w:fill="auto"/>
            <w:noWrap/>
            <w:vAlign w:val="bottom"/>
            <w:hideMark/>
          </w:tcPr>
          <w:p w14:paraId="258E4767" w14:textId="2CD117C2"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250 000</w:t>
            </w:r>
          </w:p>
        </w:tc>
        <w:tc>
          <w:tcPr>
            <w:tcW w:w="1435" w:type="dxa"/>
            <w:tcBorders>
              <w:top w:val="nil"/>
              <w:left w:val="nil"/>
              <w:bottom w:val="single" w:sz="4" w:space="0" w:color="auto"/>
              <w:right w:val="single" w:sz="4" w:space="0" w:color="auto"/>
            </w:tcBorders>
            <w:shd w:val="clear" w:color="auto" w:fill="auto"/>
            <w:noWrap/>
            <w:vAlign w:val="bottom"/>
            <w:hideMark/>
          </w:tcPr>
          <w:p w14:paraId="5E55FE14"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24011FEE" w14:textId="309F7EDB"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3 650 000</w:t>
            </w:r>
          </w:p>
        </w:tc>
      </w:tr>
      <w:tr w:rsidR="00672E96" w:rsidRPr="004635B2" w14:paraId="4E476D9F"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6A906CB" w14:textId="34CDBF1C" w:rsidR="00672E96" w:rsidRPr="004635B2" w:rsidRDefault="006755E1"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27</w:t>
            </w:r>
          </w:p>
        </w:tc>
        <w:tc>
          <w:tcPr>
            <w:tcW w:w="1823" w:type="dxa"/>
            <w:tcBorders>
              <w:top w:val="nil"/>
              <w:left w:val="nil"/>
              <w:bottom w:val="single" w:sz="4" w:space="0" w:color="auto"/>
              <w:right w:val="single" w:sz="4" w:space="0" w:color="auto"/>
            </w:tcBorders>
            <w:shd w:val="clear" w:color="auto" w:fill="F2F2F2"/>
            <w:noWrap/>
            <w:vAlign w:val="bottom"/>
            <w:hideMark/>
          </w:tcPr>
          <w:p w14:paraId="0D76620E"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Myanmar </w:t>
            </w:r>
          </w:p>
        </w:tc>
        <w:tc>
          <w:tcPr>
            <w:tcW w:w="1005" w:type="dxa"/>
            <w:tcBorders>
              <w:top w:val="nil"/>
              <w:left w:val="nil"/>
              <w:bottom w:val="single" w:sz="4" w:space="0" w:color="auto"/>
              <w:right w:val="single" w:sz="4" w:space="0" w:color="auto"/>
            </w:tcBorders>
            <w:shd w:val="clear" w:color="auto" w:fill="auto"/>
            <w:noWrap/>
            <w:vAlign w:val="bottom"/>
            <w:hideMark/>
          </w:tcPr>
          <w:p w14:paraId="119C716E"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39B8413C" w14:textId="1D7ED8C6"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12 500 000</w:t>
            </w:r>
          </w:p>
        </w:tc>
        <w:tc>
          <w:tcPr>
            <w:tcW w:w="1457" w:type="dxa"/>
            <w:tcBorders>
              <w:top w:val="nil"/>
              <w:left w:val="nil"/>
              <w:bottom w:val="single" w:sz="4" w:space="0" w:color="auto"/>
              <w:right w:val="single" w:sz="4" w:space="0" w:color="auto"/>
            </w:tcBorders>
            <w:shd w:val="clear" w:color="auto" w:fill="auto"/>
            <w:noWrap/>
            <w:vAlign w:val="bottom"/>
            <w:hideMark/>
          </w:tcPr>
          <w:p w14:paraId="6CAB5E15"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0</w:t>
            </w:r>
          </w:p>
        </w:tc>
        <w:tc>
          <w:tcPr>
            <w:tcW w:w="1435" w:type="dxa"/>
            <w:tcBorders>
              <w:top w:val="nil"/>
              <w:left w:val="nil"/>
              <w:bottom w:val="single" w:sz="4" w:space="0" w:color="auto"/>
              <w:right w:val="single" w:sz="4" w:space="0" w:color="auto"/>
            </w:tcBorders>
            <w:shd w:val="clear" w:color="auto" w:fill="auto"/>
            <w:noWrap/>
            <w:vAlign w:val="bottom"/>
            <w:hideMark/>
          </w:tcPr>
          <w:p w14:paraId="054529D1" w14:textId="77777777"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4961F6D7" w14:textId="290B08FC" w:rsidR="00672E96" w:rsidRPr="004635B2" w:rsidRDefault="00672E96" w:rsidP="00672E96">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12 500 000</w:t>
            </w:r>
          </w:p>
        </w:tc>
      </w:tr>
      <w:tr w:rsidR="006755E1" w:rsidRPr="004635B2" w14:paraId="3BEF5F42" w14:textId="77777777" w:rsidTr="006755E1">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tcPr>
          <w:p w14:paraId="25454C99" w14:textId="61E64361"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28</w:t>
            </w:r>
          </w:p>
        </w:tc>
        <w:tc>
          <w:tcPr>
            <w:tcW w:w="1823" w:type="dxa"/>
            <w:tcBorders>
              <w:top w:val="nil"/>
              <w:left w:val="nil"/>
              <w:bottom w:val="single" w:sz="4" w:space="0" w:color="auto"/>
              <w:right w:val="single" w:sz="4" w:space="0" w:color="auto"/>
            </w:tcBorders>
            <w:shd w:val="clear" w:color="auto" w:fill="F2F2F2"/>
            <w:noWrap/>
            <w:vAlign w:val="bottom"/>
          </w:tcPr>
          <w:p w14:paraId="6E984945" w14:textId="24BC0210"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Népal </w:t>
            </w:r>
          </w:p>
        </w:tc>
        <w:tc>
          <w:tcPr>
            <w:tcW w:w="1005" w:type="dxa"/>
            <w:tcBorders>
              <w:top w:val="nil"/>
              <w:left w:val="nil"/>
              <w:bottom w:val="single" w:sz="4" w:space="0" w:color="auto"/>
              <w:right w:val="single" w:sz="4" w:space="0" w:color="auto"/>
            </w:tcBorders>
            <w:shd w:val="clear" w:color="auto" w:fill="auto"/>
            <w:noWrap/>
            <w:vAlign w:val="bottom"/>
          </w:tcPr>
          <w:p w14:paraId="633FC50A" w14:textId="5BA7EA11"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4 </w:t>
            </w:r>
          </w:p>
        </w:tc>
        <w:tc>
          <w:tcPr>
            <w:tcW w:w="1405" w:type="dxa"/>
            <w:tcBorders>
              <w:top w:val="nil"/>
              <w:left w:val="nil"/>
              <w:bottom w:val="single" w:sz="4" w:space="0" w:color="auto"/>
              <w:right w:val="single" w:sz="4" w:space="0" w:color="auto"/>
            </w:tcBorders>
            <w:shd w:val="clear" w:color="auto" w:fill="D9E2F3"/>
            <w:noWrap/>
            <w:vAlign w:val="bottom"/>
          </w:tcPr>
          <w:p w14:paraId="2076FCE8" w14:textId="53CB683D"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16 500 000</w:t>
            </w:r>
          </w:p>
        </w:tc>
        <w:tc>
          <w:tcPr>
            <w:tcW w:w="1457" w:type="dxa"/>
            <w:tcBorders>
              <w:top w:val="nil"/>
              <w:left w:val="nil"/>
              <w:bottom w:val="single" w:sz="4" w:space="0" w:color="auto"/>
              <w:right w:val="single" w:sz="4" w:space="0" w:color="auto"/>
            </w:tcBorders>
            <w:shd w:val="clear" w:color="auto" w:fill="auto"/>
            <w:noWrap/>
            <w:vAlign w:val="bottom"/>
          </w:tcPr>
          <w:p w14:paraId="0FD115D1" w14:textId="3D6AD2BD"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23 500 000</w:t>
            </w:r>
          </w:p>
        </w:tc>
        <w:tc>
          <w:tcPr>
            <w:tcW w:w="1435" w:type="dxa"/>
            <w:tcBorders>
              <w:top w:val="nil"/>
              <w:left w:val="nil"/>
              <w:bottom w:val="single" w:sz="4" w:space="0" w:color="auto"/>
              <w:right w:val="single" w:sz="4" w:space="0" w:color="auto"/>
            </w:tcBorders>
            <w:shd w:val="clear" w:color="auto" w:fill="auto"/>
            <w:noWrap/>
            <w:vAlign w:val="bottom"/>
          </w:tcPr>
          <w:p w14:paraId="633EBBFB" w14:textId="462369B0"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9 500 000</w:t>
            </w:r>
          </w:p>
        </w:tc>
        <w:tc>
          <w:tcPr>
            <w:tcW w:w="1418" w:type="dxa"/>
            <w:tcBorders>
              <w:top w:val="nil"/>
              <w:left w:val="nil"/>
              <w:bottom w:val="single" w:sz="4" w:space="0" w:color="auto"/>
              <w:right w:val="single" w:sz="4" w:space="0" w:color="auto"/>
            </w:tcBorders>
            <w:shd w:val="clear" w:color="auto" w:fill="D0CECE"/>
            <w:noWrap/>
            <w:vAlign w:val="bottom"/>
          </w:tcPr>
          <w:p w14:paraId="78BE69D7" w14:textId="579A5449"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49 500 000</w:t>
            </w:r>
          </w:p>
        </w:tc>
      </w:tr>
      <w:tr w:rsidR="006755E1" w:rsidRPr="004635B2" w14:paraId="62E8D603"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9262E15" w14:textId="5F667DE4"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29</w:t>
            </w:r>
          </w:p>
        </w:tc>
        <w:tc>
          <w:tcPr>
            <w:tcW w:w="1823" w:type="dxa"/>
            <w:tcBorders>
              <w:top w:val="nil"/>
              <w:left w:val="nil"/>
              <w:bottom w:val="single" w:sz="4" w:space="0" w:color="auto"/>
              <w:right w:val="single" w:sz="4" w:space="0" w:color="auto"/>
            </w:tcBorders>
            <w:shd w:val="clear" w:color="auto" w:fill="F2F2F2"/>
            <w:noWrap/>
            <w:vAlign w:val="bottom"/>
            <w:hideMark/>
          </w:tcPr>
          <w:p w14:paraId="78C2C3ED" w14:textId="70CDD733" w:rsidR="006755E1" w:rsidRPr="004635B2" w:rsidRDefault="006755E1" w:rsidP="00AF155C">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Nig</w:t>
            </w:r>
            <w:r w:rsidR="00AF155C">
              <w:rPr>
                <w:rFonts w:ascii="Calibri" w:hAnsi="Calibri" w:cs="Calibri"/>
                <w:color w:val="000000"/>
                <w:sz w:val="20"/>
                <w:szCs w:val="20"/>
                <w:lang w:val="fr-CA"/>
              </w:rPr>
              <w:t>é</w:t>
            </w:r>
            <w:r w:rsidRPr="004635B2">
              <w:rPr>
                <w:rFonts w:ascii="Calibri" w:hAnsi="Calibri" w:cs="Calibri"/>
                <w:color w:val="000000"/>
                <w:sz w:val="20"/>
                <w:szCs w:val="20"/>
                <w:lang w:val="fr-CA"/>
              </w:rPr>
              <w:t xml:space="preserve">ria </w:t>
            </w:r>
          </w:p>
        </w:tc>
        <w:tc>
          <w:tcPr>
            <w:tcW w:w="1005" w:type="dxa"/>
            <w:tcBorders>
              <w:top w:val="nil"/>
              <w:left w:val="nil"/>
              <w:bottom w:val="single" w:sz="4" w:space="0" w:color="auto"/>
              <w:right w:val="single" w:sz="4" w:space="0" w:color="auto"/>
            </w:tcBorders>
            <w:shd w:val="clear" w:color="auto" w:fill="auto"/>
            <w:noWrap/>
            <w:vAlign w:val="bottom"/>
            <w:hideMark/>
          </w:tcPr>
          <w:p w14:paraId="62E3554E"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464C7511" w14:textId="0364E7F4"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700 000</w:t>
            </w:r>
          </w:p>
        </w:tc>
        <w:tc>
          <w:tcPr>
            <w:tcW w:w="1457" w:type="dxa"/>
            <w:tcBorders>
              <w:top w:val="nil"/>
              <w:left w:val="nil"/>
              <w:bottom w:val="single" w:sz="4" w:space="0" w:color="auto"/>
              <w:right w:val="single" w:sz="4" w:space="0" w:color="auto"/>
            </w:tcBorders>
            <w:shd w:val="clear" w:color="auto" w:fill="auto"/>
            <w:noWrap/>
            <w:vAlign w:val="bottom"/>
            <w:hideMark/>
          </w:tcPr>
          <w:p w14:paraId="7E33DDF2" w14:textId="4B0A83A5"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62 500</w:t>
            </w:r>
          </w:p>
        </w:tc>
        <w:tc>
          <w:tcPr>
            <w:tcW w:w="1435" w:type="dxa"/>
            <w:tcBorders>
              <w:top w:val="nil"/>
              <w:left w:val="nil"/>
              <w:bottom w:val="single" w:sz="4" w:space="0" w:color="auto"/>
              <w:right w:val="single" w:sz="4" w:space="0" w:color="auto"/>
            </w:tcBorders>
            <w:shd w:val="clear" w:color="auto" w:fill="auto"/>
            <w:noWrap/>
            <w:vAlign w:val="bottom"/>
            <w:hideMark/>
          </w:tcPr>
          <w:p w14:paraId="26D685C6" w14:textId="7478E4E6"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32 500</w:t>
            </w:r>
          </w:p>
        </w:tc>
        <w:tc>
          <w:tcPr>
            <w:tcW w:w="1418" w:type="dxa"/>
            <w:tcBorders>
              <w:top w:val="nil"/>
              <w:left w:val="nil"/>
              <w:bottom w:val="single" w:sz="4" w:space="0" w:color="auto"/>
              <w:right w:val="single" w:sz="4" w:space="0" w:color="auto"/>
            </w:tcBorders>
            <w:shd w:val="clear" w:color="auto" w:fill="D0CECE"/>
            <w:noWrap/>
            <w:vAlign w:val="bottom"/>
            <w:hideMark/>
          </w:tcPr>
          <w:p w14:paraId="0ED6D653" w14:textId="52DBCB0E"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795 000</w:t>
            </w:r>
          </w:p>
        </w:tc>
      </w:tr>
      <w:tr w:rsidR="006755E1" w:rsidRPr="004635B2" w14:paraId="509A6004"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9672335" w14:textId="4F2BB5E6"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30</w:t>
            </w:r>
          </w:p>
        </w:tc>
        <w:tc>
          <w:tcPr>
            <w:tcW w:w="1823" w:type="dxa"/>
            <w:tcBorders>
              <w:top w:val="nil"/>
              <w:left w:val="nil"/>
              <w:bottom w:val="single" w:sz="4" w:space="0" w:color="auto"/>
              <w:right w:val="single" w:sz="4" w:space="0" w:color="auto"/>
            </w:tcBorders>
            <w:shd w:val="clear" w:color="auto" w:fill="F2F2F2"/>
            <w:noWrap/>
            <w:vAlign w:val="bottom"/>
            <w:hideMark/>
          </w:tcPr>
          <w:p w14:paraId="24BE743C"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Pakistan </w:t>
            </w:r>
          </w:p>
        </w:tc>
        <w:tc>
          <w:tcPr>
            <w:tcW w:w="1005" w:type="dxa"/>
            <w:tcBorders>
              <w:top w:val="nil"/>
              <w:left w:val="nil"/>
              <w:bottom w:val="single" w:sz="4" w:space="0" w:color="auto"/>
              <w:right w:val="single" w:sz="4" w:space="0" w:color="auto"/>
            </w:tcBorders>
            <w:shd w:val="clear" w:color="auto" w:fill="auto"/>
            <w:noWrap/>
            <w:vAlign w:val="bottom"/>
            <w:hideMark/>
          </w:tcPr>
          <w:p w14:paraId="397DDC51"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2C79E3F2" w14:textId="04C2E7CC"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15 000 000</w:t>
            </w:r>
          </w:p>
        </w:tc>
        <w:tc>
          <w:tcPr>
            <w:tcW w:w="1457" w:type="dxa"/>
            <w:tcBorders>
              <w:top w:val="nil"/>
              <w:left w:val="nil"/>
              <w:bottom w:val="single" w:sz="4" w:space="0" w:color="auto"/>
              <w:right w:val="single" w:sz="4" w:space="0" w:color="auto"/>
            </w:tcBorders>
            <w:shd w:val="clear" w:color="auto" w:fill="auto"/>
            <w:noWrap/>
            <w:vAlign w:val="bottom"/>
            <w:hideMark/>
          </w:tcPr>
          <w:p w14:paraId="5B2A908E" w14:textId="262965C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15 000 000</w:t>
            </w:r>
          </w:p>
        </w:tc>
        <w:tc>
          <w:tcPr>
            <w:tcW w:w="1435" w:type="dxa"/>
            <w:tcBorders>
              <w:top w:val="nil"/>
              <w:left w:val="nil"/>
              <w:bottom w:val="single" w:sz="4" w:space="0" w:color="auto"/>
              <w:right w:val="single" w:sz="4" w:space="0" w:color="auto"/>
            </w:tcBorders>
            <w:shd w:val="clear" w:color="auto" w:fill="auto"/>
            <w:noWrap/>
            <w:vAlign w:val="bottom"/>
            <w:hideMark/>
          </w:tcPr>
          <w:p w14:paraId="0AF88908"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7BADAB87" w14:textId="1122AE2C"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30 000 000</w:t>
            </w:r>
          </w:p>
        </w:tc>
      </w:tr>
      <w:tr w:rsidR="006755E1" w:rsidRPr="004635B2" w14:paraId="30208C39"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D624A9A" w14:textId="7A94FABD"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31</w:t>
            </w:r>
          </w:p>
        </w:tc>
        <w:tc>
          <w:tcPr>
            <w:tcW w:w="1823" w:type="dxa"/>
            <w:tcBorders>
              <w:top w:val="nil"/>
              <w:left w:val="nil"/>
              <w:bottom w:val="single" w:sz="4" w:space="0" w:color="auto"/>
              <w:right w:val="single" w:sz="4" w:space="0" w:color="auto"/>
            </w:tcBorders>
            <w:shd w:val="clear" w:color="auto" w:fill="F2F2F2"/>
            <w:noWrap/>
            <w:vAlign w:val="bottom"/>
            <w:hideMark/>
          </w:tcPr>
          <w:p w14:paraId="4ED4C4EB"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Philippines </w:t>
            </w:r>
          </w:p>
        </w:tc>
        <w:tc>
          <w:tcPr>
            <w:tcW w:w="1005" w:type="dxa"/>
            <w:tcBorders>
              <w:top w:val="nil"/>
              <w:left w:val="nil"/>
              <w:bottom w:val="single" w:sz="4" w:space="0" w:color="auto"/>
              <w:right w:val="single" w:sz="4" w:space="0" w:color="auto"/>
            </w:tcBorders>
            <w:shd w:val="clear" w:color="auto" w:fill="auto"/>
            <w:noWrap/>
            <w:vAlign w:val="bottom"/>
            <w:hideMark/>
          </w:tcPr>
          <w:p w14:paraId="53935671"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8 </w:t>
            </w:r>
          </w:p>
        </w:tc>
        <w:tc>
          <w:tcPr>
            <w:tcW w:w="1405" w:type="dxa"/>
            <w:tcBorders>
              <w:top w:val="nil"/>
              <w:left w:val="nil"/>
              <w:bottom w:val="single" w:sz="4" w:space="0" w:color="auto"/>
              <w:right w:val="single" w:sz="4" w:space="0" w:color="auto"/>
            </w:tcBorders>
            <w:shd w:val="clear" w:color="auto" w:fill="D9E2F3"/>
            <w:noWrap/>
            <w:vAlign w:val="bottom"/>
            <w:hideMark/>
          </w:tcPr>
          <w:p w14:paraId="56681C8B" w14:textId="491A6221"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34 767 185</w:t>
            </w:r>
          </w:p>
        </w:tc>
        <w:tc>
          <w:tcPr>
            <w:tcW w:w="1457" w:type="dxa"/>
            <w:tcBorders>
              <w:top w:val="nil"/>
              <w:left w:val="nil"/>
              <w:bottom w:val="single" w:sz="4" w:space="0" w:color="auto"/>
              <w:right w:val="single" w:sz="4" w:space="0" w:color="auto"/>
            </w:tcBorders>
            <w:shd w:val="clear" w:color="auto" w:fill="auto"/>
            <w:noWrap/>
            <w:vAlign w:val="bottom"/>
            <w:hideMark/>
          </w:tcPr>
          <w:p w14:paraId="731BE51F" w14:textId="42F8B85F"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171 335 925</w:t>
            </w:r>
          </w:p>
        </w:tc>
        <w:tc>
          <w:tcPr>
            <w:tcW w:w="1435" w:type="dxa"/>
            <w:tcBorders>
              <w:top w:val="nil"/>
              <w:left w:val="nil"/>
              <w:bottom w:val="single" w:sz="4" w:space="0" w:color="auto"/>
              <w:right w:val="single" w:sz="4" w:space="0" w:color="auto"/>
            </w:tcBorders>
            <w:shd w:val="clear" w:color="auto" w:fill="auto"/>
            <w:noWrap/>
            <w:vAlign w:val="bottom"/>
            <w:hideMark/>
          </w:tcPr>
          <w:p w14:paraId="1031D44B" w14:textId="7821AFAC"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59 090</w:t>
            </w:r>
          </w:p>
        </w:tc>
        <w:tc>
          <w:tcPr>
            <w:tcW w:w="1418" w:type="dxa"/>
            <w:tcBorders>
              <w:top w:val="nil"/>
              <w:left w:val="nil"/>
              <w:bottom w:val="single" w:sz="4" w:space="0" w:color="auto"/>
              <w:right w:val="single" w:sz="4" w:space="0" w:color="auto"/>
            </w:tcBorders>
            <w:shd w:val="clear" w:color="auto" w:fill="D0CECE"/>
            <w:noWrap/>
            <w:vAlign w:val="bottom"/>
            <w:hideMark/>
          </w:tcPr>
          <w:p w14:paraId="62AA08CD" w14:textId="4AFFF13F"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208 603 110</w:t>
            </w:r>
          </w:p>
        </w:tc>
      </w:tr>
      <w:tr w:rsidR="006755E1" w:rsidRPr="004635B2" w14:paraId="74F373DC"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tcPr>
          <w:p w14:paraId="2705AE8E" w14:textId="56D2645B"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32</w:t>
            </w:r>
          </w:p>
        </w:tc>
        <w:tc>
          <w:tcPr>
            <w:tcW w:w="1823" w:type="dxa"/>
            <w:tcBorders>
              <w:top w:val="nil"/>
              <w:left w:val="nil"/>
              <w:bottom w:val="single" w:sz="4" w:space="0" w:color="auto"/>
              <w:right w:val="single" w:sz="4" w:space="0" w:color="auto"/>
            </w:tcBorders>
            <w:shd w:val="clear" w:color="auto" w:fill="F2F2F2"/>
            <w:noWrap/>
            <w:vAlign w:val="bottom"/>
          </w:tcPr>
          <w:p w14:paraId="20064119" w14:textId="04392638"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République centrafricaine </w:t>
            </w:r>
          </w:p>
        </w:tc>
        <w:tc>
          <w:tcPr>
            <w:tcW w:w="1005" w:type="dxa"/>
            <w:tcBorders>
              <w:top w:val="nil"/>
              <w:left w:val="nil"/>
              <w:bottom w:val="single" w:sz="4" w:space="0" w:color="auto"/>
              <w:right w:val="single" w:sz="4" w:space="0" w:color="auto"/>
            </w:tcBorders>
            <w:shd w:val="clear" w:color="auto" w:fill="auto"/>
            <w:noWrap/>
            <w:vAlign w:val="bottom"/>
          </w:tcPr>
          <w:p w14:paraId="2AFC28CF" w14:textId="1F7BD8DC"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12 </w:t>
            </w:r>
          </w:p>
        </w:tc>
        <w:tc>
          <w:tcPr>
            <w:tcW w:w="1405" w:type="dxa"/>
            <w:tcBorders>
              <w:top w:val="nil"/>
              <w:left w:val="nil"/>
              <w:bottom w:val="single" w:sz="4" w:space="0" w:color="auto"/>
              <w:right w:val="single" w:sz="4" w:space="0" w:color="auto"/>
            </w:tcBorders>
            <w:shd w:val="clear" w:color="auto" w:fill="D9E2F3"/>
            <w:noWrap/>
            <w:vAlign w:val="bottom"/>
          </w:tcPr>
          <w:p w14:paraId="26B6670A" w14:textId="6D3B3155"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26 682 174</w:t>
            </w:r>
          </w:p>
        </w:tc>
        <w:tc>
          <w:tcPr>
            <w:tcW w:w="1457" w:type="dxa"/>
            <w:tcBorders>
              <w:top w:val="nil"/>
              <w:left w:val="nil"/>
              <w:bottom w:val="single" w:sz="4" w:space="0" w:color="auto"/>
              <w:right w:val="single" w:sz="4" w:space="0" w:color="auto"/>
            </w:tcBorders>
            <w:shd w:val="clear" w:color="auto" w:fill="auto"/>
            <w:noWrap/>
            <w:vAlign w:val="bottom"/>
          </w:tcPr>
          <w:p w14:paraId="3E9BBC4E" w14:textId="12E079AD"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2 109 890</w:t>
            </w:r>
          </w:p>
        </w:tc>
        <w:tc>
          <w:tcPr>
            <w:tcW w:w="1435" w:type="dxa"/>
            <w:tcBorders>
              <w:top w:val="nil"/>
              <w:left w:val="nil"/>
              <w:bottom w:val="single" w:sz="4" w:space="0" w:color="auto"/>
              <w:right w:val="single" w:sz="4" w:space="0" w:color="auto"/>
            </w:tcBorders>
            <w:shd w:val="clear" w:color="auto" w:fill="auto"/>
            <w:noWrap/>
            <w:vAlign w:val="bottom"/>
          </w:tcPr>
          <w:p w14:paraId="7793D5B9" w14:textId="48A8959F"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150 000</w:t>
            </w:r>
          </w:p>
        </w:tc>
        <w:tc>
          <w:tcPr>
            <w:tcW w:w="1418" w:type="dxa"/>
            <w:tcBorders>
              <w:top w:val="nil"/>
              <w:left w:val="nil"/>
              <w:bottom w:val="single" w:sz="4" w:space="0" w:color="auto"/>
              <w:right w:val="single" w:sz="4" w:space="0" w:color="auto"/>
            </w:tcBorders>
            <w:shd w:val="clear" w:color="auto" w:fill="D0CECE"/>
            <w:noWrap/>
            <w:vAlign w:val="bottom"/>
          </w:tcPr>
          <w:p w14:paraId="7D7B0ECB" w14:textId="0680E250"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28 942 064</w:t>
            </w:r>
          </w:p>
        </w:tc>
      </w:tr>
      <w:tr w:rsidR="006755E1" w:rsidRPr="004635B2" w14:paraId="04EF1228"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tcPr>
          <w:p w14:paraId="7814A18B" w14:textId="62FC9BE8"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33</w:t>
            </w:r>
          </w:p>
        </w:tc>
        <w:tc>
          <w:tcPr>
            <w:tcW w:w="1823" w:type="dxa"/>
            <w:tcBorders>
              <w:top w:val="nil"/>
              <w:left w:val="nil"/>
              <w:bottom w:val="single" w:sz="4" w:space="0" w:color="auto"/>
              <w:right w:val="single" w:sz="4" w:space="0" w:color="auto"/>
            </w:tcBorders>
            <w:shd w:val="clear" w:color="auto" w:fill="F2F2F2"/>
            <w:noWrap/>
            <w:vAlign w:val="bottom"/>
          </w:tcPr>
          <w:p w14:paraId="4A863F0A" w14:textId="2B34375E"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République dominicaine </w:t>
            </w:r>
          </w:p>
        </w:tc>
        <w:tc>
          <w:tcPr>
            <w:tcW w:w="1005" w:type="dxa"/>
            <w:tcBorders>
              <w:top w:val="nil"/>
              <w:left w:val="nil"/>
              <w:bottom w:val="single" w:sz="4" w:space="0" w:color="auto"/>
              <w:right w:val="single" w:sz="4" w:space="0" w:color="auto"/>
            </w:tcBorders>
            <w:shd w:val="clear" w:color="auto" w:fill="auto"/>
            <w:noWrap/>
            <w:vAlign w:val="bottom"/>
          </w:tcPr>
          <w:p w14:paraId="1B2D520E" w14:textId="0D3CE645"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3 </w:t>
            </w:r>
          </w:p>
        </w:tc>
        <w:tc>
          <w:tcPr>
            <w:tcW w:w="1405" w:type="dxa"/>
            <w:tcBorders>
              <w:top w:val="nil"/>
              <w:left w:val="nil"/>
              <w:bottom w:val="single" w:sz="4" w:space="0" w:color="auto"/>
              <w:right w:val="single" w:sz="4" w:space="0" w:color="auto"/>
            </w:tcBorders>
            <w:shd w:val="clear" w:color="auto" w:fill="D9E2F3"/>
            <w:noWrap/>
            <w:vAlign w:val="bottom"/>
          </w:tcPr>
          <w:p w14:paraId="34B19A62" w14:textId="745AA5BA"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200 000</w:t>
            </w:r>
          </w:p>
        </w:tc>
        <w:tc>
          <w:tcPr>
            <w:tcW w:w="1457" w:type="dxa"/>
            <w:tcBorders>
              <w:top w:val="nil"/>
              <w:left w:val="nil"/>
              <w:bottom w:val="single" w:sz="4" w:space="0" w:color="auto"/>
              <w:right w:val="single" w:sz="4" w:space="0" w:color="auto"/>
            </w:tcBorders>
            <w:shd w:val="clear" w:color="auto" w:fill="auto"/>
            <w:noWrap/>
            <w:vAlign w:val="bottom"/>
          </w:tcPr>
          <w:p w14:paraId="1C7C7D64" w14:textId="5494C768"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178 000</w:t>
            </w:r>
          </w:p>
        </w:tc>
        <w:tc>
          <w:tcPr>
            <w:tcW w:w="1435" w:type="dxa"/>
            <w:tcBorders>
              <w:top w:val="nil"/>
              <w:left w:val="nil"/>
              <w:bottom w:val="single" w:sz="4" w:space="0" w:color="auto"/>
              <w:right w:val="single" w:sz="4" w:space="0" w:color="auto"/>
            </w:tcBorders>
            <w:shd w:val="clear" w:color="auto" w:fill="auto"/>
            <w:noWrap/>
            <w:vAlign w:val="bottom"/>
          </w:tcPr>
          <w:p w14:paraId="6EE32C5C" w14:textId="6AB2BDEA"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22 000</w:t>
            </w:r>
          </w:p>
        </w:tc>
        <w:tc>
          <w:tcPr>
            <w:tcW w:w="1418" w:type="dxa"/>
            <w:tcBorders>
              <w:top w:val="nil"/>
              <w:left w:val="nil"/>
              <w:bottom w:val="single" w:sz="4" w:space="0" w:color="auto"/>
              <w:right w:val="single" w:sz="4" w:space="0" w:color="auto"/>
            </w:tcBorders>
            <w:shd w:val="clear" w:color="auto" w:fill="D0CECE"/>
            <w:noWrap/>
            <w:vAlign w:val="bottom"/>
          </w:tcPr>
          <w:p w14:paraId="1C29A6C2" w14:textId="662CB1BE"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400 000</w:t>
            </w:r>
          </w:p>
        </w:tc>
      </w:tr>
      <w:tr w:rsidR="006755E1" w:rsidRPr="004635B2" w14:paraId="4578E296"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tcPr>
          <w:p w14:paraId="05EB8AE2" w14:textId="596F46D2"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34</w:t>
            </w:r>
          </w:p>
        </w:tc>
        <w:tc>
          <w:tcPr>
            <w:tcW w:w="1823" w:type="dxa"/>
            <w:tcBorders>
              <w:top w:val="nil"/>
              <w:left w:val="nil"/>
              <w:bottom w:val="single" w:sz="4" w:space="0" w:color="auto"/>
              <w:right w:val="single" w:sz="4" w:space="0" w:color="auto"/>
            </w:tcBorders>
            <w:shd w:val="clear" w:color="auto" w:fill="F2F2F2"/>
            <w:noWrap/>
            <w:vAlign w:val="bottom"/>
          </w:tcPr>
          <w:p w14:paraId="383BBBE5" w14:textId="32AF461B"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w:t>
            </w:r>
            <w:r w:rsidRPr="004635B2">
              <w:rPr>
                <w:rFonts w:ascii="Calibri" w:hAnsi="Calibri" w:cs="Calibri"/>
                <w:color w:val="000000"/>
                <w:sz w:val="18"/>
                <w:szCs w:val="18"/>
                <w:lang w:val="fr-CA"/>
              </w:rPr>
              <w:t xml:space="preserve">République populaire démocratique de Corée   </w:t>
            </w:r>
          </w:p>
        </w:tc>
        <w:tc>
          <w:tcPr>
            <w:tcW w:w="1005" w:type="dxa"/>
            <w:tcBorders>
              <w:top w:val="nil"/>
              <w:left w:val="nil"/>
              <w:bottom w:val="single" w:sz="4" w:space="0" w:color="auto"/>
              <w:right w:val="single" w:sz="4" w:space="0" w:color="auto"/>
            </w:tcBorders>
            <w:shd w:val="clear" w:color="auto" w:fill="auto"/>
            <w:noWrap/>
            <w:vAlign w:val="bottom"/>
          </w:tcPr>
          <w:p w14:paraId="66A41815" w14:textId="092146C3"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7 </w:t>
            </w:r>
          </w:p>
        </w:tc>
        <w:tc>
          <w:tcPr>
            <w:tcW w:w="1405" w:type="dxa"/>
            <w:tcBorders>
              <w:top w:val="nil"/>
              <w:left w:val="nil"/>
              <w:bottom w:val="single" w:sz="4" w:space="0" w:color="auto"/>
              <w:right w:val="single" w:sz="4" w:space="0" w:color="auto"/>
            </w:tcBorders>
            <w:shd w:val="clear" w:color="auto" w:fill="D9E2F3"/>
            <w:noWrap/>
            <w:vAlign w:val="bottom"/>
          </w:tcPr>
          <w:p w14:paraId="403CB9F1" w14:textId="5CA46F38"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6 180 000</w:t>
            </w:r>
          </w:p>
        </w:tc>
        <w:tc>
          <w:tcPr>
            <w:tcW w:w="1457" w:type="dxa"/>
            <w:tcBorders>
              <w:top w:val="nil"/>
              <w:left w:val="nil"/>
              <w:bottom w:val="single" w:sz="4" w:space="0" w:color="auto"/>
              <w:right w:val="single" w:sz="4" w:space="0" w:color="auto"/>
            </w:tcBorders>
            <w:shd w:val="clear" w:color="auto" w:fill="auto"/>
            <w:noWrap/>
            <w:vAlign w:val="bottom"/>
          </w:tcPr>
          <w:p w14:paraId="74B623FF" w14:textId="2B4BA304"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2 820 000</w:t>
            </w:r>
          </w:p>
        </w:tc>
        <w:tc>
          <w:tcPr>
            <w:tcW w:w="1435" w:type="dxa"/>
            <w:tcBorders>
              <w:top w:val="nil"/>
              <w:left w:val="nil"/>
              <w:bottom w:val="single" w:sz="4" w:space="0" w:color="auto"/>
              <w:right w:val="single" w:sz="4" w:space="0" w:color="auto"/>
            </w:tcBorders>
            <w:shd w:val="clear" w:color="auto" w:fill="auto"/>
            <w:noWrap/>
            <w:vAlign w:val="bottom"/>
          </w:tcPr>
          <w:p w14:paraId="0A8FD87D" w14:textId="0FB9AAF8"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0</w:t>
            </w:r>
          </w:p>
        </w:tc>
        <w:tc>
          <w:tcPr>
            <w:tcW w:w="1418" w:type="dxa"/>
            <w:tcBorders>
              <w:top w:val="nil"/>
              <w:left w:val="nil"/>
              <w:bottom w:val="single" w:sz="4" w:space="0" w:color="auto"/>
              <w:right w:val="single" w:sz="4" w:space="0" w:color="auto"/>
            </w:tcBorders>
            <w:shd w:val="clear" w:color="auto" w:fill="D0CECE"/>
            <w:noWrap/>
            <w:vAlign w:val="bottom"/>
          </w:tcPr>
          <w:p w14:paraId="4B70E7C9" w14:textId="60E0AFC1"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9 000 000</w:t>
            </w:r>
          </w:p>
        </w:tc>
      </w:tr>
      <w:tr w:rsidR="006755E1" w:rsidRPr="004635B2" w14:paraId="0E35BA7F"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B021D3"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35</w:t>
            </w:r>
          </w:p>
        </w:tc>
        <w:tc>
          <w:tcPr>
            <w:tcW w:w="1823" w:type="dxa"/>
            <w:tcBorders>
              <w:top w:val="nil"/>
              <w:left w:val="nil"/>
              <w:bottom w:val="single" w:sz="4" w:space="0" w:color="auto"/>
              <w:right w:val="single" w:sz="4" w:space="0" w:color="auto"/>
            </w:tcBorders>
            <w:shd w:val="clear" w:color="auto" w:fill="F2F2F2"/>
            <w:noWrap/>
            <w:vAlign w:val="bottom"/>
            <w:hideMark/>
          </w:tcPr>
          <w:p w14:paraId="5F0E818E" w14:textId="784FF38A"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Sénégal </w:t>
            </w:r>
          </w:p>
        </w:tc>
        <w:tc>
          <w:tcPr>
            <w:tcW w:w="1005" w:type="dxa"/>
            <w:tcBorders>
              <w:top w:val="nil"/>
              <w:left w:val="nil"/>
              <w:bottom w:val="single" w:sz="4" w:space="0" w:color="auto"/>
              <w:right w:val="single" w:sz="4" w:space="0" w:color="auto"/>
            </w:tcBorders>
            <w:shd w:val="clear" w:color="auto" w:fill="auto"/>
            <w:noWrap/>
            <w:vAlign w:val="bottom"/>
            <w:hideMark/>
          </w:tcPr>
          <w:p w14:paraId="4A8CFFA0"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6 </w:t>
            </w:r>
          </w:p>
        </w:tc>
        <w:tc>
          <w:tcPr>
            <w:tcW w:w="1405" w:type="dxa"/>
            <w:tcBorders>
              <w:top w:val="nil"/>
              <w:left w:val="nil"/>
              <w:bottom w:val="single" w:sz="4" w:space="0" w:color="auto"/>
              <w:right w:val="single" w:sz="4" w:space="0" w:color="auto"/>
            </w:tcBorders>
            <w:shd w:val="clear" w:color="auto" w:fill="D9E2F3"/>
            <w:noWrap/>
            <w:vAlign w:val="bottom"/>
            <w:hideMark/>
          </w:tcPr>
          <w:p w14:paraId="1E376B34" w14:textId="7968030A"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22 600 000</w:t>
            </w:r>
          </w:p>
        </w:tc>
        <w:tc>
          <w:tcPr>
            <w:tcW w:w="1457" w:type="dxa"/>
            <w:tcBorders>
              <w:top w:val="nil"/>
              <w:left w:val="nil"/>
              <w:bottom w:val="single" w:sz="4" w:space="0" w:color="auto"/>
              <w:right w:val="single" w:sz="4" w:space="0" w:color="auto"/>
            </w:tcBorders>
            <w:shd w:val="clear" w:color="auto" w:fill="auto"/>
            <w:noWrap/>
            <w:vAlign w:val="bottom"/>
            <w:hideMark/>
          </w:tcPr>
          <w:p w14:paraId="4F1867B5" w14:textId="1CA76366"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5 550 000</w:t>
            </w:r>
          </w:p>
        </w:tc>
        <w:tc>
          <w:tcPr>
            <w:tcW w:w="1435" w:type="dxa"/>
            <w:tcBorders>
              <w:top w:val="nil"/>
              <w:left w:val="nil"/>
              <w:bottom w:val="single" w:sz="4" w:space="0" w:color="auto"/>
              <w:right w:val="single" w:sz="4" w:space="0" w:color="auto"/>
            </w:tcBorders>
            <w:shd w:val="clear" w:color="auto" w:fill="auto"/>
            <w:noWrap/>
            <w:vAlign w:val="bottom"/>
            <w:hideMark/>
          </w:tcPr>
          <w:p w14:paraId="764F5EF8" w14:textId="4D2FE365"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7 700 000</w:t>
            </w:r>
          </w:p>
        </w:tc>
        <w:tc>
          <w:tcPr>
            <w:tcW w:w="1418" w:type="dxa"/>
            <w:tcBorders>
              <w:top w:val="nil"/>
              <w:left w:val="nil"/>
              <w:bottom w:val="single" w:sz="4" w:space="0" w:color="auto"/>
              <w:right w:val="single" w:sz="4" w:space="0" w:color="auto"/>
            </w:tcBorders>
            <w:shd w:val="clear" w:color="auto" w:fill="D0CECE"/>
            <w:noWrap/>
            <w:vAlign w:val="bottom"/>
            <w:hideMark/>
          </w:tcPr>
          <w:p w14:paraId="5DFB5697" w14:textId="37507A08"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35 850 000</w:t>
            </w:r>
          </w:p>
        </w:tc>
      </w:tr>
      <w:tr w:rsidR="006755E1" w:rsidRPr="004635B2" w14:paraId="4193B776"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E40533C"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36</w:t>
            </w:r>
          </w:p>
        </w:tc>
        <w:tc>
          <w:tcPr>
            <w:tcW w:w="1823" w:type="dxa"/>
            <w:tcBorders>
              <w:top w:val="nil"/>
              <w:left w:val="nil"/>
              <w:bottom w:val="single" w:sz="4" w:space="0" w:color="auto"/>
              <w:right w:val="single" w:sz="4" w:space="0" w:color="auto"/>
            </w:tcBorders>
            <w:shd w:val="clear" w:color="auto" w:fill="F2F2F2"/>
            <w:noWrap/>
            <w:vAlign w:val="bottom"/>
            <w:hideMark/>
          </w:tcPr>
          <w:p w14:paraId="44C5E802"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Seychelles </w:t>
            </w:r>
          </w:p>
        </w:tc>
        <w:tc>
          <w:tcPr>
            <w:tcW w:w="1005" w:type="dxa"/>
            <w:tcBorders>
              <w:top w:val="nil"/>
              <w:left w:val="nil"/>
              <w:bottom w:val="single" w:sz="4" w:space="0" w:color="auto"/>
              <w:right w:val="single" w:sz="4" w:space="0" w:color="auto"/>
            </w:tcBorders>
            <w:shd w:val="clear" w:color="auto" w:fill="auto"/>
            <w:noWrap/>
            <w:vAlign w:val="bottom"/>
            <w:hideMark/>
          </w:tcPr>
          <w:p w14:paraId="77626BF1"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10 </w:t>
            </w:r>
          </w:p>
        </w:tc>
        <w:tc>
          <w:tcPr>
            <w:tcW w:w="1405" w:type="dxa"/>
            <w:tcBorders>
              <w:top w:val="nil"/>
              <w:left w:val="nil"/>
              <w:bottom w:val="single" w:sz="4" w:space="0" w:color="auto"/>
              <w:right w:val="single" w:sz="4" w:space="0" w:color="auto"/>
            </w:tcBorders>
            <w:shd w:val="clear" w:color="auto" w:fill="D9E2F3"/>
            <w:noWrap/>
            <w:vAlign w:val="bottom"/>
            <w:hideMark/>
          </w:tcPr>
          <w:p w14:paraId="15D3E6E0" w14:textId="00C076FE"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24 750 000</w:t>
            </w:r>
          </w:p>
        </w:tc>
        <w:tc>
          <w:tcPr>
            <w:tcW w:w="1457" w:type="dxa"/>
            <w:tcBorders>
              <w:top w:val="nil"/>
              <w:left w:val="nil"/>
              <w:bottom w:val="single" w:sz="4" w:space="0" w:color="auto"/>
              <w:right w:val="single" w:sz="4" w:space="0" w:color="auto"/>
            </w:tcBorders>
            <w:shd w:val="clear" w:color="auto" w:fill="auto"/>
            <w:noWrap/>
            <w:vAlign w:val="bottom"/>
            <w:hideMark/>
          </w:tcPr>
          <w:p w14:paraId="7D4CEF9F" w14:textId="767D64B5"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32 600 000</w:t>
            </w:r>
          </w:p>
        </w:tc>
        <w:tc>
          <w:tcPr>
            <w:tcW w:w="1435" w:type="dxa"/>
            <w:tcBorders>
              <w:top w:val="nil"/>
              <w:left w:val="nil"/>
              <w:bottom w:val="single" w:sz="4" w:space="0" w:color="auto"/>
              <w:right w:val="single" w:sz="4" w:space="0" w:color="auto"/>
            </w:tcBorders>
            <w:shd w:val="clear" w:color="auto" w:fill="auto"/>
            <w:noWrap/>
            <w:vAlign w:val="bottom"/>
            <w:hideMark/>
          </w:tcPr>
          <w:p w14:paraId="0B919536" w14:textId="1006E7F4"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63 500 000</w:t>
            </w:r>
          </w:p>
        </w:tc>
        <w:tc>
          <w:tcPr>
            <w:tcW w:w="1418" w:type="dxa"/>
            <w:tcBorders>
              <w:top w:val="nil"/>
              <w:left w:val="nil"/>
              <w:bottom w:val="single" w:sz="4" w:space="0" w:color="auto"/>
              <w:right w:val="single" w:sz="4" w:space="0" w:color="auto"/>
            </w:tcBorders>
            <w:shd w:val="clear" w:color="auto" w:fill="D0CECE"/>
            <w:noWrap/>
            <w:vAlign w:val="bottom"/>
            <w:hideMark/>
          </w:tcPr>
          <w:p w14:paraId="6B15E233" w14:textId="4119D911"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120 850 000</w:t>
            </w:r>
          </w:p>
        </w:tc>
      </w:tr>
      <w:tr w:rsidR="006755E1" w:rsidRPr="004635B2" w14:paraId="135603E2"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3BCF77" w14:textId="5ADFBDC1"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37</w:t>
            </w:r>
          </w:p>
        </w:tc>
        <w:tc>
          <w:tcPr>
            <w:tcW w:w="1823" w:type="dxa"/>
            <w:tcBorders>
              <w:top w:val="nil"/>
              <w:left w:val="nil"/>
              <w:bottom w:val="single" w:sz="4" w:space="0" w:color="auto"/>
              <w:right w:val="single" w:sz="4" w:space="0" w:color="auto"/>
            </w:tcBorders>
            <w:shd w:val="clear" w:color="auto" w:fill="F2F2F2"/>
            <w:noWrap/>
            <w:vAlign w:val="bottom"/>
            <w:hideMark/>
          </w:tcPr>
          <w:p w14:paraId="5992E5E4" w14:textId="786BB6CE"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Soudan </w:t>
            </w:r>
          </w:p>
        </w:tc>
        <w:tc>
          <w:tcPr>
            <w:tcW w:w="1005" w:type="dxa"/>
            <w:tcBorders>
              <w:top w:val="nil"/>
              <w:left w:val="nil"/>
              <w:bottom w:val="single" w:sz="4" w:space="0" w:color="auto"/>
              <w:right w:val="single" w:sz="4" w:space="0" w:color="auto"/>
            </w:tcBorders>
            <w:shd w:val="clear" w:color="auto" w:fill="auto"/>
            <w:noWrap/>
            <w:vAlign w:val="bottom"/>
            <w:hideMark/>
          </w:tcPr>
          <w:p w14:paraId="738A379D"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2 </w:t>
            </w:r>
          </w:p>
        </w:tc>
        <w:tc>
          <w:tcPr>
            <w:tcW w:w="1405" w:type="dxa"/>
            <w:tcBorders>
              <w:top w:val="nil"/>
              <w:left w:val="nil"/>
              <w:bottom w:val="single" w:sz="4" w:space="0" w:color="auto"/>
              <w:right w:val="single" w:sz="4" w:space="0" w:color="auto"/>
            </w:tcBorders>
            <w:shd w:val="clear" w:color="auto" w:fill="D9E2F3"/>
            <w:noWrap/>
            <w:vAlign w:val="bottom"/>
            <w:hideMark/>
          </w:tcPr>
          <w:p w14:paraId="18846F6F" w14:textId="0BED319E"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9 000 000</w:t>
            </w:r>
          </w:p>
        </w:tc>
        <w:tc>
          <w:tcPr>
            <w:tcW w:w="1457" w:type="dxa"/>
            <w:tcBorders>
              <w:top w:val="nil"/>
              <w:left w:val="nil"/>
              <w:bottom w:val="single" w:sz="4" w:space="0" w:color="auto"/>
              <w:right w:val="single" w:sz="4" w:space="0" w:color="auto"/>
            </w:tcBorders>
            <w:shd w:val="clear" w:color="auto" w:fill="auto"/>
            <w:noWrap/>
            <w:vAlign w:val="bottom"/>
            <w:hideMark/>
          </w:tcPr>
          <w:p w14:paraId="2BB3B04B" w14:textId="52602EC8"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3 000 000</w:t>
            </w:r>
          </w:p>
        </w:tc>
        <w:tc>
          <w:tcPr>
            <w:tcW w:w="1435" w:type="dxa"/>
            <w:tcBorders>
              <w:top w:val="nil"/>
              <w:left w:val="nil"/>
              <w:bottom w:val="single" w:sz="4" w:space="0" w:color="auto"/>
              <w:right w:val="single" w:sz="4" w:space="0" w:color="auto"/>
            </w:tcBorders>
            <w:shd w:val="clear" w:color="auto" w:fill="auto"/>
            <w:noWrap/>
            <w:vAlign w:val="bottom"/>
            <w:hideMark/>
          </w:tcPr>
          <w:p w14:paraId="277F0537"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4EF7CBE6" w14:textId="62555C7A"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12 000 000</w:t>
            </w:r>
          </w:p>
        </w:tc>
      </w:tr>
      <w:tr w:rsidR="006755E1" w:rsidRPr="004635B2" w14:paraId="2CC9CD99"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DFB9F5" w14:textId="3B17B28D"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38</w:t>
            </w:r>
          </w:p>
        </w:tc>
        <w:tc>
          <w:tcPr>
            <w:tcW w:w="1823" w:type="dxa"/>
            <w:tcBorders>
              <w:top w:val="nil"/>
              <w:left w:val="nil"/>
              <w:bottom w:val="single" w:sz="4" w:space="0" w:color="auto"/>
              <w:right w:val="single" w:sz="4" w:space="0" w:color="auto"/>
            </w:tcBorders>
            <w:shd w:val="clear" w:color="auto" w:fill="F2F2F2"/>
            <w:noWrap/>
            <w:vAlign w:val="bottom"/>
            <w:hideMark/>
          </w:tcPr>
          <w:p w14:paraId="52EDE96F"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Suriname </w:t>
            </w:r>
          </w:p>
        </w:tc>
        <w:tc>
          <w:tcPr>
            <w:tcW w:w="1005" w:type="dxa"/>
            <w:tcBorders>
              <w:top w:val="nil"/>
              <w:left w:val="nil"/>
              <w:bottom w:val="single" w:sz="4" w:space="0" w:color="auto"/>
              <w:right w:val="single" w:sz="4" w:space="0" w:color="auto"/>
            </w:tcBorders>
            <w:shd w:val="clear" w:color="auto" w:fill="auto"/>
            <w:noWrap/>
            <w:vAlign w:val="bottom"/>
            <w:hideMark/>
          </w:tcPr>
          <w:p w14:paraId="0C2123B7"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10 </w:t>
            </w:r>
          </w:p>
        </w:tc>
        <w:tc>
          <w:tcPr>
            <w:tcW w:w="1405" w:type="dxa"/>
            <w:tcBorders>
              <w:top w:val="nil"/>
              <w:left w:val="nil"/>
              <w:bottom w:val="single" w:sz="4" w:space="0" w:color="auto"/>
              <w:right w:val="single" w:sz="4" w:space="0" w:color="auto"/>
            </w:tcBorders>
            <w:shd w:val="clear" w:color="auto" w:fill="D9E2F3"/>
            <w:noWrap/>
            <w:vAlign w:val="bottom"/>
            <w:hideMark/>
          </w:tcPr>
          <w:p w14:paraId="6E63D588" w14:textId="26916650"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76 000 000</w:t>
            </w:r>
          </w:p>
        </w:tc>
        <w:tc>
          <w:tcPr>
            <w:tcW w:w="1457" w:type="dxa"/>
            <w:tcBorders>
              <w:top w:val="nil"/>
              <w:left w:val="nil"/>
              <w:bottom w:val="single" w:sz="4" w:space="0" w:color="auto"/>
              <w:right w:val="single" w:sz="4" w:space="0" w:color="auto"/>
            </w:tcBorders>
            <w:shd w:val="clear" w:color="auto" w:fill="auto"/>
            <w:noWrap/>
            <w:vAlign w:val="bottom"/>
            <w:hideMark/>
          </w:tcPr>
          <w:p w14:paraId="0703A923" w14:textId="497B7282"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6 550 000</w:t>
            </w:r>
          </w:p>
        </w:tc>
        <w:tc>
          <w:tcPr>
            <w:tcW w:w="1435" w:type="dxa"/>
            <w:tcBorders>
              <w:top w:val="nil"/>
              <w:left w:val="nil"/>
              <w:bottom w:val="single" w:sz="4" w:space="0" w:color="auto"/>
              <w:right w:val="single" w:sz="4" w:space="0" w:color="auto"/>
            </w:tcBorders>
            <w:shd w:val="clear" w:color="auto" w:fill="auto"/>
            <w:noWrap/>
            <w:vAlign w:val="bottom"/>
            <w:hideMark/>
          </w:tcPr>
          <w:p w14:paraId="327C5864" w14:textId="26120A45"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4 750 000</w:t>
            </w:r>
          </w:p>
        </w:tc>
        <w:tc>
          <w:tcPr>
            <w:tcW w:w="1418" w:type="dxa"/>
            <w:tcBorders>
              <w:top w:val="nil"/>
              <w:left w:val="nil"/>
              <w:bottom w:val="single" w:sz="4" w:space="0" w:color="auto"/>
              <w:right w:val="single" w:sz="4" w:space="0" w:color="auto"/>
            </w:tcBorders>
            <w:shd w:val="clear" w:color="auto" w:fill="D0CECE"/>
            <w:noWrap/>
            <w:vAlign w:val="bottom"/>
            <w:hideMark/>
          </w:tcPr>
          <w:p w14:paraId="6757C267" w14:textId="11C18F92"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87 300 000</w:t>
            </w:r>
          </w:p>
        </w:tc>
      </w:tr>
      <w:tr w:rsidR="006755E1" w:rsidRPr="004635B2" w14:paraId="544EB9EC"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tcPr>
          <w:p w14:paraId="05AD20B7" w14:textId="29F7B7A6"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39</w:t>
            </w:r>
          </w:p>
        </w:tc>
        <w:tc>
          <w:tcPr>
            <w:tcW w:w="1823" w:type="dxa"/>
            <w:tcBorders>
              <w:top w:val="nil"/>
              <w:left w:val="nil"/>
              <w:bottom w:val="single" w:sz="4" w:space="0" w:color="auto"/>
              <w:right w:val="single" w:sz="4" w:space="0" w:color="auto"/>
            </w:tcBorders>
            <w:shd w:val="clear" w:color="auto" w:fill="F2F2F2"/>
            <w:noWrap/>
            <w:vAlign w:val="bottom"/>
          </w:tcPr>
          <w:p w14:paraId="5DCCD0D0" w14:textId="30A2C4BB"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Tchad </w:t>
            </w:r>
          </w:p>
        </w:tc>
        <w:tc>
          <w:tcPr>
            <w:tcW w:w="1005" w:type="dxa"/>
            <w:tcBorders>
              <w:top w:val="nil"/>
              <w:left w:val="nil"/>
              <w:bottom w:val="single" w:sz="4" w:space="0" w:color="auto"/>
              <w:right w:val="single" w:sz="4" w:space="0" w:color="auto"/>
            </w:tcBorders>
            <w:shd w:val="clear" w:color="auto" w:fill="auto"/>
            <w:noWrap/>
            <w:vAlign w:val="bottom"/>
          </w:tcPr>
          <w:p w14:paraId="1573AE95" w14:textId="6F621173"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7 </w:t>
            </w:r>
          </w:p>
        </w:tc>
        <w:tc>
          <w:tcPr>
            <w:tcW w:w="1405" w:type="dxa"/>
            <w:tcBorders>
              <w:top w:val="nil"/>
              <w:left w:val="nil"/>
              <w:bottom w:val="single" w:sz="4" w:space="0" w:color="auto"/>
              <w:right w:val="single" w:sz="4" w:space="0" w:color="auto"/>
            </w:tcBorders>
            <w:shd w:val="clear" w:color="auto" w:fill="D9E2F3"/>
            <w:noWrap/>
            <w:vAlign w:val="bottom"/>
          </w:tcPr>
          <w:p w14:paraId="11FD36A4" w14:textId="2044489D"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47 500 000</w:t>
            </w:r>
          </w:p>
        </w:tc>
        <w:tc>
          <w:tcPr>
            <w:tcW w:w="1457" w:type="dxa"/>
            <w:tcBorders>
              <w:top w:val="nil"/>
              <w:left w:val="nil"/>
              <w:bottom w:val="single" w:sz="4" w:space="0" w:color="auto"/>
              <w:right w:val="single" w:sz="4" w:space="0" w:color="auto"/>
            </w:tcBorders>
            <w:shd w:val="clear" w:color="auto" w:fill="auto"/>
            <w:noWrap/>
            <w:vAlign w:val="bottom"/>
          </w:tcPr>
          <w:p w14:paraId="3A25E102" w14:textId="76A26ECC"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6 200 000</w:t>
            </w:r>
          </w:p>
        </w:tc>
        <w:tc>
          <w:tcPr>
            <w:tcW w:w="1435" w:type="dxa"/>
            <w:tcBorders>
              <w:top w:val="nil"/>
              <w:left w:val="nil"/>
              <w:bottom w:val="single" w:sz="4" w:space="0" w:color="auto"/>
              <w:right w:val="single" w:sz="4" w:space="0" w:color="auto"/>
            </w:tcBorders>
            <w:shd w:val="clear" w:color="auto" w:fill="auto"/>
            <w:noWrap/>
            <w:vAlign w:val="bottom"/>
          </w:tcPr>
          <w:p w14:paraId="5A35E2BD" w14:textId="5081780D"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18 300 000</w:t>
            </w:r>
          </w:p>
        </w:tc>
        <w:tc>
          <w:tcPr>
            <w:tcW w:w="1418" w:type="dxa"/>
            <w:tcBorders>
              <w:top w:val="nil"/>
              <w:left w:val="nil"/>
              <w:bottom w:val="single" w:sz="4" w:space="0" w:color="auto"/>
              <w:right w:val="single" w:sz="4" w:space="0" w:color="auto"/>
            </w:tcBorders>
            <w:shd w:val="clear" w:color="auto" w:fill="D0CECE"/>
            <w:noWrap/>
            <w:vAlign w:val="bottom"/>
          </w:tcPr>
          <w:p w14:paraId="604864C5" w14:textId="11E772F3"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72 000 000</w:t>
            </w:r>
          </w:p>
        </w:tc>
      </w:tr>
      <w:tr w:rsidR="006755E1" w:rsidRPr="004635B2" w14:paraId="57B700E7"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4E13ACD"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40</w:t>
            </w:r>
          </w:p>
        </w:tc>
        <w:tc>
          <w:tcPr>
            <w:tcW w:w="1823" w:type="dxa"/>
            <w:tcBorders>
              <w:top w:val="nil"/>
              <w:left w:val="nil"/>
              <w:bottom w:val="single" w:sz="4" w:space="0" w:color="auto"/>
              <w:right w:val="single" w:sz="4" w:space="0" w:color="auto"/>
            </w:tcBorders>
            <w:shd w:val="clear" w:color="auto" w:fill="F2F2F2"/>
            <w:noWrap/>
            <w:vAlign w:val="bottom"/>
            <w:hideMark/>
          </w:tcPr>
          <w:p w14:paraId="5F99AA9B"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Togo </w:t>
            </w:r>
          </w:p>
        </w:tc>
        <w:tc>
          <w:tcPr>
            <w:tcW w:w="1005" w:type="dxa"/>
            <w:tcBorders>
              <w:top w:val="nil"/>
              <w:left w:val="nil"/>
              <w:bottom w:val="single" w:sz="4" w:space="0" w:color="auto"/>
              <w:right w:val="single" w:sz="4" w:space="0" w:color="auto"/>
            </w:tcBorders>
            <w:shd w:val="clear" w:color="auto" w:fill="auto"/>
            <w:noWrap/>
            <w:vAlign w:val="bottom"/>
            <w:hideMark/>
          </w:tcPr>
          <w:p w14:paraId="2532D7DF"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2A905E81" w14:textId="11B19584"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7 900 500</w:t>
            </w:r>
          </w:p>
        </w:tc>
        <w:tc>
          <w:tcPr>
            <w:tcW w:w="1457" w:type="dxa"/>
            <w:tcBorders>
              <w:top w:val="nil"/>
              <w:left w:val="nil"/>
              <w:bottom w:val="single" w:sz="4" w:space="0" w:color="auto"/>
              <w:right w:val="single" w:sz="4" w:space="0" w:color="auto"/>
            </w:tcBorders>
            <w:shd w:val="clear" w:color="auto" w:fill="auto"/>
            <w:noWrap/>
            <w:vAlign w:val="bottom"/>
            <w:hideMark/>
          </w:tcPr>
          <w:p w14:paraId="7F864231" w14:textId="70DD6DAD"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550 000</w:t>
            </w:r>
          </w:p>
        </w:tc>
        <w:tc>
          <w:tcPr>
            <w:tcW w:w="1435" w:type="dxa"/>
            <w:tcBorders>
              <w:top w:val="nil"/>
              <w:left w:val="nil"/>
              <w:bottom w:val="single" w:sz="4" w:space="0" w:color="auto"/>
              <w:right w:val="single" w:sz="4" w:space="0" w:color="auto"/>
            </w:tcBorders>
            <w:shd w:val="clear" w:color="auto" w:fill="auto"/>
            <w:noWrap/>
            <w:vAlign w:val="bottom"/>
            <w:hideMark/>
          </w:tcPr>
          <w:p w14:paraId="5CA64F01" w14:textId="1AE3BFFF"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10 500 000</w:t>
            </w:r>
          </w:p>
        </w:tc>
        <w:tc>
          <w:tcPr>
            <w:tcW w:w="1418" w:type="dxa"/>
            <w:tcBorders>
              <w:top w:val="nil"/>
              <w:left w:val="nil"/>
              <w:bottom w:val="single" w:sz="4" w:space="0" w:color="auto"/>
              <w:right w:val="single" w:sz="4" w:space="0" w:color="auto"/>
            </w:tcBorders>
            <w:shd w:val="clear" w:color="auto" w:fill="D0CECE"/>
            <w:noWrap/>
            <w:vAlign w:val="bottom"/>
            <w:hideMark/>
          </w:tcPr>
          <w:p w14:paraId="7331C748" w14:textId="673DFBE9"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18 950 500</w:t>
            </w:r>
          </w:p>
        </w:tc>
      </w:tr>
      <w:tr w:rsidR="006755E1" w:rsidRPr="004635B2" w14:paraId="32C34C93"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2AA7F8D"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41</w:t>
            </w:r>
          </w:p>
        </w:tc>
        <w:tc>
          <w:tcPr>
            <w:tcW w:w="1823" w:type="dxa"/>
            <w:tcBorders>
              <w:top w:val="nil"/>
              <w:left w:val="nil"/>
              <w:bottom w:val="single" w:sz="4" w:space="0" w:color="auto"/>
              <w:right w:val="single" w:sz="4" w:space="0" w:color="auto"/>
            </w:tcBorders>
            <w:shd w:val="clear" w:color="auto" w:fill="F2F2F2"/>
            <w:noWrap/>
            <w:vAlign w:val="bottom"/>
            <w:hideMark/>
          </w:tcPr>
          <w:p w14:paraId="01EC11B4" w14:textId="77234ACD"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Trinité-et-Tobago </w:t>
            </w:r>
          </w:p>
        </w:tc>
        <w:tc>
          <w:tcPr>
            <w:tcW w:w="1005" w:type="dxa"/>
            <w:tcBorders>
              <w:top w:val="nil"/>
              <w:left w:val="nil"/>
              <w:bottom w:val="single" w:sz="4" w:space="0" w:color="auto"/>
              <w:right w:val="single" w:sz="4" w:space="0" w:color="auto"/>
            </w:tcBorders>
            <w:shd w:val="clear" w:color="auto" w:fill="auto"/>
            <w:noWrap/>
            <w:vAlign w:val="bottom"/>
            <w:hideMark/>
          </w:tcPr>
          <w:p w14:paraId="586FD2D2"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2 </w:t>
            </w:r>
          </w:p>
        </w:tc>
        <w:tc>
          <w:tcPr>
            <w:tcW w:w="1405" w:type="dxa"/>
            <w:tcBorders>
              <w:top w:val="nil"/>
              <w:left w:val="nil"/>
              <w:bottom w:val="single" w:sz="4" w:space="0" w:color="auto"/>
              <w:right w:val="single" w:sz="4" w:space="0" w:color="auto"/>
            </w:tcBorders>
            <w:shd w:val="clear" w:color="auto" w:fill="D9E2F3"/>
            <w:noWrap/>
            <w:vAlign w:val="bottom"/>
            <w:hideMark/>
          </w:tcPr>
          <w:p w14:paraId="54F7B77A" w14:textId="22C7D506"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3 000 000</w:t>
            </w:r>
          </w:p>
        </w:tc>
        <w:tc>
          <w:tcPr>
            <w:tcW w:w="1457" w:type="dxa"/>
            <w:tcBorders>
              <w:top w:val="nil"/>
              <w:left w:val="nil"/>
              <w:bottom w:val="single" w:sz="4" w:space="0" w:color="auto"/>
              <w:right w:val="single" w:sz="4" w:space="0" w:color="auto"/>
            </w:tcBorders>
            <w:shd w:val="clear" w:color="auto" w:fill="auto"/>
            <w:noWrap/>
            <w:vAlign w:val="bottom"/>
            <w:hideMark/>
          </w:tcPr>
          <w:p w14:paraId="3E46B776" w14:textId="29D39335"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3 000 000</w:t>
            </w:r>
          </w:p>
        </w:tc>
        <w:tc>
          <w:tcPr>
            <w:tcW w:w="1435" w:type="dxa"/>
            <w:tcBorders>
              <w:top w:val="nil"/>
              <w:left w:val="nil"/>
              <w:bottom w:val="single" w:sz="4" w:space="0" w:color="auto"/>
              <w:right w:val="single" w:sz="4" w:space="0" w:color="auto"/>
            </w:tcBorders>
            <w:shd w:val="clear" w:color="auto" w:fill="auto"/>
            <w:noWrap/>
            <w:vAlign w:val="bottom"/>
            <w:hideMark/>
          </w:tcPr>
          <w:p w14:paraId="39F8F22C"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1E6F66B1" w14:textId="13B9D3F8"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6 000 000</w:t>
            </w:r>
          </w:p>
        </w:tc>
      </w:tr>
      <w:tr w:rsidR="006755E1" w:rsidRPr="004635B2" w14:paraId="43D343A3"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95D66B1"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42</w:t>
            </w:r>
          </w:p>
        </w:tc>
        <w:tc>
          <w:tcPr>
            <w:tcW w:w="1823" w:type="dxa"/>
            <w:tcBorders>
              <w:top w:val="nil"/>
              <w:left w:val="nil"/>
              <w:bottom w:val="single" w:sz="4" w:space="0" w:color="auto"/>
              <w:right w:val="single" w:sz="4" w:space="0" w:color="auto"/>
            </w:tcBorders>
            <w:shd w:val="clear" w:color="auto" w:fill="F2F2F2"/>
            <w:noWrap/>
            <w:vAlign w:val="bottom"/>
            <w:hideMark/>
          </w:tcPr>
          <w:p w14:paraId="5F394C1F" w14:textId="427F5553"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Tunisie </w:t>
            </w:r>
          </w:p>
        </w:tc>
        <w:tc>
          <w:tcPr>
            <w:tcW w:w="1005" w:type="dxa"/>
            <w:tcBorders>
              <w:top w:val="nil"/>
              <w:left w:val="nil"/>
              <w:bottom w:val="single" w:sz="4" w:space="0" w:color="auto"/>
              <w:right w:val="single" w:sz="4" w:space="0" w:color="auto"/>
            </w:tcBorders>
            <w:shd w:val="clear" w:color="auto" w:fill="auto"/>
            <w:noWrap/>
            <w:vAlign w:val="bottom"/>
            <w:hideMark/>
          </w:tcPr>
          <w:p w14:paraId="342A2777"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6 </w:t>
            </w:r>
          </w:p>
        </w:tc>
        <w:tc>
          <w:tcPr>
            <w:tcW w:w="1405" w:type="dxa"/>
            <w:tcBorders>
              <w:top w:val="nil"/>
              <w:left w:val="nil"/>
              <w:bottom w:val="single" w:sz="4" w:space="0" w:color="auto"/>
              <w:right w:val="single" w:sz="4" w:space="0" w:color="auto"/>
            </w:tcBorders>
            <w:shd w:val="clear" w:color="auto" w:fill="D9E2F3"/>
            <w:noWrap/>
            <w:vAlign w:val="bottom"/>
            <w:hideMark/>
          </w:tcPr>
          <w:p w14:paraId="5038D0C7" w14:textId="38727C72"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10 000 000</w:t>
            </w:r>
          </w:p>
        </w:tc>
        <w:tc>
          <w:tcPr>
            <w:tcW w:w="1457" w:type="dxa"/>
            <w:tcBorders>
              <w:top w:val="nil"/>
              <w:left w:val="nil"/>
              <w:bottom w:val="single" w:sz="4" w:space="0" w:color="auto"/>
              <w:right w:val="single" w:sz="4" w:space="0" w:color="auto"/>
            </w:tcBorders>
            <w:shd w:val="clear" w:color="auto" w:fill="auto"/>
            <w:noWrap/>
            <w:vAlign w:val="bottom"/>
            <w:hideMark/>
          </w:tcPr>
          <w:p w14:paraId="2EAE4640" w14:textId="046C3A6B"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2 000 000</w:t>
            </w:r>
          </w:p>
        </w:tc>
        <w:tc>
          <w:tcPr>
            <w:tcW w:w="1435" w:type="dxa"/>
            <w:tcBorders>
              <w:top w:val="nil"/>
              <w:left w:val="nil"/>
              <w:bottom w:val="single" w:sz="4" w:space="0" w:color="auto"/>
              <w:right w:val="single" w:sz="4" w:space="0" w:color="auto"/>
            </w:tcBorders>
            <w:shd w:val="clear" w:color="auto" w:fill="auto"/>
            <w:noWrap/>
            <w:vAlign w:val="bottom"/>
            <w:hideMark/>
          </w:tcPr>
          <w:p w14:paraId="6EC9C490" w14:textId="5CF92C9E"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700 000</w:t>
            </w:r>
          </w:p>
        </w:tc>
        <w:tc>
          <w:tcPr>
            <w:tcW w:w="1418" w:type="dxa"/>
            <w:tcBorders>
              <w:top w:val="nil"/>
              <w:left w:val="nil"/>
              <w:bottom w:val="single" w:sz="4" w:space="0" w:color="auto"/>
              <w:right w:val="single" w:sz="4" w:space="0" w:color="auto"/>
            </w:tcBorders>
            <w:shd w:val="clear" w:color="auto" w:fill="D0CECE"/>
            <w:noWrap/>
            <w:vAlign w:val="bottom"/>
            <w:hideMark/>
          </w:tcPr>
          <w:p w14:paraId="4D86B4CF" w14:textId="3953D0F9"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12 700 000</w:t>
            </w:r>
          </w:p>
        </w:tc>
      </w:tr>
      <w:tr w:rsidR="006755E1" w:rsidRPr="004635B2" w14:paraId="1DD98C19"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D6A746"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43</w:t>
            </w:r>
          </w:p>
        </w:tc>
        <w:tc>
          <w:tcPr>
            <w:tcW w:w="1823" w:type="dxa"/>
            <w:tcBorders>
              <w:top w:val="nil"/>
              <w:left w:val="nil"/>
              <w:bottom w:val="single" w:sz="4" w:space="0" w:color="auto"/>
              <w:right w:val="single" w:sz="4" w:space="0" w:color="auto"/>
            </w:tcBorders>
            <w:shd w:val="clear" w:color="auto" w:fill="F2F2F2"/>
            <w:noWrap/>
            <w:vAlign w:val="bottom"/>
            <w:hideMark/>
          </w:tcPr>
          <w:p w14:paraId="37DBE0DA"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Viet Nam </w:t>
            </w:r>
          </w:p>
        </w:tc>
        <w:tc>
          <w:tcPr>
            <w:tcW w:w="1005" w:type="dxa"/>
            <w:tcBorders>
              <w:top w:val="nil"/>
              <w:left w:val="nil"/>
              <w:bottom w:val="single" w:sz="4" w:space="0" w:color="auto"/>
              <w:right w:val="single" w:sz="4" w:space="0" w:color="auto"/>
            </w:tcBorders>
            <w:shd w:val="clear" w:color="auto" w:fill="auto"/>
            <w:noWrap/>
            <w:vAlign w:val="bottom"/>
            <w:hideMark/>
          </w:tcPr>
          <w:p w14:paraId="094DDC6C"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0B0DCAD1" w14:textId="5146FC9D"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20 000 000</w:t>
            </w:r>
          </w:p>
        </w:tc>
        <w:tc>
          <w:tcPr>
            <w:tcW w:w="1457" w:type="dxa"/>
            <w:tcBorders>
              <w:top w:val="nil"/>
              <w:left w:val="nil"/>
              <w:bottom w:val="single" w:sz="4" w:space="0" w:color="auto"/>
              <w:right w:val="single" w:sz="4" w:space="0" w:color="auto"/>
            </w:tcBorders>
            <w:shd w:val="clear" w:color="auto" w:fill="auto"/>
            <w:noWrap/>
            <w:vAlign w:val="bottom"/>
            <w:hideMark/>
          </w:tcPr>
          <w:p w14:paraId="2B2A7484" w14:textId="0844AD2E"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50 000 000</w:t>
            </w:r>
          </w:p>
        </w:tc>
        <w:tc>
          <w:tcPr>
            <w:tcW w:w="1435" w:type="dxa"/>
            <w:tcBorders>
              <w:top w:val="nil"/>
              <w:left w:val="nil"/>
              <w:bottom w:val="single" w:sz="4" w:space="0" w:color="auto"/>
              <w:right w:val="single" w:sz="4" w:space="0" w:color="auto"/>
            </w:tcBorders>
            <w:shd w:val="clear" w:color="auto" w:fill="auto"/>
            <w:noWrap/>
            <w:vAlign w:val="bottom"/>
            <w:hideMark/>
          </w:tcPr>
          <w:p w14:paraId="16C4B576" w14:textId="1CCFE4A3"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40 000 000</w:t>
            </w:r>
          </w:p>
        </w:tc>
        <w:tc>
          <w:tcPr>
            <w:tcW w:w="1418" w:type="dxa"/>
            <w:tcBorders>
              <w:top w:val="nil"/>
              <w:left w:val="nil"/>
              <w:bottom w:val="single" w:sz="4" w:space="0" w:color="auto"/>
              <w:right w:val="single" w:sz="4" w:space="0" w:color="auto"/>
            </w:tcBorders>
            <w:shd w:val="clear" w:color="auto" w:fill="D0CECE"/>
            <w:noWrap/>
            <w:vAlign w:val="bottom"/>
            <w:hideMark/>
          </w:tcPr>
          <w:p w14:paraId="13722A9D" w14:textId="48EEA9B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110 000 000</w:t>
            </w:r>
          </w:p>
        </w:tc>
      </w:tr>
      <w:tr w:rsidR="006755E1" w:rsidRPr="004635B2" w14:paraId="0376046A"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DE0645D"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44</w:t>
            </w:r>
          </w:p>
        </w:tc>
        <w:tc>
          <w:tcPr>
            <w:tcW w:w="1823" w:type="dxa"/>
            <w:tcBorders>
              <w:top w:val="nil"/>
              <w:left w:val="nil"/>
              <w:bottom w:val="single" w:sz="4" w:space="0" w:color="auto"/>
              <w:right w:val="single" w:sz="4" w:space="0" w:color="auto"/>
            </w:tcBorders>
            <w:shd w:val="clear" w:color="auto" w:fill="F2F2F2"/>
            <w:noWrap/>
            <w:vAlign w:val="bottom"/>
            <w:hideMark/>
          </w:tcPr>
          <w:p w14:paraId="64770FFC" w14:textId="5518D948"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Zambie </w:t>
            </w:r>
          </w:p>
        </w:tc>
        <w:tc>
          <w:tcPr>
            <w:tcW w:w="1005" w:type="dxa"/>
            <w:tcBorders>
              <w:top w:val="nil"/>
              <w:left w:val="nil"/>
              <w:bottom w:val="single" w:sz="4" w:space="0" w:color="auto"/>
              <w:right w:val="single" w:sz="4" w:space="0" w:color="auto"/>
            </w:tcBorders>
            <w:shd w:val="clear" w:color="auto" w:fill="auto"/>
            <w:noWrap/>
            <w:vAlign w:val="bottom"/>
            <w:hideMark/>
          </w:tcPr>
          <w:p w14:paraId="46AD2C56"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7C8AA765" w14:textId="7F15882A"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983 556</w:t>
            </w:r>
          </w:p>
        </w:tc>
        <w:tc>
          <w:tcPr>
            <w:tcW w:w="1457" w:type="dxa"/>
            <w:tcBorders>
              <w:top w:val="nil"/>
              <w:left w:val="nil"/>
              <w:bottom w:val="single" w:sz="4" w:space="0" w:color="auto"/>
              <w:right w:val="single" w:sz="4" w:space="0" w:color="auto"/>
            </w:tcBorders>
            <w:shd w:val="clear" w:color="auto" w:fill="auto"/>
            <w:noWrap/>
            <w:vAlign w:val="bottom"/>
            <w:hideMark/>
          </w:tcPr>
          <w:p w14:paraId="6E44CAD2" w14:textId="75BA6EC8"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114 638</w:t>
            </w:r>
          </w:p>
        </w:tc>
        <w:tc>
          <w:tcPr>
            <w:tcW w:w="1435" w:type="dxa"/>
            <w:tcBorders>
              <w:top w:val="nil"/>
              <w:left w:val="nil"/>
              <w:bottom w:val="single" w:sz="4" w:space="0" w:color="auto"/>
              <w:right w:val="single" w:sz="4" w:space="0" w:color="auto"/>
            </w:tcBorders>
            <w:shd w:val="clear" w:color="auto" w:fill="auto"/>
            <w:noWrap/>
            <w:vAlign w:val="bottom"/>
            <w:hideMark/>
          </w:tcPr>
          <w:p w14:paraId="6025C150"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237610FA" w14:textId="2E5780E6"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1 098 194</w:t>
            </w:r>
          </w:p>
        </w:tc>
      </w:tr>
      <w:tr w:rsidR="006755E1" w:rsidRPr="004635B2" w14:paraId="261CE6D2" w14:textId="77777777" w:rsidTr="001466B2">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9415D2"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w:t>
            </w:r>
          </w:p>
        </w:tc>
        <w:tc>
          <w:tcPr>
            <w:tcW w:w="1823" w:type="dxa"/>
            <w:tcBorders>
              <w:top w:val="nil"/>
              <w:left w:val="nil"/>
              <w:bottom w:val="single" w:sz="4" w:space="0" w:color="auto"/>
              <w:right w:val="single" w:sz="4" w:space="0" w:color="auto"/>
            </w:tcBorders>
            <w:shd w:val="clear" w:color="auto" w:fill="F2F2F2"/>
            <w:noWrap/>
            <w:vAlign w:val="bottom"/>
            <w:hideMark/>
          </w:tcPr>
          <w:p w14:paraId="091605CA"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 xml:space="preserve"> TOTAL </w:t>
            </w:r>
          </w:p>
        </w:tc>
        <w:tc>
          <w:tcPr>
            <w:tcW w:w="1005" w:type="dxa"/>
            <w:tcBorders>
              <w:top w:val="nil"/>
              <w:left w:val="nil"/>
              <w:bottom w:val="single" w:sz="4" w:space="0" w:color="auto"/>
              <w:right w:val="single" w:sz="4" w:space="0" w:color="auto"/>
            </w:tcBorders>
            <w:shd w:val="clear" w:color="auto" w:fill="auto"/>
            <w:noWrap/>
            <w:vAlign w:val="bottom"/>
            <w:hideMark/>
          </w:tcPr>
          <w:p w14:paraId="2CE8CA76" w14:textId="777777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210</w:t>
            </w:r>
          </w:p>
        </w:tc>
        <w:tc>
          <w:tcPr>
            <w:tcW w:w="1405" w:type="dxa"/>
            <w:tcBorders>
              <w:top w:val="nil"/>
              <w:left w:val="nil"/>
              <w:bottom w:val="single" w:sz="4" w:space="0" w:color="auto"/>
              <w:right w:val="single" w:sz="4" w:space="0" w:color="auto"/>
            </w:tcBorders>
            <w:shd w:val="clear" w:color="auto" w:fill="D9E2F3"/>
            <w:noWrap/>
            <w:vAlign w:val="bottom"/>
            <w:hideMark/>
          </w:tcPr>
          <w:p w14:paraId="79ABCD8E" w14:textId="59196800"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1 311 215 523</w:t>
            </w:r>
          </w:p>
        </w:tc>
        <w:tc>
          <w:tcPr>
            <w:tcW w:w="1457" w:type="dxa"/>
            <w:tcBorders>
              <w:top w:val="nil"/>
              <w:left w:val="nil"/>
              <w:bottom w:val="single" w:sz="4" w:space="0" w:color="auto"/>
              <w:right w:val="single" w:sz="4" w:space="0" w:color="auto"/>
            </w:tcBorders>
            <w:shd w:val="clear" w:color="auto" w:fill="auto"/>
            <w:noWrap/>
            <w:vAlign w:val="bottom"/>
            <w:hideMark/>
          </w:tcPr>
          <w:p w14:paraId="4EF9C5BC" w14:textId="605C51F5"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1 563 135 687</w:t>
            </w:r>
          </w:p>
        </w:tc>
        <w:tc>
          <w:tcPr>
            <w:tcW w:w="1435" w:type="dxa"/>
            <w:tcBorders>
              <w:top w:val="nil"/>
              <w:left w:val="nil"/>
              <w:bottom w:val="single" w:sz="4" w:space="0" w:color="auto"/>
              <w:right w:val="single" w:sz="4" w:space="0" w:color="auto"/>
            </w:tcBorders>
            <w:shd w:val="clear" w:color="auto" w:fill="auto"/>
            <w:noWrap/>
            <w:vAlign w:val="bottom"/>
            <w:hideMark/>
          </w:tcPr>
          <w:p w14:paraId="5F238E98" w14:textId="5546703F"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1 175 570 687</w:t>
            </w:r>
          </w:p>
        </w:tc>
        <w:tc>
          <w:tcPr>
            <w:tcW w:w="1418" w:type="dxa"/>
            <w:tcBorders>
              <w:top w:val="nil"/>
              <w:left w:val="nil"/>
              <w:bottom w:val="single" w:sz="4" w:space="0" w:color="auto"/>
              <w:right w:val="single" w:sz="4" w:space="0" w:color="auto"/>
            </w:tcBorders>
            <w:shd w:val="clear" w:color="auto" w:fill="D0CECE"/>
            <w:noWrap/>
            <w:vAlign w:val="bottom"/>
            <w:hideMark/>
          </w:tcPr>
          <w:p w14:paraId="72223A21" w14:textId="4C3E2D77" w:rsidR="006755E1" w:rsidRPr="004635B2" w:rsidRDefault="006755E1" w:rsidP="006755E1">
            <w:pPr>
              <w:widowControl w:val="0"/>
              <w:autoSpaceDE w:val="0"/>
              <w:autoSpaceDN w:val="0"/>
              <w:rPr>
                <w:rFonts w:ascii="Calibri" w:hAnsi="Calibri" w:cs="Calibri"/>
                <w:color w:val="000000"/>
                <w:sz w:val="20"/>
                <w:szCs w:val="20"/>
                <w:lang w:val="fr-CA"/>
              </w:rPr>
            </w:pPr>
            <w:r w:rsidRPr="004635B2">
              <w:rPr>
                <w:rFonts w:ascii="Calibri" w:hAnsi="Calibri" w:cs="Calibri"/>
                <w:color w:val="000000"/>
                <w:sz w:val="20"/>
                <w:szCs w:val="20"/>
                <w:lang w:val="fr-CA"/>
              </w:rPr>
              <w:t>4 052 362 807</w:t>
            </w:r>
          </w:p>
        </w:tc>
      </w:tr>
    </w:tbl>
    <w:p w14:paraId="5C304E2B" w14:textId="77777777" w:rsidR="00672E96" w:rsidRPr="004635B2" w:rsidRDefault="00672E96" w:rsidP="00672E96">
      <w:pPr>
        <w:suppressLineNumbers/>
        <w:suppressAutoHyphens/>
        <w:adjustRightInd w:val="0"/>
        <w:snapToGrid w:val="0"/>
        <w:rPr>
          <w:rFonts w:ascii="Arial" w:hAnsi="Arial" w:cs="Arial"/>
          <w:sz w:val="22"/>
          <w:szCs w:val="22"/>
          <w:lang w:val="fr-CA"/>
        </w:rPr>
      </w:pPr>
    </w:p>
    <w:p w14:paraId="68B7F9D0" w14:textId="77777777" w:rsidR="00974917" w:rsidRPr="004635B2" w:rsidRDefault="00974917" w:rsidP="0065103C">
      <w:pPr>
        <w:suppressLineNumbers/>
        <w:suppressAutoHyphens/>
        <w:adjustRightInd w:val="0"/>
        <w:snapToGrid w:val="0"/>
        <w:rPr>
          <w:rFonts w:ascii="Arial" w:hAnsi="Arial" w:cs="Arial"/>
          <w:b/>
          <w:bCs/>
          <w:sz w:val="22"/>
          <w:szCs w:val="22"/>
          <w:lang w:val="fr-CA"/>
        </w:rPr>
      </w:pPr>
    </w:p>
    <w:p w14:paraId="74F783AD" w14:textId="0EBBB74D" w:rsidR="00974917" w:rsidRPr="004635B2" w:rsidRDefault="00823C45" w:rsidP="00823C45">
      <w:pPr>
        <w:pStyle w:val="ListParagraph"/>
        <w:suppressLineNumbers/>
        <w:suppressAutoHyphens/>
        <w:adjustRightInd w:val="0"/>
        <w:snapToGrid w:val="0"/>
        <w:spacing w:after="160"/>
        <w:ind w:left="0"/>
        <w:rPr>
          <w:rFonts w:ascii="Arial" w:hAnsi="Arial" w:cs="Arial"/>
          <w:sz w:val="22"/>
          <w:szCs w:val="22"/>
          <w:highlight w:val="lightGray"/>
          <w:u w:val="single"/>
          <w:lang w:val="fr-CA"/>
        </w:rPr>
      </w:pPr>
      <w:r w:rsidRPr="004635B2">
        <w:rPr>
          <w:rFonts w:ascii="Arial" w:hAnsi="Arial" w:cs="Arial"/>
          <w:sz w:val="22"/>
          <w:szCs w:val="22"/>
          <w:lang w:val="fr-CA"/>
        </w:rPr>
        <w:t>b.</w:t>
      </w:r>
      <w:r w:rsidRPr="004635B2">
        <w:rPr>
          <w:rFonts w:ascii="Arial" w:hAnsi="Arial" w:cs="Arial"/>
          <w:sz w:val="22"/>
          <w:szCs w:val="22"/>
          <w:lang w:val="fr-CA"/>
        </w:rPr>
        <w:tab/>
      </w:r>
      <w:r w:rsidR="00974917" w:rsidRPr="004635B2">
        <w:rPr>
          <w:rFonts w:ascii="Arial" w:hAnsi="Arial" w:cs="Arial"/>
          <w:sz w:val="22"/>
          <w:szCs w:val="22"/>
          <w:u w:val="single"/>
          <w:lang w:val="fr-CA"/>
        </w:rPr>
        <w:t>Scénarios possibles</w:t>
      </w:r>
    </w:p>
    <w:p w14:paraId="25D62FD0" w14:textId="679B1079" w:rsidR="004E3781" w:rsidRPr="004635B2" w:rsidRDefault="00823C45"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66.</w:t>
      </w:r>
      <w:r w:rsidRPr="004635B2">
        <w:rPr>
          <w:rFonts w:ascii="Arial" w:hAnsi="Arial" w:cs="Arial"/>
          <w:sz w:val="22"/>
          <w:szCs w:val="22"/>
          <w:lang w:val="fr-CA"/>
        </w:rPr>
        <w:tab/>
      </w:r>
      <w:r w:rsidR="00974917" w:rsidRPr="004635B2">
        <w:rPr>
          <w:rFonts w:ascii="Arial" w:hAnsi="Arial" w:cs="Arial"/>
          <w:sz w:val="22"/>
          <w:szCs w:val="22"/>
          <w:lang w:val="fr-CA"/>
        </w:rPr>
        <w:t xml:space="preserve">L'objectif des travaux menés par l'équipe d'experts </w:t>
      </w:r>
      <w:r w:rsidR="004E3781" w:rsidRPr="004635B2">
        <w:rPr>
          <w:rFonts w:ascii="Arial" w:hAnsi="Arial" w:cs="Arial"/>
          <w:sz w:val="22"/>
          <w:szCs w:val="22"/>
          <w:lang w:val="fr-CA"/>
        </w:rPr>
        <w:t>était</w:t>
      </w:r>
      <w:r w:rsidR="00974917" w:rsidRPr="004635B2">
        <w:rPr>
          <w:rFonts w:ascii="Arial" w:hAnsi="Arial" w:cs="Arial"/>
          <w:sz w:val="22"/>
          <w:szCs w:val="22"/>
          <w:lang w:val="fr-CA"/>
        </w:rPr>
        <w:t xml:space="preserve"> de recueillir les besoins de financement de toutes les Parties à la CDB </w:t>
      </w:r>
      <w:r w:rsidR="004E3781" w:rsidRPr="004635B2">
        <w:rPr>
          <w:rFonts w:ascii="Arial" w:hAnsi="Arial" w:cs="Arial"/>
          <w:sz w:val="22"/>
          <w:szCs w:val="22"/>
          <w:lang w:val="fr-CA"/>
        </w:rPr>
        <w:t>admissibles</w:t>
      </w:r>
      <w:r w:rsidR="00974917" w:rsidRPr="004635B2">
        <w:rPr>
          <w:rFonts w:ascii="Arial" w:hAnsi="Arial" w:cs="Arial"/>
          <w:sz w:val="22"/>
          <w:szCs w:val="22"/>
          <w:lang w:val="fr-CA"/>
        </w:rPr>
        <w:t xml:space="preserve"> au FEM afin de rece</w:t>
      </w:r>
      <w:r w:rsidR="00077974">
        <w:rPr>
          <w:rFonts w:ascii="Arial" w:hAnsi="Arial" w:cs="Arial"/>
          <w:sz w:val="22"/>
          <w:szCs w:val="22"/>
          <w:lang w:val="fr-CA"/>
        </w:rPr>
        <w:t>nser les besoins globaux pour la</w:t>
      </w:r>
      <w:r w:rsidR="00974917" w:rsidRPr="004635B2">
        <w:rPr>
          <w:rFonts w:ascii="Arial" w:hAnsi="Arial" w:cs="Arial"/>
          <w:sz w:val="22"/>
          <w:szCs w:val="22"/>
          <w:lang w:val="fr-CA"/>
        </w:rPr>
        <w:t xml:space="preserve"> FEM-8. Si toutes les Parties répondent au questionnaire, celui-ci servira de base à l'analyse. </w:t>
      </w:r>
    </w:p>
    <w:p w14:paraId="65A567E7" w14:textId="77777777" w:rsidR="004E3781" w:rsidRPr="004635B2" w:rsidRDefault="004E3781" w:rsidP="00823C45">
      <w:pPr>
        <w:suppressLineNumbers/>
        <w:suppressAutoHyphens/>
        <w:adjustRightInd w:val="0"/>
        <w:snapToGrid w:val="0"/>
        <w:rPr>
          <w:rFonts w:ascii="Arial" w:hAnsi="Arial" w:cs="Arial"/>
          <w:sz w:val="22"/>
          <w:szCs w:val="22"/>
          <w:lang w:val="fr-CA"/>
        </w:rPr>
      </w:pPr>
    </w:p>
    <w:p w14:paraId="5683791C" w14:textId="6CEADED5" w:rsidR="00974917" w:rsidRPr="004635B2" w:rsidRDefault="004E3781"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67.</w:t>
      </w:r>
      <w:r w:rsidRPr="004635B2">
        <w:rPr>
          <w:rFonts w:ascii="Arial" w:hAnsi="Arial" w:cs="Arial"/>
          <w:sz w:val="22"/>
          <w:szCs w:val="22"/>
          <w:lang w:val="fr-CA"/>
        </w:rPr>
        <w:tab/>
      </w:r>
      <w:r w:rsidR="00974917" w:rsidRPr="004635B2">
        <w:rPr>
          <w:rFonts w:ascii="Arial" w:hAnsi="Arial" w:cs="Arial"/>
          <w:sz w:val="22"/>
          <w:szCs w:val="22"/>
          <w:lang w:val="fr-CA"/>
        </w:rPr>
        <w:t>Toutefois, puisqu</w:t>
      </w:r>
      <w:r w:rsidRPr="004635B2">
        <w:rPr>
          <w:rFonts w:ascii="Arial" w:hAnsi="Arial" w:cs="Arial"/>
          <w:sz w:val="22"/>
          <w:szCs w:val="22"/>
          <w:lang w:val="fr-CA"/>
        </w:rPr>
        <w:t xml:space="preserve">e </w:t>
      </w:r>
      <w:r w:rsidR="00974917" w:rsidRPr="004635B2">
        <w:rPr>
          <w:rFonts w:ascii="Arial" w:hAnsi="Arial" w:cs="Arial"/>
          <w:sz w:val="22"/>
          <w:szCs w:val="22"/>
          <w:lang w:val="fr-CA"/>
        </w:rPr>
        <w:t xml:space="preserve">toutes les Parties </w:t>
      </w:r>
      <w:r w:rsidRPr="004635B2">
        <w:rPr>
          <w:rFonts w:ascii="Arial" w:hAnsi="Arial" w:cs="Arial"/>
          <w:sz w:val="22"/>
          <w:szCs w:val="22"/>
          <w:lang w:val="fr-CA"/>
        </w:rPr>
        <w:t>n’ont pas soumis</w:t>
      </w:r>
      <w:r w:rsidR="00974917" w:rsidRPr="004635B2">
        <w:rPr>
          <w:rFonts w:ascii="Arial" w:hAnsi="Arial" w:cs="Arial"/>
          <w:sz w:val="22"/>
          <w:szCs w:val="22"/>
          <w:lang w:val="fr-CA"/>
        </w:rPr>
        <w:t xml:space="preserve"> ces données, différents scénarios </w:t>
      </w:r>
      <w:r w:rsidRPr="004635B2">
        <w:rPr>
          <w:rFonts w:ascii="Arial" w:hAnsi="Arial" w:cs="Arial"/>
          <w:sz w:val="22"/>
          <w:szCs w:val="22"/>
          <w:lang w:val="fr-CA"/>
        </w:rPr>
        <w:t>ont été</w:t>
      </w:r>
      <w:r w:rsidR="00974917" w:rsidRPr="004635B2">
        <w:rPr>
          <w:rFonts w:ascii="Arial" w:hAnsi="Arial" w:cs="Arial"/>
          <w:sz w:val="22"/>
          <w:szCs w:val="22"/>
          <w:lang w:val="fr-CA"/>
        </w:rPr>
        <w:t xml:space="preserve"> utilisés pour extrapoler les données à partir des sources existantes et définir les bes</w:t>
      </w:r>
      <w:r w:rsidR="00077974">
        <w:rPr>
          <w:rFonts w:ascii="Arial" w:hAnsi="Arial" w:cs="Arial"/>
          <w:sz w:val="22"/>
          <w:szCs w:val="22"/>
          <w:lang w:val="fr-CA"/>
        </w:rPr>
        <w:t>oins de financement pour la</w:t>
      </w:r>
      <w:r w:rsidR="00974917" w:rsidRPr="004635B2">
        <w:rPr>
          <w:rFonts w:ascii="Arial" w:hAnsi="Arial" w:cs="Arial"/>
          <w:sz w:val="22"/>
          <w:szCs w:val="22"/>
          <w:lang w:val="fr-CA"/>
        </w:rPr>
        <w:t xml:space="preserve"> FEM-8. Ainsi, sur la base des données fournies </w:t>
      </w:r>
      <w:r w:rsidR="00DF0694">
        <w:rPr>
          <w:rFonts w:ascii="Arial" w:hAnsi="Arial" w:cs="Arial"/>
          <w:sz w:val="22"/>
          <w:szCs w:val="22"/>
          <w:lang w:val="fr-CA"/>
        </w:rPr>
        <w:t>dans</w:t>
      </w:r>
      <w:r w:rsidR="00974917" w:rsidRPr="004635B2">
        <w:rPr>
          <w:rFonts w:ascii="Arial" w:hAnsi="Arial" w:cs="Arial"/>
          <w:sz w:val="22"/>
          <w:szCs w:val="22"/>
          <w:lang w:val="fr-CA"/>
        </w:rPr>
        <w:t xml:space="preserve"> les réponses au questionnaire, ainsi que des informations provenant des montants précédemment alloués par le programme STAR du FEM pour la biodiversité, </w:t>
      </w:r>
      <w:r w:rsidRPr="004635B2">
        <w:rPr>
          <w:rFonts w:ascii="Arial" w:hAnsi="Arial" w:cs="Arial"/>
          <w:sz w:val="22"/>
          <w:szCs w:val="22"/>
          <w:lang w:val="fr-CA"/>
        </w:rPr>
        <w:t xml:space="preserve">au moins trois scénarios ont été utilisés </w:t>
      </w:r>
      <w:r w:rsidR="00974917" w:rsidRPr="004635B2">
        <w:rPr>
          <w:rFonts w:ascii="Arial" w:hAnsi="Arial" w:cs="Arial"/>
          <w:sz w:val="22"/>
          <w:szCs w:val="22"/>
          <w:lang w:val="fr-CA"/>
        </w:rPr>
        <w:t>pour prévoir le montant total estimé pour l</w:t>
      </w:r>
      <w:r w:rsidR="00077974">
        <w:rPr>
          <w:rFonts w:ascii="Arial" w:hAnsi="Arial" w:cs="Arial"/>
          <w:sz w:val="22"/>
          <w:szCs w:val="22"/>
          <w:lang w:val="fr-CA"/>
        </w:rPr>
        <w:t>a</w:t>
      </w:r>
      <w:r w:rsidR="00974917" w:rsidRPr="004635B2">
        <w:rPr>
          <w:rFonts w:ascii="Arial" w:hAnsi="Arial" w:cs="Arial"/>
          <w:sz w:val="22"/>
          <w:szCs w:val="22"/>
          <w:lang w:val="fr-CA"/>
        </w:rPr>
        <w:t xml:space="preserve"> FEM-8. </w:t>
      </w:r>
      <w:r w:rsidRPr="004635B2">
        <w:rPr>
          <w:rFonts w:ascii="Arial" w:hAnsi="Arial" w:cs="Arial"/>
          <w:sz w:val="22"/>
          <w:szCs w:val="22"/>
          <w:lang w:val="fr-CA"/>
        </w:rPr>
        <w:t>L’</w:t>
      </w:r>
      <w:r w:rsidR="00974917" w:rsidRPr="004635B2">
        <w:rPr>
          <w:rFonts w:ascii="Arial" w:hAnsi="Arial" w:cs="Arial"/>
          <w:sz w:val="22"/>
          <w:szCs w:val="22"/>
          <w:lang w:val="fr-CA"/>
        </w:rPr>
        <w:t>équipe</w:t>
      </w:r>
      <w:r w:rsidRPr="004635B2">
        <w:rPr>
          <w:rFonts w:ascii="Arial" w:hAnsi="Arial" w:cs="Arial"/>
          <w:sz w:val="22"/>
          <w:szCs w:val="22"/>
          <w:lang w:val="fr-CA"/>
        </w:rPr>
        <w:t xml:space="preserve"> d'experts présente ci-dessous trois</w:t>
      </w:r>
      <w:r w:rsidR="00974917" w:rsidRPr="004635B2">
        <w:rPr>
          <w:rFonts w:ascii="Arial" w:hAnsi="Arial" w:cs="Arial"/>
          <w:sz w:val="22"/>
          <w:szCs w:val="22"/>
          <w:lang w:val="fr-CA"/>
        </w:rPr>
        <w:t> scénarios possibles pour estimer le montant tot</w:t>
      </w:r>
      <w:r w:rsidR="00077974">
        <w:rPr>
          <w:rFonts w:ascii="Arial" w:hAnsi="Arial" w:cs="Arial"/>
          <w:sz w:val="22"/>
          <w:szCs w:val="22"/>
          <w:lang w:val="fr-CA"/>
        </w:rPr>
        <w:t>al des fonds nécessaires pour la</w:t>
      </w:r>
      <w:r w:rsidR="00974917" w:rsidRPr="004635B2">
        <w:rPr>
          <w:rFonts w:ascii="Arial" w:hAnsi="Arial" w:cs="Arial"/>
          <w:sz w:val="22"/>
          <w:szCs w:val="22"/>
          <w:lang w:val="fr-CA"/>
        </w:rPr>
        <w:t xml:space="preserve"> FEM-8.</w:t>
      </w:r>
      <w:r w:rsidRPr="004635B2">
        <w:rPr>
          <w:rFonts w:ascii="Arial" w:hAnsi="Arial" w:cs="Arial"/>
          <w:sz w:val="22"/>
          <w:szCs w:val="22"/>
          <w:lang w:val="fr-CA"/>
        </w:rPr>
        <w:t xml:space="preserve"> </w:t>
      </w:r>
      <w:r w:rsidR="00795FA7" w:rsidRPr="004635B2">
        <w:rPr>
          <w:rFonts w:ascii="Arial" w:hAnsi="Arial" w:cs="Arial"/>
          <w:sz w:val="22"/>
          <w:szCs w:val="22"/>
          <w:lang w:val="fr-CA"/>
        </w:rPr>
        <w:t>L’estimation</w:t>
      </w:r>
      <w:r w:rsidRPr="004635B2">
        <w:rPr>
          <w:rFonts w:ascii="Arial" w:hAnsi="Arial" w:cs="Arial"/>
          <w:sz w:val="22"/>
          <w:szCs w:val="22"/>
          <w:lang w:val="fr-CA"/>
        </w:rPr>
        <w:t xml:space="preserve"> la plus faible (scénario 2) n</w:t>
      </w:r>
      <w:r w:rsidR="00795FA7" w:rsidRPr="004635B2">
        <w:rPr>
          <w:rFonts w:ascii="Arial" w:hAnsi="Arial" w:cs="Arial"/>
          <w:sz w:val="22"/>
          <w:szCs w:val="22"/>
          <w:lang w:val="fr-CA"/>
        </w:rPr>
        <w:t>e se prête pas bien aux circonstances actuelles, car elle ne t</w:t>
      </w:r>
      <w:r w:rsidR="005B0818">
        <w:rPr>
          <w:rFonts w:ascii="Arial" w:hAnsi="Arial" w:cs="Arial"/>
          <w:sz w:val="22"/>
          <w:szCs w:val="22"/>
          <w:lang w:val="fr-CA"/>
        </w:rPr>
        <w:t>ient pas compte du fait que le C</w:t>
      </w:r>
      <w:r w:rsidR="00795FA7" w:rsidRPr="004635B2">
        <w:rPr>
          <w:rFonts w:ascii="Arial" w:hAnsi="Arial" w:cs="Arial"/>
          <w:sz w:val="22"/>
          <w:szCs w:val="22"/>
          <w:lang w:val="fr-CA"/>
        </w:rPr>
        <w:t>adre mondial de la biodiversité pour l'après-2020 est présentement en cours de négo</w:t>
      </w:r>
      <w:r w:rsidR="00077974">
        <w:rPr>
          <w:rFonts w:ascii="Arial" w:hAnsi="Arial" w:cs="Arial"/>
          <w:sz w:val="22"/>
          <w:szCs w:val="22"/>
          <w:lang w:val="fr-CA"/>
        </w:rPr>
        <w:t>ciation et que le financement de la</w:t>
      </w:r>
      <w:r w:rsidR="00795FA7" w:rsidRPr="004635B2">
        <w:rPr>
          <w:rFonts w:ascii="Arial" w:hAnsi="Arial" w:cs="Arial"/>
          <w:sz w:val="22"/>
          <w:szCs w:val="22"/>
          <w:lang w:val="fr-CA"/>
        </w:rPr>
        <w:t xml:space="preserve"> FEM-8 s’appliquerait à cette stratégie ambitieuse.</w:t>
      </w:r>
    </w:p>
    <w:p w14:paraId="7B224730" w14:textId="77777777" w:rsidR="00795FA7" w:rsidRPr="004635B2" w:rsidRDefault="00795FA7" w:rsidP="00823C45">
      <w:pPr>
        <w:suppressLineNumbers/>
        <w:suppressAutoHyphens/>
        <w:adjustRightInd w:val="0"/>
        <w:snapToGrid w:val="0"/>
        <w:rPr>
          <w:rFonts w:ascii="Arial" w:hAnsi="Arial" w:cs="Arial"/>
          <w:sz w:val="22"/>
          <w:szCs w:val="22"/>
          <w:lang w:val="fr-CA"/>
        </w:rPr>
      </w:pPr>
    </w:p>
    <w:p w14:paraId="6D11F5BE" w14:textId="77A70EF9" w:rsidR="00795FA7" w:rsidRPr="004635B2" w:rsidRDefault="00795FA7"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68.</w:t>
      </w:r>
      <w:r w:rsidRPr="004635B2">
        <w:rPr>
          <w:rFonts w:ascii="Arial" w:hAnsi="Arial" w:cs="Arial"/>
          <w:sz w:val="22"/>
          <w:szCs w:val="22"/>
          <w:lang w:val="fr-CA"/>
        </w:rPr>
        <w:tab/>
        <w:t>L’</w:t>
      </w:r>
      <w:r w:rsidR="00077974">
        <w:rPr>
          <w:rFonts w:ascii="Arial" w:hAnsi="Arial" w:cs="Arial"/>
          <w:sz w:val="22"/>
          <w:szCs w:val="22"/>
          <w:lang w:val="fr-CA"/>
        </w:rPr>
        <w:t>équipe d’experts a aussi analysé</w:t>
      </w:r>
      <w:r w:rsidRPr="004635B2">
        <w:rPr>
          <w:rFonts w:ascii="Arial" w:hAnsi="Arial" w:cs="Arial"/>
          <w:sz w:val="22"/>
          <w:szCs w:val="22"/>
          <w:lang w:val="fr-CA"/>
        </w:rPr>
        <w:t xml:space="preserve"> plusieurs rapports nationaux proposés à la CDB,</w:t>
      </w:r>
      <w:r w:rsidR="00DA78C7" w:rsidRPr="004635B2">
        <w:rPr>
          <w:rFonts w:ascii="Arial" w:hAnsi="Arial" w:cs="Arial"/>
          <w:sz w:val="22"/>
          <w:szCs w:val="22"/>
          <w:lang w:val="fr-CA"/>
        </w:rPr>
        <w:t xml:space="preserve"> comme indiqué dans la partie 3</w:t>
      </w:r>
      <w:r w:rsidRPr="004635B2">
        <w:rPr>
          <w:rFonts w:ascii="Arial" w:hAnsi="Arial" w:cs="Arial"/>
          <w:sz w:val="22"/>
          <w:szCs w:val="22"/>
          <w:lang w:val="fr-CA"/>
        </w:rPr>
        <w:t xml:space="preserve"> ci-dessus, mais la plupart des données</w:t>
      </w:r>
      <w:r w:rsidR="00DA78C7" w:rsidRPr="004635B2">
        <w:rPr>
          <w:rFonts w:ascii="Arial" w:hAnsi="Arial" w:cs="Arial"/>
          <w:sz w:val="22"/>
          <w:szCs w:val="22"/>
          <w:lang w:val="fr-CA"/>
        </w:rPr>
        <w:t xml:space="preserve"> représentaient les dépenses actuelles ou une estimation des besoins afin d’atteindre les cibles nationales au cours de la période 2010-2020 du plan stratégique de la CDB. Il n’a pas été possible d’extrapoler les besoins de financement pour 2022-2026 à partir de ces données.</w:t>
      </w:r>
    </w:p>
    <w:p w14:paraId="0CCA0B5B" w14:textId="77777777" w:rsidR="00974917" w:rsidRPr="004635B2" w:rsidRDefault="00974917" w:rsidP="00823C45">
      <w:pPr>
        <w:suppressLineNumbers/>
        <w:suppressAutoHyphens/>
        <w:adjustRightInd w:val="0"/>
        <w:snapToGrid w:val="0"/>
        <w:rPr>
          <w:rFonts w:ascii="Arial" w:hAnsi="Arial" w:cs="Arial"/>
          <w:b/>
          <w:bCs/>
          <w:sz w:val="22"/>
          <w:szCs w:val="22"/>
          <w:lang w:val="fr-CA"/>
        </w:rPr>
      </w:pPr>
    </w:p>
    <w:p w14:paraId="3E224FEA" w14:textId="52678ADA" w:rsidR="00974917" w:rsidRPr="004635B2" w:rsidRDefault="00974917" w:rsidP="00823C45">
      <w:pPr>
        <w:suppressLineNumbers/>
        <w:suppressAutoHyphens/>
        <w:adjustRightInd w:val="0"/>
        <w:snapToGrid w:val="0"/>
        <w:rPr>
          <w:rFonts w:ascii="Arial" w:hAnsi="Arial" w:cs="Arial"/>
          <w:b/>
          <w:sz w:val="22"/>
          <w:szCs w:val="22"/>
          <w:lang w:val="fr-CA"/>
        </w:rPr>
      </w:pPr>
      <w:r w:rsidRPr="004635B2">
        <w:rPr>
          <w:rFonts w:ascii="Arial" w:hAnsi="Arial" w:cs="Arial"/>
          <w:b/>
          <w:sz w:val="22"/>
          <w:szCs w:val="22"/>
          <w:u w:val="single"/>
          <w:lang w:val="fr-CA"/>
        </w:rPr>
        <w:t>Scénario 1</w:t>
      </w:r>
      <w:r w:rsidRPr="004635B2">
        <w:rPr>
          <w:rFonts w:ascii="Arial" w:hAnsi="Arial" w:cs="Arial"/>
          <w:b/>
          <w:sz w:val="22"/>
          <w:szCs w:val="22"/>
          <w:lang w:val="fr-CA"/>
        </w:rPr>
        <w:t> :</w:t>
      </w:r>
      <w:r w:rsidRPr="00077974">
        <w:rPr>
          <w:rFonts w:ascii="Arial" w:hAnsi="Arial" w:cs="Arial"/>
          <w:b/>
          <w:sz w:val="22"/>
          <w:szCs w:val="22"/>
          <w:lang w:val="fr-CA"/>
        </w:rPr>
        <w:t xml:space="preserve"> </w:t>
      </w:r>
      <w:r w:rsidR="00DA78C7" w:rsidRPr="004635B2">
        <w:rPr>
          <w:rFonts w:ascii="Arial" w:hAnsi="Arial" w:cs="Arial"/>
          <w:b/>
          <w:sz w:val="22"/>
          <w:szCs w:val="22"/>
          <w:lang w:val="fr-CA"/>
        </w:rPr>
        <w:t>E</w:t>
      </w:r>
      <w:r w:rsidRPr="004635B2">
        <w:rPr>
          <w:rFonts w:ascii="Arial" w:hAnsi="Arial" w:cs="Arial"/>
          <w:b/>
          <w:sz w:val="22"/>
          <w:szCs w:val="22"/>
          <w:lang w:val="fr-CA"/>
        </w:rPr>
        <w:t>stimation basée sur les réponses au questionnaire et application d'un multiplicateur à l'allocation du programme STAR du FEM-7 pour la biodiversité</w:t>
      </w:r>
    </w:p>
    <w:p w14:paraId="4560A424" w14:textId="77777777" w:rsidR="00974917" w:rsidRPr="004635B2" w:rsidRDefault="00974917" w:rsidP="00823C45">
      <w:pPr>
        <w:suppressLineNumbers/>
        <w:suppressAutoHyphens/>
        <w:adjustRightInd w:val="0"/>
        <w:snapToGrid w:val="0"/>
        <w:rPr>
          <w:rFonts w:ascii="Arial" w:hAnsi="Arial" w:cs="Arial"/>
          <w:sz w:val="22"/>
          <w:szCs w:val="22"/>
          <w:lang w:val="fr-CA"/>
        </w:rPr>
      </w:pPr>
    </w:p>
    <w:p w14:paraId="2785D4A4" w14:textId="3E4F6989" w:rsidR="00974917" w:rsidRPr="004635B2" w:rsidRDefault="00DA78C7"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69.</w:t>
      </w:r>
      <w:r w:rsidRPr="004635B2">
        <w:rPr>
          <w:rFonts w:ascii="Arial" w:hAnsi="Arial" w:cs="Arial"/>
          <w:sz w:val="22"/>
          <w:szCs w:val="22"/>
          <w:lang w:val="fr-CA"/>
        </w:rPr>
        <w:tab/>
      </w:r>
      <w:r w:rsidR="00974917" w:rsidRPr="004635B2">
        <w:rPr>
          <w:rFonts w:ascii="Arial" w:hAnsi="Arial" w:cs="Arial"/>
          <w:sz w:val="22"/>
          <w:szCs w:val="22"/>
          <w:lang w:val="fr-CA"/>
        </w:rPr>
        <w:t>Nous avons utilisé les données des Parties qui ont répondu au questionnaire (</w:t>
      </w:r>
      <w:r w:rsidR="00D555F2" w:rsidRPr="004635B2">
        <w:rPr>
          <w:rFonts w:ascii="Arial" w:hAnsi="Arial" w:cs="Arial"/>
          <w:sz w:val="22"/>
          <w:szCs w:val="22"/>
          <w:lang w:val="fr-CA"/>
        </w:rPr>
        <w:t>44</w:t>
      </w:r>
      <w:r w:rsidR="00974917" w:rsidRPr="004635B2">
        <w:rPr>
          <w:rFonts w:ascii="Arial" w:hAnsi="Arial" w:cs="Arial"/>
          <w:sz w:val="22"/>
          <w:szCs w:val="22"/>
          <w:lang w:val="fr-CA"/>
        </w:rPr>
        <w:t xml:space="preserve"> à ce jour) pour les</w:t>
      </w:r>
      <w:r w:rsidR="00077974">
        <w:rPr>
          <w:rFonts w:ascii="Arial" w:hAnsi="Arial" w:cs="Arial"/>
          <w:sz w:val="22"/>
          <w:szCs w:val="22"/>
          <w:lang w:val="fr-CA"/>
        </w:rPr>
        <w:t xml:space="preserve"> comparer à l'allocation STAR de la</w:t>
      </w:r>
      <w:r w:rsidR="00974917" w:rsidRPr="004635B2">
        <w:rPr>
          <w:rFonts w:ascii="Arial" w:hAnsi="Arial" w:cs="Arial"/>
          <w:sz w:val="22"/>
          <w:szCs w:val="22"/>
          <w:lang w:val="fr-CA"/>
        </w:rPr>
        <w:t xml:space="preserve"> FEM-7 pour la biodiversité (n'incluant pas</w:t>
      </w:r>
      <w:r w:rsidR="00077974">
        <w:rPr>
          <w:rFonts w:ascii="Arial" w:hAnsi="Arial" w:cs="Arial"/>
          <w:sz w:val="22"/>
          <w:szCs w:val="22"/>
          <w:lang w:val="fr-CA"/>
        </w:rPr>
        <w:t xml:space="preserve"> le financement</w:t>
      </w:r>
      <w:r w:rsidR="00974917" w:rsidRPr="004635B2">
        <w:rPr>
          <w:rFonts w:ascii="Arial" w:hAnsi="Arial" w:cs="Arial"/>
          <w:sz w:val="22"/>
          <w:szCs w:val="22"/>
          <w:lang w:val="fr-CA"/>
        </w:rPr>
        <w:t xml:space="preserve"> des programmes à impact ou les allocations STAR des autres domaines qui ont pu inclure des résultats relatifs à la biodiversité). Le pourcentage d'augmentation (ou de diminu</w:t>
      </w:r>
      <w:r w:rsidR="00077974">
        <w:rPr>
          <w:rFonts w:ascii="Arial" w:hAnsi="Arial" w:cs="Arial"/>
          <w:sz w:val="22"/>
          <w:szCs w:val="22"/>
          <w:lang w:val="fr-CA"/>
        </w:rPr>
        <w:t>tion) entre l'allocation STAR de la</w:t>
      </w:r>
      <w:r w:rsidR="00974917" w:rsidRPr="004635B2">
        <w:rPr>
          <w:rFonts w:ascii="Arial" w:hAnsi="Arial" w:cs="Arial"/>
          <w:sz w:val="22"/>
          <w:szCs w:val="22"/>
          <w:lang w:val="fr-CA"/>
        </w:rPr>
        <w:t xml:space="preserve"> FEM-7 pour la biodiversité et le montant du questionnaire a été calculé. La moyenne de ces pourcentages a été calculée</w:t>
      </w:r>
      <w:r w:rsidR="00D555F2" w:rsidRPr="004635B2">
        <w:rPr>
          <w:rFonts w:ascii="Arial" w:hAnsi="Arial" w:cs="Arial"/>
          <w:sz w:val="22"/>
          <w:szCs w:val="22"/>
          <w:lang w:val="fr-CA"/>
        </w:rPr>
        <w:t xml:space="preserve"> pour obtenir un multiplicateur</w:t>
      </w:r>
      <w:r w:rsidR="00974917" w:rsidRPr="004635B2">
        <w:rPr>
          <w:rFonts w:ascii="Arial" w:hAnsi="Arial" w:cs="Arial"/>
          <w:sz w:val="22"/>
          <w:szCs w:val="22"/>
          <w:lang w:val="fr-CA"/>
        </w:rPr>
        <w:t>. L'application de ce chiffre au montant total de l'allocation STAR d</w:t>
      </w:r>
      <w:r w:rsidR="00B25FDD">
        <w:rPr>
          <w:rFonts w:ascii="Arial" w:hAnsi="Arial" w:cs="Arial"/>
          <w:sz w:val="22"/>
          <w:szCs w:val="22"/>
          <w:lang w:val="fr-CA"/>
        </w:rPr>
        <w:t>e la</w:t>
      </w:r>
      <w:r w:rsidR="00974917" w:rsidRPr="004635B2">
        <w:rPr>
          <w:rFonts w:ascii="Arial" w:hAnsi="Arial" w:cs="Arial"/>
          <w:sz w:val="22"/>
          <w:szCs w:val="22"/>
          <w:lang w:val="fr-CA"/>
        </w:rPr>
        <w:t xml:space="preserve"> FEM-7 pour la biodiversité peut fournir un moyen d'estimer les besoi</w:t>
      </w:r>
      <w:r w:rsidR="00B25FDD">
        <w:rPr>
          <w:rFonts w:ascii="Arial" w:hAnsi="Arial" w:cs="Arial"/>
          <w:sz w:val="22"/>
          <w:szCs w:val="22"/>
          <w:lang w:val="fr-CA"/>
        </w:rPr>
        <w:t>ns de financement de la</w:t>
      </w:r>
      <w:r w:rsidR="00974917" w:rsidRPr="004635B2">
        <w:rPr>
          <w:rFonts w:ascii="Arial" w:hAnsi="Arial" w:cs="Arial"/>
          <w:sz w:val="22"/>
          <w:szCs w:val="22"/>
          <w:lang w:val="fr-CA"/>
        </w:rPr>
        <w:t xml:space="preserve"> FEM-8. Plus le nombre de réponses au questionnaire est élevé, plus ce chiffre multiplicateur est précis.</w:t>
      </w:r>
    </w:p>
    <w:p w14:paraId="42103491" w14:textId="77777777" w:rsidR="00D555F2" w:rsidRPr="004635B2" w:rsidRDefault="00D555F2" w:rsidP="00823C45">
      <w:pPr>
        <w:suppressLineNumbers/>
        <w:suppressAutoHyphens/>
        <w:adjustRightInd w:val="0"/>
        <w:snapToGrid w:val="0"/>
        <w:rPr>
          <w:rFonts w:ascii="Arial" w:hAnsi="Arial" w:cs="Arial"/>
          <w:sz w:val="22"/>
          <w:szCs w:val="22"/>
          <w:lang w:val="fr-CA"/>
        </w:rPr>
      </w:pPr>
    </w:p>
    <w:p w14:paraId="02BD7825" w14:textId="048ABA7F" w:rsidR="00D555F2" w:rsidRPr="004635B2" w:rsidRDefault="00D555F2"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70.</w:t>
      </w:r>
      <w:r w:rsidRPr="004635B2">
        <w:rPr>
          <w:rFonts w:ascii="Arial" w:hAnsi="Arial" w:cs="Arial"/>
          <w:sz w:val="22"/>
          <w:szCs w:val="22"/>
          <w:lang w:val="fr-CA"/>
        </w:rPr>
        <w:tab/>
        <w:t xml:space="preserve">La somme </w:t>
      </w:r>
      <w:r w:rsidR="00B25FDD">
        <w:rPr>
          <w:rFonts w:ascii="Arial" w:hAnsi="Arial" w:cs="Arial"/>
          <w:sz w:val="22"/>
          <w:szCs w:val="22"/>
          <w:lang w:val="fr-CA"/>
        </w:rPr>
        <w:t>totale</w:t>
      </w:r>
      <w:r w:rsidRPr="004635B2">
        <w:rPr>
          <w:rFonts w:ascii="Arial" w:hAnsi="Arial" w:cs="Arial"/>
          <w:sz w:val="22"/>
          <w:szCs w:val="22"/>
          <w:lang w:val="fr-CA"/>
        </w:rPr>
        <w:t xml:space="preserve"> demandée au FEM dans le questionnaire </w:t>
      </w:r>
      <w:r w:rsidR="0074226E" w:rsidRPr="004635B2">
        <w:rPr>
          <w:rFonts w:ascii="Arial" w:hAnsi="Arial" w:cs="Arial"/>
          <w:sz w:val="22"/>
          <w:szCs w:val="22"/>
          <w:lang w:val="fr-CA"/>
        </w:rPr>
        <w:t xml:space="preserve">par les 44 pays </w:t>
      </w:r>
      <w:r w:rsidRPr="004635B2">
        <w:rPr>
          <w:rFonts w:ascii="Arial" w:hAnsi="Arial" w:cs="Arial"/>
          <w:sz w:val="22"/>
          <w:szCs w:val="22"/>
          <w:lang w:val="fr-CA"/>
        </w:rPr>
        <w:t xml:space="preserve">était de 1,311 milliard </w:t>
      </w:r>
      <w:r w:rsidR="00B25FDD">
        <w:rPr>
          <w:rFonts w:ascii="Arial" w:hAnsi="Arial" w:cs="Arial"/>
          <w:sz w:val="22"/>
          <w:szCs w:val="22"/>
          <w:lang w:val="fr-CA"/>
        </w:rPr>
        <w:t>$US</w:t>
      </w:r>
      <w:r w:rsidR="0074226E" w:rsidRPr="004635B2">
        <w:rPr>
          <w:rFonts w:ascii="Arial" w:hAnsi="Arial" w:cs="Arial"/>
          <w:sz w:val="22"/>
          <w:szCs w:val="22"/>
          <w:lang w:val="fr-CA"/>
        </w:rPr>
        <w:t xml:space="preserve"> pour 210 projets. La somme totale de 417 millions $US a été allouée au titre des allocations STAR d</w:t>
      </w:r>
      <w:r w:rsidR="00B25FDD">
        <w:rPr>
          <w:rFonts w:ascii="Arial" w:hAnsi="Arial" w:cs="Arial"/>
          <w:sz w:val="22"/>
          <w:szCs w:val="22"/>
          <w:lang w:val="fr-CA"/>
        </w:rPr>
        <w:t>e la</w:t>
      </w:r>
      <w:r w:rsidR="0074226E" w:rsidRPr="004635B2">
        <w:rPr>
          <w:rFonts w:ascii="Arial" w:hAnsi="Arial" w:cs="Arial"/>
          <w:sz w:val="22"/>
          <w:szCs w:val="22"/>
          <w:lang w:val="fr-CA"/>
        </w:rPr>
        <w:t xml:space="preserve"> FEM-7. La comparaison de l’allocation</w:t>
      </w:r>
      <w:r w:rsidR="00B25FDD">
        <w:rPr>
          <w:rFonts w:ascii="Arial" w:hAnsi="Arial" w:cs="Arial"/>
          <w:sz w:val="22"/>
          <w:szCs w:val="22"/>
          <w:lang w:val="fr-CA"/>
        </w:rPr>
        <w:t xml:space="preserve"> STAR à la somme demandée au FEM</w:t>
      </w:r>
      <w:r w:rsidR="0074226E" w:rsidRPr="004635B2">
        <w:rPr>
          <w:rFonts w:ascii="Arial" w:hAnsi="Arial" w:cs="Arial"/>
          <w:sz w:val="22"/>
          <w:szCs w:val="22"/>
          <w:lang w:val="fr-CA"/>
        </w:rPr>
        <w:t xml:space="preserve"> représente une augmentation en pourcentage </w:t>
      </w:r>
      <w:r w:rsidR="006E0AAB" w:rsidRPr="004635B2">
        <w:rPr>
          <w:rFonts w:ascii="Arial" w:hAnsi="Arial" w:cs="Arial"/>
          <w:sz w:val="22"/>
          <w:szCs w:val="22"/>
          <w:lang w:val="fr-CA"/>
        </w:rPr>
        <w:t>de 215 pour cent.</w:t>
      </w:r>
    </w:p>
    <w:p w14:paraId="0EDF8886" w14:textId="77777777" w:rsidR="006E0AAB" w:rsidRPr="004635B2" w:rsidRDefault="006E0AAB" w:rsidP="00823C45">
      <w:pPr>
        <w:suppressLineNumbers/>
        <w:suppressAutoHyphens/>
        <w:adjustRightInd w:val="0"/>
        <w:snapToGrid w:val="0"/>
        <w:rPr>
          <w:rFonts w:ascii="Arial" w:hAnsi="Arial" w:cs="Arial"/>
          <w:sz w:val="22"/>
          <w:szCs w:val="22"/>
          <w:lang w:val="fr-CA"/>
        </w:rPr>
      </w:pPr>
    </w:p>
    <w:p w14:paraId="7FF44771" w14:textId="6CFB460B" w:rsidR="006E0AAB" w:rsidRPr="004635B2" w:rsidRDefault="006E0AAB"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71.</w:t>
      </w:r>
      <w:r w:rsidRPr="004635B2">
        <w:rPr>
          <w:rFonts w:ascii="Arial" w:hAnsi="Arial" w:cs="Arial"/>
          <w:sz w:val="22"/>
          <w:szCs w:val="22"/>
          <w:lang w:val="fr-CA"/>
        </w:rPr>
        <w:tab/>
        <w:t>Nous avons multiplié l’allocation STAR pour les pays n’ayant pas fourni d’estimation (101 pays) par ce pourcentage et conservé les estimations p</w:t>
      </w:r>
      <w:r w:rsidR="00B25FDD">
        <w:rPr>
          <w:rFonts w:ascii="Arial" w:hAnsi="Arial" w:cs="Arial"/>
          <w:sz w:val="22"/>
          <w:szCs w:val="22"/>
          <w:lang w:val="fr-CA"/>
        </w:rPr>
        <w:t>rovenant des questionnaires (44 </w:t>
      </w:r>
      <w:r w:rsidRPr="004635B2">
        <w:rPr>
          <w:rFonts w:ascii="Arial" w:hAnsi="Arial" w:cs="Arial"/>
          <w:sz w:val="22"/>
          <w:szCs w:val="22"/>
          <w:lang w:val="fr-CA"/>
        </w:rPr>
        <w:t xml:space="preserve">pays). Nous avons additionné toutes les prévisions pour les 145 pays </w:t>
      </w:r>
      <w:r w:rsidR="00B25FDD">
        <w:rPr>
          <w:rFonts w:ascii="Arial" w:hAnsi="Arial" w:cs="Arial"/>
          <w:sz w:val="22"/>
          <w:szCs w:val="22"/>
          <w:lang w:val="fr-CA"/>
        </w:rPr>
        <w:t xml:space="preserve">afin d’obtenir une prévision </w:t>
      </w:r>
      <w:r w:rsidRPr="004635B2">
        <w:rPr>
          <w:rFonts w:ascii="Arial" w:hAnsi="Arial" w:cs="Arial"/>
          <w:sz w:val="22"/>
          <w:szCs w:val="22"/>
          <w:lang w:val="fr-CA"/>
        </w:rPr>
        <w:t xml:space="preserve">totale </w:t>
      </w:r>
      <w:r w:rsidR="00B25FDD">
        <w:rPr>
          <w:rFonts w:ascii="Arial" w:hAnsi="Arial" w:cs="Arial"/>
          <w:sz w:val="22"/>
          <w:szCs w:val="22"/>
          <w:lang w:val="fr-CA"/>
        </w:rPr>
        <w:t xml:space="preserve">des besoins de financement prévus pour la </w:t>
      </w:r>
      <w:r w:rsidRPr="004635B2">
        <w:rPr>
          <w:rFonts w:ascii="Arial" w:hAnsi="Arial" w:cs="Arial"/>
          <w:sz w:val="22"/>
          <w:szCs w:val="22"/>
          <w:lang w:val="fr-CA"/>
        </w:rPr>
        <w:t>FEM-8 de 2,7 milliards $US.</w:t>
      </w:r>
    </w:p>
    <w:p w14:paraId="543B7011" w14:textId="77777777" w:rsidR="00974917" w:rsidRPr="004635B2" w:rsidRDefault="00974917" w:rsidP="00823C45">
      <w:pPr>
        <w:suppressLineNumbers/>
        <w:suppressAutoHyphens/>
        <w:adjustRightInd w:val="0"/>
        <w:snapToGrid w:val="0"/>
        <w:rPr>
          <w:rFonts w:ascii="Arial" w:hAnsi="Arial" w:cs="Arial"/>
          <w:b/>
          <w:bCs/>
          <w:sz w:val="22"/>
          <w:szCs w:val="22"/>
          <w:lang w:val="fr-CA"/>
        </w:rPr>
      </w:pPr>
    </w:p>
    <w:p w14:paraId="074729E0" w14:textId="1FB67110" w:rsidR="00974917" w:rsidRPr="004635B2" w:rsidRDefault="00974917" w:rsidP="00823C45">
      <w:pPr>
        <w:suppressLineNumbers/>
        <w:suppressAutoHyphens/>
        <w:adjustRightInd w:val="0"/>
        <w:snapToGrid w:val="0"/>
        <w:rPr>
          <w:rFonts w:ascii="Arial" w:hAnsi="Arial" w:cs="Arial"/>
          <w:b/>
          <w:sz w:val="22"/>
          <w:szCs w:val="22"/>
          <w:lang w:val="fr-CA"/>
        </w:rPr>
      </w:pPr>
      <w:r w:rsidRPr="00D32152">
        <w:rPr>
          <w:rFonts w:ascii="Arial" w:hAnsi="Arial" w:cs="Arial"/>
          <w:b/>
          <w:sz w:val="22"/>
          <w:szCs w:val="22"/>
          <w:u w:val="single"/>
          <w:lang w:val="fr-CA"/>
        </w:rPr>
        <w:t>Scénario 2</w:t>
      </w:r>
      <w:r w:rsidRPr="00D32152">
        <w:rPr>
          <w:rFonts w:ascii="Arial" w:hAnsi="Arial" w:cs="Arial"/>
          <w:b/>
          <w:sz w:val="22"/>
          <w:szCs w:val="22"/>
          <w:lang w:val="fr-CA"/>
        </w:rPr>
        <w:t xml:space="preserve"> </w:t>
      </w:r>
      <w:r w:rsidR="006E0AAB" w:rsidRPr="004635B2">
        <w:rPr>
          <w:rFonts w:ascii="Arial" w:hAnsi="Arial" w:cs="Arial"/>
          <w:b/>
          <w:sz w:val="22"/>
          <w:szCs w:val="22"/>
          <w:lang w:val="fr-CA"/>
        </w:rPr>
        <w:t>: E</w:t>
      </w:r>
      <w:r w:rsidRPr="004635B2">
        <w:rPr>
          <w:rFonts w:ascii="Arial" w:hAnsi="Arial" w:cs="Arial"/>
          <w:b/>
          <w:sz w:val="22"/>
          <w:szCs w:val="22"/>
          <w:lang w:val="fr-CA"/>
        </w:rPr>
        <w:t>stimatio</w:t>
      </w:r>
      <w:r w:rsidR="00B25FDD">
        <w:rPr>
          <w:rFonts w:ascii="Arial" w:hAnsi="Arial" w:cs="Arial"/>
          <w:b/>
          <w:sz w:val="22"/>
          <w:szCs w:val="22"/>
          <w:lang w:val="fr-CA"/>
        </w:rPr>
        <w:t>n basée sur l'allocation STAR de la FEM-6 et de la</w:t>
      </w:r>
      <w:r w:rsidRPr="004635B2">
        <w:rPr>
          <w:rFonts w:ascii="Arial" w:hAnsi="Arial" w:cs="Arial"/>
          <w:b/>
          <w:sz w:val="22"/>
          <w:szCs w:val="22"/>
          <w:lang w:val="fr-CA"/>
        </w:rPr>
        <w:t xml:space="preserve"> FEM-7 pour la biodiversité</w:t>
      </w:r>
    </w:p>
    <w:p w14:paraId="501E26DA" w14:textId="77777777" w:rsidR="00974917" w:rsidRPr="004635B2" w:rsidRDefault="00974917" w:rsidP="00823C45">
      <w:pPr>
        <w:suppressLineNumbers/>
        <w:suppressAutoHyphens/>
        <w:adjustRightInd w:val="0"/>
        <w:snapToGrid w:val="0"/>
        <w:rPr>
          <w:rFonts w:ascii="Arial" w:hAnsi="Arial" w:cs="Arial"/>
          <w:sz w:val="22"/>
          <w:szCs w:val="22"/>
          <w:lang w:val="fr-CA"/>
        </w:rPr>
      </w:pPr>
    </w:p>
    <w:p w14:paraId="2FC5670B" w14:textId="2E387B2A" w:rsidR="00974917" w:rsidRPr="004635B2" w:rsidRDefault="00E12DCD"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72.</w:t>
      </w:r>
      <w:r w:rsidRPr="004635B2">
        <w:rPr>
          <w:rFonts w:ascii="Arial" w:hAnsi="Arial" w:cs="Arial"/>
          <w:sz w:val="22"/>
          <w:szCs w:val="22"/>
          <w:lang w:val="fr-CA"/>
        </w:rPr>
        <w:tab/>
      </w:r>
      <w:r w:rsidR="00974917" w:rsidRPr="004635B2">
        <w:rPr>
          <w:rFonts w:ascii="Arial" w:hAnsi="Arial" w:cs="Arial"/>
          <w:sz w:val="22"/>
          <w:szCs w:val="22"/>
          <w:lang w:val="fr-CA"/>
        </w:rPr>
        <w:t>En calculant la v</w:t>
      </w:r>
      <w:r w:rsidR="00B25FDD">
        <w:rPr>
          <w:rFonts w:ascii="Arial" w:hAnsi="Arial" w:cs="Arial"/>
          <w:sz w:val="22"/>
          <w:szCs w:val="22"/>
          <w:lang w:val="fr-CA"/>
        </w:rPr>
        <w:t>ariation en pourcentage entre la FEM-6</w:t>
      </w:r>
      <w:r w:rsidR="00974917" w:rsidRPr="004635B2">
        <w:rPr>
          <w:rFonts w:ascii="Arial" w:hAnsi="Arial" w:cs="Arial"/>
          <w:sz w:val="22"/>
          <w:szCs w:val="22"/>
          <w:lang w:val="fr-CA"/>
        </w:rPr>
        <w:t xml:space="preserve"> et l</w:t>
      </w:r>
      <w:r w:rsidR="00B25FDD">
        <w:rPr>
          <w:rFonts w:ascii="Arial" w:hAnsi="Arial" w:cs="Arial"/>
          <w:sz w:val="22"/>
          <w:szCs w:val="22"/>
          <w:lang w:val="fr-CA"/>
        </w:rPr>
        <w:t>a FEM-</w:t>
      </w:r>
      <w:r w:rsidR="00974917" w:rsidRPr="004635B2">
        <w:rPr>
          <w:rFonts w:ascii="Arial" w:hAnsi="Arial" w:cs="Arial"/>
          <w:sz w:val="22"/>
          <w:szCs w:val="22"/>
          <w:lang w:val="fr-CA"/>
        </w:rPr>
        <w:t>7 pour chacun des 144 pays bénéficiant de l'allocation STAR (biodiversité) et en faisant la moyenne de ce pourcentage sur le total, nous obtenons une augmentation moyenne de 14 </w:t>
      </w:r>
      <w:r w:rsidRPr="004635B2">
        <w:rPr>
          <w:rFonts w:ascii="Arial" w:hAnsi="Arial" w:cs="Arial"/>
          <w:sz w:val="22"/>
          <w:szCs w:val="22"/>
          <w:lang w:val="fr-CA"/>
        </w:rPr>
        <w:t>pour cent</w:t>
      </w:r>
      <w:r w:rsidR="00974917" w:rsidRPr="004635B2">
        <w:rPr>
          <w:rFonts w:ascii="Arial" w:hAnsi="Arial" w:cs="Arial"/>
          <w:sz w:val="22"/>
          <w:szCs w:val="22"/>
          <w:lang w:val="fr-CA"/>
        </w:rPr>
        <w:t xml:space="preserve"> </w:t>
      </w:r>
      <w:r w:rsidR="00B25FDD">
        <w:rPr>
          <w:rFonts w:ascii="Arial" w:hAnsi="Arial" w:cs="Arial"/>
          <w:sz w:val="22"/>
          <w:szCs w:val="22"/>
          <w:lang w:val="fr-CA"/>
        </w:rPr>
        <w:t>pour l’ensemble des</w:t>
      </w:r>
      <w:r w:rsidR="00974917" w:rsidRPr="004635B2">
        <w:rPr>
          <w:rFonts w:ascii="Arial" w:hAnsi="Arial" w:cs="Arial"/>
          <w:sz w:val="22"/>
          <w:szCs w:val="22"/>
          <w:lang w:val="fr-CA"/>
        </w:rPr>
        <w:t xml:space="preserve"> Parties. Ce multiplicateur pourrait alors être utilisé de deux façons : a) pour calculer simplement une variation peu ambitieuse au même niveau pour l</w:t>
      </w:r>
      <w:r w:rsidR="004D58D2">
        <w:rPr>
          <w:rFonts w:ascii="Arial" w:hAnsi="Arial" w:cs="Arial"/>
          <w:sz w:val="22"/>
          <w:szCs w:val="22"/>
          <w:lang w:val="fr-CA"/>
        </w:rPr>
        <w:t>a</w:t>
      </w:r>
      <w:r w:rsidR="00974917" w:rsidRPr="004635B2">
        <w:rPr>
          <w:rFonts w:ascii="Arial" w:hAnsi="Arial" w:cs="Arial"/>
          <w:sz w:val="22"/>
          <w:szCs w:val="22"/>
          <w:lang w:val="fr-CA"/>
        </w:rPr>
        <w:t xml:space="preserve"> FEM-8, ou b) en doublant ce multiplicateur pour obtenir une estimation plus ambitieuse.</w:t>
      </w:r>
      <w:r w:rsidRPr="004635B2">
        <w:rPr>
          <w:rFonts w:ascii="Arial" w:hAnsi="Arial" w:cs="Arial"/>
          <w:sz w:val="22"/>
          <w:szCs w:val="22"/>
          <w:lang w:val="fr-CA"/>
        </w:rPr>
        <w:t xml:space="preserve"> La solution de doubler le multiplicateur a été examinée dans le contexte de</w:t>
      </w:r>
      <w:r w:rsidR="00071402" w:rsidRPr="004635B2">
        <w:rPr>
          <w:rFonts w:ascii="Arial" w:hAnsi="Arial" w:cs="Arial"/>
          <w:sz w:val="22"/>
          <w:szCs w:val="22"/>
          <w:lang w:val="fr-CA"/>
        </w:rPr>
        <w:t>s échanges antérieurs et actuel</w:t>
      </w:r>
      <w:r w:rsidRPr="004635B2">
        <w:rPr>
          <w:rFonts w:ascii="Arial" w:hAnsi="Arial" w:cs="Arial"/>
          <w:sz w:val="22"/>
          <w:szCs w:val="22"/>
          <w:lang w:val="fr-CA"/>
        </w:rPr>
        <w:t>s sur la mobilisation des ressources au sein de la CDB.</w:t>
      </w:r>
      <w:r w:rsidR="00071402" w:rsidRPr="004635B2">
        <w:rPr>
          <w:rFonts w:ascii="Arial" w:hAnsi="Arial" w:cs="Arial"/>
          <w:sz w:val="22"/>
          <w:szCs w:val="22"/>
          <w:lang w:val="fr-CA"/>
        </w:rPr>
        <w:t xml:space="preserve"> </w:t>
      </w:r>
      <w:r w:rsidRPr="004635B2">
        <w:rPr>
          <w:rFonts w:ascii="Arial" w:hAnsi="Arial" w:cs="Arial"/>
          <w:sz w:val="22"/>
          <w:szCs w:val="22"/>
          <w:lang w:val="fr-CA"/>
        </w:rPr>
        <w:t xml:space="preserve">À la onzième réunion de la Conférence </w:t>
      </w:r>
      <w:r w:rsidR="00071402" w:rsidRPr="004635B2">
        <w:rPr>
          <w:rFonts w:ascii="Arial" w:hAnsi="Arial" w:cs="Arial"/>
          <w:sz w:val="22"/>
          <w:szCs w:val="22"/>
          <w:lang w:val="fr-CA"/>
        </w:rPr>
        <w:t>des Partie</w:t>
      </w:r>
      <w:r w:rsidRPr="004635B2">
        <w:rPr>
          <w:rFonts w:ascii="Arial" w:hAnsi="Arial" w:cs="Arial"/>
          <w:sz w:val="22"/>
          <w:szCs w:val="22"/>
          <w:lang w:val="fr-CA"/>
        </w:rPr>
        <w:t>s</w:t>
      </w:r>
      <w:r w:rsidR="004D58D2">
        <w:rPr>
          <w:rFonts w:ascii="Arial" w:hAnsi="Arial" w:cs="Arial"/>
          <w:sz w:val="22"/>
          <w:szCs w:val="22"/>
          <w:lang w:val="fr-CA"/>
        </w:rPr>
        <w:t>,</w:t>
      </w:r>
      <w:r w:rsidRPr="004635B2">
        <w:rPr>
          <w:rFonts w:ascii="Arial" w:hAnsi="Arial" w:cs="Arial"/>
          <w:sz w:val="22"/>
          <w:szCs w:val="22"/>
          <w:lang w:val="fr-CA"/>
        </w:rPr>
        <w:t xml:space="preserve"> les Parties sont convenues de doubler les flux financiers internationaux afin de mettre en œuvre la Plan stratégique national de 2010 et ses Objectifs d’Aichi. </w:t>
      </w:r>
      <w:r w:rsidR="00071402" w:rsidRPr="004635B2">
        <w:rPr>
          <w:rFonts w:ascii="Arial" w:hAnsi="Arial" w:cs="Arial"/>
          <w:sz w:val="22"/>
          <w:szCs w:val="22"/>
          <w:lang w:val="fr-CA"/>
        </w:rPr>
        <w:t>Dans le contexte des négociations actuelles sur la mobilisation des ressources (Objectif 19), les réflexions des coprésidents à l’issue de la première session de la troisième réunion du Groupe de travail sur le cadre mondial de la biodiversité pour l'après-2020</w:t>
      </w:r>
      <w:r w:rsidR="00071402" w:rsidRPr="004635B2">
        <w:rPr>
          <w:rStyle w:val="FootnoteReference"/>
          <w:rFonts w:ascii="Arial" w:hAnsi="Arial" w:cs="Arial"/>
          <w:u w:val="none"/>
          <w:vertAlign w:val="superscript"/>
          <w:lang w:val="fr-CA"/>
        </w:rPr>
        <w:footnoteReference w:id="15"/>
      </w:r>
      <w:r w:rsidR="00071402" w:rsidRPr="004635B2">
        <w:rPr>
          <w:rFonts w:ascii="Arial" w:hAnsi="Arial" w:cs="Arial"/>
          <w:sz w:val="22"/>
          <w:szCs w:val="22"/>
          <w:lang w:val="fr-CA"/>
        </w:rPr>
        <w:t xml:space="preserve"> soulignent que l’augmentation proposée de 10 milliards de dollars des flux financiers internationaux représente le double du soutien accordé aux pays en développement.</w:t>
      </w:r>
    </w:p>
    <w:p w14:paraId="445387F5" w14:textId="77777777" w:rsidR="009C6FD0" w:rsidRPr="004635B2" w:rsidRDefault="009C6FD0" w:rsidP="00823C45">
      <w:pPr>
        <w:suppressLineNumbers/>
        <w:suppressAutoHyphens/>
        <w:adjustRightInd w:val="0"/>
        <w:snapToGrid w:val="0"/>
        <w:rPr>
          <w:rFonts w:ascii="Arial" w:hAnsi="Arial" w:cs="Arial"/>
          <w:sz w:val="22"/>
          <w:szCs w:val="22"/>
          <w:lang w:val="fr-CA"/>
        </w:rPr>
      </w:pPr>
    </w:p>
    <w:p w14:paraId="5393A9EE" w14:textId="2D12E770" w:rsidR="009C6FD0" w:rsidRPr="004635B2" w:rsidRDefault="009C6FD0"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73.</w:t>
      </w:r>
      <w:r w:rsidRPr="004635B2">
        <w:rPr>
          <w:rFonts w:ascii="Arial" w:hAnsi="Arial" w:cs="Arial"/>
          <w:sz w:val="22"/>
          <w:szCs w:val="22"/>
          <w:lang w:val="fr-CA"/>
        </w:rPr>
        <w:tab/>
        <w:t>Ainsi, en appliquant les multiplicateurs aux 1,292 milliard $US alloués au domaine d’intervention de</w:t>
      </w:r>
      <w:r w:rsidR="004D58D2">
        <w:rPr>
          <w:rFonts w:ascii="Arial" w:hAnsi="Arial" w:cs="Arial"/>
          <w:sz w:val="22"/>
          <w:szCs w:val="22"/>
          <w:lang w:val="fr-CA"/>
        </w:rPr>
        <w:t xml:space="preserve"> la diversité biologique pour la</w:t>
      </w:r>
      <w:r w:rsidRPr="004635B2">
        <w:rPr>
          <w:rFonts w:ascii="Arial" w:hAnsi="Arial" w:cs="Arial"/>
          <w:sz w:val="22"/>
          <w:szCs w:val="22"/>
          <w:lang w:val="fr-CA"/>
        </w:rPr>
        <w:t xml:space="preserve"> FEM-7,</w:t>
      </w:r>
      <w:r w:rsidR="00A8062C" w:rsidRPr="004635B2">
        <w:rPr>
          <w:rStyle w:val="FootnoteReference"/>
          <w:rFonts w:ascii="Arial" w:hAnsi="Arial" w:cs="Arial"/>
          <w:u w:val="none"/>
          <w:vertAlign w:val="superscript"/>
          <w:lang w:val="fr-CA"/>
        </w:rPr>
        <w:footnoteReference w:id="16"/>
      </w:r>
      <w:r w:rsidR="004D58D2">
        <w:rPr>
          <w:rFonts w:ascii="Arial" w:hAnsi="Arial" w:cs="Arial"/>
          <w:sz w:val="22"/>
          <w:szCs w:val="22"/>
          <w:lang w:val="fr-CA"/>
        </w:rPr>
        <w:t xml:space="preserve"> l’augmentation entre la FEM-6 et la</w:t>
      </w:r>
      <w:r w:rsidRPr="004635B2">
        <w:rPr>
          <w:rFonts w:ascii="Arial" w:hAnsi="Arial" w:cs="Arial"/>
          <w:sz w:val="22"/>
          <w:szCs w:val="22"/>
          <w:lang w:val="fr-CA"/>
        </w:rPr>
        <w:t xml:space="preserve"> FEM-7 pour les 145 pays étudiés </w:t>
      </w:r>
      <w:r w:rsidR="004D58D2">
        <w:rPr>
          <w:rFonts w:ascii="Arial" w:hAnsi="Arial" w:cs="Arial"/>
          <w:sz w:val="22"/>
          <w:szCs w:val="22"/>
          <w:lang w:val="fr-CA"/>
        </w:rPr>
        <w:t>serait</w:t>
      </w:r>
      <w:r w:rsidRPr="004635B2">
        <w:rPr>
          <w:rFonts w:ascii="Arial" w:hAnsi="Arial" w:cs="Arial"/>
          <w:sz w:val="22"/>
          <w:szCs w:val="22"/>
          <w:lang w:val="fr-CA"/>
        </w:rPr>
        <w:t xml:space="preserve"> appliquée et</w:t>
      </w:r>
      <w:r w:rsidR="004D58D2">
        <w:rPr>
          <w:rFonts w:ascii="Arial" w:hAnsi="Arial" w:cs="Arial"/>
          <w:sz w:val="22"/>
          <w:szCs w:val="22"/>
          <w:lang w:val="fr-CA"/>
        </w:rPr>
        <w:t xml:space="preserve"> le financement anticipé pour la</w:t>
      </w:r>
      <w:r w:rsidRPr="004635B2">
        <w:rPr>
          <w:rFonts w:ascii="Arial" w:hAnsi="Arial" w:cs="Arial"/>
          <w:sz w:val="22"/>
          <w:szCs w:val="22"/>
          <w:lang w:val="fr-CA"/>
        </w:rPr>
        <w:t xml:space="preserve"> FEM-8 serait </w:t>
      </w:r>
      <w:r w:rsidR="00A8062C" w:rsidRPr="004635B2">
        <w:rPr>
          <w:rFonts w:ascii="Arial" w:hAnsi="Arial" w:cs="Arial"/>
          <w:sz w:val="22"/>
          <w:szCs w:val="22"/>
          <w:lang w:val="fr-CA"/>
        </w:rPr>
        <w:t xml:space="preserve">d’environ 1,5 milliard $US à 1,7 milliard $US. L’augmentation linéaire ne </w:t>
      </w:r>
      <w:r w:rsidR="005B0818">
        <w:rPr>
          <w:rFonts w:ascii="Arial" w:hAnsi="Arial" w:cs="Arial"/>
          <w:sz w:val="22"/>
          <w:szCs w:val="22"/>
          <w:lang w:val="fr-CA"/>
        </w:rPr>
        <w:t>tient pas compte du fait qu’un C</w:t>
      </w:r>
      <w:r w:rsidR="00A8062C" w:rsidRPr="004635B2">
        <w:rPr>
          <w:rFonts w:ascii="Arial" w:hAnsi="Arial" w:cs="Arial"/>
          <w:sz w:val="22"/>
          <w:szCs w:val="22"/>
          <w:lang w:val="fr-CA"/>
        </w:rPr>
        <w:t>adre mondial de la biodiversité pour l'après-2020 entièrement nouveau est en voie d’être négocié et que le financement d</w:t>
      </w:r>
      <w:r w:rsidR="004D58D2">
        <w:rPr>
          <w:rFonts w:ascii="Arial" w:hAnsi="Arial" w:cs="Arial"/>
          <w:sz w:val="22"/>
          <w:szCs w:val="22"/>
          <w:lang w:val="fr-CA"/>
        </w:rPr>
        <w:t>e la</w:t>
      </w:r>
      <w:r w:rsidR="00A8062C" w:rsidRPr="004635B2">
        <w:rPr>
          <w:rFonts w:ascii="Arial" w:hAnsi="Arial" w:cs="Arial"/>
          <w:sz w:val="22"/>
          <w:szCs w:val="22"/>
          <w:lang w:val="fr-CA"/>
        </w:rPr>
        <w:t xml:space="preserve"> FEM-8 doit s’appliquer à cette stratégie ambitieuse.</w:t>
      </w:r>
    </w:p>
    <w:p w14:paraId="430ECF69" w14:textId="77777777" w:rsidR="00974917" w:rsidRPr="004635B2" w:rsidRDefault="00974917" w:rsidP="00823C45">
      <w:pPr>
        <w:suppressLineNumbers/>
        <w:suppressAutoHyphens/>
        <w:adjustRightInd w:val="0"/>
        <w:snapToGrid w:val="0"/>
        <w:rPr>
          <w:rFonts w:ascii="Arial" w:hAnsi="Arial" w:cs="Arial"/>
          <w:b/>
          <w:bCs/>
          <w:sz w:val="22"/>
          <w:szCs w:val="22"/>
          <w:lang w:val="fr-CA"/>
        </w:rPr>
      </w:pPr>
    </w:p>
    <w:p w14:paraId="2A37D4C0" w14:textId="0769256A" w:rsidR="00974917" w:rsidRPr="004635B2" w:rsidRDefault="00974917" w:rsidP="00823C45">
      <w:pPr>
        <w:suppressLineNumbers/>
        <w:suppressAutoHyphens/>
        <w:adjustRightInd w:val="0"/>
        <w:snapToGrid w:val="0"/>
        <w:rPr>
          <w:rFonts w:ascii="Arial" w:hAnsi="Arial" w:cs="Arial"/>
          <w:b/>
          <w:sz w:val="22"/>
          <w:szCs w:val="22"/>
          <w:lang w:val="fr-CA"/>
        </w:rPr>
      </w:pPr>
      <w:r w:rsidRPr="004635B2">
        <w:rPr>
          <w:rFonts w:ascii="Arial" w:hAnsi="Arial" w:cs="Arial"/>
          <w:b/>
          <w:sz w:val="22"/>
          <w:szCs w:val="22"/>
          <w:u w:val="single"/>
          <w:lang w:val="fr-CA"/>
        </w:rPr>
        <w:t>Scénario 3</w:t>
      </w:r>
      <w:r w:rsidRPr="004635B2">
        <w:rPr>
          <w:rFonts w:ascii="Arial" w:hAnsi="Arial" w:cs="Arial"/>
          <w:b/>
          <w:sz w:val="22"/>
          <w:szCs w:val="22"/>
          <w:lang w:val="fr-CA"/>
        </w:rPr>
        <w:t xml:space="preserve"> :</w:t>
      </w:r>
      <w:r w:rsidR="00A8062C" w:rsidRPr="004635B2">
        <w:rPr>
          <w:rFonts w:ascii="Arial" w:hAnsi="Arial" w:cs="Arial"/>
          <w:b/>
          <w:sz w:val="22"/>
          <w:szCs w:val="22"/>
          <w:lang w:val="fr-CA"/>
        </w:rPr>
        <w:t xml:space="preserve"> E</w:t>
      </w:r>
      <w:r w:rsidRPr="004635B2">
        <w:rPr>
          <w:rFonts w:ascii="Arial" w:hAnsi="Arial" w:cs="Arial"/>
          <w:b/>
          <w:sz w:val="22"/>
          <w:szCs w:val="22"/>
          <w:lang w:val="fr-CA"/>
        </w:rPr>
        <w:t xml:space="preserve">stimation basée sur l'extrapolation des réponses aux questionnaires par rapport au nombre total de Parties </w:t>
      </w:r>
      <w:r w:rsidR="00A8062C" w:rsidRPr="004635B2">
        <w:rPr>
          <w:rFonts w:ascii="Arial" w:hAnsi="Arial" w:cs="Arial"/>
          <w:b/>
          <w:sz w:val="22"/>
          <w:szCs w:val="22"/>
          <w:lang w:val="fr-CA"/>
        </w:rPr>
        <w:t>admissibles</w:t>
      </w:r>
      <w:r w:rsidRPr="004635B2">
        <w:rPr>
          <w:rFonts w:ascii="Arial" w:hAnsi="Arial" w:cs="Arial"/>
          <w:b/>
          <w:sz w:val="22"/>
          <w:szCs w:val="22"/>
          <w:lang w:val="fr-CA"/>
        </w:rPr>
        <w:t xml:space="preserve"> au FEM à partir d'un modèle statistique</w:t>
      </w:r>
    </w:p>
    <w:p w14:paraId="3AE988EA" w14:textId="77777777" w:rsidR="00974917" w:rsidRPr="004635B2" w:rsidRDefault="00974917" w:rsidP="00823C45">
      <w:pPr>
        <w:suppressLineNumbers/>
        <w:suppressAutoHyphens/>
        <w:adjustRightInd w:val="0"/>
        <w:snapToGrid w:val="0"/>
        <w:rPr>
          <w:rFonts w:ascii="Arial" w:hAnsi="Arial" w:cs="Arial"/>
          <w:sz w:val="22"/>
          <w:szCs w:val="22"/>
          <w:lang w:val="fr-CA"/>
        </w:rPr>
      </w:pPr>
    </w:p>
    <w:p w14:paraId="50F21CAC" w14:textId="77777777" w:rsidR="000779DB" w:rsidRPr="004635B2" w:rsidRDefault="004138E7"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74.</w:t>
      </w:r>
      <w:r w:rsidRPr="004635B2">
        <w:rPr>
          <w:rFonts w:ascii="Arial" w:hAnsi="Arial" w:cs="Arial"/>
          <w:sz w:val="22"/>
          <w:szCs w:val="22"/>
          <w:lang w:val="fr-CA"/>
        </w:rPr>
        <w:tab/>
      </w:r>
      <w:r w:rsidR="00974917" w:rsidRPr="004635B2">
        <w:rPr>
          <w:rFonts w:ascii="Arial" w:hAnsi="Arial" w:cs="Arial"/>
          <w:sz w:val="22"/>
          <w:szCs w:val="22"/>
          <w:lang w:val="fr-CA"/>
        </w:rPr>
        <w:t xml:space="preserve">Dans ce </w:t>
      </w:r>
      <w:r w:rsidRPr="004635B2">
        <w:rPr>
          <w:rFonts w:ascii="Arial" w:hAnsi="Arial" w:cs="Arial"/>
          <w:sz w:val="22"/>
          <w:szCs w:val="22"/>
          <w:lang w:val="fr-CA"/>
        </w:rPr>
        <w:t>scénario</w:t>
      </w:r>
      <w:r w:rsidR="00974917" w:rsidRPr="004635B2">
        <w:rPr>
          <w:rFonts w:ascii="Arial" w:hAnsi="Arial" w:cs="Arial"/>
          <w:sz w:val="22"/>
          <w:szCs w:val="22"/>
          <w:lang w:val="fr-CA"/>
        </w:rPr>
        <w:t xml:space="preserve">, nous utilisons le montant des besoins déclarés dans le questionnaire </w:t>
      </w:r>
      <w:r w:rsidRPr="004635B2">
        <w:rPr>
          <w:rFonts w:ascii="Arial" w:hAnsi="Arial" w:cs="Arial"/>
          <w:sz w:val="22"/>
          <w:szCs w:val="22"/>
          <w:lang w:val="fr-CA"/>
        </w:rPr>
        <w:t>et c</w:t>
      </w:r>
      <w:r w:rsidR="000779DB" w:rsidRPr="004635B2">
        <w:rPr>
          <w:rFonts w:ascii="Arial" w:hAnsi="Arial" w:cs="Arial"/>
          <w:sz w:val="22"/>
          <w:szCs w:val="22"/>
          <w:lang w:val="fr-CA"/>
        </w:rPr>
        <w:t>i</w:t>
      </w:r>
      <w:r w:rsidRPr="004635B2">
        <w:rPr>
          <w:rFonts w:ascii="Arial" w:hAnsi="Arial" w:cs="Arial"/>
          <w:sz w:val="22"/>
          <w:szCs w:val="22"/>
          <w:lang w:val="fr-CA"/>
        </w:rPr>
        <w:t xml:space="preserve">nq caractéristiques de pays (le nombre d’espèces menacées en tant qu’indicateur de l’état de la biodiversité au pays, </w:t>
      </w:r>
      <w:r w:rsidR="00974917" w:rsidRPr="004635B2">
        <w:rPr>
          <w:rFonts w:ascii="Arial" w:hAnsi="Arial" w:cs="Arial"/>
          <w:sz w:val="22"/>
          <w:szCs w:val="22"/>
          <w:lang w:val="fr-CA"/>
        </w:rPr>
        <w:t xml:space="preserve">le produit intérieur brut (PIB) </w:t>
      </w:r>
      <w:r w:rsidR="000779DB" w:rsidRPr="004635B2">
        <w:rPr>
          <w:rFonts w:ascii="Arial" w:hAnsi="Arial" w:cs="Arial"/>
          <w:sz w:val="22"/>
          <w:szCs w:val="22"/>
          <w:lang w:val="fr-CA"/>
        </w:rPr>
        <w:t>et la densité de la populati</w:t>
      </w:r>
      <w:r w:rsidRPr="004635B2">
        <w:rPr>
          <w:rFonts w:ascii="Arial" w:hAnsi="Arial" w:cs="Arial"/>
          <w:sz w:val="22"/>
          <w:szCs w:val="22"/>
          <w:lang w:val="fr-CA"/>
        </w:rPr>
        <w:t>on pour représenter les pressions potentielles sur la biodiversité, et ainsi conna</w:t>
      </w:r>
      <w:r w:rsidR="000779DB" w:rsidRPr="004635B2">
        <w:rPr>
          <w:rFonts w:ascii="Arial" w:hAnsi="Arial" w:cs="Arial"/>
          <w:sz w:val="22"/>
          <w:szCs w:val="22"/>
          <w:lang w:val="fr-CA"/>
        </w:rPr>
        <w:t>ître les moteu</w:t>
      </w:r>
      <w:r w:rsidRPr="004635B2">
        <w:rPr>
          <w:rFonts w:ascii="Arial" w:hAnsi="Arial" w:cs="Arial"/>
          <w:sz w:val="22"/>
          <w:szCs w:val="22"/>
          <w:lang w:val="fr-CA"/>
        </w:rPr>
        <w:t xml:space="preserve">rs du financement demandé et la superficie des terres </w:t>
      </w:r>
      <w:r w:rsidR="000779DB" w:rsidRPr="004635B2">
        <w:rPr>
          <w:rFonts w:ascii="Arial" w:hAnsi="Arial" w:cs="Arial"/>
          <w:sz w:val="22"/>
          <w:szCs w:val="22"/>
          <w:lang w:val="fr-CA"/>
        </w:rPr>
        <w:t>à contr</w:t>
      </w:r>
      <w:r w:rsidRPr="004635B2">
        <w:rPr>
          <w:rFonts w:ascii="Arial" w:hAnsi="Arial" w:cs="Arial"/>
          <w:sz w:val="22"/>
          <w:szCs w:val="22"/>
          <w:lang w:val="fr-CA"/>
        </w:rPr>
        <w:t xml:space="preserve">ôler pour la taille du pays) </w:t>
      </w:r>
      <w:r w:rsidR="00974917" w:rsidRPr="004635B2">
        <w:rPr>
          <w:rFonts w:ascii="Arial" w:hAnsi="Arial" w:cs="Arial"/>
          <w:sz w:val="22"/>
          <w:szCs w:val="22"/>
          <w:lang w:val="fr-CA"/>
        </w:rPr>
        <w:t xml:space="preserve">pour chaque pays ayant déclaré des besoins </w:t>
      </w:r>
      <w:r w:rsidR="000779DB" w:rsidRPr="004635B2">
        <w:rPr>
          <w:rFonts w:ascii="Arial" w:hAnsi="Arial" w:cs="Arial"/>
          <w:sz w:val="22"/>
          <w:szCs w:val="22"/>
          <w:lang w:val="fr-CA"/>
        </w:rPr>
        <w:t>de financement du FEM</w:t>
      </w:r>
      <w:r w:rsidR="00974917" w:rsidRPr="004635B2">
        <w:rPr>
          <w:rFonts w:ascii="Arial" w:hAnsi="Arial" w:cs="Arial"/>
          <w:sz w:val="22"/>
          <w:szCs w:val="22"/>
          <w:lang w:val="fr-CA"/>
        </w:rPr>
        <w:t>.</w:t>
      </w:r>
      <w:r w:rsidR="000779DB" w:rsidRPr="004635B2">
        <w:rPr>
          <w:rStyle w:val="FootnoteReference"/>
          <w:rFonts w:ascii="Arial" w:hAnsi="Arial" w:cs="Arial"/>
          <w:u w:val="none"/>
          <w:vertAlign w:val="superscript"/>
          <w:lang w:val="fr-CA"/>
        </w:rPr>
        <w:footnoteReference w:id="17"/>
      </w:r>
      <w:r w:rsidR="00974917" w:rsidRPr="004635B2">
        <w:rPr>
          <w:rFonts w:ascii="Arial" w:hAnsi="Arial" w:cs="Arial"/>
          <w:sz w:val="22"/>
          <w:szCs w:val="22"/>
          <w:lang w:val="fr-CA"/>
        </w:rPr>
        <w:t xml:space="preserve"> Ce modèle fournit une relation statistique entre </w:t>
      </w:r>
      <w:r w:rsidR="000779DB" w:rsidRPr="004635B2">
        <w:rPr>
          <w:rFonts w:ascii="Arial" w:hAnsi="Arial" w:cs="Arial"/>
          <w:sz w:val="22"/>
          <w:szCs w:val="22"/>
          <w:lang w:val="fr-CA"/>
        </w:rPr>
        <w:t xml:space="preserve">les besoins de financement du FEM indiqués dans le questionnaire et les caractéristiques du pays. </w:t>
      </w:r>
      <w:r w:rsidR="00974917" w:rsidRPr="004635B2">
        <w:rPr>
          <w:rFonts w:ascii="Arial" w:hAnsi="Arial" w:cs="Arial"/>
          <w:sz w:val="22"/>
          <w:szCs w:val="22"/>
          <w:lang w:val="fr-CA"/>
        </w:rPr>
        <w:t xml:space="preserve">Nous </w:t>
      </w:r>
      <w:r w:rsidR="000779DB" w:rsidRPr="004635B2">
        <w:rPr>
          <w:rFonts w:ascii="Arial" w:hAnsi="Arial" w:cs="Arial"/>
          <w:sz w:val="22"/>
          <w:szCs w:val="22"/>
          <w:lang w:val="fr-CA"/>
        </w:rPr>
        <w:t>avons utilisé</w:t>
      </w:r>
      <w:r w:rsidR="00974917" w:rsidRPr="004635B2">
        <w:rPr>
          <w:rFonts w:ascii="Arial" w:hAnsi="Arial" w:cs="Arial"/>
          <w:sz w:val="22"/>
          <w:szCs w:val="22"/>
          <w:lang w:val="fr-CA"/>
        </w:rPr>
        <w:t xml:space="preserve"> ce modèle pour projeter les fonds sur toutes les autres Parties qui n'ont pas fait état de leurs besoins dans les questionnaires. </w:t>
      </w:r>
    </w:p>
    <w:p w14:paraId="65493673" w14:textId="77777777" w:rsidR="000779DB" w:rsidRPr="004635B2" w:rsidRDefault="000779DB" w:rsidP="00823C45">
      <w:pPr>
        <w:suppressLineNumbers/>
        <w:suppressAutoHyphens/>
        <w:adjustRightInd w:val="0"/>
        <w:snapToGrid w:val="0"/>
        <w:rPr>
          <w:rFonts w:ascii="Arial" w:hAnsi="Arial" w:cs="Arial"/>
          <w:sz w:val="22"/>
          <w:szCs w:val="22"/>
          <w:lang w:val="fr-CA"/>
        </w:rPr>
      </w:pPr>
    </w:p>
    <w:p w14:paraId="2C365792" w14:textId="323A0D90" w:rsidR="00974917" w:rsidRPr="004635B2" w:rsidRDefault="000779DB" w:rsidP="00823C45">
      <w:pPr>
        <w:suppressLineNumbers/>
        <w:suppressAutoHyphens/>
        <w:adjustRightInd w:val="0"/>
        <w:snapToGrid w:val="0"/>
        <w:rPr>
          <w:rFonts w:ascii="Arial" w:hAnsi="Arial" w:cs="Arial"/>
          <w:b/>
          <w:bCs/>
          <w:sz w:val="22"/>
          <w:szCs w:val="22"/>
          <w:lang w:val="fr-CA"/>
        </w:rPr>
      </w:pPr>
      <w:r w:rsidRPr="004635B2">
        <w:rPr>
          <w:rFonts w:ascii="Arial" w:hAnsi="Arial" w:cs="Arial"/>
          <w:sz w:val="22"/>
          <w:szCs w:val="22"/>
          <w:lang w:val="fr-CA"/>
        </w:rPr>
        <w:t>75.</w:t>
      </w:r>
      <w:r w:rsidRPr="004635B2">
        <w:rPr>
          <w:rFonts w:ascii="Arial" w:hAnsi="Arial" w:cs="Arial"/>
          <w:sz w:val="22"/>
          <w:szCs w:val="22"/>
          <w:lang w:val="fr-CA"/>
        </w:rPr>
        <w:tab/>
      </w:r>
      <w:r w:rsidR="00091E4C" w:rsidRPr="004635B2">
        <w:rPr>
          <w:rFonts w:ascii="Arial" w:hAnsi="Arial" w:cs="Arial"/>
          <w:sz w:val="22"/>
          <w:szCs w:val="22"/>
          <w:lang w:val="fr-CA"/>
        </w:rPr>
        <w:t>Ce modèle a réussi à expliquer 63 pour cent des variations du financement du FEM</w:t>
      </w:r>
      <w:r w:rsidR="00974917" w:rsidRPr="004635B2">
        <w:rPr>
          <w:rFonts w:ascii="Arial" w:hAnsi="Arial" w:cs="Arial"/>
          <w:sz w:val="22"/>
          <w:szCs w:val="22"/>
          <w:lang w:val="fr-CA"/>
        </w:rPr>
        <w:t xml:space="preserve"> </w:t>
      </w:r>
      <w:r w:rsidR="00091E4C" w:rsidRPr="004635B2">
        <w:rPr>
          <w:rFonts w:ascii="Arial" w:hAnsi="Arial" w:cs="Arial"/>
          <w:sz w:val="22"/>
          <w:szCs w:val="22"/>
          <w:lang w:val="fr-CA"/>
        </w:rPr>
        <w:t xml:space="preserve">et à prévoir les besoins en financement du FEM pour 139 pays. Il n’y avait pas suffisamment de données sur les caractéristiques de pays pour obtenir des projections pour le Congo, les Îles Cook, Nioué, </w:t>
      </w:r>
      <w:r w:rsidR="008068F6">
        <w:rPr>
          <w:rFonts w:ascii="Arial" w:hAnsi="Arial" w:cs="Arial"/>
          <w:sz w:val="22"/>
          <w:szCs w:val="22"/>
          <w:lang w:val="fr-CA"/>
        </w:rPr>
        <w:t xml:space="preserve">la République populaire démocratique de Corée, </w:t>
      </w:r>
      <w:r w:rsidR="00091E4C" w:rsidRPr="004635B2">
        <w:rPr>
          <w:rFonts w:ascii="Arial" w:hAnsi="Arial" w:cs="Arial"/>
          <w:sz w:val="22"/>
          <w:szCs w:val="22"/>
          <w:lang w:val="fr-CA"/>
        </w:rPr>
        <w:t>la Somalie, la Syrie</w:t>
      </w:r>
      <w:r w:rsidR="00FB3D76">
        <w:rPr>
          <w:rFonts w:ascii="Arial" w:hAnsi="Arial" w:cs="Arial"/>
          <w:sz w:val="22"/>
          <w:szCs w:val="22"/>
          <w:lang w:val="fr-CA"/>
        </w:rPr>
        <w:t xml:space="preserve"> et l</w:t>
      </w:r>
      <w:r w:rsidR="00091E4C" w:rsidRPr="004635B2">
        <w:rPr>
          <w:rFonts w:ascii="Arial" w:hAnsi="Arial" w:cs="Arial"/>
          <w:sz w:val="22"/>
          <w:szCs w:val="22"/>
          <w:lang w:val="fr-CA"/>
        </w:rPr>
        <w:t>e Soudan. La totali</w:t>
      </w:r>
      <w:r w:rsidR="00FB3D76">
        <w:rPr>
          <w:rFonts w:ascii="Arial" w:hAnsi="Arial" w:cs="Arial"/>
          <w:sz w:val="22"/>
          <w:szCs w:val="22"/>
          <w:lang w:val="fr-CA"/>
        </w:rPr>
        <w:t>té des besoins de financement de la FEM</w:t>
      </w:r>
      <w:r w:rsidR="00091E4C" w:rsidRPr="004635B2">
        <w:rPr>
          <w:rFonts w:ascii="Arial" w:hAnsi="Arial" w:cs="Arial"/>
          <w:sz w:val="22"/>
          <w:szCs w:val="22"/>
          <w:lang w:val="fr-CA"/>
        </w:rPr>
        <w:t>-8 pour les 13</w:t>
      </w:r>
      <w:r w:rsidR="002C786D">
        <w:rPr>
          <w:rFonts w:ascii="Arial" w:hAnsi="Arial" w:cs="Arial"/>
          <w:sz w:val="22"/>
          <w:szCs w:val="22"/>
          <w:lang w:val="fr-CA"/>
        </w:rPr>
        <w:t>8</w:t>
      </w:r>
      <w:r w:rsidR="00091E4C" w:rsidRPr="004635B2">
        <w:rPr>
          <w:rFonts w:ascii="Arial" w:hAnsi="Arial" w:cs="Arial"/>
          <w:sz w:val="22"/>
          <w:szCs w:val="22"/>
          <w:lang w:val="fr-CA"/>
        </w:rPr>
        <w:t xml:space="preserve"> pays était l’équivalent de 3,7 milliards $US.</w:t>
      </w:r>
    </w:p>
    <w:p w14:paraId="3BCA385B" w14:textId="77777777" w:rsidR="00974917" w:rsidRPr="004635B2" w:rsidRDefault="00974917" w:rsidP="00823C45">
      <w:pPr>
        <w:suppressLineNumbers/>
        <w:suppressAutoHyphens/>
        <w:adjustRightInd w:val="0"/>
        <w:snapToGrid w:val="0"/>
        <w:rPr>
          <w:rFonts w:ascii="Arial" w:hAnsi="Arial" w:cs="Arial"/>
          <w:b/>
          <w:bCs/>
          <w:sz w:val="22"/>
          <w:szCs w:val="22"/>
          <w:lang w:val="fr-CA"/>
        </w:rPr>
      </w:pPr>
    </w:p>
    <w:p w14:paraId="34725DBB" w14:textId="21FEE4DA" w:rsidR="00091E4C" w:rsidRPr="004635B2" w:rsidRDefault="0074785F" w:rsidP="00823C45">
      <w:pPr>
        <w:suppressLineNumbers/>
        <w:suppressAutoHyphens/>
        <w:adjustRightInd w:val="0"/>
        <w:snapToGrid w:val="0"/>
        <w:rPr>
          <w:rFonts w:ascii="Arial" w:hAnsi="Arial" w:cs="Arial"/>
          <w:sz w:val="22"/>
          <w:szCs w:val="22"/>
          <w:u w:val="single"/>
          <w:lang w:val="fr-CA"/>
        </w:rPr>
      </w:pPr>
      <w:r w:rsidRPr="004635B2">
        <w:rPr>
          <w:rFonts w:asciiTheme="minorBidi" w:hAnsiTheme="minorBidi" w:cstheme="minorBidi"/>
          <w:noProof/>
          <w:lang w:val="en-CA" w:eastAsia="en-CA"/>
        </w:rPr>
        <w:drawing>
          <wp:inline distT="0" distB="0" distL="0" distR="0" wp14:anchorId="4A9E3884" wp14:editId="32EAF812">
            <wp:extent cx="5699205" cy="4428682"/>
            <wp:effectExtent l="38100" t="0" r="34925" b="863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1534" cy="4461574"/>
                    </a:xfrm>
                    <a:prstGeom prst="rect">
                      <a:avLst/>
                    </a:prstGeom>
                    <a:ln>
                      <a:noFill/>
                    </a:ln>
                    <a:effectLst>
                      <a:outerShdw blurRad="50800" dist="50800" dir="5400000" algn="ctr" rotWithShape="0">
                        <a:srgbClr val="00B0F0"/>
                      </a:outerShdw>
                      <a:softEdge rad="112500"/>
                    </a:effectLst>
                  </pic:spPr>
                </pic:pic>
              </a:graphicData>
            </a:graphic>
          </wp:inline>
        </w:drawing>
      </w:r>
    </w:p>
    <w:p w14:paraId="2282AFBE" w14:textId="3F178487" w:rsidR="00091E4C" w:rsidRPr="004635B2" w:rsidRDefault="0074785F"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Figure 1 : Résumé des scénarios</w:t>
      </w:r>
    </w:p>
    <w:p w14:paraId="0A9CD994" w14:textId="77777777" w:rsidR="00091E4C" w:rsidRPr="004635B2" w:rsidRDefault="00091E4C" w:rsidP="00823C45">
      <w:pPr>
        <w:suppressLineNumbers/>
        <w:suppressAutoHyphens/>
        <w:adjustRightInd w:val="0"/>
        <w:snapToGrid w:val="0"/>
        <w:rPr>
          <w:rFonts w:ascii="Arial" w:hAnsi="Arial" w:cs="Arial"/>
          <w:sz w:val="22"/>
          <w:szCs w:val="22"/>
          <w:u w:val="single"/>
          <w:lang w:val="fr-CA"/>
        </w:rPr>
      </w:pPr>
    </w:p>
    <w:p w14:paraId="57E0DD5D" w14:textId="0444152D" w:rsidR="00974917" w:rsidRPr="004635B2" w:rsidRDefault="0074785F" w:rsidP="00823C45">
      <w:pPr>
        <w:suppressLineNumbers/>
        <w:suppressAutoHyphens/>
        <w:adjustRightInd w:val="0"/>
        <w:snapToGrid w:val="0"/>
        <w:rPr>
          <w:rFonts w:ascii="Arial" w:hAnsi="Arial" w:cs="Arial"/>
          <w:b/>
          <w:sz w:val="22"/>
          <w:szCs w:val="22"/>
          <w:lang w:val="fr-CA"/>
        </w:rPr>
      </w:pPr>
      <w:r w:rsidRPr="004635B2">
        <w:rPr>
          <w:rFonts w:ascii="Arial" w:hAnsi="Arial" w:cs="Arial"/>
          <w:b/>
          <w:sz w:val="22"/>
          <w:szCs w:val="22"/>
          <w:lang w:val="fr-CA"/>
        </w:rPr>
        <w:t>7.</w:t>
      </w:r>
      <w:r w:rsidRPr="004635B2">
        <w:rPr>
          <w:rFonts w:ascii="Arial" w:hAnsi="Arial" w:cs="Arial"/>
          <w:b/>
          <w:sz w:val="22"/>
          <w:szCs w:val="22"/>
          <w:lang w:val="fr-CA"/>
        </w:rPr>
        <w:tab/>
      </w:r>
      <w:r w:rsidR="00974917" w:rsidRPr="004635B2">
        <w:rPr>
          <w:rFonts w:ascii="Arial" w:hAnsi="Arial" w:cs="Arial"/>
          <w:b/>
          <w:sz w:val="22"/>
          <w:szCs w:val="22"/>
          <w:lang w:val="fr-CA"/>
        </w:rPr>
        <w:t>Conclusion</w:t>
      </w:r>
    </w:p>
    <w:p w14:paraId="68991E9C" w14:textId="77777777" w:rsidR="00974917" w:rsidRPr="004635B2" w:rsidRDefault="00974917" w:rsidP="00823C45">
      <w:pPr>
        <w:suppressLineNumbers/>
        <w:suppressAutoHyphens/>
        <w:adjustRightInd w:val="0"/>
        <w:snapToGrid w:val="0"/>
        <w:rPr>
          <w:rFonts w:ascii="Arial" w:hAnsi="Arial" w:cs="Arial"/>
          <w:sz w:val="22"/>
          <w:szCs w:val="22"/>
          <w:lang w:val="fr-CA"/>
        </w:rPr>
      </w:pPr>
    </w:p>
    <w:p w14:paraId="5538411B" w14:textId="61A657CD" w:rsidR="00974917" w:rsidRPr="004635B2" w:rsidRDefault="0074785F"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76.</w:t>
      </w:r>
      <w:r w:rsidRPr="004635B2">
        <w:rPr>
          <w:rFonts w:ascii="Arial" w:hAnsi="Arial" w:cs="Arial"/>
          <w:sz w:val="22"/>
          <w:szCs w:val="22"/>
          <w:lang w:val="fr-CA"/>
        </w:rPr>
        <w:tab/>
        <w:t xml:space="preserve">L’équipe d’experts a utilisé le questionnaire et autres données dans le but de donner aux Parties à la CDB trois scénarios possibles pour le financement de besoins par le FEM. À partir de ces analyses, les besoins de financement du FEM peuvent </w:t>
      </w:r>
      <w:r w:rsidR="00B05EE7" w:rsidRPr="004635B2">
        <w:rPr>
          <w:rFonts w:ascii="Arial" w:hAnsi="Arial" w:cs="Arial"/>
          <w:sz w:val="22"/>
          <w:szCs w:val="22"/>
          <w:lang w:val="fr-CA"/>
        </w:rPr>
        <w:t>être</w:t>
      </w:r>
      <w:r w:rsidR="00FB3D76">
        <w:rPr>
          <w:rFonts w:ascii="Arial" w:hAnsi="Arial" w:cs="Arial"/>
          <w:sz w:val="22"/>
          <w:szCs w:val="22"/>
          <w:lang w:val="fr-CA"/>
        </w:rPr>
        <w:t xml:space="preserve"> évalués à entre 1,5 milliard </w:t>
      </w:r>
      <w:r w:rsidRPr="004635B2">
        <w:rPr>
          <w:rFonts w:ascii="Arial" w:hAnsi="Arial" w:cs="Arial"/>
          <w:sz w:val="22"/>
          <w:szCs w:val="22"/>
          <w:lang w:val="fr-CA"/>
        </w:rPr>
        <w:t xml:space="preserve">$US et 3,7 milliards $US. Toutefois, </w:t>
      </w:r>
      <w:r w:rsidR="00B05EE7" w:rsidRPr="004635B2">
        <w:rPr>
          <w:rFonts w:ascii="Arial" w:hAnsi="Arial" w:cs="Arial"/>
          <w:sz w:val="22"/>
          <w:szCs w:val="22"/>
          <w:lang w:val="fr-CA"/>
        </w:rPr>
        <w:t>e</w:t>
      </w:r>
      <w:r w:rsidR="00974917" w:rsidRPr="004635B2">
        <w:rPr>
          <w:rFonts w:ascii="Arial" w:hAnsi="Arial" w:cs="Arial"/>
          <w:sz w:val="22"/>
          <w:szCs w:val="22"/>
          <w:lang w:val="fr-CA"/>
        </w:rPr>
        <w:t xml:space="preserve">n comparant les objectifs de mobilisation des ressources indiqués dans le projet de Cadre mondial de la biodiversité pour l'après-2020 </w:t>
      </w:r>
      <w:r w:rsidR="00FB3D76">
        <w:rPr>
          <w:rFonts w:ascii="Arial" w:hAnsi="Arial" w:cs="Arial"/>
          <w:sz w:val="22"/>
          <w:szCs w:val="22"/>
          <w:lang w:val="fr-CA"/>
        </w:rPr>
        <w:t>aux</w:t>
      </w:r>
      <w:r w:rsidR="00974917" w:rsidRPr="004635B2">
        <w:rPr>
          <w:rFonts w:ascii="Arial" w:hAnsi="Arial" w:cs="Arial"/>
          <w:sz w:val="22"/>
          <w:szCs w:val="22"/>
          <w:lang w:val="fr-CA"/>
        </w:rPr>
        <w:t xml:space="preserve"> objectifs précédents de la CDB sur la mobilisation des ressources, on peut observer que les objectifs actuels sont plus ambitieux et nécessiteront un soutien financier plus important </w:t>
      </w:r>
      <w:r w:rsidR="00B05EE7" w:rsidRPr="004635B2">
        <w:rPr>
          <w:rFonts w:ascii="Arial" w:hAnsi="Arial" w:cs="Arial"/>
          <w:sz w:val="22"/>
          <w:szCs w:val="22"/>
          <w:lang w:val="fr-CA"/>
        </w:rPr>
        <w:t>qu’auparavant</w:t>
      </w:r>
      <w:r w:rsidR="00974917" w:rsidRPr="004635B2">
        <w:rPr>
          <w:rFonts w:ascii="Arial" w:hAnsi="Arial" w:cs="Arial"/>
          <w:sz w:val="22"/>
          <w:szCs w:val="22"/>
          <w:lang w:val="fr-CA"/>
        </w:rPr>
        <w:t xml:space="preserve">. </w:t>
      </w:r>
    </w:p>
    <w:p w14:paraId="6A267B01" w14:textId="77777777" w:rsidR="00974917" w:rsidRPr="004635B2" w:rsidRDefault="00974917" w:rsidP="00823C45">
      <w:pPr>
        <w:suppressLineNumbers/>
        <w:suppressAutoHyphens/>
        <w:adjustRightInd w:val="0"/>
        <w:snapToGrid w:val="0"/>
        <w:rPr>
          <w:rFonts w:ascii="Arial" w:hAnsi="Arial" w:cs="Arial"/>
          <w:sz w:val="22"/>
          <w:szCs w:val="22"/>
          <w:lang w:val="fr-CA"/>
        </w:rPr>
      </w:pPr>
    </w:p>
    <w:p w14:paraId="507CDA40" w14:textId="6CD639C0" w:rsidR="00B05EE7" w:rsidRPr="004635B2" w:rsidRDefault="00B05EE7"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77.</w:t>
      </w:r>
      <w:r w:rsidRPr="004635B2">
        <w:rPr>
          <w:rFonts w:ascii="Arial" w:hAnsi="Arial" w:cs="Arial"/>
          <w:sz w:val="22"/>
          <w:szCs w:val="22"/>
          <w:lang w:val="fr-CA"/>
        </w:rPr>
        <w:tab/>
        <w:t xml:space="preserve">Aucune évaluation des besoins de la CDB n’a été effectuée avant le début du Plan stratégique 2011-2020 pour la diversité biologique. La première évaluation des besoins a été réalisée lors de </w:t>
      </w:r>
      <w:r w:rsidR="00FB3D76">
        <w:rPr>
          <w:rFonts w:ascii="Arial" w:hAnsi="Arial" w:cs="Arial"/>
          <w:sz w:val="22"/>
          <w:szCs w:val="22"/>
          <w:lang w:val="fr-CA"/>
        </w:rPr>
        <w:t>la période de reconstitution de la</w:t>
      </w:r>
      <w:r w:rsidRPr="004635B2">
        <w:rPr>
          <w:rFonts w:ascii="Arial" w:hAnsi="Arial" w:cs="Arial"/>
          <w:sz w:val="22"/>
          <w:szCs w:val="22"/>
          <w:lang w:val="fr-CA"/>
        </w:rPr>
        <w:t xml:space="preserve"> FEM-6 de 2014-2018. Cette évaluation comportait de nombreux scénarios, mais le scénario du milieu reposant sur le </w:t>
      </w:r>
      <w:r w:rsidR="006D7664" w:rsidRPr="004635B2">
        <w:rPr>
          <w:rFonts w:ascii="Arial" w:hAnsi="Arial" w:cs="Arial"/>
          <w:sz w:val="22"/>
          <w:szCs w:val="22"/>
          <w:lang w:val="fr-CA"/>
        </w:rPr>
        <w:t xml:space="preserve">ratio de </w:t>
      </w:r>
      <w:r w:rsidRPr="004635B2">
        <w:rPr>
          <w:rFonts w:ascii="Arial" w:hAnsi="Arial" w:cs="Arial"/>
          <w:sz w:val="22"/>
          <w:szCs w:val="22"/>
          <w:lang w:val="fr-CA"/>
        </w:rPr>
        <w:t xml:space="preserve">cofinancement </w:t>
      </w:r>
      <w:r w:rsidR="006D7664" w:rsidRPr="004635B2">
        <w:rPr>
          <w:rFonts w:ascii="Arial" w:hAnsi="Arial" w:cs="Arial"/>
          <w:sz w:val="22"/>
          <w:szCs w:val="22"/>
          <w:lang w:val="fr-CA"/>
        </w:rPr>
        <w:t xml:space="preserve">du FEM pour la diversité biologique (1:4) </w:t>
      </w:r>
      <w:r w:rsidR="001B3A9E" w:rsidRPr="004635B2">
        <w:rPr>
          <w:rFonts w:ascii="Arial" w:hAnsi="Arial" w:cs="Arial"/>
          <w:sz w:val="22"/>
          <w:szCs w:val="22"/>
          <w:lang w:val="fr-CA"/>
        </w:rPr>
        <w:t>de</w:t>
      </w:r>
      <w:r w:rsidR="006D7664" w:rsidRPr="004635B2">
        <w:rPr>
          <w:rFonts w:ascii="Arial" w:hAnsi="Arial" w:cs="Arial"/>
          <w:sz w:val="22"/>
          <w:szCs w:val="22"/>
          <w:lang w:val="fr-CA"/>
        </w:rPr>
        <w:t xml:space="preserve"> l’époque, révélait que les besoins variaient de 7 milliards </w:t>
      </w:r>
      <w:r w:rsidR="00FB3D76">
        <w:rPr>
          <w:rFonts w:ascii="Arial" w:hAnsi="Arial" w:cs="Arial"/>
          <w:sz w:val="22"/>
          <w:szCs w:val="22"/>
          <w:lang w:val="fr-CA"/>
        </w:rPr>
        <w:t>$US</w:t>
      </w:r>
      <w:r w:rsidR="006D7664" w:rsidRPr="004635B2">
        <w:rPr>
          <w:rFonts w:ascii="Arial" w:hAnsi="Arial" w:cs="Arial"/>
          <w:sz w:val="22"/>
          <w:szCs w:val="22"/>
          <w:lang w:val="fr-CA"/>
        </w:rPr>
        <w:t xml:space="preserve"> </w:t>
      </w:r>
      <w:r w:rsidR="00B67096" w:rsidRPr="004635B2">
        <w:rPr>
          <w:rFonts w:ascii="Arial" w:hAnsi="Arial" w:cs="Arial"/>
          <w:sz w:val="22"/>
          <w:szCs w:val="22"/>
          <w:lang w:val="fr-CA"/>
        </w:rPr>
        <w:t>à</w:t>
      </w:r>
      <w:r w:rsidR="006D7664" w:rsidRPr="004635B2">
        <w:rPr>
          <w:rFonts w:ascii="Arial" w:hAnsi="Arial" w:cs="Arial"/>
          <w:sz w:val="22"/>
          <w:szCs w:val="22"/>
          <w:lang w:val="fr-CA"/>
        </w:rPr>
        <w:t xml:space="preserve"> 17 milliards </w:t>
      </w:r>
      <w:r w:rsidR="00FB3D76">
        <w:rPr>
          <w:rFonts w:ascii="Arial" w:hAnsi="Arial" w:cs="Arial"/>
          <w:sz w:val="22"/>
          <w:szCs w:val="22"/>
          <w:lang w:val="fr-CA"/>
        </w:rPr>
        <w:t>$US</w:t>
      </w:r>
      <w:r w:rsidR="006D7664" w:rsidRPr="004635B2">
        <w:rPr>
          <w:rFonts w:ascii="Arial" w:hAnsi="Arial" w:cs="Arial"/>
          <w:sz w:val="22"/>
          <w:szCs w:val="22"/>
          <w:lang w:val="fr-CA"/>
        </w:rPr>
        <w:t xml:space="preserve"> pour cette période quadriennale.</w:t>
      </w:r>
      <w:r w:rsidR="006D7664" w:rsidRPr="004635B2">
        <w:rPr>
          <w:rFonts w:ascii="Arial" w:hAnsi="Arial" w:cs="Arial"/>
          <w:vertAlign w:val="superscript"/>
          <w:lang w:val="fr-CA"/>
        </w:rPr>
        <w:footnoteReference w:id="18"/>
      </w:r>
      <w:r w:rsidR="006D7664" w:rsidRPr="004635B2">
        <w:rPr>
          <w:rFonts w:ascii="Arial" w:hAnsi="Arial" w:cs="Arial"/>
          <w:sz w:val="22"/>
          <w:szCs w:val="22"/>
          <w:lang w:val="fr-CA"/>
        </w:rPr>
        <w:t xml:space="preserve"> La deuxième évaluation des besoins, menée en 2016 pour la période de r</w:t>
      </w:r>
      <w:r w:rsidR="00B67096" w:rsidRPr="004635B2">
        <w:rPr>
          <w:rFonts w:ascii="Arial" w:hAnsi="Arial" w:cs="Arial"/>
          <w:sz w:val="22"/>
          <w:szCs w:val="22"/>
          <w:lang w:val="fr-CA"/>
        </w:rPr>
        <w:t>e</w:t>
      </w:r>
      <w:r w:rsidR="00FB3D76">
        <w:rPr>
          <w:rFonts w:ascii="Arial" w:hAnsi="Arial" w:cs="Arial"/>
          <w:sz w:val="22"/>
          <w:szCs w:val="22"/>
          <w:lang w:val="fr-CA"/>
        </w:rPr>
        <w:t>constitution de la</w:t>
      </w:r>
      <w:r w:rsidR="001B3A9E" w:rsidRPr="004635B2">
        <w:rPr>
          <w:rFonts w:ascii="Arial" w:hAnsi="Arial" w:cs="Arial"/>
          <w:sz w:val="22"/>
          <w:szCs w:val="22"/>
          <w:lang w:val="fr-CA"/>
        </w:rPr>
        <w:t xml:space="preserve"> FEM</w:t>
      </w:r>
      <w:r w:rsidR="006D7664" w:rsidRPr="004635B2">
        <w:rPr>
          <w:rFonts w:ascii="Arial" w:hAnsi="Arial" w:cs="Arial"/>
          <w:sz w:val="22"/>
          <w:szCs w:val="22"/>
          <w:lang w:val="fr-CA"/>
        </w:rPr>
        <w:t xml:space="preserve">-7, a </w:t>
      </w:r>
      <w:r w:rsidR="001B3A9E" w:rsidRPr="004635B2">
        <w:rPr>
          <w:rFonts w:ascii="Arial" w:hAnsi="Arial" w:cs="Arial"/>
          <w:sz w:val="22"/>
          <w:szCs w:val="22"/>
          <w:lang w:val="fr-CA"/>
        </w:rPr>
        <w:t>abouti à un résultat de 2</w:t>
      </w:r>
      <w:r w:rsidR="006D7664" w:rsidRPr="004635B2">
        <w:rPr>
          <w:rFonts w:ascii="Arial" w:hAnsi="Arial" w:cs="Arial"/>
          <w:sz w:val="22"/>
          <w:szCs w:val="22"/>
          <w:lang w:val="fr-CA"/>
        </w:rPr>
        <w:t>,739 milliards $US dans le c</w:t>
      </w:r>
      <w:r w:rsidR="00B67096" w:rsidRPr="004635B2">
        <w:rPr>
          <w:rFonts w:ascii="Arial" w:hAnsi="Arial" w:cs="Arial"/>
          <w:sz w:val="22"/>
          <w:szCs w:val="22"/>
          <w:lang w:val="fr-CA"/>
        </w:rPr>
        <w:t xml:space="preserve">ontexte du scénario 1, </w:t>
      </w:r>
      <w:r w:rsidR="001B3A9E" w:rsidRPr="004635B2">
        <w:rPr>
          <w:rFonts w:ascii="Arial" w:hAnsi="Arial" w:cs="Arial"/>
          <w:sz w:val="22"/>
          <w:szCs w:val="22"/>
          <w:lang w:val="fr-CA"/>
        </w:rPr>
        <w:t>pour</w:t>
      </w:r>
      <w:r w:rsidR="002B2636">
        <w:rPr>
          <w:rFonts w:ascii="Arial" w:hAnsi="Arial" w:cs="Arial"/>
          <w:sz w:val="22"/>
          <w:szCs w:val="22"/>
          <w:lang w:val="fr-CA"/>
        </w:rPr>
        <w:t xml:space="preserve"> un ratio de cofinancement de 1:2</w:t>
      </w:r>
      <w:r w:rsidR="006D7664" w:rsidRPr="004635B2">
        <w:rPr>
          <w:rFonts w:ascii="Arial" w:hAnsi="Arial" w:cs="Arial"/>
          <w:sz w:val="22"/>
          <w:szCs w:val="22"/>
          <w:lang w:val="fr-CA"/>
        </w:rPr>
        <w:t>.</w:t>
      </w:r>
      <w:r w:rsidR="006D7664" w:rsidRPr="004635B2">
        <w:rPr>
          <w:rFonts w:ascii="Arial" w:hAnsi="Arial" w:cs="Arial"/>
          <w:vertAlign w:val="superscript"/>
          <w:lang w:val="fr-CA"/>
        </w:rPr>
        <w:footnoteReference w:id="19"/>
      </w:r>
      <w:r w:rsidR="006D7664" w:rsidRPr="004635B2">
        <w:rPr>
          <w:rFonts w:ascii="Arial" w:hAnsi="Arial" w:cs="Arial"/>
          <w:sz w:val="22"/>
          <w:szCs w:val="22"/>
          <w:lang w:val="fr-CA"/>
        </w:rPr>
        <w:t xml:space="preserve">  </w:t>
      </w:r>
      <w:r w:rsidR="00B67096" w:rsidRPr="004635B2">
        <w:rPr>
          <w:rFonts w:ascii="Arial" w:hAnsi="Arial" w:cs="Arial"/>
          <w:sz w:val="22"/>
          <w:szCs w:val="22"/>
          <w:lang w:val="fr-CA"/>
        </w:rPr>
        <w:t xml:space="preserve">La comparaison à </w:t>
      </w:r>
      <w:r w:rsidR="001B3A9E" w:rsidRPr="004635B2">
        <w:rPr>
          <w:rFonts w:ascii="Arial" w:hAnsi="Arial" w:cs="Arial"/>
          <w:sz w:val="22"/>
          <w:szCs w:val="22"/>
          <w:lang w:val="fr-CA"/>
        </w:rPr>
        <w:t>l’évaluation actuelle</w:t>
      </w:r>
      <w:r w:rsidR="00B67096" w:rsidRPr="004635B2">
        <w:rPr>
          <w:rFonts w:ascii="Arial" w:hAnsi="Arial" w:cs="Arial"/>
          <w:sz w:val="22"/>
          <w:szCs w:val="22"/>
          <w:lang w:val="fr-CA"/>
        </w:rPr>
        <w:t xml:space="preserve"> révèle que </w:t>
      </w:r>
      <w:r w:rsidR="001B3A9E" w:rsidRPr="004635B2">
        <w:rPr>
          <w:rFonts w:ascii="Arial" w:hAnsi="Arial" w:cs="Arial"/>
          <w:sz w:val="22"/>
          <w:szCs w:val="22"/>
          <w:lang w:val="fr-CA"/>
        </w:rPr>
        <w:t>celle-ci varie de 1,5 </w:t>
      </w:r>
      <w:r w:rsidR="00B67096" w:rsidRPr="004635B2">
        <w:rPr>
          <w:rFonts w:ascii="Arial" w:hAnsi="Arial" w:cs="Arial"/>
          <w:sz w:val="22"/>
          <w:szCs w:val="22"/>
          <w:lang w:val="fr-CA"/>
        </w:rPr>
        <w:t xml:space="preserve">milliard $US </w:t>
      </w:r>
      <w:r w:rsidR="001B3A9E" w:rsidRPr="004635B2">
        <w:rPr>
          <w:rFonts w:ascii="Arial" w:hAnsi="Arial" w:cs="Arial"/>
          <w:sz w:val="22"/>
          <w:szCs w:val="22"/>
          <w:lang w:val="fr-CA"/>
        </w:rPr>
        <w:t>à 3,7 millia</w:t>
      </w:r>
      <w:r w:rsidR="00B67096" w:rsidRPr="004635B2">
        <w:rPr>
          <w:rFonts w:ascii="Arial" w:hAnsi="Arial" w:cs="Arial"/>
          <w:sz w:val="22"/>
          <w:szCs w:val="22"/>
          <w:lang w:val="fr-CA"/>
        </w:rPr>
        <w:t>rds $</w:t>
      </w:r>
      <w:r w:rsidR="00FB3D76">
        <w:rPr>
          <w:rFonts w:ascii="Arial" w:hAnsi="Arial" w:cs="Arial"/>
          <w:sz w:val="22"/>
          <w:szCs w:val="22"/>
          <w:lang w:val="fr-CA"/>
        </w:rPr>
        <w:t xml:space="preserve">US pour la </w:t>
      </w:r>
      <w:r w:rsidR="00C67BF8">
        <w:rPr>
          <w:rFonts w:ascii="Arial" w:hAnsi="Arial" w:cs="Arial"/>
          <w:sz w:val="22"/>
          <w:szCs w:val="22"/>
          <w:lang w:val="fr-CA"/>
        </w:rPr>
        <w:t xml:space="preserve">période de </w:t>
      </w:r>
      <w:r w:rsidR="00FB3D76">
        <w:rPr>
          <w:rFonts w:ascii="Arial" w:hAnsi="Arial" w:cs="Arial"/>
          <w:sz w:val="22"/>
          <w:szCs w:val="22"/>
          <w:lang w:val="fr-CA"/>
        </w:rPr>
        <w:t>reconstitution de la</w:t>
      </w:r>
      <w:r w:rsidR="001B3A9E" w:rsidRPr="004635B2">
        <w:rPr>
          <w:rFonts w:ascii="Arial" w:hAnsi="Arial" w:cs="Arial"/>
          <w:sz w:val="22"/>
          <w:szCs w:val="22"/>
          <w:lang w:val="fr-CA"/>
        </w:rPr>
        <w:t xml:space="preserve"> FEM</w:t>
      </w:r>
      <w:r w:rsidR="00B67096" w:rsidRPr="004635B2">
        <w:rPr>
          <w:rFonts w:ascii="Arial" w:hAnsi="Arial" w:cs="Arial"/>
          <w:sz w:val="22"/>
          <w:szCs w:val="22"/>
          <w:lang w:val="fr-CA"/>
        </w:rPr>
        <w:t xml:space="preserve">-8, </w:t>
      </w:r>
      <w:r w:rsidR="001B3A9E" w:rsidRPr="004635B2">
        <w:rPr>
          <w:rFonts w:ascii="Arial" w:hAnsi="Arial" w:cs="Arial"/>
          <w:sz w:val="22"/>
          <w:szCs w:val="22"/>
          <w:lang w:val="fr-CA"/>
        </w:rPr>
        <w:t>pour</w:t>
      </w:r>
      <w:r w:rsidR="00B67096" w:rsidRPr="004635B2">
        <w:rPr>
          <w:rFonts w:ascii="Arial" w:hAnsi="Arial" w:cs="Arial"/>
          <w:sz w:val="22"/>
          <w:szCs w:val="22"/>
          <w:lang w:val="fr-CA"/>
        </w:rPr>
        <w:t xml:space="preserve"> un ratio de cofinancement de 1:3. Cette différence importante par rapport à la première évaluation </w:t>
      </w:r>
      <w:r w:rsidR="001B3A9E" w:rsidRPr="004635B2">
        <w:rPr>
          <w:rFonts w:ascii="Arial" w:hAnsi="Arial" w:cs="Arial"/>
          <w:sz w:val="22"/>
          <w:szCs w:val="22"/>
          <w:lang w:val="fr-CA"/>
        </w:rPr>
        <w:t>est</w:t>
      </w:r>
      <w:r w:rsidR="00B67096" w:rsidRPr="004635B2">
        <w:rPr>
          <w:rFonts w:ascii="Arial" w:hAnsi="Arial" w:cs="Arial"/>
          <w:sz w:val="22"/>
          <w:szCs w:val="22"/>
          <w:lang w:val="fr-CA"/>
        </w:rPr>
        <w:t xml:space="preserve"> vraisemblablement </w:t>
      </w:r>
      <w:r w:rsidR="001B3A9E" w:rsidRPr="004635B2">
        <w:rPr>
          <w:rFonts w:ascii="Arial" w:hAnsi="Arial" w:cs="Arial"/>
          <w:sz w:val="22"/>
          <w:szCs w:val="22"/>
          <w:lang w:val="fr-CA"/>
        </w:rPr>
        <w:t>le résultat d’</w:t>
      </w:r>
      <w:r w:rsidR="00B67096" w:rsidRPr="004635B2">
        <w:rPr>
          <w:rFonts w:ascii="Arial" w:hAnsi="Arial" w:cs="Arial"/>
          <w:sz w:val="22"/>
          <w:szCs w:val="22"/>
          <w:lang w:val="fr-CA"/>
        </w:rPr>
        <w:t xml:space="preserve">une démarche plus ciblée et axée sur les projets que celle utilisée depuis l’évaluation des besoins de 2016. L’évaluation actuelle pourrait aussi bénéficier de l’expérience acquise par les pays </w:t>
      </w:r>
      <w:r w:rsidR="001B3A9E" w:rsidRPr="004635B2">
        <w:rPr>
          <w:rFonts w:ascii="Arial" w:hAnsi="Arial" w:cs="Arial"/>
          <w:sz w:val="22"/>
          <w:szCs w:val="22"/>
          <w:lang w:val="fr-CA"/>
        </w:rPr>
        <w:t>lors de</w:t>
      </w:r>
      <w:r w:rsidR="00B67096" w:rsidRPr="004635B2">
        <w:rPr>
          <w:rFonts w:ascii="Arial" w:hAnsi="Arial" w:cs="Arial"/>
          <w:sz w:val="22"/>
          <w:szCs w:val="22"/>
          <w:lang w:val="fr-CA"/>
        </w:rPr>
        <w:t xml:space="preserve"> l’évaluation</w:t>
      </w:r>
      <w:r w:rsidR="001B3A9E" w:rsidRPr="004635B2">
        <w:rPr>
          <w:rFonts w:ascii="Arial" w:hAnsi="Arial" w:cs="Arial"/>
          <w:sz w:val="22"/>
          <w:szCs w:val="22"/>
          <w:lang w:val="fr-CA"/>
        </w:rPr>
        <w:t xml:space="preserve"> d</w:t>
      </w:r>
      <w:r w:rsidR="00C67BF8">
        <w:rPr>
          <w:rFonts w:ascii="Arial" w:hAnsi="Arial" w:cs="Arial"/>
          <w:sz w:val="22"/>
          <w:szCs w:val="22"/>
          <w:lang w:val="fr-CA"/>
        </w:rPr>
        <w:t>e 2</w:t>
      </w:r>
      <w:r w:rsidR="00B67096" w:rsidRPr="004635B2">
        <w:rPr>
          <w:rFonts w:ascii="Arial" w:hAnsi="Arial" w:cs="Arial"/>
          <w:sz w:val="22"/>
          <w:szCs w:val="22"/>
          <w:lang w:val="fr-CA"/>
        </w:rPr>
        <w:t xml:space="preserve">016, où la méthode axée sur les projets a été utilisée pour la première fois. </w:t>
      </w:r>
    </w:p>
    <w:p w14:paraId="7F2D9AF3" w14:textId="77777777" w:rsidR="00B56B2E" w:rsidRPr="004635B2" w:rsidRDefault="00B56B2E" w:rsidP="00823C45">
      <w:pPr>
        <w:suppressLineNumbers/>
        <w:suppressAutoHyphens/>
        <w:adjustRightInd w:val="0"/>
        <w:snapToGrid w:val="0"/>
        <w:rPr>
          <w:rFonts w:ascii="Arial" w:hAnsi="Arial" w:cs="Arial"/>
          <w:sz w:val="22"/>
          <w:szCs w:val="22"/>
          <w:lang w:val="fr-CA"/>
        </w:rPr>
      </w:pPr>
    </w:p>
    <w:p w14:paraId="139E627A" w14:textId="0AA6F8FD" w:rsidR="00B56B2E" w:rsidRPr="004635B2" w:rsidRDefault="00B56B2E"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78.</w:t>
      </w:r>
      <w:r w:rsidRPr="004635B2">
        <w:rPr>
          <w:rFonts w:ascii="Arial" w:hAnsi="Arial" w:cs="Arial"/>
          <w:sz w:val="22"/>
          <w:szCs w:val="22"/>
          <w:lang w:val="fr-CA"/>
        </w:rPr>
        <w:tab/>
        <w:t xml:space="preserve">Les échanges sur la mobilisation des ressources du Groupe de travail à </w:t>
      </w:r>
      <w:r w:rsidR="005B0818">
        <w:rPr>
          <w:rFonts w:ascii="Arial" w:hAnsi="Arial" w:cs="Arial"/>
          <w:sz w:val="22"/>
          <w:szCs w:val="22"/>
          <w:lang w:val="fr-CA"/>
        </w:rPr>
        <w:t>composition non limitée sur le C</w:t>
      </w:r>
      <w:r w:rsidRPr="004635B2">
        <w:rPr>
          <w:rFonts w:ascii="Arial" w:hAnsi="Arial" w:cs="Arial"/>
          <w:sz w:val="22"/>
          <w:szCs w:val="22"/>
          <w:lang w:val="fr-CA"/>
        </w:rPr>
        <w:t>adre mondial de la biodiversité pour l'après-2020 révèlent également qu</w:t>
      </w:r>
      <w:r w:rsidR="002C1F29" w:rsidRPr="004635B2">
        <w:rPr>
          <w:rFonts w:ascii="Arial" w:hAnsi="Arial" w:cs="Arial"/>
          <w:sz w:val="22"/>
          <w:szCs w:val="22"/>
          <w:lang w:val="fr-CA"/>
        </w:rPr>
        <w:t>e</w:t>
      </w:r>
      <w:r w:rsidRPr="004635B2">
        <w:rPr>
          <w:rFonts w:ascii="Arial" w:hAnsi="Arial" w:cs="Arial"/>
          <w:sz w:val="22"/>
          <w:szCs w:val="22"/>
          <w:lang w:val="fr-CA"/>
        </w:rPr>
        <w:t xml:space="preserve"> les Parties à la CDB estiment que le FEM fait partie d’un programme beaucoup plus vaste de financement de l’application de la Convention et de ses protocoles par toutes les sources. De plus, l’équipe d’experts a tiré des enseignements des évaluations antérieures et a offert une orientation plus détaillée afin d’aider les pays à prévoir leurs futurs besoins de financement tout en a</w:t>
      </w:r>
      <w:r w:rsidR="002C1F29" w:rsidRPr="004635B2">
        <w:rPr>
          <w:rFonts w:ascii="Arial" w:hAnsi="Arial" w:cs="Arial"/>
          <w:sz w:val="22"/>
          <w:szCs w:val="22"/>
          <w:lang w:val="fr-CA"/>
        </w:rPr>
        <w:t>p</w:t>
      </w:r>
      <w:r w:rsidRPr="004635B2">
        <w:rPr>
          <w:rFonts w:ascii="Arial" w:hAnsi="Arial" w:cs="Arial"/>
          <w:sz w:val="22"/>
          <w:szCs w:val="22"/>
          <w:lang w:val="fr-CA"/>
        </w:rPr>
        <w:t>pliquant le principe des co</w:t>
      </w:r>
      <w:r w:rsidR="002C1F29" w:rsidRPr="004635B2">
        <w:rPr>
          <w:rFonts w:ascii="Arial" w:hAnsi="Arial" w:cs="Arial"/>
          <w:sz w:val="22"/>
          <w:szCs w:val="22"/>
          <w:lang w:val="fr-CA"/>
        </w:rPr>
        <w:t>ûts différenti</w:t>
      </w:r>
      <w:r w:rsidRPr="004635B2">
        <w:rPr>
          <w:rFonts w:ascii="Arial" w:hAnsi="Arial" w:cs="Arial"/>
          <w:sz w:val="22"/>
          <w:szCs w:val="22"/>
          <w:lang w:val="fr-CA"/>
        </w:rPr>
        <w:t>els et de cerner largement l</w:t>
      </w:r>
      <w:r w:rsidR="002C1F29" w:rsidRPr="004635B2">
        <w:rPr>
          <w:rFonts w:ascii="Arial" w:hAnsi="Arial" w:cs="Arial"/>
          <w:sz w:val="22"/>
          <w:szCs w:val="22"/>
          <w:lang w:val="fr-CA"/>
        </w:rPr>
        <w:t>es sources et les montants du c</w:t>
      </w:r>
      <w:r w:rsidRPr="004635B2">
        <w:rPr>
          <w:rFonts w:ascii="Arial" w:hAnsi="Arial" w:cs="Arial"/>
          <w:sz w:val="22"/>
          <w:szCs w:val="22"/>
          <w:lang w:val="fr-CA"/>
        </w:rPr>
        <w:t xml:space="preserve">ofinancement.  </w:t>
      </w:r>
    </w:p>
    <w:p w14:paraId="5EFE0785" w14:textId="77777777" w:rsidR="002C1F29" w:rsidRPr="004635B2" w:rsidRDefault="002C1F29" w:rsidP="00823C45">
      <w:pPr>
        <w:suppressLineNumbers/>
        <w:suppressAutoHyphens/>
        <w:adjustRightInd w:val="0"/>
        <w:snapToGrid w:val="0"/>
        <w:rPr>
          <w:rFonts w:ascii="Arial" w:hAnsi="Arial" w:cs="Arial"/>
          <w:sz w:val="22"/>
          <w:szCs w:val="22"/>
          <w:lang w:val="fr-CA"/>
        </w:rPr>
      </w:pPr>
    </w:p>
    <w:p w14:paraId="52735FF8" w14:textId="642BA30E" w:rsidR="002C1F29" w:rsidRPr="004635B2" w:rsidRDefault="00C67BF8" w:rsidP="00823C45">
      <w:pPr>
        <w:suppressLineNumbers/>
        <w:suppressAutoHyphens/>
        <w:adjustRightInd w:val="0"/>
        <w:snapToGrid w:val="0"/>
        <w:rPr>
          <w:rFonts w:ascii="Arial" w:hAnsi="Arial" w:cs="Arial"/>
          <w:sz w:val="22"/>
          <w:szCs w:val="22"/>
          <w:lang w:val="fr-CA"/>
        </w:rPr>
      </w:pPr>
      <w:r>
        <w:rPr>
          <w:rFonts w:ascii="Arial" w:hAnsi="Arial" w:cs="Arial"/>
          <w:sz w:val="22"/>
          <w:szCs w:val="22"/>
          <w:lang w:val="fr-CA"/>
        </w:rPr>
        <w:t>79.</w:t>
      </w:r>
      <w:r>
        <w:rPr>
          <w:rFonts w:ascii="Arial" w:hAnsi="Arial" w:cs="Arial"/>
          <w:sz w:val="22"/>
          <w:szCs w:val="22"/>
          <w:lang w:val="fr-CA"/>
        </w:rPr>
        <w:tab/>
        <w:t>La reconstitution de la</w:t>
      </w:r>
      <w:r w:rsidR="002C1F29" w:rsidRPr="004635B2">
        <w:rPr>
          <w:rFonts w:ascii="Arial" w:hAnsi="Arial" w:cs="Arial"/>
          <w:sz w:val="22"/>
          <w:szCs w:val="22"/>
          <w:lang w:val="fr-CA"/>
        </w:rPr>
        <w:t xml:space="preserve"> FME-6 a réalisé une augmentation nominale de la reconsti</w:t>
      </w:r>
      <w:r>
        <w:rPr>
          <w:rFonts w:ascii="Arial" w:hAnsi="Arial" w:cs="Arial"/>
          <w:sz w:val="22"/>
          <w:szCs w:val="22"/>
          <w:lang w:val="fr-CA"/>
        </w:rPr>
        <w:t>tution totale par rapport à la FEM-</w:t>
      </w:r>
      <w:r w:rsidR="002C1F29" w:rsidRPr="004635B2">
        <w:rPr>
          <w:rFonts w:ascii="Arial" w:hAnsi="Arial" w:cs="Arial"/>
          <w:sz w:val="22"/>
          <w:szCs w:val="22"/>
          <w:lang w:val="fr-CA"/>
        </w:rPr>
        <w:t xml:space="preserve">5 (de 3,135 </w:t>
      </w:r>
      <w:r w:rsidR="002B2636">
        <w:rPr>
          <w:rFonts w:ascii="Arial" w:hAnsi="Arial" w:cs="Arial"/>
          <w:sz w:val="22"/>
          <w:szCs w:val="22"/>
          <w:lang w:val="fr-CA"/>
        </w:rPr>
        <w:t xml:space="preserve">milliards </w:t>
      </w:r>
      <w:r>
        <w:rPr>
          <w:rFonts w:ascii="Arial" w:hAnsi="Arial" w:cs="Arial"/>
          <w:sz w:val="22"/>
          <w:szCs w:val="22"/>
          <w:lang w:val="fr-CA"/>
        </w:rPr>
        <w:t>$US</w:t>
      </w:r>
      <w:r w:rsidR="002C1F29" w:rsidRPr="004635B2">
        <w:rPr>
          <w:rFonts w:ascii="Arial" w:hAnsi="Arial" w:cs="Arial"/>
          <w:sz w:val="22"/>
          <w:szCs w:val="22"/>
          <w:lang w:val="fr-CA"/>
        </w:rPr>
        <w:t xml:space="preserve"> à 4,2 milliards </w:t>
      </w:r>
      <w:r>
        <w:rPr>
          <w:rFonts w:ascii="Arial" w:hAnsi="Arial" w:cs="Arial"/>
          <w:sz w:val="22"/>
          <w:szCs w:val="22"/>
          <w:lang w:val="fr-CA"/>
        </w:rPr>
        <w:t>$US</w:t>
      </w:r>
      <w:r w:rsidR="002C1F29" w:rsidRPr="004635B2">
        <w:rPr>
          <w:rFonts w:ascii="Arial" w:hAnsi="Arial" w:cs="Arial"/>
          <w:sz w:val="22"/>
          <w:szCs w:val="22"/>
          <w:lang w:val="fr-CA"/>
        </w:rPr>
        <w:t>)</w:t>
      </w:r>
      <w:r w:rsidR="00584EB1" w:rsidRPr="004635B2">
        <w:rPr>
          <w:rFonts w:ascii="Arial" w:hAnsi="Arial" w:cs="Arial"/>
          <w:sz w:val="22"/>
          <w:szCs w:val="22"/>
          <w:lang w:val="fr-CA"/>
        </w:rPr>
        <w:t xml:space="preserve"> tandis que le volet de la diversité biologique a augmenté de 1,2 milliard</w:t>
      </w:r>
      <w:r w:rsidR="00570736" w:rsidRPr="004635B2">
        <w:rPr>
          <w:rFonts w:ascii="Arial" w:hAnsi="Arial" w:cs="Arial"/>
          <w:sz w:val="22"/>
          <w:szCs w:val="22"/>
          <w:lang w:val="fr-CA"/>
        </w:rPr>
        <w:t xml:space="preserve"> </w:t>
      </w:r>
      <w:r w:rsidR="000539D3">
        <w:rPr>
          <w:rFonts w:ascii="Arial" w:hAnsi="Arial" w:cs="Arial"/>
          <w:sz w:val="22"/>
          <w:szCs w:val="22"/>
          <w:lang w:val="fr-CA"/>
        </w:rPr>
        <w:t>$US</w:t>
      </w:r>
      <w:r w:rsidR="00570736" w:rsidRPr="004635B2">
        <w:rPr>
          <w:rFonts w:ascii="Arial" w:hAnsi="Arial" w:cs="Arial"/>
          <w:sz w:val="22"/>
          <w:szCs w:val="22"/>
          <w:lang w:val="fr-CA"/>
        </w:rPr>
        <w:t xml:space="preserve"> </w:t>
      </w:r>
      <w:r w:rsidR="00584EB1" w:rsidRPr="004635B2">
        <w:rPr>
          <w:rFonts w:ascii="Arial" w:hAnsi="Arial" w:cs="Arial"/>
          <w:sz w:val="22"/>
          <w:szCs w:val="22"/>
          <w:lang w:val="fr-CA"/>
        </w:rPr>
        <w:t xml:space="preserve">à 1,296 milliard </w:t>
      </w:r>
      <w:r w:rsidR="000539D3">
        <w:rPr>
          <w:rFonts w:ascii="Arial" w:hAnsi="Arial" w:cs="Arial"/>
          <w:sz w:val="22"/>
          <w:szCs w:val="22"/>
          <w:lang w:val="fr-CA"/>
        </w:rPr>
        <w:t>$US</w:t>
      </w:r>
      <w:r w:rsidR="00584EB1" w:rsidRPr="004635B2">
        <w:rPr>
          <w:rFonts w:ascii="Arial" w:hAnsi="Arial" w:cs="Arial"/>
          <w:sz w:val="22"/>
          <w:szCs w:val="22"/>
          <w:lang w:val="fr-CA"/>
        </w:rPr>
        <w:t xml:space="preserve">, une augmentation de seulement 16 pour cent. Le volet de la diversité </w:t>
      </w:r>
      <w:r w:rsidR="00570736" w:rsidRPr="004635B2">
        <w:rPr>
          <w:rFonts w:ascii="Arial" w:hAnsi="Arial" w:cs="Arial"/>
          <w:sz w:val="22"/>
          <w:szCs w:val="22"/>
          <w:lang w:val="fr-CA"/>
        </w:rPr>
        <w:t xml:space="preserve">biologique </w:t>
      </w:r>
      <w:r w:rsidR="000539D3">
        <w:rPr>
          <w:rFonts w:ascii="Arial" w:hAnsi="Arial" w:cs="Arial"/>
          <w:sz w:val="22"/>
          <w:szCs w:val="22"/>
          <w:lang w:val="fr-CA"/>
        </w:rPr>
        <w:t>de la FEM</w:t>
      </w:r>
      <w:r w:rsidR="00570736" w:rsidRPr="004635B2">
        <w:rPr>
          <w:rFonts w:ascii="Arial" w:hAnsi="Arial" w:cs="Arial"/>
          <w:sz w:val="22"/>
          <w:szCs w:val="22"/>
          <w:lang w:val="fr-CA"/>
        </w:rPr>
        <w:t>-7 était de 1,</w:t>
      </w:r>
      <w:r w:rsidR="000539D3">
        <w:rPr>
          <w:rFonts w:ascii="Arial" w:hAnsi="Arial" w:cs="Arial"/>
          <w:sz w:val="22"/>
          <w:szCs w:val="22"/>
          <w:lang w:val="fr-CA"/>
        </w:rPr>
        <w:t>292 milliard</w:t>
      </w:r>
      <w:r w:rsidR="000539D3">
        <w:rPr>
          <w:lang w:val="fr-CA"/>
        </w:rPr>
        <w:t> </w:t>
      </w:r>
      <w:r w:rsidR="000539D3">
        <w:rPr>
          <w:rFonts w:ascii="Arial" w:hAnsi="Arial" w:cs="Arial"/>
          <w:sz w:val="22"/>
          <w:szCs w:val="22"/>
          <w:lang w:val="fr-CA"/>
        </w:rPr>
        <w:t>$US</w:t>
      </w:r>
      <w:r w:rsidR="00584EB1" w:rsidRPr="004635B2">
        <w:rPr>
          <w:rFonts w:ascii="Arial" w:hAnsi="Arial" w:cs="Arial"/>
          <w:sz w:val="22"/>
          <w:szCs w:val="22"/>
          <w:lang w:val="fr-CA"/>
        </w:rPr>
        <w:t>. Le ratio de cofinancement a été de 1:5, en moyenne, dans le portefeuille de la divers</w:t>
      </w:r>
      <w:r w:rsidR="000539D3">
        <w:rPr>
          <w:rFonts w:ascii="Arial" w:hAnsi="Arial" w:cs="Arial"/>
          <w:sz w:val="22"/>
          <w:szCs w:val="22"/>
          <w:lang w:val="fr-CA"/>
        </w:rPr>
        <w:t xml:space="preserve">ité biologique </w:t>
      </w:r>
      <w:r w:rsidR="002B2636">
        <w:rPr>
          <w:rFonts w:ascii="Arial" w:hAnsi="Arial" w:cs="Arial"/>
          <w:sz w:val="22"/>
          <w:szCs w:val="22"/>
          <w:lang w:val="fr-CA"/>
        </w:rPr>
        <w:t>d</w:t>
      </w:r>
      <w:r w:rsidR="000539D3">
        <w:rPr>
          <w:rFonts w:ascii="Arial" w:hAnsi="Arial" w:cs="Arial"/>
          <w:sz w:val="22"/>
          <w:szCs w:val="22"/>
          <w:lang w:val="fr-CA"/>
        </w:rPr>
        <w:t>e la</w:t>
      </w:r>
      <w:r w:rsidR="00584EB1" w:rsidRPr="004635B2">
        <w:rPr>
          <w:rFonts w:ascii="Arial" w:hAnsi="Arial" w:cs="Arial"/>
          <w:sz w:val="22"/>
          <w:szCs w:val="22"/>
          <w:lang w:val="fr-CA"/>
        </w:rPr>
        <w:t xml:space="preserve"> FEM-7 (</w:t>
      </w:r>
      <w:r w:rsidR="00570736" w:rsidRPr="004635B2">
        <w:rPr>
          <w:rFonts w:ascii="Arial" w:hAnsi="Arial" w:cs="Arial"/>
          <w:sz w:val="22"/>
          <w:szCs w:val="22"/>
          <w:lang w:val="fr-CA"/>
        </w:rPr>
        <w:t>septième bilan global</w:t>
      </w:r>
      <w:r w:rsidR="00584EB1" w:rsidRPr="004635B2">
        <w:rPr>
          <w:rFonts w:ascii="Arial" w:hAnsi="Arial" w:cs="Arial"/>
          <w:sz w:val="22"/>
          <w:szCs w:val="22"/>
          <w:lang w:val="fr-CA"/>
        </w:rPr>
        <w:t>).</w:t>
      </w:r>
      <w:r w:rsidR="00570736" w:rsidRPr="004635B2">
        <w:rPr>
          <w:rFonts w:ascii="Arial" w:hAnsi="Arial" w:cs="Arial"/>
          <w:vertAlign w:val="superscript"/>
          <w:lang w:val="fr-CA"/>
        </w:rPr>
        <w:footnoteReference w:id="20"/>
      </w:r>
    </w:p>
    <w:p w14:paraId="60CDBA51" w14:textId="77777777" w:rsidR="00B05EE7" w:rsidRPr="004635B2" w:rsidRDefault="00B05EE7" w:rsidP="00823C45">
      <w:pPr>
        <w:suppressLineNumbers/>
        <w:suppressAutoHyphens/>
        <w:adjustRightInd w:val="0"/>
        <w:snapToGrid w:val="0"/>
        <w:rPr>
          <w:rFonts w:ascii="Arial" w:hAnsi="Arial" w:cs="Arial"/>
          <w:sz w:val="22"/>
          <w:szCs w:val="22"/>
          <w:lang w:val="fr-CA"/>
        </w:rPr>
      </w:pPr>
    </w:p>
    <w:p w14:paraId="6149B92B" w14:textId="56AF8DE4" w:rsidR="00974917" w:rsidRPr="004635B2" w:rsidRDefault="00570736"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80.</w:t>
      </w:r>
      <w:r w:rsidRPr="004635B2">
        <w:rPr>
          <w:rFonts w:ascii="Arial" w:hAnsi="Arial" w:cs="Arial"/>
          <w:sz w:val="22"/>
          <w:szCs w:val="22"/>
          <w:lang w:val="fr-CA"/>
        </w:rPr>
        <w:tab/>
      </w:r>
      <w:r w:rsidR="00974917" w:rsidRPr="004635B2">
        <w:rPr>
          <w:rFonts w:ascii="Arial" w:hAnsi="Arial" w:cs="Arial"/>
          <w:sz w:val="22"/>
          <w:szCs w:val="22"/>
          <w:lang w:val="fr-CA"/>
        </w:rPr>
        <w:t>Dans le cadre des commentaires sou</w:t>
      </w:r>
      <w:r w:rsidR="000539D3">
        <w:rPr>
          <w:rFonts w:ascii="Arial" w:hAnsi="Arial" w:cs="Arial"/>
          <w:sz w:val="22"/>
          <w:szCs w:val="22"/>
          <w:lang w:val="fr-CA"/>
        </w:rPr>
        <w:t>mis pour le premier rapport du G</w:t>
      </w:r>
      <w:r w:rsidR="00974917" w:rsidRPr="004635B2">
        <w:rPr>
          <w:rFonts w:ascii="Arial" w:hAnsi="Arial" w:cs="Arial"/>
          <w:sz w:val="22"/>
          <w:szCs w:val="22"/>
          <w:lang w:val="fr-CA"/>
        </w:rPr>
        <w:t>roupe d'experts sur la mobilisation des ressources pour le Cadre mondial de la biodiversité pour l'après-2020</w:t>
      </w:r>
      <w:r w:rsidR="000539D3">
        <w:rPr>
          <w:rFonts w:ascii="Arial" w:hAnsi="Arial" w:cs="Arial"/>
          <w:sz w:val="22"/>
          <w:szCs w:val="22"/>
          <w:lang w:val="fr-CA"/>
        </w:rPr>
        <w:t>,</w:t>
      </w:r>
      <w:r w:rsidR="00974917" w:rsidRPr="004635B2">
        <w:rPr>
          <w:rFonts w:ascii="Arial" w:hAnsi="Arial" w:cs="Arial"/>
          <w:sz w:val="22"/>
          <w:szCs w:val="22"/>
          <w:lang w:val="fr-CA"/>
        </w:rPr>
        <w:t xml:space="preserve"> en ce qui concerne l'objectif 3 sur le renforcement des institutions financières existantes et la promotion de la reproduction et du renforcement des mécanismes et instruments financiers efficaces, il a été mentionné qu'il existe une lacune dans la stratégie de mobilisation des ressources par rapport aux limites du FEM à fournir </w:t>
      </w:r>
      <w:r w:rsidR="000539D3">
        <w:rPr>
          <w:rFonts w:ascii="Arial" w:hAnsi="Arial" w:cs="Arial"/>
          <w:sz w:val="22"/>
          <w:szCs w:val="22"/>
          <w:lang w:val="fr-CA"/>
        </w:rPr>
        <w:t>du financement</w:t>
      </w:r>
      <w:r w:rsidR="00974917" w:rsidRPr="004635B2">
        <w:rPr>
          <w:rFonts w:ascii="Arial" w:hAnsi="Arial" w:cs="Arial"/>
          <w:sz w:val="22"/>
          <w:szCs w:val="22"/>
          <w:lang w:val="fr-CA"/>
        </w:rPr>
        <w:t xml:space="preserve"> ne reposant pas sur des subventions</w:t>
      </w:r>
      <w:r w:rsidRPr="004635B2">
        <w:rPr>
          <w:rFonts w:ascii="Arial" w:hAnsi="Arial" w:cs="Arial"/>
          <w:sz w:val="22"/>
          <w:szCs w:val="22"/>
          <w:lang w:val="fr-CA"/>
        </w:rPr>
        <w:t>.</w:t>
      </w:r>
      <w:bookmarkStart w:id="2" w:name="_GoBack"/>
      <w:bookmarkEnd w:id="2"/>
    </w:p>
    <w:p w14:paraId="64517E5C" w14:textId="77777777" w:rsidR="00974917" w:rsidRPr="004635B2" w:rsidRDefault="00974917" w:rsidP="00823C45">
      <w:pPr>
        <w:suppressLineNumbers/>
        <w:suppressAutoHyphens/>
        <w:adjustRightInd w:val="0"/>
        <w:snapToGrid w:val="0"/>
        <w:rPr>
          <w:rFonts w:ascii="Arial" w:hAnsi="Arial" w:cs="Arial"/>
          <w:sz w:val="22"/>
          <w:szCs w:val="22"/>
          <w:lang w:val="fr-CA"/>
        </w:rPr>
      </w:pPr>
    </w:p>
    <w:p w14:paraId="25698429" w14:textId="3FF59EEA" w:rsidR="00974917" w:rsidRPr="004635B2" w:rsidRDefault="00570736"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81.</w:t>
      </w:r>
      <w:r w:rsidRPr="004635B2">
        <w:rPr>
          <w:rFonts w:ascii="Arial" w:hAnsi="Arial" w:cs="Arial"/>
          <w:sz w:val="22"/>
          <w:szCs w:val="22"/>
          <w:lang w:val="fr-CA"/>
        </w:rPr>
        <w:tab/>
      </w:r>
      <w:r w:rsidR="00974917" w:rsidRPr="004635B2">
        <w:rPr>
          <w:rFonts w:ascii="Arial" w:hAnsi="Arial" w:cs="Arial"/>
          <w:sz w:val="22"/>
          <w:szCs w:val="22"/>
          <w:lang w:val="fr-CA"/>
        </w:rPr>
        <w:t>De manière générale, il a également été mentionné que le FEM étant le mécanisme de financement de la CDB, son financement lié à la biodiversité n'a augmenté que d'environ 30 </w:t>
      </w:r>
      <w:r w:rsidRPr="004635B2">
        <w:rPr>
          <w:rFonts w:ascii="Arial" w:hAnsi="Arial" w:cs="Arial"/>
          <w:sz w:val="22"/>
          <w:szCs w:val="22"/>
          <w:lang w:val="fr-CA"/>
        </w:rPr>
        <w:t>pour cent</w:t>
      </w:r>
      <w:r w:rsidR="000539D3">
        <w:rPr>
          <w:rFonts w:ascii="Arial" w:hAnsi="Arial" w:cs="Arial"/>
          <w:sz w:val="22"/>
          <w:szCs w:val="22"/>
          <w:lang w:val="fr-CA"/>
        </w:rPr>
        <w:t xml:space="preserve"> entre la</w:t>
      </w:r>
      <w:r w:rsidR="00974917" w:rsidRPr="004635B2">
        <w:rPr>
          <w:rFonts w:ascii="Arial" w:hAnsi="Arial" w:cs="Arial"/>
          <w:sz w:val="22"/>
          <w:szCs w:val="22"/>
          <w:lang w:val="fr-CA"/>
        </w:rPr>
        <w:t xml:space="preserve"> FEM-4 et l</w:t>
      </w:r>
      <w:r w:rsidR="000539D3">
        <w:rPr>
          <w:rFonts w:ascii="Arial" w:hAnsi="Arial" w:cs="Arial"/>
          <w:sz w:val="22"/>
          <w:szCs w:val="22"/>
          <w:lang w:val="fr-CA"/>
        </w:rPr>
        <w:t>a</w:t>
      </w:r>
      <w:r w:rsidR="00974917" w:rsidRPr="004635B2">
        <w:rPr>
          <w:rFonts w:ascii="Arial" w:hAnsi="Arial" w:cs="Arial"/>
          <w:sz w:val="22"/>
          <w:szCs w:val="22"/>
          <w:lang w:val="fr-CA"/>
        </w:rPr>
        <w:t xml:space="preserve"> FEM-7. L</w:t>
      </w:r>
      <w:r w:rsidR="000539D3">
        <w:rPr>
          <w:rFonts w:ascii="Arial" w:hAnsi="Arial" w:cs="Arial"/>
          <w:sz w:val="22"/>
          <w:szCs w:val="22"/>
          <w:lang w:val="fr-CA"/>
        </w:rPr>
        <w:t>e</w:t>
      </w:r>
      <w:r w:rsidR="00974917" w:rsidRPr="004635B2">
        <w:rPr>
          <w:rFonts w:ascii="Arial" w:hAnsi="Arial" w:cs="Arial"/>
          <w:sz w:val="22"/>
          <w:szCs w:val="22"/>
          <w:lang w:val="fr-CA"/>
        </w:rPr>
        <w:t xml:space="preserve"> FEM a soutenu environ 1 300 projets dans plus de 155 pays grâce à des investissements de plus de 3,5 milliards </w:t>
      </w:r>
      <w:r w:rsidR="00B51554" w:rsidRPr="004635B2">
        <w:rPr>
          <w:rFonts w:ascii="Arial" w:hAnsi="Arial" w:cs="Arial"/>
          <w:sz w:val="22"/>
          <w:szCs w:val="22"/>
          <w:lang w:val="fr-CA"/>
        </w:rPr>
        <w:t>$US et à plus de 10 milliards $US</w:t>
      </w:r>
      <w:r w:rsidR="00974917" w:rsidRPr="004635B2">
        <w:rPr>
          <w:rFonts w:ascii="Arial" w:hAnsi="Arial" w:cs="Arial"/>
          <w:sz w:val="22"/>
          <w:szCs w:val="22"/>
          <w:lang w:val="fr-CA"/>
        </w:rPr>
        <w:t xml:space="preserve"> de cofinancement. </w:t>
      </w:r>
    </w:p>
    <w:p w14:paraId="5BFFF295" w14:textId="77777777" w:rsidR="00974917" w:rsidRPr="004635B2" w:rsidRDefault="00974917" w:rsidP="00823C45">
      <w:pPr>
        <w:suppressLineNumbers/>
        <w:suppressAutoHyphens/>
        <w:adjustRightInd w:val="0"/>
        <w:snapToGrid w:val="0"/>
        <w:rPr>
          <w:rFonts w:ascii="Arial" w:hAnsi="Arial" w:cs="Arial"/>
          <w:sz w:val="22"/>
          <w:szCs w:val="22"/>
          <w:lang w:val="fr-CA"/>
        </w:rPr>
      </w:pPr>
    </w:p>
    <w:p w14:paraId="050A283B" w14:textId="09BBF065" w:rsidR="00974917" w:rsidRPr="004635B2" w:rsidRDefault="00570736"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82.</w:t>
      </w:r>
      <w:r w:rsidRPr="004635B2">
        <w:rPr>
          <w:rFonts w:ascii="Arial" w:hAnsi="Arial" w:cs="Arial"/>
          <w:sz w:val="22"/>
          <w:szCs w:val="22"/>
          <w:lang w:val="fr-CA"/>
        </w:rPr>
        <w:tab/>
      </w:r>
      <w:r w:rsidR="00974917" w:rsidRPr="004635B2">
        <w:rPr>
          <w:rFonts w:ascii="Arial" w:hAnsi="Arial" w:cs="Arial"/>
          <w:sz w:val="22"/>
          <w:szCs w:val="22"/>
          <w:lang w:val="fr-CA"/>
        </w:rPr>
        <w:t>Le troisième rappo</w:t>
      </w:r>
      <w:r w:rsidR="000539D3">
        <w:rPr>
          <w:rFonts w:ascii="Arial" w:hAnsi="Arial" w:cs="Arial"/>
          <w:sz w:val="22"/>
          <w:szCs w:val="22"/>
          <w:lang w:val="fr-CA"/>
        </w:rPr>
        <w:t>rt du G</w:t>
      </w:r>
      <w:r w:rsidR="00974917" w:rsidRPr="004635B2">
        <w:rPr>
          <w:rFonts w:ascii="Arial" w:hAnsi="Arial" w:cs="Arial"/>
          <w:sz w:val="22"/>
          <w:szCs w:val="22"/>
          <w:lang w:val="fr-CA"/>
        </w:rPr>
        <w:t>roupe d'experts sur la mobilisation des ressources pour le nouveau Cadre mondial de la biodiversité pour l'après-2020 mentionne, à titre de recommandation, qu'étant donné que le FEM est le mécanisme de financement de la CDB, il devrait : a) conserver un rôle clé dans la mobilisation des ressources pour la mise en œuvre de la Convention, compte tenu de son rôle dans l'intégration de la biodiversité dans les efforts de développement, et assurer l'utilisation efficace des ressources, b) </w:t>
      </w:r>
      <w:r w:rsidR="00C0762F" w:rsidRPr="004635B2">
        <w:rPr>
          <w:rFonts w:ascii="Arial" w:hAnsi="Arial" w:cs="Arial"/>
          <w:sz w:val="22"/>
          <w:szCs w:val="22"/>
          <w:lang w:val="fr-CA"/>
        </w:rPr>
        <w:t xml:space="preserve">mettre davantage l’accent sur les protocoles et c) </w:t>
      </w:r>
      <w:r w:rsidR="00974917" w:rsidRPr="004635B2">
        <w:rPr>
          <w:rFonts w:ascii="Arial" w:hAnsi="Arial" w:cs="Arial"/>
          <w:sz w:val="22"/>
          <w:szCs w:val="22"/>
          <w:lang w:val="fr-CA"/>
        </w:rPr>
        <w:t>renforcer les liens avec le Fonds vert pour le climat (FVC) afin de catalyser des financements supplémentaires pour la biodiversité.</w:t>
      </w:r>
    </w:p>
    <w:p w14:paraId="50BD05A2" w14:textId="77777777" w:rsidR="00C0762F" w:rsidRPr="004635B2" w:rsidRDefault="00C0762F" w:rsidP="00823C45">
      <w:pPr>
        <w:suppressLineNumbers/>
        <w:suppressAutoHyphens/>
        <w:adjustRightInd w:val="0"/>
        <w:snapToGrid w:val="0"/>
        <w:rPr>
          <w:rFonts w:ascii="Arial" w:hAnsi="Arial" w:cs="Arial"/>
          <w:sz w:val="22"/>
          <w:szCs w:val="22"/>
          <w:lang w:val="fr-CA"/>
        </w:rPr>
      </w:pPr>
    </w:p>
    <w:p w14:paraId="7E8E0B63" w14:textId="716FCDDB" w:rsidR="00C0762F" w:rsidRPr="004635B2" w:rsidRDefault="00C0762F" w:rsidP="00823C45">
      <w:pPr>
        <w:suppressLineNumbers/>
        <w:suppressAutoHyphens/>
        <w:adjustRightInd w:val="0"/>
        <w:snapToGrid w:val="0"/>
        <w:rPr>
          <w:rFonts w:ascii="Arial" w:hAnsi="Arial" w:cs="Arial"/>
          <w:sz w:val="22"/>
          <w:szCs w:val="22"/>
          <w:lang w:val="fr-CA"/>
        </w:rPr>
      </w:pPr>
      <w:r w:rsidRPr="004635B2">
        <w:rPr>
          <w:rFonts w:ascii="Arial" w:hAnsi="Arial" w:cs="Arial"/>
          <w:sz w:val="22"/>
          <w:szCs w:val="22"/>
          <w:lang w:val="fr-CA"/>
        </w:rPr>
        <w:t>83.</w:t>
      </w:r>
      <w:r w:rsidRPr="004635B2">
        <w:rPr>
          <w:rFonts w:ascii="Arial" w:hAnsi="Arial" w:cs="Arial"/>
          <w:sz w:val="22"/>
          <w:szCs w:val="22"/>
          <w:lang w:val="fr-CA"/>
        </w:rPr>
        <w:tab/>
        <w:t xml:space="preserve">Le projet de document sur la reconstitution des ressources du FEM-8 </w:t>
      </w:r>
      <w:r w:rsidR="003428B0" w:rsidRPr="004635B2">
        <w:rPr>
          <w:rFonts w:ascii="Arial" w:hAnsi="Arial" w:cs="Arial"/>
          <w:sz w:val="22"/>
          <w:szCs w:val="22"/>
          <w:lang w:val="fr-CA"/>
        </w:rPr>
        <w:t>sur les orientations des programmes comprend déjà certaines de ces recommandations qui mettent en évidence ses trois objectifs, à savoir</w:t>
      </w:r>
      <w:r w:rsidR="00BD7C7A" w:rsidRPr="004635B2">
        <w:rPr>
          <w:rFonts w:ascii="Arial" w:hAnsi="Arial" w:cs="Arial"/>
          <w:sz w:val="22"/>
          <w:szCs w:val="22"/>
          <w:lang w:val="fr-CA"/>
        </w:rPr>
        <w:t xml:space="preserve"> : améliorer </w:t>
      </w:r>
      <w:r w:rsidR="003428B0" w:rsidRPr="004635B2">
        <w:rPr>
          <w:rFonts w:ascii="Arial" w:hAnsi="Arial" w:cs="Arial"/>
          <w:sz w:val="22"/>
          <w:szCs w:val="22"/>
          <w:lang w:val="fr-CA"/>
        </w:rPr>
        <w:t>la conservation, l’util</w:t>
      </w:r>
      <w:r w:rsidR="00BD7C7A" w:rsidRPr="004635B2">
        <w:rPr>
          <w:rFonts w:ascii="Arial" w:hAnsi="Arial" w:cs="Arial"/>
          <w:sz w:val="22"/>
          <w:szCs w:val="22"/>
          <w:lang w:val="fr-CA"/>
        </w:rPr>
        <w:t>isation durable et la restaurati</w:t>
      </w:r>
      <w:r w:rsidR="003428B0" w:rsidRPr="004635B2">
        <w:rPr>
          <w:rFonts w:ascii="Arial" w:hAnsi="Arial" w:cs="Arial"/>
          <w:sz w:val="22"/>
          <w:szCs w:val="22"/>
          <w:lang w:val="fr-CA"/>
        </w:rPr>
        <w:t xml:space="preserve">on des écosystèmes naturels ; la mise en œuvre efficace des protocoles de Cartagena et de Nagoya, et </w:t>
      </w:r>
      <w:r w:rsidR="00BD7C7A" w:rsidRPr="004635B2">
        <w:rPr>
          <w:rFonts w:ascii="Arial" w:hAnsi="Arial" w:cs="Arial"/>
          <w:sz w:val="22"/>
          <w:szCs w:val="22"/>
          <w:lang w:val="fr-CA"/>
        </w:rPr>
        <w:t>une mobilisation accrue</w:t>
      </w:r>
      <w:r w:rsidR="003428B0" w:rsidRPr="004635B2">
        <w:rPr>
          <w:rFonts w:ascii="Arial" w:hAnsi="Arial" w:cs="Arial"/>
          <w:sz w:val="22"/>
          <w:szCs w:val="22"/>
          <w:lang w:val="fr-CA"/>
        </w:rPr>
        <w:t xml:space="preserve"> des</w:t>
      </w:r>
      <w:r w:rsidR="00BD7C7A" w:rsidRPr="004635B2">
        <w:rPr>
          <w:rFonts w:ascii="Arial" w:hAnsi="Arial" w:cs="Arial"/>
          <w:sz w:val="22"/>
          <w:szCs w:val="22"/>
          <w:lang w:val="fr-CA"/>
        </w:rPr>
        <w:t xml:space="preserve"> ressources </w:t>
      </w:r>
      <w:r w:rsidR="003428B0" w:rsidRPr="004635B2">
        <w:rPr>
          <w:rFonts w:ascii="Arial" w:hAnsi="Arial" w:cs="Arial"/>
          <w:sz w:val="22"/>
          <w:szCs w:val="22"/>
          <w:lang w:val="fr-CA"/>
        </w:rPr>
        <w:t>intérieures pour la diversité biologique.</w:t>
      </w:r>
    </w:p>
    <w:p w14:paraId="71B61AB3" w14:textId="77777777" w:rsidR="00974917" w:rsidRPr="004635B2" w:rsidRDefault="00974917" w:rsidP="0065103C">
      <w:pPr>
        <w:suppressLineNumbers/>
        <w:suppressAutoHyphens/>
        <w:adjustRightInd w:val="0"/>
        <w:snapToGrid w:val="0"/>
        <w:ind w:left="1134"/>
        <w:rPr>
          <w:rFonts w:ascii="Arial" w:hAnsi="Arial" w:cs="Arial"/>
          <w:strike/>
          <w:sz w:val="18"/>
          <w:szCs w:val="18"/>
          <w:lang w:val="fr-CA"/>
        </w:rPr>
      </w:pPr>
    </w:p>
    <w:p w14:paraId="3AFD761E" w14:textId="73E9DC38" w:rsidR="00AE7A38" w:rsidRPr="004635B2" w:rsidRDefault="00735C02" w:rsidP="0065103C">
      <w:pPr>
        <w:pStyle w:val="Para1"/>
        <w:suppressLineNumbers/>
        <w:suppressAutoHyphens/>
        <w:adjustRightInd w:val="0"/>
        <w:snapToGrid w:val="0"/>
        <w:spacing w:before="120"/>
        <w:jc w:val="center"/>
        <w:rPr>
          <w:kern w:val="22"/>
          <w:sz w:val="22"/>
          <w:szCs w:val="22"/>
          <w:lang w:val="fr-CA"/>
        </w:rPr>
      </w:pPr>
      <w:r w:rsidRPr="004635B2">
        <w:rPr>
          <w:kern w:val="22"/>
          <w:sz w:val="22"/>
          <w:szCs w:val="22"/>
          <w:lang w:val="fr-CA"/>
        </w:rPr>
        <w:t>__________</w:t>
      </w:r>
    </w:p>
    <w:sectPr w:rsidR="00AE7A38" w:rsidRPr="004635B2" w:rsidSect="001B7FE3">
      <w:headerReference w:type="even" r:id="rId16"/>
      <w:headerReference w:type="default" r:id="rId17"/>
      <w:footerReference w:type="even" r:id="rId18"/>
      <w:footerReference w:type="first" r:id="rId19"/>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BB962" w14:textId="77777777" w:rsidR="00CE07F7" w:rsidRDefault="00CE07F7">
      <w:r>
        <w:separator/>
      </w:r>
    </w:p>
  </w:endnote>
  <w:endnote w:type="continuationSeparator" w:id="0">
    <w:p w14:paraId="4D96F785" w14:textId="77777777" w:rsidR="00CE07F7" w:rsidRDefault="00CE07F7">
      <w:r>
        <w:continuationSeparator/>
      </w:r>
    </w:p>
  </w:endnote>
  <w:endnote w:type="continuationNotice" w:id="1">
    <w:p w14:paraId="7B4995D0" w14:textId="77777777" w:rsidR="00CE07F7" w:rsidRDefault="00CE0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14F17" w14:textId="77777777" w:rsidR="008068F6" w:rsidRDefault="008068F6"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D8732" w14:textId="77777777" w:rsidR="008068F6" w:rsidRPr="009F11A4" w:rsidRDefault="008068F6"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B21F6" w14:textId="77777777" w:rsidR="00CE07F7" w:rsidRDefault="00CE07F7">
      <w:r>
        <w:separator/>
      </w:r>
    </w:p>
  </w:footnote>
  <w:footnote w:type="continuationSeparator" w:id="0">
    <w:p w14:paraId="0F405AB7" w14:textId="77777777" w:rsidR="00CE07F7" w:rsidRDefault="00CE07F7">
      <w:r>
        <w:continuationSeparator/>
      </w:r>
    </w:p>
  </w:footnote>
  <w:footnote w:type="continuationNotice" w:id="1">
    <w:p w14:paraId="11C7399D" w14:textId="77777777" w:rsidR="00CE07F7" w:rsidRDefault="00CE07F7"/>
  </w:footnote>
  <w:footnote w:id="2">
    <w:p w14:paraId="14C40471" w14:textId="77777777" w:rsidR="008068F6" w:rsidRPr="00C4095D" w:rsidRDefault="008068F6" w:rsidP="00C4095D">
      <w:pPr>
        <w:pStyle w:val="FootnoteText"/>
        <w:ind w:firstLine="0"/>
        <w:rPr>
          <w:rFonts w:asciiTheme="majorBidi" w:hAnsiTheme="majorBidi" w:cstheme="majorBidi"/>
          <w:szCs w:val="18"/>
          <w:lang w:val="en-US"/>
        </w:rPr>
      </w:pPr>
      <w:r w:rsidRPr="00C4095D">
        <w:rPr>
          <w:rStyle w:val="FootnoteReference"/>
          <w:rFonts w:asciiTheme="majorBidi" w:hAnsiTheme="majorBidi" w:cstheme="majorBidi"/>
          <w:szCs w:val="18"/>
          <w:u w:val="none"/>
          <w:vertAlign w:val="superscript"/>
        </w:rPr>
        <w:footnoteRef/>
      </w:r>
      <w:r w:rsidRPr="00C4095D">
        <w:rPr>
          <w:rFonts w:asciiTheme="majorBidi" w:hAnsiTheme="majorBidi" w:cstheme="majorBidi"/>
          <w:szCs w:val="18"/>
          <w:lang w:val="en-US"/>
        </w:rPr>
        <w:t xml:space="preserve"> Ravi Sharma, Stephanie </w:t>
      </w:r>
      <w:proofErr w:type="spellStart"/>
      <w:r w:rsidRPr="00C4095D">
        <w:rPr>
          <w:rFonts w:asciiTheme="majorBidi" w:hAnsiTheme="majorBidi" w:cstheme="majorBidi"/>
          <w:szCs w:val="18"/>
          <w:lang w:val="en-US"/>
        </w:rPr>
        <w:t>Mansourian</w:t>
      </w:r>
      <w:proofErr w:type="spellEnd"/>
      <w:r w:rsidRPr="00C4095D">
        <w:rPr>
          <w:rFonts w:asciiTheme="majorBidi" w:hAnsiTheme="majorBidi" w:cstheme="majorBidi"/>
          <w:szCs w:val="18"/>
          <w:lang w:val="en-US"/>
        </w:rPr>
        <w:t xml:space="preserve">, </w:t>
      </w:r>
      <w:proofErr w:type="spellStart"/>
      <w:r w:rsidRPr="00C4095D">
        <w:rPr>
          <w:rFonts w:asciiTheme="majorBidi" w:hAnsiTheme="majorBidi" w:cstheme="majorBidi"/>
          <w:szCs w:val="18"/>
          <w:lang w:val="en-US"/>
        </w:rPr>
        <w:t>Yasha</w:t>
      </w:r>
      <w:proofErr w:type="spellEnd"/>
      <w:r w:rsidRPr="00C4095D">
        <w:rPr>
          <w:rFonts w:asciiTheme="majorBidi" w:hAnsiTheme="majorBidi" w:cstheme="majorBidi"/>
          <w:szCs w:val="18"/>
          <w:lang w:val="en-US"/>
        </w:rPr>
        <w:t xml:space="preserve"> </w:t>
      </w:r>
      <w:proofErr w:type="spellStart"/>
      <w:r w:rsidRPr="00C4095D">
        <w:rPr>
          <w:rFonts w:asciiTheme="majorBidi" w:hAnsiTheme="majorBidi" w:cstheme="majorBidi"/>
          <w:szCs w:val="18"/>
          <w:lang w:val="en-US"/>
        </w:rPr>
        <w:t>Feferholtz</w:t>
      </w:r>
      <w:proofErr w:type="spellEnd"/>
      <w:r w:rsidRPr="00C4095D">
        <w:rPr>
          <w:rFonts w:asciiTheme="majorBidi" w:hAnsiTheme="majorBidi" w:cstheme="majorBidi"/>
          <w:szCs w:val="18"/>
          <w:lang w:val="en-US"/>
        </w:rPr>
        <w:t>.</w:t>
      </w:r>
    </w:p>
  </w:footnote>
  <w:footnote w:id="3">
    <w:p w14:paraId="71BF8717" w14:textId="4D8B3D52" w:rsidR="008068F6" w:rsidRPr="00BE0D71" w:rsidRDefault="008068F6" w:rsidP="0045295A">
      <w:pPr>
        <w:pStyle w:val="FootnoteText"/>
        <w:ind w:firstLine="0"/>
        <w:rPr>
          <w:szCs w:val="18"/>
          <w:lang w:val="fr-CA"/>
        </w:rPr>
      </w:pPr>
      <w:r w:rsidRPr="00BE0D71">
        <w:rPr>
          <w:rStyle w:val="FootnoteReference"/>
          <w:szCs w:val="18"/>
          <w:u w:val="none"/>
          <w:vertAlign w:val="superscript"/>
        </w:rPr>
        <w:footnoteRef/>
      </w:r>
      <w:r w:rsidRPr="00BE0D71">
        <w:rPr>
          <w:szCs w:val="18"/>
          <w:vertAlign w:val="superscript"/>
          <w:lang w:val="fr-CA"/>
        </w:rPr>
        <w:t xml:space="preserve">  </w:t>
      </w:r>
      <w:r w:rsidRPr="00BE0D71">
        <w:rPr>
          <w:szCs w:val="18"/>
          <w:lang w:val="fr-CA"/>
        </w:rPr>
        <w:t xml:space="preserve">L’équipe d’experts a </w:t>
      </w:r>
      <w:r>
        <w:rPr>
          <w:szCs w:val="18"/>
          <w:lang w:val="fr-CA"/>
        </w:rPr>
        <w:t>utilisé la liste des 143 pays du</w:t>
      </w:r>
      <w:r w:rsidRPr="00BE0D71">
        <w:rPr>
          <w:szCs w:val="18"/>
          <w:lang w:val="fr-CA"/>
        </w:rPr>
        <w:t xml:space="preserve"> rapport d’évaluation des besoins de la FEM-7, </w:t>
      </w:r>
      <w:r>
        <w:rPr>
          <w:szCs w:val="18"/>
          <w:lang w:val="fr-CA"/>
        </w:rPr>
        <w:t>à laquelle elle a ajouté la République populaire démocratique de Corée, qui a remis un questionnaire, et la Somalie</w:t>
      </w:r>
      <w:r w:rsidRPr="00BE0D71">
        <w:rPr>
          <w:szCs w:val="18"/>
          <w:lang w:val="fr-CA"/>
        </w:rPr>
        <w:t>.</w:t>
      </w:r>
    </w:p>
  </w:footnote>
  <w:footnote w:id="4">
    <w:p w14:paraId="004619F4" w14:textId="09D79FBA" w:rsidR="008068F6" w:rsidRPr="00BE0D71" w:rsidRDefault="008068F6" w:rsidP="0045295A">
      <w:pPr>
        <w:pStyle w:val="FootnoteText"/>
        <w:ind w:firstLine="0"/>
        <w:rPr>
          <w:sz w:val="16"/>
          <w:szCs w:val="16"/>
          <w:lang w:val="fr-CA"/>
        </w:rPr>
      </w:pPr>
      <w:r w:rsidRPr="00BE0D71">
        <w:rPr>
          <w:rStyle w:val="FootnoteReference"/>
          <w:szCs w:val="18"/>
          <w:u w:val="none"/>
          <w:vertAlign w:val="superscript"/>
        </w:rPr>
        <w:footnoteRef/>
      </w:r>
      <w:r w:rsidRPr="00BE0D71">
        <w:rPr>
          <w:szCs w:val="18"/>
          <w:lang w:val="fr-CA"/>
        </w:rPr>
        <w:t xml:space="preserve">  </w:t>
      </w:r>
      <w:r>
        <w:rPr>
          <w:rFonts w:eastAsia="Calibri"/>
          <w:szCs w:val="18"/>
          <w:lang w:val="fr-CA"/>
        </w:rPr>
        <w:t>La somme totale a été obtenue en additionnant les besoins de financement du FEM, le cofinancement attendu de la part des gouvernements et le cofinancement attendu d’autres sources. Elle ne correspond pas nécessairement à l’ensemble des besoins de financement indiqués dans les colonnes pertinentes du questionnaire, car plusieurs questionnaires présentaient des données contradictoires</w:t>
      </w:r>
      <w:r w:rsidRPr="00BE0D71">
        <w:rPr>
          <w:rFonts w:eastAsia="Calibri"/>
          <w:szCs w:val="18"/>
          <w:lang w:val="fr-CA"/>
        </w:rPr>
        <w:t>.</w:t>
      </w:r>
    </w:p>
  </w:footnote>
  <w:footnote w:id="5">
    <w:p w14:paraId="2080F734" w14:textId="07AC4E72" w:rsidR="008068F6" w:rsidRPr="00475A6F" w:rsidRDefault="008068F6" w:rsidP="0065103C">
      <w:pPr>
        <w:pStyle w:val="FootnoteText"/>
        <w:suppressLineNumbers/>
        <w:suppressAutoHyphens/>
        <w:ind w:firstLine="0"/>
        <w:rPr>
          <w:szCs w:val="18"/>
        </w:rPr>
      </w:pPr>
      <w:r w:rsidRPr="00475A6F">
        <w:rPr>
          <w:rStyle w:val="FootnoteReference"/>
          <w:rFonts w:ascii="Arial" w:hAnsi="Arial" w:cs="Arial"/>
          <w:szCs w:val="18"/>
          <w:u w:val="none"/>
          <w:vertAlign w:val="superscript"/>
        </w:rPr>
        <w:footnoteRef/>
      </w:r>
      <w:r>
        <w:rPr>
          <w:rFonts w:ascii="Arial" w:hAnsi="Arial" w:cs="Arial"/>
          <w:szCs w:val="18"/>
        </w:rPr>
        <w:t xml:space="preserve">  </w:t>
      </w:r>
      <w:r w:rsidRPr="00475A6F">
        <w:rPr>
          <w:szCs w:val="18"/>
        </w:rPr>
        <w:t xml:space="preserve">Projet de rapport du Fonds pour l'environnement mondial, juin 2020, CBD/SBI/3/6/Add.1  </w:t>
      </w:r>
    </w:p>
  </w:footnote>
  <w:footnote w:id="6">
    <w:p w14:paraId="574E8A7A" w14:textId="27FA5921" w:rsidR="008068F6" w:rsidRPr="004635B2" w:rsidRDefault="008068F6" w:rsidP="00475A6F">
      <w:pPr>
        <w:pStyle w:val="FootnoteText"/>
        <w:ind w:firstLine="0"/>
        <w:rPr>
          <w:szCs w:val="18"/>
          <w:lang w:val="fr-CA"/>
        </w:rPr>
      </w:pPr>
      <w:r w:rsidRPr="00475A6F">
        <w:rPr>
          <w:rStyle w:val="FootnoteReference"/>
          <w:u w:val="none"/>
          <w:vertAlign w:val="superscript"/>
        </w:rPr>
        <w:footnoteRef/>
      </w:r>
      <w:r w:rsidRPr="004635B2">
        <w:rPr>
          <w:lang w:val="fr-CA"/>
        </w:rPr>
        <w:t xml:space="preserve">  </w:t>
      </w:r>
      <w:r w:rsidRPr="004635B2">
        <w:rPr>
          <w:szCs w:val="18"/>
          <w:lang w:val="fr-CA"/>
        </w:rPr>
        <w:t>Rapport final de l’OPS7 (septième</w:t>
      </w:r>
      <w:r>
        <w:rPr>
          <w:szCs w:val="18"/>
          <w:lang w:val="fr-CA"/>
        </w:rPr>
        <w:t xml:space="preserve"> bilan global du FEM), novembre</w:t>
      </w:r>
      <w:r w:rsidRPr="004635B2">
        <w:rPr>
          <w:szCs w:val="18"/>
          <w:lang w:val="fr-CA"/>
        </w:rPr>
        <w:t xml:space="preserve"> 2021</w:t>
      </w:r>
    </w:p>
  </w:footnote>
  <w:footnote w:id="7">
    <w:p w14:paraId="0E984775" w14:textId="0DFBCF23" w:rsidR="008068F6" w:rsidRPr="00A57DC3" w:rsidRDefault="008068F6" w:rsidP="0065103C">
      <w:pPr>
        <w:pStyle w:val="FootnoteText"/>
        <w:suppressLineNumbers/>
        <w:suppressAutoHyphens/>
        <w:ind w:firstLine="0"/>
        <w:rPr>
          <w:szCs w:val="18"/>
          <w:lang w:val="fr-CA"/>
        </w:rPr>
      </w:pPr>
      <w:r w:rsidRPr="00475A6F">
        <w:rPr>
          <w:rStyle w:val="FootnoteReference"/>
          <w:szCs w:val="18"/>
          <w:u w:val="none"/>
          <w:vertAlign w:val="superscript"/>
        </w:rPr>
        <w:footnoteRef/>
      </w:r>
      <w:r w:rsidRPr="00A57DC3">
        <w:rPr>
          <w:szCs w:val="18"/>
          <w:lang w:val="fr-CA"/>
        </w:rPr>
        <w:t xml:space="preserve">  https://www.thegef.org/newsroom/publications/gef-7-corporate-scorec</w:t>
      </w:r>
      <w:r>
        <w:rPr>
          <w:szCs w:val="18"/>
          <w:lang w:val="fr-CA"/>
        </w:rPr>
        <w:t>ard-de</w:t>
      </w:r>
      <w:r w:rsidRPr="00A57DC3">
        <w:rPr>
          <w:szCs w:val="18"/>
          <w:lang w:val="fr-CA"/>
        </w:rPr>
        <w:t>cember-2021</w:t>
      </w:r>
    </w:p>
  </w:footnote>
  <w:footnote w:id="8">
    <w:p w14:paraId="02FA0483" w14:textId="535E4E5B" w:rsidR="008068F6" w:rsidRPr="008068F6" w:rsidRDefault="008068F6" w:rsidP="0065103C">
      <w:pPr>
        <w:pStyle w:val="FootnoteText"/>
        <w:suppressLineNumbers/>
        <w:suppressAutoHyphens/>
        <w:ind w:firstLine="0"/>
        <w:rPr>
          <w:szCs w:val="18"/>
          <w:lang w:val="fr-CA"/>
        </w:rPr>
      </w:pPr>
      <w:r w:rsidRPr="00B13B18">
        <w:rPr>
          <w:szCs w:val="18"/>
          <w:vertAlign w:val="superscript"/>
        </w:rPr>
        <w:footnoteRef/>
      </w:r>
      <w:r w:rsidRPr="008068F6">
        <w:rPr>
          <w:szCs w:val="18"/>
          <w:lang w:val="fr-CA"/>
        </w:rPr>
        <w:t xml:space="preserve">  https://www.thegef.org/sites/default/files/documents/Results_Guidelines.pdf   </w:t>
      </w:r>
    </w:p>
  </w:footnote>
  <w:footnote w:id="9">
    <w:p w14:paraId="287CB08F" w14:textId="214ECAFD" w:rsidR="008068F6" w:rsidRPr="00B958A2" w:rsidRDefault="008068F6" w:rsidP="0065103C">
      <w:pPr>
        <w:pStyle w:val="FootnoteText"/>
        <w:suppressLineNumbers/>
        <w:suppressAutoHyphens/>
        <w:ind w:firstLine="0"/>
        <w:rPr>
          <w:szCs w:val="18"/>
        </w:rPr>
      </w:pPr>
      <w:r w:rsidRPr="00B958A2">
        <w:rPr>
          <w:rStyle w:val="FootnoteReference"/>
          <w:szCs w:val="18"/>
          <w:u w:val="none"/>
          <w:vertAlign w:val="superscript"/>
          <w:lang w:val="en-GB"/>
        </w:rPr>
        <w:footnoteRef/>
      </w:r>
      <w:r w:rsidRPr="00B958A2">
        <w:rPr>
          <w:szCs w:val="18"/>
        </w:rPr>
        <w:t xml:space="preserve"> </w:t>
      </w:r>
      <w:sdt>
        <w:sdtPr>
          <w:rPr>
            <w:kern w:val="22"/>
            <w:szCs w:val="18"/>
          </w:rPr>
          <w:alias w:val="Subject"/>
          <w:tag w:val=""/>
          <w:id w:val="2137136483"/>
          <w:placeholder>
            <w:docPart w:val="50CCE2F696C74A50B402B2C257ED0264"/>
          </w:placeholder>
          <w:dataBinding w:prefixMappings="xmlns:ns0='http://purl.org/dc/elements/1.1/' xmlns:ns1='http://schemas.openxmlformats.org/package/2006/metadata/core-properties' " w:xpath="/ns1:coreProperties[1]/ns0:subject[1]" w:storeItemID="{6C3C8BC8-F283-45AE-878A-BAB7291924A1}"/>
          <w:text/>
        </w:sdtPr>
        <w:sdtEndPr/>
        <w:sdtContent>
          <w:r w:rsidRPr="00B958A2">
            <w:rPr>
              <w:kern w:val="22"/>
              <w:szCs w:val="18"/>
            </w:rPr>
            <w:t>CBD/SBI/3/6/Add.2</w:t>
          </w:r>
        </w:sdtContent>
      </w:sdt>
    </w:p>
  </w:footnote>
  <w:footnote w:id="10">
    <w:p w14:paraId="528E36D0" w14:textId="466F976F" w:rsidR="008068F6" w:rsidRPr="00051FBC" w:rsidRDefault="008068F6" w:rsidP="0065103C">
      <w:pPr>
        <w:keepLines/>
        <w:suppressLineNumbers/>
        <w:suppressAutoHyphens/>
        <w:spacing w:after="60"/>
        <w:rPr>
          <w:sz w:val="18"/>
          <w:szCs w:val="18"/>
          <w:lang w:eastAsia="en-GB"/>
        </w:rPr>
      </w:pPr>
      <w:r w:rsidRPr="00051FBC">
        <w:rPr>
          <w:rStyle w:val="FootnoteReference"/>
          <w:szCs w:val="18"/>
          <w:u w:val="none"/>
          <w:vertAlign w:val="superscript"/>
        </w:rPr>
        <w:footnoteRef/>
      </w:r>
      <w:r w:rsidRPr="00051FBC">
        <w:rPr>
          <w:sz w:val="18"/>
          <w:szCs w:val="18"/>
        </w:rPr>
        <w:t xml:space="preserve"> Tableau 3 dans le document d'information CBD/S</w:t>
      </w:r>
      <w:r>
        <w:rPr>
          <w:sz w:val="18"/>
          <w:szCs w:val="18"/>
        </w:rPr>
        <w:t>BI/3/INF/24 : Allocation STAR de la</w:t>
      </w:r>
      <w:r w:rsidRPr="00051FBC">
        <w:rPr>
          <w:sz w:val="18"/>
          <w:szCs w:val="18"/>
        </w:rPr>
        <w:t xml:space="preserve"> FEM-7 pour la biodiversité en pourcentage des besoins estimés dans le questionnaire (2016)</w:t>
      </w:r>
    </w:p>
  </w:footnote>
  <w:footnote w:id="11">
    <w:p w14:paraId="34D9B3BD" w14:textId="0D963C81" w:rsidR="008068F6" w:rsidRPr="00051FBC" w:rsidRDefault="008068F6" w:rsidP="0065103C">
      <w:pPr>
        <w:keepLines/>
        <w:suppressLineNumbers/>
        <w:suppressAutoHyphens/>
        <w:spacing w:after="60"/>
        <w:rPr>
          <w:sz w:val="18"/>
          <w:szCs w:val="18"/>
        </w:rPr>
      </w:pPr>
      <w:r w:rsidRPr="00051FBC">
        <w:rPr>
          <w:rStyle w:val="FootnoteReference"/>
          <w:szCs w:val="18"/>
          <w:u w:val="none"/>
          <w:vertAlign w:val="superscript"/>
        </w:rPr>
        <w:footnoteRef/>
      </w:r>
      <w:r w:rsidRPr="00051FBC">
        <w:rPr>
          <w:sz w:val="18"/>
          <w:szCs w:val="18"/>
        </w:rPr>
        <w:t xml:space="preserve"> https://biodiversityfinance.net/colombia  </w:t>
      </w:r>
    </w:p>
  </w:footnote>
  <w:footnote w:id="12">
    <w:p w14:paraId="7A1E1A7F" w14:textId="77777777" w:rsidR="008068F6" w:rsidRPr="001420DA" w:rsidRDefault="008068F6" w:rsidP="001420DA">
      <w:pPr>
        <w:pStyle w:val="FootnoteText"/>
        <w:ind w:firstLine="0"/>
      </w:pPr>
      <w:r w:rsidRPr="001420DA">
        <w:rPr>
          <w:rStyle w:val="FootnoteReference"/>
          <w:u w:val="none"/>
          <w:vertAlign w:val="superscript"/>
        </w:rPr>
        <w:footnoteRef/>
      </w:r>
      <w:r>
        <w:t xml:space="preserve"> </w:t>
      </w:r>
      <w:r w:rsidRPr="00DB08E7">
        <w:t>https://www.wwf.de/fileadmin/fm-wwf/Publikationen-PDF/WWF-Barometer-CBD-SRM.pdf</w:t>
      </w:r>
    </w:p>
  </w:footnote>
  <w:footnote w:id="13">
    <w:p w14:paraId="53B70013" w14:textId="2B4E787A" w:rsidR="008068F6" w:rsidRPr="00A70370" w:rsidRDefault="008068F6" w:rsidP="0065103C">
      <w:pPr>
        <w:pStyle w:val="FootnoteText"/>
        <w:suppressLineNumbers/>
        <w:suppressAutoHyphens/>
        <w:ind w:firstLine="0"/>
        <w:rPr>
          <w:szCs w:val="18"/>
        </w:rPr>
      </w:pPr>
      <w:r w:rsidRPr="00A70370">
        <w:rPr>
          <w:rStyle w:val="FootnoteReference"/>
          <w:szCs w:val="18"/>
          <w:u w:val="none"/>
          <w:vertAlign w:val="superscript"/>
        </w:rPr>
        <w:footnoteRef/>
      </w:r>
      <w:r w:rsidRPr="00A70370">
        <w:rPr>
          <w:szCs w:val="18"/>
        </w:rPr>
        <w:t xml:space="preserve"> https://www.cbd.int/financial/gef8needs.shtml   </w:t>
      </w:r>
    </w:p>
  </w:footnote>
  <w:footnote w:id="14">
    <w:p w14:paraId="4958E060" w14:textId="244BEE46" w:rsidR="008068F6" w:rsidRPr="00A70370" w:rsidRDefault="008068F6" w:rsidP="00A70370">
      <w:pPr>
        <w:pStyle w:val="FootnoteText"/>
        <w:ind w:firstLine="0"/>
        <w:rPr>
          <w:szCs w:val="18"/>
          <w:lang w:val="fr-CA"/>
        </w:rPr>
      </w:pPr>
      <w:r w:rsidRPr="00A70370">
        <w:rPr>
          <w:rStyle w:val="FootnoteReference"/>
          <w:szCs w:val="18"/>
          <w:u w:val="none"/>
          <w:vertAlign w:val="superscript"/>
        </w:rPr>
        <w:footnoteRef/>
      </w:r>
      <w:r w:rsidRPr="00A70370">
        <w:rPr>
          <w:szCs w:val="18"/>
          <w:lang w:val="fr-CA"/>
        </w:rPr>
        <w:t xml:space="preserve"> </w:t>
      </w:r>
      <w:r w:rsidRPr="00A70370">
        <w:rPr>
          <w:rFonts w:eastAsia="Calibri"/>
          <w:szCs w:val="18"/>
          <w:lang w:val="fr-CA"/>
        </w:rPr>
        <w:t xml:space="preserve">La somme totale a été calculée en additionnant les besoins de financement du FEM, le cofinancement </w:t>
      </w:r>
      <w:r>
        <w:rPr>
          <w:rFonts w:eastAsia="Calibri"/>
          <w:szCs w:val="18"/>
          <w:lang w:val="fr-CA"/>
        </w:rPr>
        <w:t>attendu</w:t>
      </w:r>
      <w:r w:rsidRPr="00A70370">
        <w:rPr>
          <w:rFonts w:eastAsia="Calibri"/>
          <w:szCs w:val="18"/>
          <w:lang w:val="fr-CA"/>
        </w:rPr>
        <w:t xml:space="preserve"> des gouvernements et le cofinancement </w:t>
      </w:r>
      <w:r>
        <w:rPr>
          <w:rFonts w:eastAsia="Calibri"/>
          <w:szCs w:val="18"/>
          <w:lang w:val="fr-CA"/>
        </w:rPr>
        <w:t>attendu</w:t>
      </w:r>
      <w:r w:rsidRPr="00A70370">
        <w:rPr>
          <w:rFonts w:eastAsia="Calibri"/>
          <w:szCs w:val="18"/>
          <w:lang w:val="fr-CA"/>
        </w:rPr>
        <w:t xml:space="preserve"> des autres sources. Elle n’est pas nécessairement égale à la totalité des besoins de financement inscrit</w:t>
      </w:r>
      <w:r>
        <w:rPr>
          <w:rFonts w:eastAsia="Calibri"/>
          <w:szCs w:val="18"/>
          <w:lang w:val="fr-CA"/>
        </w:rPr>
        <w:t>e</w:t>
      </w:r>
      <w:r w:rsidRPr="00A70370">
        <w:rPr>
          <w:rFonts w:eastAsia="Calibri"/>
          <w:szCs w:val="18"/>
          <w:lang w:val="fr-CA"/>
        </w:rPr>
        <w:t xml:space="preserve"> dans la colonne pertinente du questionnaire, car plusieurs questionnaires présentent des contradictions. </w:t>
      </w:r>
    </w:p>
  </w:footnote>
  <w:footnote w:id="15">
    <w:p w14:paraId="1BEB719A" w14:textId="27C2C666" w:rsidR="008068F6" w:rsidRPr="00071402" w:rsidRDefault="008068F6" w:rsidP="000779DB">
      <w:pPr>
        <w:pStyle w:val="FootnoteText"/>
        <w:ind w:firstLine="0"/>
        <w:rPr>
          <w:lang w:val="fr-CA"/>
        </w:rPr>
      </w:pPr>
      <w:r w:rsidRPr="00022889">
        <w:rPr>
          <w:rStyle w:val="FootnoteReference"/>
          <w:u w:val="none"/>
          <w:vertAlign w:val="superscript"/>
        </w:rPr>
        <w:footnoteRef/>
      </w:r>
      <w:r>
        <w:t xml:space="preserve"> https://www.cbd,int/doc/c/e26d/3f00/7cb7a016a3b9bed6304f86aa/wg2020-03-06-en-pdf </w:t>
      </w:r>
    </w:p>
  </w:footnote>
  <w:footnote w:id="16">
    <w:p w14:paraId="0FA88567" w14:textId="77777777" w:rsidR="008068F6" w:rsidRPr="00022889" w:rsidRDefault="008068F6" w:rsidP="000779DB">
      <w:pPr>
        <w:pStyle w:val="FootnoteText"/>
        <w:ind w:firstLine="0"/>
        <w:rPr>
          <w:sz w:val="16"/>
          <w:szCs w:val="16"/>
          <w:lang w:val="fr-CA"/>
        </w:rPr>
      </w:pPr>
      <w:r w:rsidRPr="00022889">
        <w:rPr>
          <w:rStyle w:val="FootnoteReference"/>
          <w:sz w:val="16"/>
          <w:szCs w:val="16"/>
          <w:u w:val="none"/>
          <w:vertAlign w:val="superscript"/>
        </w:rPr>
        <w:footnoteRef/>
      </w:r>
      <w:r w:rsidRPr="00022889">
        <w:rPr>
          <w:sz w:val="16"/>
          <w:szCs w:val="16"/>
          <w:lang w:val="fr-CA"/>
        </w:rPr>
        <w:t xml:space="preserve"> CBD/SBI/3/6/Add.1</w:t>
      </w:r>
    </w:p>
  </w:footnote>
  <w:footnote w:id="17">
    <w:p w14:paraId="015FEC51" w14:textId="262302C9" w:rsidR="008068F6" w:rsidRPr="00022889" w:rsidRDefault="008068F6" w:rsidP="000779DB">
      <w:pPr>
        <w:pStyle w:val="FootnoteText"/>
        <w:ind w:firstLine="0"/>
        <w:rPr>
          <w:lang w:val="fr-CA"/>
        </w:rPr>
      </w:pPr>
      <w:r w:rsidRPr="00022889">
        <w:rPr>
          <w:rStyle w:val="FootnoteReference"/>
          <w:sz w:val="16"/>
          <w:szCs w:val="16"/>
          <w:u w:val="none"/>
          <w:vertAlign w:val="superscript"/>
        </w:rPr>
        <w:footnoteRef/>
      </w:r>
      <w:r w:rsidRPr="00022889">
        <w:rPr>
          <w:sz w:val="16"/>
          <w:szCs w:val="16"/>
          <w:lang w:val="fr-CA"/>
        </w:rPr>
        <w:t xml:space="preserve"> Le </w:t>
      </w:r>
      <w:r>
        <w:rPr>
          <w:sz w:val="16"/>
          <w:szCs w:val="16"/>
          <w:lang w:val="fr-CA"/>
        </w:rPr>
        <w:t>maté</w:t>
      </w:r>
      <w:r w:rsidRPr="00022889">
        <w:rPr>
          <w:sz w:val="16"/>
          <w:szCs w:val="16"/>
          <w:lang w:val="fr-CA"/>
        </w:rPr>
        <w:t xml:space="preserve">riel supplémentaire </w:t>
      </w:r>
      <w:r>
        <w:rPr>
          <w:sz w:val="16"/>
          <w:szCs w:val="16"/>
          <w:lang w:val="fr-CA"/>
        </w:rPr>
        <w:t>fournit les résultats et les détails de cette estimation</w:t>
      </w:r>
    </w:p>
  </w:footnote>
  <w:footnote w:id="18">
    <w:p w14:paraId="65A60AB5" w14:textId="250A3DE6" w:rsidR="008068F6" w:rsidRPr="00C47316" w:rsidRDefault="008068F6" w:rsidP="00C0762F">
      <w:pPr>
        <w:pStyle w:val="FootnoteText"/>
        <w:ind w:firstLine="0"/>
        <w:rPr>
          <w:szCs w:val="18"/>
          <w:lang w:val="fr-CA"/>
        </w:rPr>
      </w:pPr>
      <w:r w:rsidRPr="00C0762F">
        <w:rPr>
          <w:rStyle w:val="FootnoteReference"/>
          <w:szCs w:val="18"/>
          <w:u w:val="none"/>
          <w:vertAlign w:val="superscript"/>
        </w:rPr>
        <w:footnoteRef/>
      </w:r>
      <w:r w:rsidRPr="007833ED">
        <w:rPr>
          <w:szCs w:val="18"/>
          <w:lang w:val="fr-CA"/>
        </w:rPr>
        <w:t xml:space="preserve"> </w:t>
      </w:r>
      <w:r w:rsidRPr="00C47316">
        <w:rPr>
          <w:szCs w:val="18"/>
          <w:lang w:val="fr-CA"/>
        </w:rPr>
        <w:t xml:space="preserve">Tableau 1 du rapport d’évaluation des besoins de la FEM-6, https://www.cbd.int/doc/meetings/cop/cop-11/information/cop-11-inf-35-en.pdf   </w:t>
      </w:r>
    </w:p>
  </w:footnote>
  <w:footnote w:id="19">
    <w:p w14:paraId="2C927414" w14:textId="79A84940" w:rsidR="008068F6" w:rsidRPr="00C47316" w:rsidRDefault="008068F6" w:rsidP="00C0762F">
      <w:pPr>
        <w:pStyle w:val="FootnoteText"/>
        <w:ind w:firstLine="0"/>
        <w:rPr>
          <w:szCs w:val="18"/>
          <w:lang w:val="fr-CA"/>
        </w:rPr>
      </w:pPr>
      <w:r w:rsidRPr="00C47316">
        <w:rPr>
          <w:rStyle w:val="FootnoteReference"/>
          <w:u w:val="none"/>
          <w:vertAlign w:val="superscript"/>
        </w:rPr>
        <w:footnoteRef/>
      </w:r>
      <w:r w:rsidRPr="00C47316">
        <w:rPr>
          <w:lang w:val="fr-CA"/>
        </w:rPr>
        <w:t xml:space="preserve"> </w:t>
      </w:r>
      <w:r w:rsidRPr="00C47316">
        <w:rPr>
          <w:szCs w:val="18"/>
          <w:lang w:val="fr-CA"/>
        </w:rPr>
        <w:t>Tableau 12 du rapport d’évaluation des besoins de la FEM-7, https://www.cbd.int/doc/meetings/cop/cop-13/information/cop-13-inf-16-en.pdf</w:t>
      </w:r>
    </w:p>
  </w:footnote>
  <w:footnote w:id="20">
    <w:p w14:paraId="2A279873" w14:textId="4AB1CF75" w:rsidR="008068F6" w:rsidRPr="00C47316" w:rsidRDefault="008068F6" w:rsidP="00C0762F">
      <w:pPr>
        <w:pStyle w:val="FootnoteText"/>
        <w:ind w:firstLine="0"/>
        <w:rPr>
          <w:i/>
          <w:iCs/>
          <w:szCs w:val="18"/>
          <w:lang w:val="fr-CA"/>
        </w:rPr>
      </w:pPr>
      <w:r w:rsidRPr="00C47316">
        <w:rPr>
          <w:rStyle w:val="FootnoteReference"/>
          <w:u w:val="none"/>
          <w:vertAlign w:val="superscript"/>
        </w:rPr>
        <w:footnoteRef/>
      </w:r>
      <w:r w:rsidRPr="00C47316">
        <w:rPr>
          <w:lang w:val="fr-CA"/>
        </w:rPr>
        <w:t xml:space="preserve"> </w:t>
      </w:r>
      <w:r w:rsidRPr="00C47316">
        <w:rPr>
          <w:szCs w:val="18"/>
          <w:lang w:val="fr-CA"/>
        </w:rPr>
        <w:t>Rapport final du septième bilan global du FEM, novembre 2021, figure 3.1g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C648" w14:textId="21F8BB8D" w:rsidR="008068F6" w:rsidRPr="00ED543F" w:rsidRDefault="008068F6" w:rsidP="00ED543F">
    <w:pPr>
      <w:pStyle w:val="Header"/>
      <w:keepLines/>
      <w:suppressLineNumbers/>
      <w:tabs>
        <w:tab w:val="clear" w:pos="4320"/>
        <w:tab w:val="clear" w:pos="8640"/>
      </w:tabs>
      <w:suppressAutoHyphens/>
      <w:rPr>
        <w:noProof/>
        <w:kern w:val="22"/>
        <w:sz w:val="22"/>
        <w:szCs w:val="22"/>
        <w:lang w:val="en-GB"/>
      </w:rPr>
    </w:pPr>
    <w:r>
      <w:rPr>
        <w:noProof/>
        <w:kern w:val="22"/>
        <w:sz w:val="22"/>
        <w:szCs w:val="22"/>
      </w:rPr>
      <w:t>CBD/SBI/3/6/Add.2/Rev.1</w:t>
    </w:r>
  </w:p>
  <w:p w14:paraId="15BB9849" w14:textId="210BC482" w:rsidR="008068F6" w:rsidRPr="00ED543F" w:rsidRDefault="008068F6" w:rsidP="00ED543F">
    <w:pPr>
      <w:pStyle w:val="Header"/>
      <w:keepLines/>
      <w:suppressLineNumbers/>
      <w:tabs>
        <w:tab w:val="clear" w:pos="4320"/>
        <w:tab w:val="clear" w:pos="8640"/>
      </w:tabs>
      <w:suppressAutoHyphens/>
      <w:spacing w:after="240"/>
      <w:rPr>
        <w:noProof/>
        <w:kern w:val="22"/>
        <w:sz w:val="22"/>
        <w:szCs w:val="22"/>
        <w:lang w:val="en-GB"/>
      </w:rPr>
    </w:pPr>
    <w:r>
      <w:rPr>
        <w:noProof/>
        <w:kern w:val="22"/>
        <w:sz w:val="22"/>
        <w:szCs w:val="22"/>
      </w:rPr>
      <w:t xml:space="preserve">Page </w:t>
    </w:r>
    <w:r>
      <w:rPr>
        <w:bCs/>
        <w:noProof/>
        <w:kern w:val="22"/>
        <w:sz w:val="22"/>
        <w:szCs w:val="22"/>
      </w:rPr>
      <w:fldChar w:fldCharType="begin"/>
    </w:r>
    <w:r>
      <w:rPr>
        <w:bCs/>
        <w:noProof/>
        <w:kern w:val="22"/>
        <w:sz w:val="22"/>
        <w:szCs w:val="22"/>
      </w:rPr>
      <w:instrText xml:space="preserve"> PAGE </w:instrText>
    </w:r>
    <w:r>
      <w:fldChar w:fldCharType="separate"/>
    </w:r>
    <w:r w:rsidR="004A1A8C">
      <w:rPr>
        <w:bCs/>
        <w:noProof/>
        <w:kern w:val="22"/>
        <w:sz w:val="22"/>
        <w:szCs w:val="22"/>
      </w:rPr>
      <w:t>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118EA" w14:textId="5E3FC9B1" w:rsidR="008068F6" w:rsidRPr="0065103C" w:rsidRDefault="008068F6" w:rsidP="00ED543F">
    <w:pPr>
      <w:pStyle w:val="Header"/>
      <w:keepLines/>
      <w:suppressLineNumbers/>
      <w:tabs>
        <w:tab w:val="clear" w:pos="4320"/>
        <w:tab w:val="clear" w:pos="8640"/>
      </w:tabs>
      <w:suppressAutoHyphens/>
      <w:jc w:val="right"/>
      <w:rPr>
        <w:noProof/>
        <w:kern w:val="22"/>
        <w:sz w:val="22"/>
        <w:szCs w:val="22"/>
        <w:lang w:val="en-GB"/>
      </w:rPr>
    </w:pPr>
    <w:r>
      <w:rPr>
        <w:noProof/>
        <w:kern w:val="22"/>
        <w:sz w:val="22"/>
        <w:szCs w:val="22"/>
      </w:rPr>
      <w:t>CBD/SBI/3/6/Add.2/Rev.1</w:t>
    </w:r>
  </w:p>
  <w:p w14:paraId="344C5F3B" w14:textId="03C7CA26" w:rsidR="008068F6" w:rsidRPr="0065103C" w:rsidRDefault="008068F6" w:rsidP="00ED543F">
    <w:pPr>
      <w:pStyle w:val="Header"/>
      <w:keepLines/>
      <w:suppressLineNumbers/>
      <w:tabs>
        <w:tab w:val="clear" w:pos="4320"/>
        <w:tab w:val="clear" w:pos="8640"/>
      </w:tabs>
      <w:suppressAutoHyphens/>
      <w:spacing w:after="240"/>
      <w:jc w:val="right"/>
      <w:rPr>
        <w:noProof/>
        <w:kern w:val="22"/>
        <w:sz w:val="22"/>
        <w:szCs w:val="22"/>
        <w:lang w:val="en-GB"/>
      </w:rPr>
    </w:pPr>
    <w:r>
      <w:rPr>
        <w:noProof/>
        <w:kern w:val="22"/>
        <w:sz w:val="22"/>
        <w:szCs w:val="22"/>
      </w:rPr>
      <w:t xml:space="preserve">Page </w:t>
    </w:r>
    <w:r>
      <w:rPr>
        <w:bCs/>
        <w:noProof/>
        <w:kern w:val="22"/>
        <w:sz w:val="22"/>
        <w:szCs w:val="22"/>
      </w:rPr>
      <w:fldChar w:fldCharType="begin"/>
    </w:r>
    <w:r>
      <w:rPr>
        <w:bCs/>
        <w:noProof/>
        <w:kern w:val="22"/>
        <w:sz w:val="22"/>
        <w:szCs w:val="22"/>
      </w:rPr>
      <w:instrText xml:space="preserve"> PAGE </w:instrText>
    </w:r>
    <w:r>
      <w:fldChar w:fldCharType="separate"/>
    </w:r>
    <w:r w:rsidR="004A1A8C">
      <w:rPr>
        <w:bCs/>
        <w:noProof/>
        <w:kern w:val="22"/>
        <w:sz w:val="22"/>
        <w:szCs w:val="22"/>
      </w:rPr>
      <w:t>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F716F5"/>
    <w:multiLevelType w:val="hybridMultilevel"/>
    <w:tmpl w:val="5C885C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E1904FB"/>
    <w:multiLevelType w:val="hybridMultilevel"/>
    <w:tmpl w:val="75FEFEB8"/>
    <w:lvl w:ilvl="0" w:tplc="1009000F">
      <w:start w:val="1"/>
      <w:numFmt w:val="decimal"/>
      <w:lvlText w:val="%1."/>
      <w:lvlJc w:val="left"/>
      <w:pPr>
        <w:ind w:left="720" w:hanging="360"/>
      </w:pPr>
      <w:rPr>
        <w:rFonts w:hint="default"/>
      </w:rPr>
    </w:lvl>
    <w:lvl w:ilvl="1" w:tplc="A36AC836">
      <w:start w:val="1"/>
      <w:numFmt w:val="lowerLetter"/>
      <w:lvlText w:val="%2."/>
      <w:lvlJc w:val="left"/>
      <w:pPr>
        <w:ind w:left="1440" w:hanging="360"/>
      </w:pPr>
      <w:rPr>
        <w:color w:val="auto"/>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AC08E0"/>
    <w:multiLevelType w:val="hybridMultilevel"/>
    <w:tmpl w:val="B308DE96"/>
    <w:lvl w:ilvl="0" w:tplc="FAA08C76">
      <w:start w:val="1"/>
      <w:numFmt w:val="lowerRoman"/>
      <w:lvlText w:val="%1)"/>
      <w:lvlJc w:val="left"/>
      <w:pPr>
        <w:ind w:left="1800" w:hanging="720"/>
      </w:pPr>
      <w:rPr>
        <w:rFonts w:hint="default"/>
      </w:rPr>
    </w:lvl>
    <w:lvl w:ilvl="1" w:tplc="10090019">
      <w:start w:val="1"/>
      <w:numFmt w:val="lowerLetter"/>
      <w:lvlText w:val="%2."/>
      <w:lvlJc w:val="left"/>
      <w:pPr>
        <w:ind w:left="1637" w:hanging="360"/>
      </w:pPr>
    </w:lvl>
    <w:lvl w:ilvl="2" w:tplc="BC6AAE38">
      <w:start w:val="1"/>
      <w:numFmt w:val="lowerLetter"/>
      <w:lvlText w:val="(%3)"/>
      <w:lvlJc w:val="left"/>
      <w:pPr>
        <w:ind w:left="3420" w:hanging="72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95E454F"/>
    <w:multiLevelType w:val="hybridMultilevel"/>
    <w:tmpl w:val="A484DB7A"/>
    <w:lvl w:ilvl="0" w:tplc="06E2859A">
      <w:numFmt w:val="bullet"/>
      <w:lvlText w:val="•"/>
      <w:lvlJc w:val="left"/>
      <w:pPr>
        <w:ind w:left="1854" w:hanging="360"/>
      </w:pPr>
      <w:rPr>
        <w:rFonts w:hint="default"/>
        <w:lang w:val="en-US" w:eastAsia="en-US" w:bidi="ar-SA"/>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72847666"/>
    <w:multiLevelType w:val="hybridMultilevel"/>
    <w:tmpl w:val="9A2E5934"/>
    <w:lvl w:ilvl="0" w:tplc="D3E48274">
      <w:start w:val="1"/>
      <w:numFmt w:val="decimal"/>
      <w:lvlText w:val="%1."/>
      <w:lvlJc w:val="left"/>
      <w:pPr>
        <w:ind w:left="1080" w:hanging="360"/>
      </w:pPr>
      <w:rPr>
        <w:rFonts w:hint="default"/>
      </w:rPr>
    </w:lvl>
    <w:lvl w:ilvl="1" w:tplc="10090019">
      <w:start w:val="1"/>
      <w:numFmt w:val="lowerLetter"/>
      <w:lvlText w:val="%2."/>
      <w:lvlJc w:val="left"/>
      <w:pPr>
        <w:ind w:left="1495" w:hanging="360"/>
      </w:pPr>
    </w:lvl>
    <w:lvl w:ilvl="2" w:tplc="1009001B">
      <w:start w:val="1"/>
      <w:numFmt w:val="lowerRoman"/>
      <w:lvlText w:val="%3."/>
      <w:lvlJc w:val="right"/>
      <w:pPr>
        <w:ind w:left="2520" w:hanging="180"/>
      </w:pPr>
    </w:lvl>
    <w:lvl w:ilvl="3" w:tplc="7EE46332">
      <w:start w:val="1"/>
      <w:numFmt w:val="lowerRoman"/>
      <w:lvlText w:val="(%4)"/>
      <w:lvlJc w:val="left"/>
      <w:pPr>
        <w:ind w:left="3600" w:hanging="720"/>
      </w:pPr>
      <w:rPr>
        <w:rFonts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11"/>
  </w:num>
  <w:num w:numId="3">
    <w:abstractNumId w:val="9"/>
    <w:lvlOverride w:ilvl="0">
      <w:startOverride w:val="1"/>
    </w:lvlOverride>
  </w:num>
  <w:num w:numId="4">
    <w:abstractNumId w:val="1"/>
  </w:num>
  <w:num w:numId="5">
    <w:abstractNumId w:val="6"/>
  </w:num>
  <w:num w:numId="6">
    <w:abstractNumId w:val="18"/>
  </w:num>
  <w:num w:numId="7">
    <w:abstractNumId w:val="13"/>
  </w:num>
  <w:num w:numId="8">
    <w:abstractNumId w:val="7"/>
  </w:num>
  <w:num w:numId="9">
    <w:abstractNumId w:val="10"/>
  </w:num>
  <w:num w:numId="10">
    <w:abstractNumId w:val="8"/>
  </w:num>
  <w:num w:numId="11">
    <w:abstractNumId w:val="14"/>
  </w:num>
  <w:num w:numId="12">
    <w:abstractNumId w:val="4"/>
  </w:num>
  <w:num w:numId="13">
    <w:abstractNumId w:val="17"/>
  </w:num>
  <w:num w:numId="14">
    <w:abstractNumId w:val="12"/>
  </w:num>
  <w:num w:numId="15">
    <w:abstractNumId w:val="16"/>
  </w:num>
  <w:num w:numId="16">
    <w:abstractNumId w:val="2"/>
  </w:num>
  <w:num w:numId="17">
    <w:abstractNumId w:val="19"/>
  </w:num>
  <w:num w:numId="18">
    <w:abstractNumId w:val="3"/>
  </w:num>
  <w:num w:numId="19">
    <w:abstractNumId w:val="0"/>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fr-CA"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03238"/>
    <w:rsid w:val="0000395C"/>
    <w:rsid w:val="00004380"/>
    <w:rsid w:val="00005724"/>
    <w:rsid w:val="00005E4D"/>
    <w:rsid w:val="00006A12"/>
    <w:rsid w:val="0000752C"/>
    <w:rsid w:val="00007F64"/>
    <w:rsid w:val="0001023E"/>
    <w:rsid w:val="000106DF"/>
    <w:rsid w:val="00011546"/>
    <w:rsid w:val="00011731"/>
    <w:rsid w:val="00011B60"/>
    <w:rsid w:val="00011D38"/>
    <w:rsid w:val="000130EE"/>
    <w:rsid w:val="000137DC"/>
    <w:rsid w:val="00013D92"/>
    <w:rsid w:val="000157BF"/>
    <w:rsid w:val="00015E58"/>
    <w:rsid w:val="00015F50"/>
    <w:rsid w:val="00016316"/>
    <w:rsid w:val="00016D26"/>
    <w:rsid w:val="0001785A"/>
    <w:rsid w:val="00021D54"/>
    <w:rsid w:val="00022889"/>
    <w:rsid w:val="00022F52"/>
    <w:rsid w:val="00023270"/>
    <w:rsid w:val="00023D05"/>
    <w:rsid w:val="00024F21"/>
    <w:rsid w:val="00025298"/>
    <w:rsid w:val="0002569C"/>
    <w:rsid w:val="000261A5"/>
    <w:rsid w:val="00026D45"/>
    <w:rsid w:val="000270CE"/>
    <w:rsid w:val="00030AFA"/>
    <w:rsid w:val="00031D50"/>
    <w:rsid w:val="0003261C"/>
    <w:rsid w:val="00032DE7"/>
    <w:rsid w:val="0003314D"/>
    <w:rsid w:val="000332D4"/>
    <w:rsid w:val="0003374F"/>
    <w:rsid w:val="0003698A"/>
    <w:rsid w:val="00036EC8"/>
    <w:rsid w:val="0003703A"/>
    <w:rsid w:val="000379C5"/>
    <w:rsid w:val="00037B77"/>
    <w:rsid w:val="000403AC"/>
    <w:rsid w:val="00040D2C"/>
    <w:rsid w:val="00040DEC"/>
    <w:rsid w:val="0004131C"/>
    <w:rsid w:val="00043AD0"/>
    <w:rsid w:val="00044448"/>
    <w:rsid w:val="00045D03"/>
    <w:rsid w:val="00050FA5"/>
    <w:rsid w:val="00051FBC"/>
    <w:rsid w:val="000521F3"/>
    <w:rsid w:val="000529D1"/>
    <w:rsid w:val="00052C88"/>
    <w:rsid w:val="00052D9D"/>
    <w:rsid w:val="000539D3"/>
    <w:rsid w:val="00054A4D"/>
    <w:rsid w:val="000560B9"/>
    <w:rsid w:val="00057114"/>
    <w:rsid w:val="000577B0"/>
    <w:rsid w:val="00057950"/>
    <w:rsid w:val="000579A1"/>
    <w:rsid w:val="00060156"/>
    <w:rsid w:val="000604C1"/>
    <w:rsid w:val="000609D1"/>
    <w:rsid w:val="000613DB"/>
    <w:rsid w:val="000615F9"/>
    <w:rsid w:val="00062983"/>
    <w:rsid w:val="00062E18"/>
    <w:rsid w:val="00063619"/>
    <w:rsid w:val="0006395B"/>
    <w:rsid w:val="000644E6"/>
    <w:rsid w:val="00065B28"/>
    <w:rsid w:val="00065E05"/>
    <w:rsid w:val="00066CD8"/>
    <w:rsid w:val="0006711B"/>
    <w:rsid w:val="0006714C"/>
    <w:rsid w:val="00070E02"/>
    <w:rsid w:val="00071402"/>
    <w:rsid w:val="000719F5"/>
    <w:rsid w:val="00073094"/>
    <w:rsid w:val="00073903"/>
    <w:rsid w:val="00076574"/>
    <w:rsid w:val="000768AB"/>
    <w:rsid w:val="00076A08"/>
    <w:rsid w:val="00076DAA"/>
    <w:rsid w:val="00077974"/>
    <w:rsid w:val="000779DB"/>
    <w:rsid w:val="0008148F"/>
    <w:rsid w:val="00081A12"/>
    <w:rsid w:val="000828B7"/>
    <w:rsid w:val="00082AF6"/>
    <w:rsid w:val="00083167"/>
    <w:rsid w:val="0008365A"/>
    <w:rsid w:val="00083EFA"/>
    <w:rsid w:val="00083F57"/>
    <w:rsid w:val="00084640"/>
    <w:rsid w:val="00084DE7"/>
    <w:rsid w:val="000856B7"/>
    <w:rsid w:val="000857F4"/>
    <w:rsid w:val="0008586B"/>
    <w:rsid w:val="00090E40"/>
    <w:rsid w:val="00091E4C"/>
    <w:rsid w:val="0009237F"/>
    <w:rsid w:val="000927B5"/>
    <w:rsid w:val="00093501"/>
    <w:rsid w:val="00093703"/>
    <w:rsid w:val="000937AA"/>
    <w:rsid w:val="000948E5"/>
    <w:rsid w:val="00094C9B"/>
    <w:rsid w:val="00094EA8"/>
    <w:rsid w:val="00095BBA"/>
    <w:rsid w:val="00095FB3"/>
    <w:rsid w:val="000962A9"/>
    <w:rsid w:val="0009645C"/>
    <w:rsid w:val="00096CE5"/>
    <w:rsid w:val="000A0339"/>
    <w:rsid w:val="000A1021"/>
    <w:rsid w:val="000A2EF5"/>
    <w:rsid w:val="000A37DF"/>
    <w:rsid w:val="000A3E0B"/>
    <w:rsid w:val="000A4CB7"/>
    <w:rsid w:val="000A6299"/>
    <w:rsid w:val="000A6ED7"/>
    <w:rsid w:val="000B0C7D"/>
    <w:rsid w:val="000B11A5"/>
    <w:rsid w:val="000B1F25"/>
    <w:rsid w:val="000B3673"/>
    <w:rsid w:val="000B371E"/>
    <w:rsid w:val="000B3DAC"/>
    <w:rsid w:val="000B4303"/>
    <w:rsid w:val="000B4DCE"/>
    <w:rsid w:val="000B53BC"/>
    <w:rsid w:val="000B56BE"/>
    <w:rsid w:val="000B7DE4"/>
    <w:rsid w:val="000C06F8"/>
    <w:rsid w:val="000C0DAE"/>
    <w:rsid w:val="000C1A1F"/>
    <w:rsid w:val="000C24A8"/>
    <w:rsid w:val="000C29BC"/>
    <w:rsid w:val="000C2FBA"/>
    <w:rsid w:val="000C36FF"/>
    <w:rsid w:val="000C4970"/>
    <w:rsid w:val="000C6567"/>
    <w:rsid w:val="000C6CC1"/>
    <w:rsid w:val="000C7659"/>
    <w:rsid w:val="000C7AED"/>
    <w:rsid w:val="000D0625"/>
    <w:rsid w:val="000D0D11"/>
    <w:rsid w:val="000D1057"/>
    <w:rsid w:val="000D118D"/>
    <w:rsid w:val="000D178B"/>
    <w:rsid w:val="000D18AF"/>
    <w:rsid w:val="000D2531"/>
    <w:rsid w:val="000D4525"/>
    <w:rsid w:val="000D4B87"/>
    <w:rsid w:val="000D6963"/>
    <w:rsid w:val="000D742A"/>
    <w:rsid w:val="000E1262"/>
    <w:rsid w:val="000E328C"/>
    <w:rsid w:val="000E3FEA"/>
    <w:rsid w:val="000E44EB"/>
    <w:rsid w:val="000E4558"/>
    <w:rsid w:val="000E590C"/>
    <w:rsid w:val="000E71FB"/>
    <w:rsid w:val="000F0779"/>
    <w:rsid w:val="000F0B1A"/>
    <w:rsid w:val="000F1F99"/>
    <w:rsid w:val="000F20E2"/>
    <w:rsid w:val="000F27AD"/>
    <w:rsid w:val="000F3EA4"/>
    <w:rsid w:val="000F478E"/>
    <w:rsid w:val="000F55A4"/>
    <w:rsid w:val="000F58CD"/>
    <w:rsid w:val="000F599B"/>
    <w:rsid w:val="000F6343"/>
    <w:rsid w:val="000F6F19"/>
    <w:rsid w:val="000F74D6"/>
    <w:rsid w:val="000F78FD"/>
    <w:rsid w:val="00101A5F"/>
    <w:rsid w:val="00101BF1"/>
    <w:rsid w:val="00101E91"/>
    <w:rsid w:val="00102DB3"/>
    <w:rsid w:val="0010379D"/>
    <w:rsid w:val="001048B5"/>
    <w:rsid w:val="00105013"/>
    <w:rsid w:val="00105750"/>
    <w:rsid w:val="00105819"/>
    <w:rsid w:val="00105A40"/>
    <w:rsid w:val="00106A1E"/>
    <w:rsid w:val="001101D4"/>
    <w:rsid w:val="00110D4C"/>
    <w:rsid w:val="0011176D"/>
    <w:rsid w:val="00111C04"/>
    <w:rsid w:val="001122E9"/>
    <w:rsid w:val="00113EF4"/>
    <w:rsid w:val="0011459D"/>
    <w:rsid w:val="0011689E"/>
    <w:rsid w:val="00116FFB"/>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D99"/>
    <w:rsid w:val="00124F73"/>
    <w:rsid w:val="001251E9"/>
    <w:rsid w:val="00125806"/>
    <w:rsid w:val="0012639A"/>
    <w:rsid w:val="0012695E"/>
    <w:rsid w:val="00126993"/>
    <w:rsid w:val="00126AEA"/>
    <w:rsid w:val="00127268"/>
    <w:rsid w:val="001275BC"/>
    <w:rsid w:val="00130272"/>
    <w:rsid w:val="00131414"/>
    <w:rsid w:val="001325CC"/>
    <w:rsid w:val="001343FE"/>
    <w:rsid w:val="00135171"/>
    <w:rsid w:val="0013524D"/>
    <w:rsid w:val="001352FA"/>
    <w:rsid w:val="00136308"/>
    <w:rsid w:val="0013691E"/>
    <w:rsid w:val="00136C38"/>
    <w:rsid w:val="00137579"/>
    <w:rsid w:val="0013779D"/>
    <w:rsid w:val="001416C5"/>
    <w:rsid w:val="001417CA"/>
    <w:rsid w:val="001420DA"/>
    <w:rsid w:val="001423AD"/>
    <w:rsid w:val="00143C89"/>
    <w:rsid w:val="0014421F"/>
    <w:rsid w:val="00144B7D"/>
    <w:rsid w:val="00144D88"/>
    <w:rsid w:val="001466B2"/>
    <w:rsid w:val="00146C45"/>
    <w:rsid w:val="00146D8E"/>
    <w:rsid w:val="0014781A"/>
    <w:rsid w:val="00147A01"/>
    <w:rsid w:val="001503E2"/>
    <w:rsid w:val="00150BB2"/>
    <w:rsid w:val="00156168"/>
    <w:rsid w:val="00156977"/>
    <w:rsid w:val="001573C5"/>
    <w:rsid w:val="00157E56"/>
    <w:rsid w:val="00157F37"/>
    <w:rsid w:val="0016130A"/>
    <w:rsid w:val="0016273C"/>
    <w:rsid w:val="0016296B"/>
    <w:rsid w:val="0016330A"/>
    <w:rsid w:val="001636DF"/>
    <w:rsid w:val="00164124"/>
    <w:rsid w:val="001645D2"/>
    <w:rsid w:val="001647F0"/>
    <w:rsid w:val="00164832"/>
    <w:rsid w:val="0016663A"/>
    <w:rsid w:val="0017060C"/>
    <w:rsid w:val="00175CA4"/>
    <w:rsid w:val="00181849"/>
    <w:rsid w:val="001822A6"/>
    <w:rsid w:val="0018289D"/>
    <w:rsid w:val="00183BAA"/>
    <w:rsid w:val="001841AA"/>
    <w:rsid w:val="001841C5"/>
    <w:rsid w:val="00184CF6"/>
    <w:rsid w:val="00186147"/>
    <w:rsid w:val="00187126"/>
    <w:rsid w:val="0018717F"/>
    <w:rsid w:val="00187D7A"/>
    <w:rsid w:val="0019083F"/>
    <w:rsid w:val="00190F7D"/>
    <w:rsid w:val="00191514"/>
    <w:rsid w:val="00191686"/>
    <w:rsid w:val="001926EE"/>
    <w:rsid w:val="001938F6"/>
    <w:rsid w:val="00193B39"/>
    <w:rsid w:val="00194CFA"/>
    <w:rsid w:val="00194FF2"/>
    <w:rsid w:val="0019568D"/>
    <w:rsid w:val="00196278"/>
    <w:rsid w:val="001966DB"/>
    <w:rsid w:val="00196CD5"/>
    <w:rsid w:val="001972B8"/>
    <w:rsid w:val="0019744E"/>
    <w:rsid w:val="001A0585"/>
    <w:rsid w:val="001A08ED"/>
    <w:rsid w:val="001A0BC8"/>
    <w:rsid w:val="001A1309"/>
    <w:rsid w:val="001A13F6"/>
    <w:rsid w:val="001A1A8C"/>
    <w:rsid w:val="001A1B02"/>
    <w:rsid w:val="001A26E2"/>
    <w:rsid w:val="001A4154"/>
    <w:rsid w:val="001A6D42"/>
    <w:rsid w:val="001A76F8"/>
    <w:rsid w:val="001A7D5E"/>
    <w:rsid w:val="001B08C1"/>
    <w:rsid w:val="001B1AF1"/>
    <w:rsid w:val="001B2C58"/>
    <w:rsid w:val="001B2F43"/>
    <w:rsid w:val="001B3A9E"/>
    <w:rsid w:val="001B412D"/>
    <w:rsid w:val="001B6130"/>
    <w:rsid w:val="001B73B3"/>
    <w:rsid w:val="001B7564"/>
    <w:rsid w:val="001B7FE3"/>
    <w:rsid w:val="001C13C0"/>
    <w:rsid w:val="001C19F0"/>
    <w:rsid w:val="001C2D65"/>
    <w:rsid w:val="001C3AD2"/>
    <w:rsid w:val="001C4823"/>
    <w:rsid w:val="001C57A1"/>
    <w:rsid w:val="001C65AB"/>
    <w:rsid w:val="001C73C9"/>
    <w:rsid w:val="001C7D79"/>
    <w:rsid w:val="001C7EF2"/>
    <w:rsid w:val="001D188A"/>
    <w:rsid w:val="001D1B7B"/>
    <w:rsid w:val="001D2209"/>
    <w:rsid w:val="001D2CD9"/>
    <w:rsid w:val="001D34C8"/>
    <w:rsid w:val="001D34E6"/>
    <w:rsid w:val="001D37AA"/>
    <w:rsid w:val="001D428D"/>
    <w:rsid w:val="001D4521"/>
    <w:rsid w:val="001D4538"/>
    <w:rsid w:val="001D4BA9"/>
    <w:rsid w:val="001D613E"/>
    <w:rsid w:val="001D65D2"/>
    <w:rsid w:val="001D6C42"/>
    <w:rsid w:val="001D7193"/>
    <w:rsid w:val="001E03DA"/>
    <w:rsid w:val="001E13F4"/>
    <w:rsid w:val="001E17B8"/>
    <w:rsid w:val="001E199C"/>
    <w:rsid w:val="001E1F80"/>
    <w:rsid w:val="001E36EA"/>
    <w:rsid w:val="001E3D43"/>
    <w:rsid w:val="001E3D65"/>
    <w:rsid w:val="001E41D6"/>
    <w:rsid w:val="001E5074"/>
    <w:rsid w:val="001E73B7"/>
    <w:rsid w:val="001F0221"/>
    <w:rsid w:val="001F03A1"/>
    <w:rsid w:val="001F0A33"/>
    <w:rsid w:val="001F2B5D"/>
    <w:rsid w:val="001F4230"/>
    <w:rsid w:val="001F4C7E"/>
    <w:rsid w:val="001F4EAD"/>
    <w:rsid w:val="002004CE"/>
    <w:rsid w:val="00200902"/>
    <w:rsid w:val="00201752"/>
    <w:rsid w:val="00201BCD"/>
    <w:rsid w:val="002023FB"/>
    <w:rsid w:val="00202D13"/>
    <w:rsid w:val="00202E66"/>
    <w:rsid w:val="00202E7F"/>
    <w:rsid w:val="00203053"/>
    <w:rsid w:val="002035EF"/>
    <w:rsid w:val="00203D4E"/>
    <w:rsid w:val="00205FEB"/>
    <w:rsid w:val="00206DB0"/>
    <w:rsid w:val="00207A61"/>
    <w:rsid w:val="00207D32"/>
    <w:rsid w:val="00210FDA"/>
    <w:rsid w:val="00211716"/>
    <w:rsid w:val="00211795"/>
    <w:rsid w:val="00211D9C"/>
    <w:rsid w:val="002120F6"/>
    <w:rsid w:val="00212CC5"/>
    <w:rsid w:val="00212CDD"/>
    <w:rsid w:val="00214212"/>
    <w:rsid w:val="002145C7"/>
    <w:rsid w:val="00215F03"/>
    <w:rsid w:val="0021686C"/>
    <w:rsid w:val="002169EB"/>
    <w:rsid w:val="00220593"/>
    <w:rsid w:val="00220877"/>
    <w:rsid w:val="0022187B"/>
    <w:rsid w:val="00221F46"/>
    <w:rsid w:val="002220DB"/>
    <w:rsid w:val="00222837"/>
    <w:rsid w:val="002234BB"/>
    <w:rsid w:val="00223A6E"/>
    <w:rsid w:val="00224A1E"/>
    <w:rsid w:val="00224EE9"/>
    <w:rsid w:val="002268B2"/>
    <w:rsid w:val="00226D95"/>
    <w:rsid w:val="00226DE9"/>
    <w:rsid w:val="002270DD"/>
    <w:rsid w:val="00227E6F"/>
    <w:rsid w:val="0023094C"/>
    <w:rsid w:val="002309E1"/>
    <w:rsid w:val="00230A8A"/>
    <w:rsid w:val="00230D31"/>
    <w:rsid w:val="002311AB"/>
    <w:rsid w:val="00231453"/>
    <w:rsid w:val="0023272E"/>
    <w:rsid w:val="00233495"/>
    <w:rsid w:val="0023397D"/>
    <w:rsid w:val="00233CDF"/>
    <w:rsid w:val="0023787B"/>
    <w:rsid w:val="00237CAC"/>
    <w:rsid w:val="00240C99"/>
    <w:rsid w:val="00241DD1"/>
    <w:rsid w:val="00243F6D"/>
    <w:rsid w:val="00244094"/>
    <w:rsid w:val="00244FD7"/>
    <w:rsid w:val="00246471"/>
    <w:rsid w:val="00246A8A"/>
    <w:rsid w:val="00246FC4"/>
    <w:rsid w:val="0024794E"/>
    <w:rsid w:val="00252472"/>
    <w:rsid w:val="00252547"/>
    <w:rsid w:val="00252B4C"/>
    <w:rsid w:val="00254375"/>
    <w:rsid w:val="00254469"/>
    <w:rsid w:val="0025481E"/>
    <w:rsid w:val="0025563A"/>
    <w:rsid w:val="00256F5C"/>
    <w:rsid w:val="00257129"/>
    <w:rsid w:val="0026001D"/>
    <w:rsid w:val="00261C0D"/>
    <w:rsid w:val="00261DED"/>
    <w:rsid w:val="00262AED"/>
    <w:rsid w:val="00263355"/>
    <w:rsid w:val="002643CD"/>
    <w:rsid w:val="00264E4F"/>
    <w:rsid w:val="00264FF7"/>
    <w:rsid w:val="002679C0"/>
    <w:rsid w:val="00267AA3"/>
    <w:rsid w:val="00267B96"/>
    <w:rsid w:val="00267FBD"/>
    <w:rsid w:val="00270DFD"/>
    <w:rsid w:val="00271A0E"/>
    <w:rsid w:val="00271C60"/>
    <w:rsid w:val="0027264C"/>
    <w:rsid w:val="00272811"/>
    <w:rsid w:val="00272DCD"/>
    <w:rsid w:val="00273199"/>
    <w:rsid w:val="00273401"/>
    <w:rsid w:val="0027618F"/>
    <w:rsid w:val="0027698F"/>
    <w:rsid w:val="00276F6A"/>
    <w:rsid w:val="002771D7"/>
    <w:rsid w:val="002774B7"/>
    <w:rsid w:val="00277912"/>
    <w:rsid w:val="00277CE2"/>
    <w:rsid w:val="002802A5"/>
    <w:rsid w:val="0028068B"/>
    <w:rsid w:val="00280753"/>
    <w:rsid w:val="002814CE"/>
    <w:rsid w:val="00283D83"/>
    <w:rsid w:val="002840E3"/>
    <w:rsid w:val="002843A6"/>
    <w:rsid w:val="002843E9"/>
    <w:rsid w:val="00285B84"/>
    <w:rsid w:val="00286DF5"/>
    <w:rsid w:val="00287FEA"/>
    <w:rsid w:val="002907D1"/>
    <w:rsid w:val="002908C6"/>
    <w:rsid w:val="002909E7"/>
    <w:rsid w:val="00290A0E"/>
    <w:rsid w:val="00290B94"/>
    <w:rsid w:val="002914DE"/>
    <w:rsid w:val="00292988"/>
    <w:rsid w:val="00293265"/>
    <w:rsid w:val="0029393C"/>
    <w:rsid w:val="00294054"/>
    <w:rsid w:val="002963C5"/>
    <w:rsid w:val="00296574"/>
    <w:rsid w:val="002975AD"/>
    <w:rsid w:val="00297DDD"/>
    <w:rsid w:val="002A0055"/>
    <w:rsid w:val="002A0D72"/>
    <w:rsid w:val="002A1EED"/>
    <w:rsid w:val="002A29AC"/>
    <w:rsid w:val="002A3316"/>
    <w:rsid w:val="002A34B2"/>
    <w:rsid w:val="002A3A0E"/>
    <w:rsid w:val="002A45A9"/>
    <w:rsid w:val="002A4825"/>
    <w:rsid w:val="002A4871"/>
    <w:rsid w:val="002A4C61"/>
    <w:rsid w:val="002A4EFF"/>
    <w:rsid w:val="002A5095"/>
    <w:rsid w:val="002A5455"/>
    <w:rsid w:val="002A77A8"/>
    <w:rsid w:val="002B020C"/>
    <w:rsid w:val="002B0592"/>
    <w:rsid w:val="002B0D90"/>
    <w:rsid w:val="002B1308"/>
    <w:rsid w:val="002B1D44"/>
    <w:rsid w:val="002B20AE"/>
    <w:rsid w:val="002B24E3"/>
    <w:rsid w:val="002B2636"/>
    <w:rsid w:val="002B4A08"/>
    <w:rsid w:val="002B4B31"/>
    <w:rsid w:val="002B66FB"/>
    <w:rsid w:val="002B6732"/>
    <w:rsid w:val="002B674D"/>
    <w:rsid w:val="002B6940"/>
    <w:rsid w:val="002C08C7"/>
    <w:rsid w:val="002C0A85"/>
    <w:rsid w:val="002C104E"/>
    <w:rsid w:val="002C1C2B"/>
    <w:rsid w:val="002C1F29"/>
    <w:rsid w:val="002C248D"/>
    <w:rsid w:val="002C2490"/>
    <w:rsid w:val="002C509F"/>
    <w:rsid w:val="002C786D"/>
    <w:rsid w:val="002D0326"/>
    <w:rsid w:val="002D2820"/>
    <w:rsid w:val="002D2A60"/>
    <w:rsid w:val="002D2FEF"/>
    <w:rsid w:val="002D3061"/>
    <w:rsid w:val="002D3270"/>
    <w:rsid w:val="002D37F6"/>
    <w:rsid w:val="002D4BAE"/>
    <w:rsid w:val="002D593D"/>
    <w:rsid w:val="002D5AC4"/>
    <w:rsid w:val="002D5D03"/>
    <w:rsid w:val="002D6BC5"/>
    <w:rsid w:val="002D6C9A"/>
    <w:rsid w:val="002D7DDE"/>
    <w:rsid w:val="002E00FD"/>
    <w:rsid w:val="002E1AF0"/>
    <w:rsid w:val="002E1EE5"/>
    <w:rsid w:val="002E28DE"/>
    <w:rsid w:val="002E3B3A"/>
    <w:rsid w:val="002E3C03"/>
    <w:rsid w:val="002E4E67"/>
    <w:rsid w:val="002E552E"/>
    <w:rsid w:val="002E7A1D"/>
    <w:rsid w:val="002F1751"/>
    <w:rsid w:val="002F21E7"/>
    <w:rsid w:val="002F49DA"/>
    <w:rsid w:val="002F66FC"/>
    <w:rsid w:val="002F7E05"/>
    <w:rsid w:val="002F7F48"/>
    <w:rsid w:val="003014E4"/>
    <w:rsid w:val="00301AAF"/>
    <w:rsid w:val="003032CB"/>
    <w:rsid w:val="00304B50"/>
    <w:rsid w:val="00304C23"/>
    <w:rsid w:val="0030546E"/>
    <w:rsid w:val="00305925"/>
    <w:rsid w:val="00306095"/>
    <w:rsid w:val="003061EF"/>
    <w:rsid w:val="003062B2"/>
    <w:rsid w:val="00306310"/>
    <w:rsid w:val="003063CE"/>
    <w:rsid w:val="003068CD"/>
    <w:rsid w:val="003077F6"/>
    <w:rsid w:val="00307F48"/>
    <w:rsid w:val="00310201"/>
    <w:rsid w:val="00310805"/>
    <w:rsid w:val="00310C4A"/>
    <w:rsid w:val="00311756"/>
    <w:rsid w:val="0031237C"/>
    <w:rsid w:val="00312979"/>
    <w:rsid w:val="0031388D"/>
    <w:rsid w:val="003140F1"/>
    <w:rsid w:val="00314994"/>
    <w:rsid w:val="00315211"/>
    <w:rsid w:val="00316C7D"/>
    <w:rsid w:val="003215F8"/>
    <w:rsid w:val="003218FC"/>
    <w:rsid w:val="00321B12"/>
    <w:rsid w:val="00321EAB"/>
    <w:rsid w:val="0032302F"/>
    <w:rsid w:val="0032316C"/>
    <w:rsid w:val="0032332A"/>
    <w:rsid w:val="00323CBF"/>
    <w:rsid w:val="003241D0"/>
    <w:rsid w:val="00324DD2"/>
    <w:rsid w:val="0032636E"/>
    <w:rsid w:val="00326FBD"/>
    <w:rsid w:val="003275A2"/>
    <w:rsid w:val="00330AC9"/>
    <w:rsid w:val="00331C98"/>
    <w:rsid w:val="00333A81"/>
    <w:rsid w:val="00333D5A"/>
    <w:rsid w:val="00333D9F"/>
    <w:rsid w:val="003340AE"/>
    <w:rsid w:val="00334685"/>
    <w:rsid w:val="00334FDD"/>
    <w:rsid w:val="0033550D"/>
    <w:rsid w:val="00336313"/>
    <w:rsid w:val="003367B6"/>
    <w:rsid w:val="0033701E"/>
    <w:rsid w:val="00337858"/>
    <w:rsid w:val="00337A08"/>
    <w:rsid w:val="00337AE6"/>
    <w:rsid w:val="00341449"/>
    <w:rsid w:val="00342287"/>
    <w:rsid w:val="003428B0"/>
    <w:rsid w:val="00342BE1"/>
    <w:rsid w:val="0034426C"/>
    <w:rsid w:val="0034435D"/>
    <w:rsid w:val="0034439E"/>
    <w:rsid w:val="00344A2D"/>
    <w:rsid w:val="0034599A"/>
    <w:rsid w:val="00345B34"/>
    <w:rsid w:val="00346DA0"/>
    <w:rsid w:val="003476D0"/>
    <w:rsid w:val="00347AD4"/>
    <w:rsid w:val="00347E35"/>
    <w:rsid w:val="00350B80"/>
    <w:rsid w:val="00351EDB"/>
    <w:rsid w:val="0035223B"/>
    <w:rsid w:val="00352D06"/>
    <w:rsid w:val="00354055"/>
    <w:rsid w:val="003556DA"/>
    <w:rsid w:val="00355952"/>
    <w:rsid w:val="003566B1"/>
    <w:rsid w:val="00356D3E"/>
    <w:rsid w:val="003576DA"/>
    <w:rsid w:val="00357829"/>
    <w:rsid w:val="00360999"/>
    <w:rsid w:val="00361111"/>
    <w:rsid w:val="00361CB7"/>
    <w:rsid w:val="0036296B"/>
    <w:rsid w:val="00362CA3"/>
    <w:rsid w:val="00362FBA"/>
    <w:rsid w:val="00364951"/>
    <w:rsid w:val="00365ABB"/>
    <w:rsid w:val="00365BD0"/>
    <w:rsid w:val="00367421"/>
    <w:rsid w:val="00367A94"/>
    <w:rsid w:val="003733BB"/>
    <w:rsid w:val="00373CEB"/>
    <w:rsid w:val="00374C17"/>
    <w:rsid w:val="00375350"/>
    <w:rsid w:val="00375463"/>
    <w:rsid w:val="00375520"/>
    <w:rsid w:val="00375E98"/>
    <w:rsid w:val="00375F94"/>
    <w:rsid w:val="00376218"/>
    <w:rsid w:val="003768B1"/>
    <w:rsid w:val="0037716D"/>
    <w:rsid w:val="00380EA6"/>
    <w:rsid w:val="0038157F"/>
    <w:rsid w:val="00381F45"/>
    <w:rsid w:val="0038264F"/>
    <w:rsid w:val="00382B83"/>
    <w:rsid w:val="00383894"/>
    <w:rsid w:val="00383CFD"/>
    <w:rsid w:val="003841D6"/>
    <w:rsid w:val="003845E5"/>
    <w:rsid w:val="00384759"/>
    <w:rsid w:val="00384F1B"/>
    <w:rsid w:val="00385E6E"/>
    <w:rsid w:val="0038654C"/>
    <w:rsid w:val="003909CB"/>
    <w:rsid w:val="003923B1"/>
    <w:rsid w:val="003927C3"/>
    <w:rsid w:val="0039308E"/>
    <w:rsid w:val="00393677"/>
    <w:rsid w:val="003938FE"/>
    <w:rsid w:val="00394CF2"/>
    <w:rsid w:val="0039556E"/>
    <w:rsid w:val="00396487"/>
    <w:rsid w:val="003970FB"/>
    <w:rsid w:val="003975A6"/>
    <w:rsid w:val="00397AD0"/>
    <w:rsid w:val="003A219C"/>
    <w:rsid w:val="003A23C7"/>
    <w:rsid w:val="003A5800"/>
    <w:rsid w:val="003A77B3"/>
    <w:rsid w:val="003A7B5D"/>
    <w:rsid w:val="003B01B7"/>
    <w:rsid w:val="003B0FB0"/>
    <w:rsid w:val="003B1329"/>
    <w:rsid w:val="003B13D2"/>
    <w:rsid w:val="003B168F"/>
    <w:rsid w:val="003B1E27"/>
    <w:rsid w:val="003B3F42"/>
    <w:rsid w:val="003B4E13"/>
    <w:rsid w:val="003B54CD"/>
    <w:rsid w:val="003B56DC"/>
    <w:rsid w:val="003B5BC8"/>
    <w:rsid w:val="003B6DB2"/>
    <w:rsid w:val="003B6FF5"/>
    <w:rsid w:val="003B788F"/>
    <w:rsid w:val="003C00AA"/>
    <w:rsid w:val="003C06A1"/>
    <w:rsid w:val="003C0D75"/>
    <w:rsid w:val="003C0DF2"/>
    <w:rsid w:val="003C1CF6"/>
    <w:rsid w:val="003C2EEF"/>
    <w:rsid w:val="003C31DE"/>
    <w:rsid w:val="003C3938"/>
    <w:rsid w:val="003C4714"/>
    <w:rsid w:val="003C4EFC"/>
    <w:rsid w:val="003C52EC"/>
    <w:rsid w:val="003C5BAD"/>
    <w:rsid w:val="003C6BDA"/>
    <w:rsid w:val="003C7B8B"/>
    <w:rsid w:val="003D1F6D"/>
    <w:rsid w:val="003D28DC"/>
    <w:rsid w:val="003D2CA2"/>
    <w:rsid w:val="003D3908"/>
    <w:rsid w:val="003D44B2"/>
    <w:rsid w:val="003D4A78"/>
    <w:rsid w:val="003D5742"/>
    <w:rsid w:val="003D5A21"/>
    <w:rsid w:val="003D6CA9"/>
    <w:rsid w:val="003D713D"/>
    <w:rsid w:val="003D72E5"/>
    <w:rsid w:val="003E22EE"/>
    <w:rsid w:val="003E28C0"/>
    <w:rsid w:val="003E3C79"/>
    <w:rsid w:val="003E567A"/>
    <w:rsid w:val="003E5971"/>
    <w:rsid w:val="003E6446"/>
    <w:rsid w:val="003E65DA"/>
    <w:rsid w:val="003E69D2"/>
    <w:rsid w:val="003E6F4E"/>
    <w:rsid w:val="003E6F57"/>
    <w:rsid w:val="003F04AB"/>
    <w:rsid w:val="003F058D"/>
    <w:rsid w:val="003F0F0E"/>
    <w:rsid w:val="003F17F5"/>
    <w:rsid w:val="003F1A7E"/>
    <w:rsid w:val="003F2E72"/>
    <w:rsid w:val="003F406C"/>
    <w:rsid w:val="003F4140"/>
    <w:rsid w:val="003F4150"/>
    <w:rsid w:val="003F6494"/>
    <w:rsid w:val="003F694E"/>
    <w:rsid w:val="003F6CEC"/>
    <w:rsid w:val="003F6D36"/>
    <w:rsid w:val="003F7302"/>
    <w:rsid w:val="003F7D97"/>
    <w:rsid w:val="003F7FF1"/>
    <w:rsid w:val="00401FA0"/>
    <w:rsid w:val="004024BF"/>
    <w:rsid w:val="004028B6"/>
    <w:rsid w:val="00402E07"/>
    <w:rsid w:val="00403156"/>
    <w:rsid w:val="00403428"/>
    <w:rsid w:val="00406438"/>
    <w:rsid w:val="004066B8"/>
    <w:rsid w:val="00407791"/>
    <w:rsid w:val="00407C67"/>
    <w:rsid w:val="004101EA"/>
    <w:rsid w:val="004104C5"/>
    <w:rsid w:val="00410D04"/>
    <w:rsid w:val="00411F73"/>
    <w:rsid w:val="00412D1B"/>
    <w:rsid w:val="004138E7"/>
    <w:rsid w:val="00414977"/>
    <w:rsid w:val="00414E30"/>
    <w:rsid w:val="004168FE"/>
    <w:rsid w:val="00416CCF"/>
    <w:rsid w:val="00420D90"/>
    <w:rsid w:val="00420E6D"/>
    <w:rsid w:val="0042128E"/>
    <w:rsid w:val="00422087"/>
    <w:rsid w:val="00422982"/>
    <w:rsid w:val="00422DD0"/>
    <w:rsid w:val="004238BD"/>
    <w:rsid w:val="00423A16"/>
    <w:rsid w:val="00423AA3"/>
    <w:rsid w:val="00424933"/>
    <w:rsid w:val="00424AB7"/>
    <w:rsid w:val="00424E0F"/>
    <w:rsid w:val="004262A8"/>
    <w:rsid w:val="0042641F"/>
    <w:rsid w:val="00427CC4"/>
    <w:rsid w:val="004329C9"/>
    <w:rsid w:val="00432A08"/>
    <w:rsid w:val="00433B20"/>
    <w:rsid w:val="0043466F"/>
    <w:rsid w:val="00435A3C"/>
    <w:rsid w:val="00435DB4"/>
    <w:rsid w:val="00436194"/>
    <w:rsid w:val="00436683"/>
    <w:rsid w:val="00436C05"/>
    <w:rsid w:val="00437A9A"/>
    <w:rsid w:val="00440E0C"/>
    <w:rsid w:val="0044107D"/>
    <w:rsid w:val="0044183E"/>
    <w:rsid w:val="00442662"/>
    <w:rsid w:val="0044340B"/>
    <w:rsid w:val="00443BEC"/>
    <w:rsid w:val="00443C2E"/>
    <w:rsid w:val="0044424B"/>
    <w:rsid w:val="00444B04"/>
    <w:rsid w:val="00445558"/>
    <w:rsid w:val="00447483"/>
    <w:rsid w:val="0045087F"/>
    <w:rsid w:val="00451B77"/>
    <w:rsid w:val="00451E1C"/>
    <w:rsid w:val="004521B2"/>
    <w:rsid w:val="0045295A"/>
    <w:rsid w:val="00453D1E"/>
    <w:rsid w:val="00454381"/>
    <w:rsid w:val="00454DCD"/>
    <w:rsid w:val="00455A10"/>
    <w:rsid w:val="0045727D"/>
    <w:rsid w:val="004577B0"/>
    <w:rsid w:val="00457EBD"/>
    <w:rsid w:val="0046037E"/>
    <w:rsid w:val="00460DEA"/>
    <w:rsid w:val="004616CF"/>
    <w:rsid w:val="004616E3"/>
    <w:rsid w:val="00462327"/>
    <w:rsid w:val="004635B2"/>
    <w:rsid w:val="00463F0E"/>
    <w:rsid w:val="00464A18"/>
    <w:rsid w:val="004651A2"/>
    <w:rsid w:val="004651BB"/>
    <w:rsid w:val="0046530B"/>
    <w:rsid w:val="004654A3"/>
    <w:rsid w:val="004659AD"/>
    <w:rsid w:val="00465C9A"/>
    <w:rsid w:val="00466E8C"/>
    <w:rsid w:val="004670B8"/>
    <w:rsid w:val="004679CE"/>
    <w:rsid w:val="004705F7"/>
    <w:rsid w:val="00470DBE"/>
    <w:rsid w:val="004716A2"/>
    <w:rsid w:val="00471C03"/>
    <w:rsid w:val="004724C8"/>
    <w:rsid w:val="00473D34"/>
    <w:rsid w:val="004741F0"/>
    <w:rsid w:val="00475A6F"/>
    <w:rsid w:val="00476715"/>
    <w:rsid w:val="00477F62"/>
    <w:rsid w:val="00480748"/>
    <w:rsid w:val="004810B3"/>
    <w:rsid w:val="0048166C"/>
    <w:rsid w:val="00482E5D"/>
    <w:rsid w:val="00484073"/>
    <w:rsid w:val="00484A45"/>
    <w:rsid w:val="00484FE8"/>
    <w:rsid w:val="00485352"/>
    <w:rsid w:val="004858C8"/>
    <w:rsid w:val="00486069"/>
    <w:rsid w:val="004861E5"/>
    <w:rsid w:val="004877A6"/>
    <w:rsid w:val="00490040"/>
    <w:rsid w:val="00490622"/>
    <w:rsid w:val="00491A3C"/>
    <w:rsid w:val="00492099"/>
    <w:rsid w:val="004934B0"/>
    <w:rsid w:val="00493B00"/>
    <w:rsid w:val="00494304"/>
    <w:rsid w:val="004A0738"/>
    <w:rsid w:val="004A1A8C"/>
    <w:rsid w:val="004A1C76"/>
    <w:rsid w:val="004A1D41"/>
    <w:rsid w:val="004A36C3"/>
    <w:rsid w:val="004A3ECE"/>
    <w:rsid w:val="004A5DD8"/>
    <w:rsid w:val="004A60C0"/>
    <w:rsid w:val="004A69CA"/>
    <w:rsid w:val="004A6BBF"/>
    <w:rsid w:val="004B0C4A"/>
    <w:rsid w:val="004B185F"/>
    <w:rsid w:val="004B2287"/>
    <w:rsid w:val="004B30C3"/>
    <w:rsid w:val="004B3206"/>
    <w:rsid w:val="004B3229"/>
    <w:rsid w:val="004B42A0"/>
    <w:rsid w:val="004B42C4"/>
    <w:rsid w:val="004B4661"/>
    <w:rsid w:val="004B4799"/>
    <w:rsid w:val="004B5333"/>
    <w:rsid w:val="004B5D26"/>
    <w:rsid w:val="004B65B0"/>
    <w:rsid w:val="004B6735"/>
    <w:rsid w:val="004B67FF"/>
    <w:rsid w:val="004B7BDD"/>
    <w:rsid w:val="004C1312"/>
    <w:rsid w:val="004C1D73"/>
    <w:rsid w:val="004C41C9"/>
    <w:rsid w:val="004C70F7"/>
    <w:rsid w:val="004C7750"/>
    <w:rsid w:val="004D13E7"/>
    <w:rsid w:val="004D198C"/>
    <w:rsid w:val="004D391D"/>
    <w:rsid w:val="004D3FDF"/>
    <w:rsid w:val="004D426E"/>
    <w:rsid w:val="004D4385"/>
    <w:rsid w:val="004D43EB"/>
    <w:rsid w:val="004D4C00"/>
    <w:rsid w:val="004D581D"/>
    <w:rsid w:val="004D58D2"/>
    <w:rsid w:val="004D5A6A"/>
    <w:rsid w:val="004D74F5"/>
    <w:rsid w:val="004E08FC"/>
    <w:rsid w:val="004E0918"/>
    <w:rsid w:val="004E0DFB"/>
    <w:rsid w:val="004E0E43"/>
    <w:rsid w:val="004E1FE3"/>
    <w:rsid w:val="004E2610"/>
    <w:rsid w:val="004E3781"/>
    <w:rsid w:val="004E3DBC"/>
    <w:rsid w:val="004E5D67"/>
    <w:rsid w:val="004E6E36"/>
    <w:rsid w:val="004E6F42"/>
    <w:rsid w:val="004E758E"/>
    <w:rsid w:val="004E7E5B"/>
    <w:rsid w:val="004F1286"/>
    <w:rsid w:val="004F12DE"/>
    <w:rsid w:val="004F1E31"/>
    <w:rsid w:val="004F2298"/>
    <w:rsid w:val="004F2918"/>
    <w:rsid w:val="004F4BF9"/>
    <w:rsid w:val="004F63FF"/>
    <w:rsid w:val="004F6536"/>
    <w:rsid w:val="004F6BA1"/>
    <w:rsid w:val="004F6BD8"/>
    <w:rsid w:val="004F74AC"/>
    <w:rsid w:val="004F7749"/>
    <w:rsid w:val="004F7BB3"/>
    <w:rsid w:val="00502623"/>
    <w:rsid w:val="00504339"/>
    <w:rsid w:val="00506086"/>
    <w:rsid w:val="00506615"/>
    <w:rsid w:val="00506644"/>
    <w:rsid w:val="005069F8"/>
    <w:rsid w:val="005074CE"/>
    <w:rsid w:val="005100D6"/>
    <w:rsid w:val="00510463"/>
    <w:rsid w:val="00510B3B"/>
    <w:rsid w:val="00510F14"/>
    <w:rsid w:val="00511B0D"/>
    <w:rsid w:val="00511E31"/>
    <w:rsid w:val="00512F67"/>
    <w:rsid w:val="005144BA"/>
    <w:rsid w:val="00514EC9"/>
    <w:rsid w:val="0051593D"/>
    <w:rsid w:val="0051612C"/>
    <w:rsid w:val="00516301"/>
    <w:rsid w:val="005163FA"/>
    <w:rsid w:val="00517CC8"/>
    <w:rsid w:val="00520768"/>
    <w:rsid w:val="00520CFE"/>
    <w:rsid w:val="00520FD9"/>
    <w:rsid w:val="005212AE"/>
    <w:rsid w:val="0052265A"/>
    <w:rsid w:val="00523198"/>
    <w:rsid w:val="00523328"/>
    <w:rsid w:val="005236ED"/>
    <w:rsid w:val="00523EB6"/>
    <w:rsid w:val="00524D8A"/>
    <w:rsid w:val="00526968"/>
    <w:rsid w:val="00526A24"/>
    <w:rsid w:val="00527E13"/>
    <w:rsid w:val="00530F77"/>
    <w:rsid w:val="00531063"/>
    <w:rsid w:val="005310CA"/>
    <w:rsid w:val="00531A5C"/>
    <w:rsid w:val="00532185"/>
    <w:rsid w:val="00533529"/>
    <w:rsid w:val="00535943"/>
    <w:rsid w:val="00535CFD"/>
    <w:rsid w:val="00537510"/>
    <w:rsid w:val="00537793"/>
    <w:rsid w:val="00540027"/>
    <w:rsid w:val="005402BB"/>
    <w:rsid w:val="0054076D"/>
    <w:rsid w:val="00540849"/>
    <w:rsid w:val="00540D69"/>
    <w:rsid w:val="005414F2"/>
    <w:rsid w:val="00541905"/>
    <w:rsid w:val="00543E6D"/>
    <w:rsid w:val="005447D2"/>
    <w:rsid w:val="00544A14"/>
    <w:rsid w:val="00545360"/>
    <w:rsid w:val="0054587A"/>
    <w:rsid w:val="00545FC1"/>
    <w:rsid w:val="00546138"/>
    <w:rsid w:val="00546911"/>
    <w:rsid w:val="005478A7"/>
    <w:rsid w:val="00547F06"/>
    <w:rsid w:val="0055151A"/>
    <w:rsid w:val="00551A1E"/>
    <w:rsid w:val="00551FE3"/>
    <w:rsid w:val="005523FA"/>
    <w:rsid w:val="00552C98"/>
    <w:rsid w:val="00552FD3"/>
    <w:rsid w:val="0055331E"/>
    <w:rsid w:val="00553883"/>
    <w:rsid w:val="00553CC6"/>
    <w:rsid w:val="005552F3"/>
    <w:rsid w:val="0055613E"/>
    <w:rsid w:val="00557A51"/>
    <w:rsid w:val="00560118"/>
    <w:rsid w:val="0056020A"/>
    <w:rsid w:val="005616B6"/>
    <w:rsid w:val="00561738"/>
    <w:rsid w:val="00561818"/>
    <w:rsid w:val="00562255"/>
    <w:rsid w:val="00562CE2"/>
    <w:rsid w:val="00563080"/>
    <w:rsid w:val="00563469"/>
    <w:rsid w:val="00563B5C"/>
    <w:rsid w:val="00563BDE"/>
    <w:rsid w:val="00564EEA"/>
    <w:rsid w:val="00565197"/>
    <w:rsid w:val="0056558E"/>
    <w:rsid w:val="00565760"/>
    <w:rsid w:val="0056629A"/>
    <w:rsid w:val="005662A6"/>
    <w:rsid w:val="0056676A"/>
    <w:rsid w:val="00570015"/>
    <w:rsid w:val="00570736"/>
    <w:rsid w:val="00571158"/>
    <w:rsid w:val="0057128D"/>
    <w:rsid w:val="0057254C"/>
    <w:rsid w:val="00572D82"/>
    <w:rsid w:val="00573E33"/>
    <w:rsid w:val="00573F2D"/>
    <w:rsid w:val="00575792"/>
    <w:rsid w:val="00576779"/>
    <w:rsid w:val="0058034C"/>
    <w:rsid w:val="00581057"/>
    <w:rsid w:val="005817A6"/>
    <w:rsid w:val="0058250A"/>
    <w:rsid w:val="00582865"/>
    <w:rsid w:val="0058374F"/>
    <w:rsid w:val="00584EB1"/>
    <w:rsid w:val="005862D3"/>
    <w:rsid w:val="005864AE"/>
    <w:rsid w:val="0058753B"/>
    <w:rsid w:val="00587596"/>
    <w:rsid w:val="00587BD9"/>
    <w:rsid w:val="00590518"/>
    <w:rsid w:val="00591FEE"/>
    <w:rsid w:val="00592101"/>
    <w:rsid w:val="00592322"/>
    <w:rsid w:val="00593EC9"/>
    <w:rsid w:val="00594176"/>
    <w:rsid w:val="005943E7"/>
    <w:rsid w:val="00594994"/>
    <w:rsid w:val="005950B1"/>
    <w:rsid w:val="00595431"/>
    <w:rsid w:val="00595CC1"/>
    <w:rsid w:val="0059644A"/>
    <w:rsid w:val="00596E7F"/>
    <w:rsid w:val="00597528"/>
    <w:rsid w:val="00597E2E"/>
    <w:rsid w:val="005A09D3"/>
    <w:rsid w:val="005A1717"/>
    <w:rsid w:val="005A1FBE"/>
    <w:rsid w:val="005A201E"/>
    <w:rsid w:val="005A3577"/>
    <w:rsid w:val="005A41A8"/>
    <w:rsid w:val="005A44EB"/>
    <w:rsid w:val="005A466F"/>
    <w:rsid w:val="005A7ACF"/>
    <w:rsid w:val="005B0818"/>
    <w:rsid w:val="005B0B25"/>
    <w:rsid w:val="005B16B5"/>
    <w:rsid w:val="005B2632"/>
    <w:rsid w:val="005B31F0"/>
    <w:rsid w:val="005B4A4A"/>
    <w:rsid w:val="005B4A7C"/>
    <w:rsid w:val="005B77C2"/>
    <w:rsid w:val="005C23C2"/>
    <w:rsid w:val="005C39C8"/>
    <w:rsid w:val="005C48CC"/>
    <w:rsid w:val="005C4AA2"/>
    <w:rsid w:val="005C5008"/>
    <w:rsid w:val="005C5251"/>
    <w:rsid w:val="005C5B4A"/>
    <w:rsid w:val="005C63FB"/>
    <w:rsid w:val="005C69B0"/>
    <w:rsid w:val="005C6A5B"/>
    <w:rsid w:val="005C6C31"/>
    <w:rsid w:val="005C77C2"/>
    <w:rsid w:val="005C78F7"/>
    <w:rsid w:val="005C7A9F"/>
    <w:rsid w:val="005D0A75"/>
    <w:rsid w:val="005D261E"/>
    <w:rsid w:val="005D2A1D"/>
    <w:rsid w:val="005D2AB0"/>
    <w:rsid w:val="005D3370"/>
    <w:rsid w:val="005D3EC9"/>
    <w:rsid w:val="005D3FD5"/>
    <w:rsid w:val="005D453E"/>
    <w:rsid w:val="005D46C0"/>
    <w:rsid w:val="005D6AC0"/>
    <w:rsid w:val="005E0090"/>
    <w:rsid w:val="005E13A7"/>
    <w:rsid w:val="005E15B0"/>
    <w:rsid w:val="005E2220"/>
    <w:rsid w:val="005E2CCF"/>
    <w:rsid w:val="005E2DAC"/>
    <w:rsid w:val="005E2E4D"/>
    <w:rsid w:val="005E5B5C"/>
    <w:rsid w:val="005E5CD8"/>
    <w:rsid w:val="005E6D8A"/>
    <w:rsid w:val="005E76EB"/>
    <w:rsid w:val="005E7FEF"/>
    <w:rsid w:val="005F09C1"/>
    <w:rsid w:val="005F0A24"/>
    <w:rsid w:val="005F14F4"/>
    <w:rsid w:val="005F3185"/>
    <w:rsid w:val="005F3291"/>
    <w:rsid w:val="005F32ED"/>
    <w:rsid w:val="005F44DD"/>
    <w:rsid w:val="005F4B5E"/>
    <w:rsid w:val="005F667B"/>
    <w:rsid w:val="005F6E06"/>
    <w:rsid w:val="005F762A"/>
    <w:rsid w:val="0060029E"/>
    <w:rsid w:val="00600F04"/>
    <w:rsid w:val="00600F77"/>
    <w:rsid w:val="0060176C"/>
    <w:rsid w:val="00601A5E"/>
    <w:rsid w:val="00601F60"/>
    <w:rsid w:val="006029E2"/>
    <w:rsid w:val="006046B4"/>
    <w:rsid w:val="006067E3"/>
    <w:rsid w:val="00606ACC"/>
    <w:rsid w:val="00606E84"/>
    <w:rsid w:val="00607704"/>
    <w:rsid w:val="00607B76"/>
    <w:rsid w:val="006102B1"/>
    <w:rsid w:val="00610FD9"/>
    <w:rsid w:val="00612E4B"/>
    <w:rsid w:val="00614212"/>
    <w:rsid w:val="00614BA5"/>
    <w:rsid w:val="00615954"/>
    <w:rsid w:val="00616614"/>
    <w:rsid w:val="00616CA9"/>
    <w:rsid w:val="0061700A"/>
    <w:rsid w:val="00620A9A"/>
    <w:rsid w:val="006218B6"/>
    <w:rsid w:val="006219F0"/>
    <w:rsid w:val="00622C91"/>
    <w:rsid w:val="00623240"/>
    <w:rsid w:val="0062384C"/>
    <w:rsid w:val="00626E94"/>
    <w:rsid w:val="006271FC"/>
    <w:rsid w:val="006279AB"/>
    <w:rsid w:val="0063338D"/>
    <w:rsid w:val="00633E57"/>
    <w:rsid w:val="00634854"/>
    <w:rsid w:val="00634A58"/>
    <w:rsid w:val="00634C2E"/>
    <w:rsid w:val="0063517C"/>
    <w:rsid w:val="00635356"/>
    <w:rsid w:val="00635500"/>
    <w:rsid w:val="00635C4C"/>
    <w:rsid w:val="00637080"/>
    <w:rsid w:val="00637FB1"/>
    <w:rsid w:val="006406D1"/>
    <w:rsid w:val="0064106A"/>
    <w:rsid w:val="006433C5"/>
    <w:rsid w:val="00643BB9"/>
    <w:rsid w:val="00643E0D"/>
    <w:rsid w:val="0064413D"/>
    <w:rsid w:val="00644438"/>
    <w:rsid w:val="00645441"/>
    <w:rsid w:val="00646F61"/>
    <w:rsid w:val="00647852"/>
    <w:rsid w:val="00647AA7"/>
    <w:rsid w:val="0065103C"/>
    <w:rsid w:val="0065108A"/>
    <w:rsid w:val="00651524"/>
    <w:rsid w:val="00652596"/>
    <w:rsid w:val="00652FFB"/>
    <w:rsid w:val="006530D0"/>
    <w:rsid w:val="00653782"/>
    <w:rsid w:val="00654427"/>
    <w:rsid w:val="0065587B"/>
    <w:rsid w:val="00655A43"/>
    <w:rsid w:val="00655AE7"/>
    <w:rsid w:val="006562FD"/>
    <w:rsid w:val="00656B1A"/>
    <w:rsid w:val="0065715F"/>
    <w:rsid w:val="00657358"/>
    <w:rsid w:val="0065784D"/>
    <w:rsid w:val="0065791B"/>
    <w:rsid w:val="00657AE9"/>
    <w:rsid w:val="00657C43"/>
    <w:rsid w:val="00660521"/>
    <w:rsid w:val="006606AF"/>
    <w:rsid w:val="00660A26"/>
    <w:rsid w:val="006611FA"/>
    <w:rsid w:val="006615AB"/>
    <w:rsid w:val="006622DA"/>
    <w:rsid w:val="00662E2A"/>
    <w:rsid w:val="00664479"/>
    <w:rsid w:val="00664A03"/>
    <w:rsid w:val="006657C9"/>
    <w:rsid w:val="00665EDA"/>
    <w:rsid w:val="006700D2"/>
    <w:rsid w:val="006708A8"/>
    <w:rsid w:val="00670CF9"/>
    <w:rsid w:val="00672E96"/>
    <w:rsid w:val="00674C19"/>
    <w:rsid w:val="006755E1"/>
    <w:rsid w:val="00676EB8"/>
    <w:rsid w:val="00680027"/>
    <w:rsid w:val="00680218"/>
    <w:rsid w:val="0068032F"/>
    <w:rsid w:val="00680B24"/>
    <w:rsid w:val="00680BF7"/>
    <w:rsid w:val="00680D94"/>
    <w:rsid w:val="00680E26"/>
    <w:rsid w:val="00681B8D"/>
    <w:rsid w:val="0068221F"/>
    <w:rsid w:val="00683877"/>
    <w:rsid w:val="00683FCE"/>
    <w:rsid w:val="006851AD"/>
    <w:rsid w:val="00685C14"/>
    <w:rsid w:val="00685D20"/>
    <w:rsid w:val="00686137"/>
    <w:rsid w:val="00686BC2"/>
    <w:rsid w:val="00687E98"/>
    <w:rsid w:val="00690E28"/>
    <w:rsid w:val="00690EF2"/>
    <w:rsid w:val="00691315"/>
    <w:rsid w:val="00691675"/>
    <w:rsid w:val="00691969"/>
    <w:rsid w:val="00692AD7"/>
    <w:rsid w:val="006938D0"/>
    <w:rsid w:val="00693F02"/>
    <w:rsid w:val="00694382"/>
    <w:rsid w:val="006946F4"/>
    <w:rsid w:val="006968AD"/>
    <w:rsid w:val="00696DAE"/>
    <w:rsid w:val="006A01B1"/>
    <w:rsid w:val="006A05D2"/>
    <w:rsid w:val="006A07FE"/>
    <w:rsid w:val="006A09F2"/>
    <w:rsid w:val="006A1A94"/>
    <w:rsid w:val="006A70F5"/>
    <w:rsid w:val="006A749F"/>
    <w:rsid w:val="006A74D4"/>
    <w:rsid w:val="006A7EB2"/>
    <w:rsid w:val="006A7FB8"/>
    <w:rsid w:val="006B0F4A"/>
    <w:rsid w:val="006B22F8"/>
    <w:rsid w:val="006B3B4B"/>
    <w:rsid w:val="006B4406"/>
    <w:rsid w:val="006B5CB8"/>
    <w:rsid w:val="006B5F7D"/>
    <w:rsid w:val="006B64F9"/>
    <w:rsid w:val="006B69C5"/>
    <w:rsid w:val="006B6C79"/>
    <w:rsid w:val="006B7562"/>
    <w:rsid w:val="006B76E4"/>
    <w:rsid w:val="006C0393"/>
    <w:rsid w:val="006C07F7"/>
    <w:rsid w:val="006C15D9"/>
    <w:rsid w:val="006C2076"/>
    <w:rsid w:val="006C20F5"/>
    <w:rsid w:val="006C22B5"/>
    <w:rsid w:val="006C22DF"/>
    <w:rsid w:val="006C2CC5"/>
    <w:rsid w:val="006C4569"/>
    <w:rsid w:val="006C4675"/>
    <w:rsid w:val="006C4C23"/>
    <w:rsid w:val="006C5AA3"/>
    <w:rsid w:val="006C5F25"/>
    <w:rsid w:val="006C68F4"/>
    <w:rsid w:val="006C7122"/>
    <w:rsid w:val="006D0293"/>
    <w:rsid w:val="006D0A9B"/>
    <w:rsid w:val="006D1531"/>
    <w:rsid w:val="006D20F7"/>
    <w:rsid w:val="006D2BA4"/>
    <w:rsid w:val="006D2DDD"/>
    <w:rsid w:val="006D365C"/>
    <w:rsid w:val="006D3DF0"/>
    <w:rsid w:val="006D5257"/>
    <w:rsid w:val="006D5DE9"/>
    <w:rsid w:val="006D63A8"/>
    <w:rsid w:val="006D7054"/>
    <w:rsid w:val="006D7664"/>
    <w:rsid w:val="006D77DF"/>
    <w:rsid w:val="006E04A6"/>
    <w:rsid w:val="006E0AAB"/>
    <w:rsid w:val="006E0D86"/>
    <w:rsid w:val="006E1516"/>
    <w:rsid w:val="006E1726"/>
    <w:rsid w:val="006E2B21"/>
    <w:rsid w:val="006E43AD"/>
    <w:rsid w:val="006E4C69"/>
    <w:rsid w:val="006E51A7"/>
    <w:rsid w:val="006E55AF"/>
    <w:rsid w:val="006E6274"/>
    <w:rsid w:val="006E70CE"/>
    <w:rsid w:val="006F21EB"/>
    <w:rsid w:val="006F2809"/>
    <w:rsid w:val="006F2CCB"/>
    <w:rsid w:val="006F3C5A"/>
    <w:rsid w:val="006F3D0E"/>
    <w:rsid w:val="006F4060"/>
    <w:rsid w:val="006F4234"/>
    <w:rsid w:val="006F5825"/>
    <w:rsid w:val="006F5D18"/>
    <w:rsid w:val="006F6A88"/>
    <w:rsid w:val="006F72DE"/>
    <w:rsid w:val="006F7791"/>
    <w:rsid w:val="006F7BD2"/>
    <w:rsid w:val="006F7CAC"/>
    <w:rsid w:val="007000E3"/>
    <w:rsid w:val="00701407"/>
    <w:rsid w:val="00701B01"/>
    <w:rsid w:val="007029F8"/>
    <w:rsid w:val="00702B47"/>
    <w:rsid w:val="00705070"/>
    <w:rsid w:val="007054F3"/>
    <w:rsid w:val="0070644A"/>
    <w:rsid w:val="007064A8"/>
    <w:rsid w:val="007065B0"/>
    <w:rsid w:val="00707300"/>
    <w:rsid w:val="007074E3"/>
    <w:rsid w:val="0071255E"/>
    <w:rsid w:val="00712646"/>
    <w:rsid w:val="007128BA"/>
    <w:rsid w:val="00712AE2"/>
    <w:rsid w:val="00712BBB"/>
    <w:rsid w:val="00712FA1"/>
    <w:rsid w:val="00712FA8"/>
    <w:rsid w:val="0071318C"/>
    <w:rsid w:val="00714CCC"/>
    <w:rsid w:val="007150F9"/>
    <w:rsid w:val="007153D8"/>
    <w:rsid w:val="00715C16"/>
    <w:rsid w:val="00715DF2"/>
    <w:rsid w:val="007174C9"/>
    <w:rsid w:val="00717723"/>
    <w:rsid w:val="007209AD"/>
    <w:rsid w:val="00721615"/>
    <w:rsid w:val="007217C4"/>
    <w:rsid w:val="00722F73"/>
    <w:rsid w:val="007232C8"/>
    <w:rsid w:val="00723D0C"/>
    <w:rsid w:val="0072591D"/>
    <w:rsid w:val="00725C33"/>
    <w:rsid w:val="007270E8"/>
    <w:rsid w:val="007272BC"/>
    <w:rsid w:val="00727C4C"/>
    <w:rsid w:val="0073018C"/>
    <w:rsid w:val="007307BA"/>
    <w:rsid w:val="00731045"/>
    <w:rsid w:val="00732105"/>
    <w:rsid w:val="00733207"/>
    <w:rsid w:val="00733847"/>
    <w:rsid w:val="00733BD5"/>
    <w:rsid w:val="007358A4"/>
    <w:rsid w:val="00735AB7"/>
    <w:rsid w:val="00735B69"/>
    <w:rsid w:val="00735C02"/>
    <w:rsid w:val="00735C2B"/>
    <w:rsid w:val="00735D50"/>
    <w:rsid w:val="00735F22"/>
    <w:rsid w:val="007369BB"/>
    <w:rsid w:val="00736F4C"/>
    <w:rsid w:val="00737EC0"/>
    <w:rsid w:val="00737ED5"/>
    <w:rsid w:val="00740224"/>
    <w:rsid w:val="007414D4"/>
    <w:rsid w:val="0074226E"/>
    <w:rsid w:val="00743F48"/>
    <w:rsid w:val="00744168"/>
    <w:rsid w:val="007446CD"/>
    <w:rsid w:val="0074498D"/>
    <w:rsid w:val="00744D7B"/>
    <w:rsid w:val="00744E93"/>
    <w:rsid w:val="00745CC8"/>
    <w:rsid w:val="0074634A"/>
    <w:rsid w:val="00746AB2"/>
    <w:rsid w:val="0074727A"/>
    <w:rsid w:val="007475A3"/>
    <w:rsid w:val="0074785F"/>
    <w:rsid w:val="0075093A"/>
    <w:rsid w:val="00750E2F"/>
    <w:rsid w:val="00752623"/>
    <w:rsid w:val="00753458"/>
    <w:rsid w:val="00753859"/>
    <w:rsid w:val="00753DBA"/>
    <w:rsid w:val="00754A5A"/>
    <w:rsid w:val="00755D1D"/>
    <w:rsid w:val="00757A0A"/>
    <w:rsid w:val="0076065A"/>
    <w:rsid w:val="00760D74"/>
    <w:rsid w:val="0076102E"/>
    <w:rsid w:val="00762098"/>
    <w:rsid w:val="007634C8"/>
    <w:rsid w:val="00763504"/>
    <w:rsid w:val="00764ABB"/>
    <w:rsid w:val="00764C56"/>
    <w:rsid w:val="007663D9"/>
    <w:rsid w:val="0076659D"/>
    <w:rsid w:val="00766864"/>
    <w:rsid w:val="00766B0C"/>
    <w:rsid w:val="00766E89"/>
    <w:rsid w:val="00766F69"/>
    <w:rsid w:val="00770903"/>
    <w:rsid w:val="00770D08"/>
    <w:rsid w:val="00771ECF"/>
    <w:rsid w:val="00773932"/>
    <w:rsid w:val="00774BF8"/>
    <w:rsid w:val="0077622A"/>
    <w:rsid w:val="0077668E"/>
    <w:rsid w:val="007766D6"/>
    <w:rsid w:val="0077697B"/>
    <w:rsid w:val="00776BC9"/>
    <w:rsid w:val="00777BE9"/>
    <w:rsid w:val="00777ECA"/>
    <w:rsid w:val="00781C02"/>
    <w:rsid w:val="00781CC3"/>
    <w:rsid w:val="007833ED"/>
    <w:rsid w:val="00783E6D"/>
    <w:rsid w:val="0078513B"/>
    <w:rsid w:val="007854EB"/>
    <w:rsid w:val="00785646"/>
    <w:rsid w:val="0078644E"/>
    <w:rsid w:val="00786856"/>
    <w:rsid w:val="0078783B"/>
    <w:rsid w:val="007904EE"/>
    <w:rsid w:val="00790F82"/>
    <w:rsid w:val="007921D8"/>
    <w:rsid w:val="00792251"/>
    <w:rsid w:val="007922F3"/>
    <w:rsid w:val="00792B96"/>
    <w:rsid w:val="00793E7F"/>
    <w:rsid w:val="0079470A"/>
    <w:rsid w:val="00794ABC"/>
    <w:rsid w:val="007950D5"/>
    <w:rsid w:val="00795FA7"/>
    <w:rsid w:val="00797DE5"/>
    <w:rsid w:val="007A0207"/>
    <w:rsid w:val="007A26C3"/>
    <w:rsid w:val="007A273C"/>
    <w:rsid w:val="007A29EF"/>
    <w:rsid w:val="007A31F6"/>
    <w:rsid w:val="007A3E93"/>
    <w:rsid w:val="007A4922"/>
    <w:rsid w:val="007A4B0D"/>
    <w:rsid w:val="007A4ED0"/>
    <w:rsid w:val="007A580E"/>
    <w:rsid w:val="007A5826"/>
    <w:rsid w:val="007A6791"/>
    <w:rsid w:val="007A6C52"/>
    <w:rsid w:val="007A74B4"/>
    <w:rsid w:val="007A7DCE"/>
    <w:rsid w:val="007B0A9B"/>
    <w:rsid w:val="007B1019"/>
    <w:rsid w:val="007B15B7"/>
    <w:rsid w:val="007B1E18"/>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38D0"/>
    <w:rsid w:val="007C4FC1"/>
    <w:rsid w:val="007C5626"/>
    <w:rsid w:val="007C58D1"/>
    <w:rsid w:val="007C5AA2"/>
    <w:rsid w:val="007C5D84"/>
    <w:rsid w:val="007C6812"/>
    <w:rsid w:val="007C6DDB"/>
    <w:rsid w:val="007C7FA9"/>
    <w:rsid w:val="007D0143"/>
    <w:rsid w:val="007D07CB"/>
    <w:rsid w:val="007D118B"/>
    <w:rsid w:val="007D1969"/>
    <w:rsid w:val="007D2067"/>
    <w:rsid w:val="007D31F0"/>
    <w:rsid w:val="007D3209"/>
    <w:rsid w:val="007D3AD6"/>
    <w:rsid w:val="007D421E"/>
    <w:rsid w:val="007D52DA"/>
    <w:rsid w:val="007D546F"/>
    <w:rsid w:val="007D5DB0"/>
    <w:rsid w:val="007D5FE5"/>
    <w:rsid w:val="007D6918"/>
    <w:rsid w:val="007D702D"/>
    <w:rsid w:val="007D73DD"/>
    <w:rsid w:val="007E0582"/>
    <w:rsid w:val="007E0ED0"/>
    <w:rsid w:val="007E0EFA"/>
    <w:rsid w:val="007E16CA"/>
    <w:rsid w:val="007E3B27"/>
    <w:rsid w:val="007E467B"/>
    <w:rsid w:val="007E4A58"/>
    <w:rsid w:val="007E4BAF"/>
    <w:rsid w:val="007E4FFD"/>
    <w:rsid w:val="007E50AC"/>
    <w:rsid w:val="007E583E"/>
    <w:rsid w:val="007E6EF3"/>
    <w:rsid w:val="007F09E9"/>
    <w:rsid w:val="007F0CD6"/>
    <w:rsid w:val="007F1595"/>
    <w:rsid w:val="007F1AAD"/>
    <w:rsid w:val="007F21BB"/>
    <w:rsid w:val="007F23D3"/>
    <w:rsid w:val="007F55BB"/>
    <w:rsid w:val="007F56A8"/>
    <w:rsid w:val="007F61C3"/>
    <w:rsid w:val="007F641E"/>
    <w:rsid w:val="007F70E6"/>
    <w:rsid w:val="007F7178"/>
    <w:rsid w:val="007F7CB8"/>
    <w:rsid w:val="00800D60"/>
    <w:rsid w:val="008016CE"/>
    <w:rsid w:val="008019BD"/>
    <w:rsid w:val="008019FE"/>
    <w:rsid w:val="00801D61"/>
    <w:rsid w:val="00801EAA"/>
    <w:rsid w:val="00802B87"/>
    <w:rsid w:val="00802F95"/>
    <w:rsid w:val="0080370B"/>
    <w:rsid w:val="008067A7"/>
    <w:rsid w:val="008068F6"/>
    <w:rsid w:val="00806EF2"/>
    <w:rsid w:val="008073F1"/>
    <w:rsid w:val="0080752B"/>
    <w:rsid w:val="008104F6"/>
    <w:rsid w:val="008118DC"/>
    <w:rsid w:val="0081221F"/>
    <w:rsid w:val="008129F5"/>
    <w:rsid w:val="00813F77"/>
    <w:rsid w:val="00814158"/>
    <w:rsid w:val="00814B64"/>
    <w:rsid w:val="00815502"/>
    <w:rsid w:val="008157C4"/>
    <w:rsid w:val="00815A1A"/>
    <w:rsid w:val="00815FBB"/>
    <w:rsid w:val="00815FD7"/>
    <w:rsid w:val="008177C1"/>
    <w:rsid w:val="008179BD"/>
    <w:rsid w:val="00817C96"/>
    <w:rsid w:val="00817F44"/>
    <w:rsid w:val="008203A4"/>
    <w:rsid w:val="00821F95"/>
    <w:rsid w:val="00823C45"/>
    <w:rsid w:val="00823CDA"/>
    <w:rsid w:val="00826454"/>
    <w:rsid w:val="00826CA7"/>
    <w:rsid w:val="00826D2D"/>
    <w:rsid w:val="00826EEE"/>
    <w:rsid w:val="00827DAE"/>
    <w:rsid w:val="00831446"/>
    <w:rsid w:val="008315DF"/>
    <w:rsid w:val="00831E80"/>
    <w:rsid w:val="00832C0E"/>
    <w:rsid w:val="00833124"/>
    <w:rsid w:val="0083332C"/>
    <w:rsid w:val="00833341"/>
    <w:rsid w:val="00833FCA"/>
    <w:rsid w:val="00837F2F"/>
    <w:rsid w:val="00841A13"/>
    <w:rsid w:val="00842B9E"/>
    <w:rsid w:val="00842D07"/>
    <w:rsid w:val="00843488"/>
    <w:rsid w:val="008434B9"/>
    <w:rsid w:val="00843823"/>
    <w:rsid w:val="008442A2"/>
    <w:rsid w:val="00844613"/>
    <w:rsid w:val="008447AD"/>
    <w:rsid w:val="00844A52"/>
    <w:rsid w:val="00844A58"/>
    <w:rsid w:val="00844A84"/>
    <w:rsid w:val="00846867"/>
    <w:rsid w:val="00847F08"/>
    <w:rsid w:val="0085035E"/>
    <w:rsid w:val="00852786"/>
    <w:rsid w:val="00852BEC"/>
    <w:rsid w:val="00853CAC"/>
    <w:rsid w:val="0085431F"/>
    <w:rsid w:val="00854439"/>
    <w:rsid w:val="00854D24"/>
    <w:rsid w:val="00854FFD"/>
    <w:rsid w:val="00855EBA"/>
    <w:rsid w:val="00855EDD"/>
    <w:rsid w:val="0085701F"/>
    <w:rsid w:val="008573DA"/>
    <w:rsid w:val="008600DD"/>
    <w:rsid w:val="00861F7C"/>
    <w:rsid w:val="008621D4"/>
    <w:rsid w:val="0086259E"/>
    <w:rsid w:val="00862BD6"/>
    <w:rsid w:val="00862C7B"/>
    <w:rsid w:val="00863029"/>
    <w:rsid w:val="00863650"/>
    <w:rsid w:val="008639B1"/>
    <w:rsid w:val="00863E4F"/>
    <w:rsid w:val="00864C63"/>
    <w:rsid w:val="00866029"/>
    <w:rsid w:val="008679B4"/>
    <w:rsid w:val="008702DA"/>
    <w:rsid w:val="008708F3"/>
    <w:rsid w:val="008711EC"/>
    <w:rsid w:val="00871B3C"/>
    <w:rsid w:val="00873E63"/>
    <w:rsid w:val="00874141"/>
    <w:rsid w:val="008743D4"/>
    <w:rsid w:val="00874404"/>
    <w:rsid w:val="008746B0"/>
    <w:rsid w:val="00874BC4"/>
    <w:rsid w:val="0087586B"/>
    <w:rsid w:val="00875C2D"/>
    <w:rsid w:val="00875C72"/>
    <w:rsid w:val="00876372"/>
    <w:rsid w:val="008802E6"/>
    <w:rsid w:val="008816BF"/>
    <w:rsid w:val="00882872"/>
    <w:rsid w:val="00883715"/>
    <w:rsid w:val="00883C2E"/>
    <w:rsid w:val="00883C30"/>
    <w:rsid w:val="00883C8C"/>
    <w:rsid w:val="00883F1C"/>
    <w:rsid w:val="00886145"/>
    <w:rsid w:val="008866CA"/>
    <w:rsid w:val="00886B71"/>
    <w:rsid w:val="00887368"/>
    <w:rsid w:val="0088758B"/>
    <w:rsid w:val="008879DB"/>
    <w:rsid w:val="008911EC"/>
    <w:rsid w:val="008925C3"/>
    <w:rsid w:val="00892AB6"/>
    <w:rsid w:val="008937AD"/>
    <w:rsid w:val="00894750"/>
    <w:rsid w:val="00895092"/>
    <w:rsid w:val="00895DC5"/>
    <w:rsid w:val="00896550"/>
    <w:rsid w:val="00897085"/>
    <w:rsid w:val="008A0E57"/>
    <w:rsid w:val="008A0F03"/>
    <w:rsid w:val="008A16C9"/>
    <w:rsid w:val="008A2A99"/>
    <w:rsid w:val="008A3511"/>
    <w:rsid w:val="008A3DB0"/>
    <w:rsid w:val="008A4636"/>
    <w:rsid w:val="008A4E32"/>
    <w:rsid w:val="008A5215"/>
    <w:rsid w:val="008A565B"/>
    <w:rsid w:val="008A59DC"/>
    <w:rsid w:val="008A5E2A"/>
    <w:rsid w:val="008A6322"/>
    <w:rsid w:val="008A694A"/>
    <w:rsid w:val="008A69D0"/>
    <w:rsid w:val="008A7128"/>
    <w:rsid w:val="008A7774"/>
    <w:rsid w:val="008B0393"/>
    <w:rsid w:val="008B0610"/>
    <w:rsid w:val="008B112D"/>
    <w:rsid w:val="008B15FE"/>
    <w:rsid w:val="008B19E9"/>
    <w:rsid w:val="008B1F46"/>
    <w:rsid w:val="008B1FED"/>
    <w:rsid w:val="008B2A2B"/>
    <w:rsid w:val="008B2F15"/>
    <w:rsid w:val="008B3673"/>
    <w:rsid w:val="008B53C9"/>
    <w:rsid w:val="008B6723"/>
    <w:rsid w:val="008B70A8"/>
    <w:rsid w:val="008B7B1B"/>
    <w:rsid w:val="008C0AF9"/>
    <w:rsid w:val="008C12C3"/>
    <w:rsid w:val="008C2E31"/>
    <w:rsid w:val="008C3BBC"/>
    <w:rsid w:val="008C5288"/>
    <w:rsid w:val="008C5F9D"/>
    <w:rsid w:val="008C6079"/>
    <w:rsid w:val="008C6D13"/>
    <w:rsid w:val="008C76E8"/>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0D5"/>
    <w:rsid w:val="008D58E0"/>
    <w:rsid w:val="008D6493"/>
    <w:rsid w:val="008D6E75"/>
    <w:rsid w:val="008D7998"/>
    <w:rsid w:val="008E147D"/>
    <w:rsid w:val="008E2369"/>
    <w:rsid w:val="008E26B5"/>
    <w:rsid w:val="008E292B"/>
    <w:rsid w:val="008E3111"/>
    <w:rsid w:val="008E5364"/>
    <w:rsid w:val="008E5876"/>
    <w:rsid w:val="008E5D58"/>
    <w:rsid w:val="008E66B7"/>
    <w:rsid w:val="008E66CD"/>
    <w:rsid w:val="008F1F06"/>
    <w:rsid w:val="008F2E3F"/>
    <w:rsid w:val="008F32AE"/>
    <w:rsid w:val="008F33D2"/>
    <w:rsid w:val="008F4C69"/>
    <w:rsid w:val="008F4E7C"/>
    <w:rsid w:val="008F4FAA"/>
    <w:rsid w:val="008F65D7"/>
    <w:rsid w:val="008F78DC"/>
    <w:rsid w:val="009003C5"/>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07B"/>
    <w:rsid w:val="00911641"/>
    <w:rsid w:val="00911740"/>
    <w:rsid w:val="0091216C"/>
    <w:rsid w:val="0091281E"/>
    <w:rsid w:val="009134E4"/>
    <w:rsid w:val="009146DF"/>
    <w:rsid w:val="00914CB5"/>
    <w:rsid w:val="00914CF7"/>
    <w:rsid w:val="00914E1A"/>
    <w:rsid w:val="00915A62"/>
    <w:rsid w:val="00916591"/>
    <w:rsid w:val="009168A5"/>
    <w:rsid w:val="0091759D"/>
    <w:rsid w:val="00917E0F"/>
    <w:rsid w:val="00920122"/>
    <w:rsid w:val="009218B9"/>
    <w:rsid w:val="009223B8"/>
    <w:rsid w:val="00922D13"/>
    <w:rsid w:val="00923AC1"/>
    <w:rsid w:val="00923C02"/>
    <w:rsid w:val="00923C1D"/>
    <w:rsid w:val="009244FB"/>
    <w:rsid w:val="009252DF"/>
    <w:rsid w:val="0092636F"/>
    <w:rsid w:val="009272E9"/>
    <w:rsid w:val="00927FE4"/>
    <w:rsid w:val="009310C2"/>
    <w:rsid w:val="00931AD9"/>
    <w:rsid w:val="00931CC2"/>
    <w:rsid w:val="0093225B"/>
    <w:rsid w:val="00933095"/>
    <w:rsid w:val="0093311C"/>
    <w:rsid w:val="00933138"/>
    <w:rsid w:val="00933415"/>
    <w:rsid w:val="00933596"/>
    <w:rsid w:val="00934266"/>
    <w:rsid w:val="00934AD2"/>
    <w:rsid w:val="00934CC4"/>
    <w:rsid w:val="00934D9E"/>
    <w:rsid w:val="009359AF"/>
    <w:rsid w:val="00935BC4"/>
    <w:rsid w:val="009369BA"/>
    <w:rsid w:val="009373E0"/>
    <w:rsid w:val="00937BF2"/>
    <w:rsid w:val="00937D2B"/>
    <w:rsid w:val="009416BA"/>
    <w:rsid w:val="00941840"/>
    <w:rsid w:val="0094199B"/>
    <w:rsid w:val="00942793"/>
    <w:rsid w:val="00942882"/>
    <w:rsid w:val="009432E5"/>
    <w:rsid w:val="009443D0"/>
    <w:rsid w:val="00944983"/>
    <w:rsid w:val="00945611"/>
    <w:rsid w:val="00945994"/>
    <w:rsid w:val="00950BAA"/>
    <w:rsid w:val="00951183"/>
    <w:rsid w:val="00952076"/>
    <w:rsid w:val="00953697"/>
    <w:rsid w:val="009564AF"/>
    <w:rsid w:val="00956A1F"/>
    <w:rsid w:val="00957826"/>
    <w:rsid w:val="009602C5"/>
    <w:rsid w:val="00960511"/>
    <w:rsid w:val="00960971"/>
    <w:rsid w:val="00960A52"/>
    <w:rsid w:val="00961438"/>
    <w:rsid w:val="009622AD"/>
    <w:rsid w:val="009626F5"/>
    <w:rsid w:val="00962A63"/>
    <w:rsid w:val="00962D60"/>
    <w:rsid w:val="00963644"/>
    <w:rsid w:val="009639D8"/>
    <w:rsid w:val="00963AD2"/>
    <w:rsid w:val="00963BEB"/>
    <w:rsid w:val="00965BFE"/>
    <w:rsid w:val="00966C8A"/>
    <w:rsid w:val="00967C33"/>
    <w:rsid w:val="0097036C"/>
    <w:rsid w:val="00970840"/>
    <w:rsid w:val="00970B6E"/>
    <w:rsid w:val="00970CDA"/>
    <w:rsid w:val="009719DF"/>
    <w:rsid w:val="00972995"/>
    <w:rsid w:val="00973FE0"/>
    <w:rsid w:val="009741A7"/>
    <w:rsid w:val="00974917"/>
    <w:rsid w:val="00974F47"/>
    <w:rsid w:val="00975AEA"/>
    <w:rsid w:val="009762BD"/>
    <w:rsid w:val="00976675"/>
    <w:rsid w:val="00976C6D"/>
    <w:rsid w:val="009775E1"/>
    <w:rsid w:val="00977A8A"/>
    <w:rsid w:val="009803BE"/>
    <w:rsid w:val="009808C2"/>
    <w:rsid w:val="0098127B"/>
    <w:rsid w:val="009822C4"/>
    <w:rsid w:val="00982DDC"/>
    <w:rsid w:val="009830D3"/>
    <w:rsid w:val="00983467"/>
    <w:rsid w:val="00983AE4"/>
    <w:rsid w:val="0098432D"/>
    <w:rsid w:val="009850D0"/>
    <w:rsid w:val="009867A2"/>
    <w:rsid w:val="00986A34"/>
    <w:rsid w:val="00987548"/>
    <w:rsid w:val="00987EFC"/>
    <w:rsid w:val="0099030D"/>
    <w:rsid w:val="009905C4"/>
    <w:rsid w:val="00990724"/>
    <w:rsid w:val="00990D65"/>
    <w:rsid w:val="00990D9A"/>
    <w:rsid w:val="00990DC0"/>
    <w:rsid w:val="00991000"/>
    <w:rsid w:val="00992EAE"/>
    <w:rsid w:val="00992F4E"/>
    <w:rsid w:val="009945F7"/>
    <w:rsid w:val="0099580C"/>
    <w:rsid w:val="009958A7"/>
    <w:rsid w:val="009972C4"/>
    <w:rsid w:val="009A0E64"/>
    <w:rsid w:val="009A12DE"/>
    <w:rsid w:val="009A1AED"/>
    <w:rsid w:val="009A28BD"/>
    <w:rsid w:val="009A2ABE"/>
    <w:rsid w:val="009A33AA"/>
    <w:rsid w:val="009A35CB"/>
    <w:rsid w:val="009A3805"/>
    <w:rsid w:val="009A40A9"/>
    <w:rsid w:val="009A471F"/>
    <w:rsid w:val="009A5C66"/>
    <w:rsid w:val="009A6535"/>
    <w:rsid w:val="009A6D02"/>
    <w:rsid w:val="009A7154"/>
    <w:rsid w:val="009A7CCC"/>
    <w:rsid w:val="009A7E17"/>
    <w:rsid w:val="009A7FFC"/>
    <w:rsid w:val="009B0A05"/>
    <w:rsid w:val="009B1292"/>
    <w:rsid w:val="009B1A9E"/>
    <w:rsid w:val="009B1DF1"/>
    <w:rsid w:val="009B2066"/>
    <w:rsid w:val="009B27D1"/>
    <w:rsid w:val="009B2C93"/>
    <w:rsid w:val="009B3EF4"/>
    <w:rsid w:val="009B40DE"/>
    <w:rsid w:val="009B4C6B"/>
    <w:rsid w:val="009B5CFE"/>
    <w:rsid w:val="009B72E7"/>
    <w:rsid w:val="009B72ED"/>
    <w:rsid w:val="009B7642"/>
    <w:rsid w:val="009C0B71"/>
    <w:rsid w:val="009C0E1B"/>
    <w:rsid w:val="009C0FE2"/>
    <w:rsid w:val="009C1E1C"/>
    <w:rsid w:val="009C21A9"/>
    <w:rsid w:val="009C25E4"/>
    <w:rsid w:val="009C2781"/>
    <w:rsid w:val="009C2936"/>
    <w:rsid w:val="009C37CE"/>
    <w:rsid w:val="009C3ED4"/>
    <w:rsid w:val="009C48E8"/>
    <w:rsid w:val="009C6FD0"/>
    <w:rsid w:val="009C739C"/>
    <w:rsid w:val="009D0267"/>
    <w:rsid w:val="009D0B63"/>
    <w:rsid w:val="009D17D7"/>
    <w:rsid w:val="009D1889"/>
    <w:rsid w:val="009D18D4"/>
    <w:rsid w:val="009D3A6E"/>
    <w:rsid w:val="009D77B3"/>
    <w:rsid w:val="009D77F8"/>
    <w:rsid w:val="009E05C2"/>
    <w:rsid w:val="009E1896"/>
    <w:rsid w:val="009E1C4B"/>
    <w:rsid w:val="009E23F7"/>
    <w:rsid w:val="009E250C"/>
    <w:rsid w:val="009E25F1"/>
    <w:rsid w:val="009E2938"/>
    <w:rsid w:val="009E32F4"/>
    <w:rsid w:val="009E3953"/>
    <w:rsid w:val="009E4386"/>
    <w:rsid w:val="009E473D"/>
    <w:rsid w:val="009E5CDF"/>
    <w:rsid w:val="009E6803"/>
    <w:rsid w:val="009E77DA"/>
    <w:rsid w:val="009E7CAE"/>
    <w:rsid w:val="009F0853"/>
    <w:rsid w:val="009F11A4"/>
    <w:rsid w:val="009F38F0"/>
    <w:rsid w:val="009F4407"/>
    <w:rsid w:val="009F5373"/>
    <w:rsid w:val="009F5545"/>
    <w:rsid w:val="009F55EC"/>
    <w:rsid w:val="009F65B2"/>
    <w:rsid w:val="009F690B"/>
    <w:rsid w:val="009F6B78"/>
    <w:rsid w:val="009F6F8B"/>
    <w:rsid w:val="009F7C77"/>
    <w:rsid w:val="00A000F3"/>
    <w:rsid w:val="00A0060B"/>
    <w:rsid w:val="00A0222A"/>
    <w:rsid w:val="00A0328D"/>
    <w:rsid w:val="00A03801"/>
    <w:rsid w:val="00A03C15"/>
    <w:rsid w:val="00A04050"/>
    <w:rsid w:val="00A04917"/>
    <w:rsid w:val="00A04EA7"/>
    <w:rsid w:val="00A05343"/>
    <w:rsid w:val="00A05347"/>
    <w:rsid w:val="00A06C66"/>
    <w:rsid w:val="00A07EA0"/>
    <w:rsid w:val="00A112AF"/>
    <w:rsid w:val="00A11637"/>
    <w:rsid w:val="00A12241"/>
    <w:rsid w:val="00A12C4D"/>
    <w:rsid w:val="00A141D7"/>
    <w:rsid w:val="00A166EC"/>
    <w:rsid w:val="00A17820"/>
    <w:rsid w:val="00A20B5A"/>
    <w:rsid w:val="00A218C9"/>
    <w:rsid w:val="00A21EDC"/>
    <w:rsid w:val="00A22FED"/>
    <w:rsid w:val="00A233B0"/>
    <w:rsid w:val="00A24918"/>
    <w:rsid w:val="00A249DF"/>
    <w:rsid w:val="00A2507C"/>
    <w:rsid w:val="00A25187"/>
    <w:rsid w:val="00A26D07"/>
    <w:rsid w:val="00A26E7B"/>
    <w:rsid w:val="00A30DA2"/>
    <w:rsid w:val="00A33A40"/>
    <w:rsid w:val="00A343FE"/>
    <w:rsid w:val="00A35C22"/>
    <w:rsid w:val="00A36A2E"/>
    <w:rsid w:val="00A36DE7"/>
    <w:rsid w:val="00A36E94"/>
    <w:rsid w:val="00A37700"/>
    <w:rsid w:val="00A41B34"/>
    <w:rsid w:val="00A4294C"/>
    <w:rsid w:val="00A430A8"/>
    <w:rsid w:val="00A444E4"/>
    <w:rsid w:val="00A4569F"/>
    <w:rsid w:val="00A459E0"/>
    <w:rsid w:val="00A46099"/>
    <w:rsid w:val="00A46F37"/>
    <w:rsid w:val="00A47D8E"/>
    <w:rsid w:val="00A5007F"/>
    <w:rsid w:val="00A505AC"/>
    <w:rsid w:val="00A50A4E"/>
    <w:rsid w:val="00A52C2A"/>
    <w:rsid w:val="00A531A5"/>
    <w:rsid w:val="00A53784"/>
    <w:rsid w:val="00A55B8E"/>
    <w:rsid w:val="00A57787"/>
    <w:rsid w:val="00A578FC"/>
    <w:rsid w:val="00A57DC3"/>
    <w:rsid w:val="00A60583"/>
    <w:rsid w:val="00A607E8"/>
    <w:rsid w:val="00A60AC3"/>
    <w:rsid w:val="00A61660"/>
    <w:rsid w:val="00A61B46"/>
    <w:rsid w:val="00A62183"/>
    <w:rsid w:val="00A622AA"/>
    <w:rsid w:val="00A6285D"/>
    <w:rsid w:val="00A62B2E"/>
    <w:rsid w:val="00A6457F"/>
    <w:rsid w:val="00A64765"/>
    <w:rsid w:val="00A649F8"/>
    <w:rsid w:val="00A65453"/>
    <w:rsid w:val="00A65509"/>
    <w:rsid w:val="00A660A7"/>
    <w:rsid w:val="00A6689D"/>
    <w:rsid w:val="00A67FEB"/>
    <w:rsid w:val="00A701C8"/>
    <w:rsid w:val="00A70226"/>
    <w:rsid w:val="00A70370"/>
    <w:rsid w:val="00A705B0"/>
    <w:rsid w:val="00A711F9"/>
    <w:rsid w:val="00A71A60"/>
    <w:rsid w:val="00A72656"/>
    <w:rsid w:val="00A727EE"/>
    <w:rsid w:val="00A730F0"/>
    <w:rsid w:val="00A737FF"/>
    <w:rsid w:val="00A73ABB"/>
    <w:rsid w:val="00A75404"/>
    <w:rsid w:val="00A8023F"/>
    <w:rsid w:val="00A8062C"/>
    <w:rsid w:val="00A822E3"/>
    <w:rsid w:val="00A82DC9"/>
    <w:rsid w:val="00A8338B"/>
    <w:rsid w:val="00A83E6D"/>
    <w:rsid w:val="00A83E6F"/>
    <w:rsid w:val="00A8604A"/>
    <w:rsid w:val="00A8779D"/>
    <w:rsid w:val="00A902E7"/>
    <w:rsid w:val="00A90F20"/>
    <w:rsid w:val="00A91332"/>
    <w:rsid w:val="00A92B8B"/>
    <w:rsid w:val="00A92E93"/>
    <w:rsid w:val="00A9388F"/>
    <w:rsid w:val="00A941B0"/>
    <w:rsid w:val="00A947C1"/>
    <w:rsid w:val="00A950CD"/>
    <w:rsid w:val="00A963D8"/>
    <w:rsid w:val="00A97ADC"/>
    <w:rsid w:val="00AA0D1E"/>
    <w:rsid w:val="00AA2B78"/>
    <w:rsid w:val="00AA2D50"/>
    <w:rsid w:val="00AA2E78"/>
    <w:rsid w:val="00AA2F43"/>
    <w:rsid w:val="00AA459C"/>
    <w:rsid w:val="00AA4682"/>
    <w:rsid w:val="00AA50D2"/>
    <w:rsid w:val="00AA5855"/>
    <w:rsid w:val="00AA5C6C"/>
    <w:rsid w:val="00AA61A3"/>
    <w:rsid w:val="00AA6652"/>
    <w:rsid w:val="00AA6757"/>
    <w:rsid w:val="00AA68AE"/>
    <w:rsid w:val="00AA6BCE"/>
    <w:rsid w:val="00AA6BEB"/>
    <w:rsid w:val="00AA7171"/>
    <w:rsid w:val="00AA7751"/>
    <w:rsid w:val="00AA7A62"/>
    <w:rsid w:val="00AB015A"/>
    <w:rsid w:val="00AB0AB7"/>
    <w:rsid w:val="00AB1259"/>
    <w:rsid w:val="00AB1B8E"/>
    <w:rsid w:val="00AB1C60"/>
    <w:rsid w:val="00AB2497"/>
    <w:rsid w:val="00AB3E90"/>
    <w:rsid w:val="00AB41A3"/>
    <w:rsid w:val="00AB430C"/>
    <w:rsid w:val="00AB52F4"/>
    <w:rsid w:val="00AB6B37"/>
    <w:rsid w:val="00AB74A9"/>
    <w:rsid w:val="00AB75A5"/>
    <w:rsid w:val="00AB7F79"/>
    <w:rsid w:val="00AC1003"/>
    <w:rsid w:val="00AC2CC0"/>
    <w:rsid w:val="00AC3461"/>
    <w:rsid w:val="00AC34AB"/>
    <w:rsid w:val="00AC3C59"/>
    <w:rsid w:val="00AC415A"/>
    <w:rsid w:val="00AC4397"/>
    <w:rsid w:val="00AC4434"/>
    <w:rsid w:val="00AC4498"/>
    <w:rsid w:val="00AC4562"/>
    <w:rsid w:val="00AC7981"/>
    <w:rsid w:val="00AD09FA"/>
    <w:rsid w:val="00AD0A06"/>
    <w:rsid w:val="00AD145F"/>
    <w:rsid w:val="00AD1731"/>
    <w:rsid w:val="00AD19FF"/>
    <w:rsid w:val="00AD1C44"/>
    <w:rsid w:val="00AD2030"/>
    <w:rsid w:val="00AD20DE"/>
    <w:rsid w:val="00AD48A2"/>
    <w:rsid w:val="00AD5BCD"/>
    <w:rsid w:val="00AD6D65"/>
    <w:rsid w:val="00AD7C9A"/>
    <w:rsid w:val="00AD7F36"/>
    <w:rsid w:val="00AE09BD"/>
    <w:rsid w:val="00AE0C3B"/>
    <w:rsid w:val="00AE1D67"/>
    <w:rsid w:val="00AE3526"/>
    <w:rsid w:val="00AE475D"/>
    <w:rsid w:val="00AE4E65"/>
    <w:rsid w:val="00AE622F"/>
    <w:rsid w:val="00AE6B26"/>
    <w:rsid w:val="00AE7235"/>
    <w:rsid w:val="00AE7A38"/>
    <w:rsid w:val="00AE7F5B"/>
    <w:rsid w:val="00AF0ADF"/>
    <w:rsid w:val="00AF12C8"/>
    <w:rsid w:val="00AF155C"/>
    <w:rsid w:val="00AF24F8"/>
    <w:rsid w:val="00AF29DF"/>
    <w:rsid w:val="00AF2E75"/>
    <w:rsid w:val="00AF3B10"/>
    <w:rsid w:val="00AF3C74"/>
    <w:rsid w:val="00AF4686"/>
    <w:rsid w:val="00AF53CC"/>
    <w:rsid w:val="00AF7419"/>
    <w:rsid w:val="00AF7C12"/>
    <w:rsid w:val="00B022B2"/>
    <w:rsid w:val="00B0449A"/>
    <w:rsid w:val="00B04CCC"/>
    <w:rsid w:val="00B050BD"/>
    <w:rsid w:val="00B05C87"/>
    <w:rsid w:val="00B05EE7"/>
    <w:rsid w:val="00B069C0"/>
    <w:rsid w:val="00B07A0D"/>
    <w:rsid w:val="00B10C1C"/>
    <w:rsid w:val="00B10FDF"/>
    <w:rsid w:val="00B116E2"/>
    <w:rsid w:val="00B12679"/>
    <w:rsid w:val="00B133FF"/>
    <w:rsid w:val="00B13B18"/>
    <w:rsid w:val="00B144E7"/>
    <w:rsid w:val="00B146C1"/>
    <w:rsid w:val="00B14DDB"/>
    <w:rsid w:val="00B14E21"/>
    <w:rsid w:val="00B14E4D"/>
    <w:rsid w:val="00B153EE"/>
    <w:rsid w:val="00B16264"/>
    <w:rsid w:val="00B16A35"/>
    <w:rsid w:val="00B16D9B"/>
    <w:rsid w:val="00B1732A"/>
    <w:rsid w:val="00B1743F"/>
    <w:rsid w:val="00B20966"/>
    <w:rsid w:val="00B20F36"/>
    <w:rsid w:val="00B22506"/>
    <w:rsid w:val="00B22797"/>
    <w:rsid w:val="00B22C9D"/>
    <w:rsid w:val="00B2515D"/>
    <w:rsid w:val="00B25754"/>
    <w:rsid w:val="00B25945"/>
    <w:rsid w:val="00B25C5B"/>
    <w:rsid w:val="00B25FDD"/>
    <w:rsid w:val="00B2697E"/>
    <w:rsid w:val="00B279BE"/>
    <w:rsid w:val="00B3154F"/>
    <w:rsid w:val="00B31B41"/>
    <w:rsid w:val="00B326C2"/>
    <w:rsid w:val="00B332E3"/>
    <w:rsid w:val="00B3340B"/>
    <w:rsid w:val="00B338CF"/>
    <w:rsid w:val="00B33900"/>
    <w:rsid w:val="00B3533D"/>
    <w:rsid w:val="00B35BDF"/>
    <w:rsid w:val="00B35BED"/>
    <w:rsid w:val="00B361A1"/>
    <w:rsid w:val="00B37005"/>
    <w:rsid w:val="00B378D7"/>
    <w:rsid w:val="00B37957"/>
    <w:rsid w:val="00B37996"/>
    <w:rsid w:val="00B404CD"/>
    <w:rsid w:val="00B405C4"/>
    <w:rsid w:val="00B40F4D"/>
    <w:rsid w:val="00B41C3D"/>
    <w:rsid w:val="00B42F89"/>
    <w:rsid w:val="00B433D3"/>
    <w:rsid w:val="00B43D4D"/>
    <w:rsid w:val="00B44B15"/>
    <w:rsid w:val="00B45CE3"/>
    <w:rsid w:val="00B50950"/>
    <w:rsid w:val="00B514C9"/>
    <w:rsid w:val="00B51554"/>
    <w:rsid w:val="00B5313E"/>
    <w:rsid w:val="00B54072"/>
    <w:rsid w:val="00B549ED"/>
    <w:rsid w:val="00B5522A"/>
    <w:rsid w:val="00B55C3C"/>
    <w:rsid w:val="00B5607F"/>
    <w:rsid w:val="00B56B2E"/>
    <w:rsid w:val="00B56E46"/>
    <w:rsid w:val="00B577B1"/>
    <w:rsid w:val="00B57EB9"/>
    <w:rsid w:val="00B60886"/>
    <w:rsid w:val="00B610B6"/>
    <w:rsid w:val="00B61F90"/>
    <w:rsid w:val="00B62087"/>
    <w:rsid w:val="00B6356E"/>
    <w:rsid w:val="00B635BD"/>
    <w:rsid w:val="00B64A4A"/>
    <w:rsid w:val="00B655CC"/>
    <w:rsid w:val="00B65E12"/>
    <w:rsid w:val="00B66F31"/>
    <w:rsid w:val="00B67096"/>
    <w:rsid w:val="00B67116"/>
    <w:rsid w:val="00B67827"/>
    <w:rsid w:val="00B67B5C"/>
    <w:rsid w:val="00B73212"/>
    <w:rsid w:val="00B73715"/>
    <w:rsid w:val="00B74EF1"/>
    <w:rsid w:val="00B753B1"/>
    <w:rsid w:val="00B759F6"/>
    <w:rsid w:val="00B75C7A"/>
    <w:rsid w:val="00B75CBF"/>
    <w:rsid w:val="00B76481"/>
    <w:rsid w:val="00B76917"/>
    <w:rsid w:val="00B76F25"/>
    <w:rsid w:val="00B77E06"/>
    <w:rsid w:val="00B80E46"/>
    <w:rsid w:val="00B82916"/>
    <w:rsid w:val="00B84CEC"/>
    <w:rsid w:val="00B85510"/>
    <w:rsid w:val="00B86142"/>
    <w:rsid w:val="00B86309"/>
    <w:rsid w:val="00B86586"/>
    <w:rsid w:val="00B87897"/>
    <w:rsid w:val="00B87A3F"/>
    <w:rsid w:val="00B906C7"/>
    <w:rsid w:val="00B912B1"/>
    <w:rsid w:val="00B914F3"/>
    <w:rsid w:val="00B9464E"/>
    <w:rsid w:val="00B958A2"/>
    <w:rsid w:val="00B960CD"/>
    <w:rsid w:val="00B9693C"/>
    <w:rsid w:val="00B96E84"/>
    <w:rsid w:val="00B97F50"/>
    <w:rsid w:val="00BA07C7"/>
    <w:rsid w:val="00BA1347"/>
    <w:rsid w:val="00BA25A8"/>
    <w:rsid w:val="00BA3E63"/>
    <w:rsid w:val="00BA4156"/>
    <w:rsid w:val="00BA4E69"/>
    <w:rsid w:val="00BA5909"/>
    <w:rsid w:val="00BA6096"/>
    <w:rsid w:val="00BA68EE"/>
    <w:rsid w:val="00BA691B"/>
    <w:rsid w:val="00BB018A"/>
    <w:rsid w:val="00BB1150"/>
    <w:rsid w:val="00BB2B61"/>
    <w:rsid w:val="00BB39DF"/>
    <w:rsid w:val="00BB3ACE"/>
    <w:rsid w:val="00BB4A36"/>
    <w:rsid w:val="00BB5287"/>
    <w:rsid w:val="00BB5FB3"/>
    <w:rsid w:val="00BB6C6D"/>
    <w:rsid w:val="00BB6DD3"/>
    <w:rsid w:val="00BC0108"/>
    <w:rsid w:val="00BC0483"/>
    <w:rsid w:val="00BC06C5"/>
    <w:rsid w:val="00BC0CB4"/>
    <w:rsid w:val="00BC2BD6"/>
    <w:rsid w:val="00BC48EE"/>
    <w:rsid w:val="00BC4EFE"/>
    <w:rsid w:val="00BC6184"/>
    <w:rsid w:val="00BC62B0"/>
    <w:rsid w:val="00BC69EC"/>
    <w:rsid w:val="00BC6B23"/>
    <w:rsid w:val="00BC7120"/>
    <w:rsid w:val="00BC7DE5"/>
    <w:rsid w:val="00BD0354"/>
    <w:rsid w:val="00BD0FD9"/>
    <w:rsid w:val="00BD1437"/>
    <w:rsid w:val="00BD18CD"/>
    <w:rsid w:val="00BD199F"/>
    <w:rsid w:val="00BD2609"/>
    <w:rsid w:val="00BD28E2"/>
    <w:rsid w:val="00BD44E2"/>
    <w:rsid w:val="00BD49BA"/>
    <w:rsid w:val="00BD5A89"/>
    <w:rsid w:val="00BD5EAE"/>
    <w:rsid w:val="00BD6EED"/>
    <w:rsid w:val="00BD7C7A"/>
    <w:rsid w:val="00BD7E7B"/>
    <w:rsid w:val="00BE0329"/>
    <w:rsid w:val="00BE072B"/>
    <w:rsid w:val="00BE0749"/>
    <w:rsid w:val="00BE09C8"/>
    <w:rsid w:val="00BE0B66"/>
    <w:rsid w:val="00BE0D71"/>
    <w:rsid w:val="00BE11B6"/>
    <w:rsid w:val="00BE1B03"/>
    <w:rsid w:val="00BE30D1"/>
    <w:rsid w:val="00BE3E71"/>
    <w:rsid w:val="00BE4DEE"/>
    <w:rsid w:val="00BE517F"/>
    <w:rsid w:val="00BE5728"/>
    <w:rsid w:val="00BE6193"/>
    <w:rsid w:val="00BE7192"/>
    <w:rsid w:val="00BE7ED0"/>
    <w:rsid w:val="00BF0356"/>
    <w:rsid w:val="00BF041F"/>
    <w:rsid w:val="00BF1056"/>
    <w:rsid w:val="00BF4714"/>
    <w:rsid w:val="00BF480B"/>
    <w:rsid w:val="00BF484E"/>
    <w:rsid w:val="00BF48EA"/>
    <w:rsid w:val="00BF4C42"/>
    <w:rsid w:val="00BF4DDC"/>
    <w:rsid w:val="00BF59AA"/>
    <w:rsid w:val="00BF6717"/>
    <w:rsid w:val="00BF6A55"/>
    <w:rsid w:val="00BF6F5E"/>
    <w:rsid w:val="00C00BA5"/>
    <w:rsid w:val="00C01AB2"/>
    <w:rsid w:val="00C01D4E"/>
    <w:rsid w:val="00C020B8"/>
    <w:rsid w:val="00C05963"/>
    <w:rsid w:val="00C05DDF"/>
    <w:rsid w:val="00C05ECF"/>
    <w:rsid w:val="00C06A13"/>
    <w:rsid w:val="00C0762F"/>
    <w:rsid w:val="00C1112E"/>
    <w:rsid w:val="00C11534"/>
    <w:rsid w:val="00C12B06"/>
    <w:rsid w:val="00C13992"/>
    <w:rsid w:val="00C14968"/>
    <w:rsid w:val="00C14CEF"/>
    <w:rsid w:val="00C1569D"/>
    <w:rsid w:val="00C1592D"/>
    <w:rsid w:val="00C160CB"/>
    <w:rsid w:val="00C16188"/>
    <w:rsid w:val="00C166C3"/>
    <w:rsid w:val="00C16CF2"/>
    <w:rsid w:val="00C17583"/>
    <w:rsid w:val="00C17CE2"/>
    <w:rsid w:val="00C20799"/>
    <w:rsid w:val="00C207B6"/>
    <w:rsid w:val="00C21701"/>
    <w:rsid w:val="00C22B55"/>
    <w:rsid w:val="00C24902"/>
    <w:rsid w:val="00C251EE"/>
    <w:rsid w:val="00C257B0"/>
    <w:rsid w:val="00C2620F"/>
    <w:rsid w:val="00C26557"/>
    <w:rsid w:val="00C27152"/>
    <w:rsid w:val="00C272EB"/>
    <w:rsid w:val="00C2764F"/>
    <w:rsid w:val="00C27A2E"/>
    <w:rsid w:val="00C27C83"/>
    <w:rsid w:val="00C31677"/>
    <w:rsid w:val="00C32284"/>
    <w:rsid w:val="00C322C1"/>
    <w:rsid w:val="00C3295E"/>
    <w:rsid w:val="00C335C4"/>
    <w:rsid w:val="00C349C1"/>
    <w:rsid w:val="00C34C77"/>
    <w:rsid w:val="00C34F8A"/>
    <w:rsid w:val="00C353C6"/>
    <w:rsid w:val="00C36330"/>
    <w:rsid w:val="00C369F8"/>
    <w:rsid w:val="00C3748F"/>
    <w:rsid w:val="00C4095D"/>
    <w:rsid w:val="00C41A6F"/>
    <w:rsid w:val="00C431AA"/>
    <w:rsid w:val="00C43293"/>
    <w:rsid w:val="00C44437"/>
    <w:rsid w:val="00C46B2D"/>
    <w:rsid w:val="00C4711B"/>
    <w:rsid w:val="00C47316"/>
    <w:rsid w:val="00C4738A"/>
    <w:rsid w:val="00C473A2"/>
    <w:rsid w:val="00C50ADB"/>
    <w:rsid w:val="00C517EC"/>
    <w:rsid w:val="00C51F19"/>
    <w:rsid w:val="00C51F56"/>
    <w:rsid w:val="00C54866"/>
    <w:rsid w:val="00C57A87"/>
    <w:rsid w:val="00C60226"/>
    <w:rsid w:val="00C6077B"/>
    <w:rsid w:val="00C60AB3"/>
    <w:rsid w:val="00C60C38"/>
    <w:rsid w:val="00C60C5B"/>
    <w:rsid w:val="00C60E0F"/>
    <w:rsid w:val="00C62778"/>
    <w:rsid w:val="00C627B2"/>
    <w:rsid w:val="00C62EFD"/>
    <w:rsid w:val="00C6358C"/>
    <w:rsid w:val="00C63D86"/>
    <w:rsid w:val="00C64C4C"/>
    <w:rsid w:val="00C64D69"/>
    <w:rsid w:val="00C64F3F"/>
    <w:rsid w:val="00C6520D"/>
    <w:rsid w:val="00C67549"/>
    <w:rsid w:val="00C67BF8"/>
    <w:rsid w:val="00C70069"/>
    <w:rsid w:val="00C708A7"/>
    <w:rsid w:val="00C7118C"/>
    <w:rsid w:val="00C7121F"/>
    <w:rsid w:val="00C722FE"/>
    <w:rsid w:val="00C745BB"/>
    <w:rsid w:val="00C74BEB"/>
    <w:rsid w:val="00C76B3B"/>
    <w:rsid w:val="00C76C54"/>
    <w:rsid w:val="00C77F88"/>
    <w:rsid w:val="00C80C33"/>
    <w:rsid w:val="00C81A74"/>
    <w:rsid w:val="00C824E1"/>
    <w:rsid w:val="00C82570"/>
    <w:rsid w:val="00C82ED6"/>
    <w:rsid w:val="00C84188"/>
    <w:rsid w:val="00C8741E"/>
    <w:rsid w:val="00C91055"/>
    <w:rsid w:val="00C9127F"/>
    <w:rsid w:val="00C92250"/>
    <w:rsid w:val="00C928F0"/>
    <w:rsid w:val="00C93177"/>
    <w:rsid w:val="00C93816"/>
    <w:rsid w:val="00C95BF2"/>
    <w:rsid w:val="00CA2206"/>
    <w:rsid w:val="00CA351C"/>
    <w:rsid w:val="00CA3791"/>
    <w:rsid w:val="00CA3FAE"/>
    <w:rsid w:val="00CA5307"/>
    <w:rsid w:val="00CA6A1A"/>
    <w:rsid w:val="00CA6C20"/>
    <w:rsid w:val="00CA705E"/>
    <w:rsid w:val="00CA71B5"/>
    <w:rsid w:val="00CB077A"/>
    <w:rsid w:val="00CB0F93"/>
    <w:rsid w:val="00CB1219"/>
    <w:rsid w:val="00CB590D"/>
    <w:rsid w:val="00CB5ACF"/>
    <w:rsid w:val="00CB645B"/>
    <w:rsid w:val="00CB65DD"/>
    <w:rsid w:val="00CB67AF"/>
    <w:rsid w:val="00CB6BDF"/>
    <w:rsid w:val="00CB7ADB"/>
    <w:rsid w:val="00CC13E2"/>
    <w:rsid w:val="00CC18C7"/>
    <w:rsid w:val="00CC19DC"/>
    <w:rsid w:val="00CC2100"/>
    <w:rsid w:val="00CC319E"/>
    <w:rsid w:val="00CC399C"/>
    <w:rsid w:val="00CC40D8"/>
    <w:rsid w:val="00CC43FE"/>
    <w:rsid w:val="00CC4E1C"/>
    <w:rsid w:val="00CC571E"/>
    <w:rsid w:val="00CC5907"/>
    <w:rsid w:val="00CC6056"/>
    <w:rsid w:val="00CC6405"/>
    <w:rsid w:val="00CC64E3"/>
    <w:rsid w:val="00CC6AF4"/>
    <w:rsid w:val="00CC73C2"/>
    <w:rsid w:val="00CC7811"/>
    <w:rsid w:val="00CD066A"/>
    <w:rsid w:val="00CD1DC2"/>
    <w:rsid w:val="00CD2D05"/>
    <w:rsid w:val="00CD46A4"/>
    <w:rsid w:val="00CD5E1D"/>
    <w:rsid w:val="00CD60B8"/>
    <w:rsid w:val="00CE07F7"/>
    <w:rsid w:val="00CE0DD3"/>
    <w:rsid w:val="00CE0DE9"/>
    <w:rsid w:val="00CE295B"/>
    <w:rsid w:val="00CE3A1A"/>
    <w:rsid w:val="00CE44E0"/>
    <w:rsid w:val="00CE602D"/>
    <w:rsid w:val="00CE633E"/>
    <w:rsid w:val="00CE6B03"/>
    <w:rsid w:val="00CE7ADF"/>
    <w:rsid w:val="00CE7CF8"/>
    <w:rsid w:val="00CF01B5"/>
    <w:rsid w:val="00CF08E1"/>
    <w:rsid w:val="00CF17B0"/>
    <w:rsid w:val="00CF356D"/>
    <w:rsid w:val="00CF415F"/>
    <w:rsid w:val="00CF4426"/>
    <w:rsid w:val="00CF4D55"/>
    <w:rsid w:val="00CF5006"/>
    <w:rsid w:val="00CF54B8"/>
    <w:rsid w:val="00CF5ABA"/>
    <w:rsid w:val="00CF5F12"/>
    <w:rsid w:val="00CF6B2A"/>
    <w:rsid w:val="00CF704E"/>
    <w:rsid w:val="00CF7A07"/>
    <w:rsid w:val="00CF7C9E"/>
    <w:rsid w:val="00CF7DD9"/>
    <w:rsid w:val="00D00793"/>
    <w:rsid w:val="00D009D7"/>
    <w:rsid w:val="00D00E34"/>
    <w:rsid w:val="00D025DE"/>
    <w:rsid w:val="00D02CB0"/>
    <w:rsid w:val="00D031D0"/>
    <w:rsid w:val="00D04225"/>
    <w:rsid w:val="00D05168"/>
    <w:rsid w:val="00D05829"/>
    <w:rsid w:val="00D06379"/>
    <w:rsid w:val="00D06429"/>
    <w:rsid w:val="00D06D28"/>
    <w:rsid w:val="00D072F0"/>
    <w:rsid w:val="00D072F2"/>
    <w:rsid w:val="00D07468"/>
    <w:rsid w:val="00D07567"/>
    <w:rsid w:val="00D1082B"/>
    <w:rsid w:val="00D1099E"/>
    <w:rsid w:val="00D11024"/>
    <w:rsid w:val="00D1197D"/>
    <w:rsid w:val="00D1265C"/>
    <w:rsid w:val="00D1267F"/>
    <w:rsid w:val="00D12AFF"/>
    <w:rsid w:val="00D1326B"/>
    <w:rsid w:val="00D1447F"/>
    <w:rsid w:val="00D153CD"/>
    <w:rsid w:val="00D1545D"/>
    <w:rsid w:val="00D15BE6"/>
    <w:rsid w:val="00D16003"/>
    <w:rsid w:val="00D16054"/>
    <w:rsid w:val="00D16813"/>
    <w:rsid w:val="00D16F0A"/>
    <w:rsid w:val="00D17DB6"/>
    <w:rsid w:val="00D2059D"/>
    <w:rsid w:val="00D2339C"/>
    <w:rsid w:val="00D23474"/>
    <w:rsid w:val="00D235C3"/>
    <w:rsid w:val="00D2529D"/>
    <w:rsid w:val="00D255E0"/>
    <w:rsid w:val="00D25FBF"/>
    <w:rsid w:val="00D260A1"/>
    <w:rsid w:val="00D268FD"/>
    <w:rsid w:val="00D26D97"/>
    <w:rsid w:val="00D272B0"/>
    <w:rsid w:val="00D2789C"/>
    <w:rsid w:val="00D27E70"/>
    <w:rsid w:val="00D27FAF"/>
    <w:rsid w:val="00D306C2"/>
    <w:rsid w:val="00D307A4"/>
    <w:rsid w:val="00D31104"/>
    <w:rsid w:val="00D31533"/>
    <w:rsid w:val="00D32152"/>
    <w:rsid w:val="00D33298"/>
    <w:rsid w:val="00D333F3"/>
    <w:rsid w:val="00D34924"/>
    <w:rsid w:val="00D351B2"/>
    <w:rsid w:val="00D3599F"/>
    <w:rsid w:val="00D36E3F"/>
    <w:rsid w:val="00D37E13"/>
    <w:rsid w:val="00D407EF"/>
    <w:rsid w:val="00D424CE"/>
    <w:rsid w:val="00D43B4B"/>
    <w:rsid w:val="00D4410C"/>
    <w:rsid w:val="00D44112"/>
    <w:rsid w:val="00D445E3"/>
    <w:rsid w:val="00D44683"/>
    <w:rsid w:val="00D4495B"/>
    <w:rsid w:val="00D44CC5"/>
    <w:rsid w:val="00D45B88"/>
    <w:rsid w:val="00D51BDF"/>
    <w:rsid w:val="00D52505"/>
    <w:rsid w:val="00D53F7C"/>
    <w:rsid w:val="00D5417A"/>
    <w:rsid w:val="00D54549"/>
    <w:rsid w:val="00D54D9C"/>
    <w:rsid w:val="00D55028"/>
    <w:rsid w:val="00D555F2"/>
    <w:rsid w:val="00D57556"/>
    <w:rsid w:val="00D575C6"/>
    <w:rsid w:val="00D57B7E"/>
    <w:rsid w:val="00D607CE"/>
    <w:rsid w:val="00D60DC1"/>
    <w:rsid w:val="00D611D0"/>
    <w:rsid w:val="00D61890"/>
    <w:rsid w:val="00D61D0D"/>
    <w:rsid w:val="00D62039"/>
    <w:rsid w:val="00D644F1"/>
    <w:rsid w:val="00D648BF"/>
    <w:rsid w:val="00D6538C"/>
    <w:rsid w:val="00D66600"/>
    <w:rsid w:val="00D6702A"/>
    <w:rsid w:val="00D67A9A"/>
    <w:rsid w:val="00D67B8B"/>
    <w:rsid w:val="00D7073E"/>
    <w:rsid w:val="00D71930"/>
    <w:rsid w:val="00D733A1"/>
    <w:rsid w:val="00D74AB0"/>
    <w:rsid w:val="00D756F1"/>
    <w:rsid w:val="00D757F7"/>
    <w:rsid w:val="00D774B8"/>
    <w:rsid w:val="00D77BAB"/>
    <w:rsid w:val="00D77E2C"/>
    <w:rsid w:val="00D77F33"/>
    <w:rsid w:val="00D8064C"/>
    <w:rsid w:val="00D80655"/>
    <w:rsid w:val="00D81D24"/>
    <w:rsid w:val="00D83C1E"/>
    <w:rsid w:val="00D84484"/>
    <w:rsid w:val="00D84D2B"/>
    <w:rsid w:val="00D85911"/>
    <w:rsid w:val="00D862B2"/>
    <w:rsid w:val="00D8761A"/>
    <w:rsid w:val="00D87FDD"/>
    <w:rsid w:val="00D90607"/>
    <w:rsid w:val="00D913E2"/>
    <w:rsid w:val="00D91B21"/>
    <w:rsid w:val="00D92F4F"/>
    <w:rsid w:val="00D93641"/>
    <w:rsid w:val="00D95339"/>
    <w:rsid w:val="00D961D9"/>
    <w:rsid w:val="00D965FD"/>
    <w:rsid w:val="00D96702"/>
    <w:rsid w:val="00D96F22"/>
    <w:rsid w:val="00D97E08"/>
    <w:rsid w:val="00D97E86"/>
    <w:rsid w:val="00DA076F"/>
    <w:rsid w:val="00DA0C71"/>
    <w:rsid w:val="00DA0C9C"/>
    <w:rsid w:val="00DA2415"/>
    <w:rsid w:val="00DA26F1"/>
    <w:rsid w:val="00DA2FC0"/>
    <w:rsid w:val="00DA3E01"/>
    <w:rsid w:val="00DA512A"/>
    <w:rsid w:val="00DA59F8"/>
    <w:rsid w:val="00DA5D41"/>
    <w:rsid w:val="00DA78C7"/>
    <w:rsid w:val="00DB0338"/>
    <w:rsid w:val="00DB1FCA"/>
    <w:rsid w:val="00DB23F9"/>
    <w:rsid w:val="00DB332D"/>
    <w:rsid w:val="00DC10BC"/>
    <w:rsid w:val="00DC1B72"/>
    <w:rsid w:val="00DC1D71"/>
    <w:rsid w:val="00DC3040"/>
    <w:rsid w:val="00DC3A2B"/>
    <w:rsid w:val="00DC41EA"/>
    <w:rsid w:val="00DC5424"/>
    <w:rsid w:val="00DC6029"/>
    <w:rsid w:val="00DC7DCA"/>
    <w:rsid w:val="00DD255F"/>
    <w:rsid w:val="00DD5093"/>
    <w:rsid w:val="00DD5DB8"/>
    <w:rsid w:val="00DD6465"/>
    <w:rsid w:val="00DD6905"/>
    <w:rsid w:val="00DD7752"/>
    <w:rsid w:val="00DE0F80"/>
    <w:rsid w:val="00DE1B4F"/>
    <w:rsid w:val="00DE2996"/>
    <w:rsid w:val="00DE30AD"/>
    <w:rsid w:val="00DE3F38"/>
    <w:rsid w:val="00DE43A9"/>
    <w:rsid w:val="00DE51AF"/>
    <w:rsid w:val="00DE56A0"/>
    <w:rsid w:val="00DF0694"/>
    <w:rsid w:val="00DF0EB7"/>
    <w:rsid w:val="00DF187B"/>
    <w:rsid w:val="00DF1AD1"/>
    <w:rsid w:val="00DF1FAB"/>
    <w:rsid w:val="00DF2B09"/>
    <w:rsid w:val="00DF32A7"/>
    <w:rsid w:val="00DF6500"/>
    <w:rsid w:val="00DF670B"/>
    <w:rsid w:val="00E0055B"/>
    <w:rsid w:val="00E0133B"/>
    <w:rsid w:val="00E01363"/>
    <w:rsid w:val="00E017B6"/>
    <w:rsid w:val="00E027BC"/>
    <w:rsid w:val="00E04A13"/>
    <w:rsid w:val="00E057BF"/>
    <w:rsid w:val="00E0594C"/>
    <w:rsid w:val="00E061F9"/>
    <w:rsid w:val="00E07472"/>
    <w:rsid w:val="00E079F4"/>
    <w:rsid w:val="00E10703"/>
    <w:rsid w:val="00E10932"/>
    <w:rsid w:val="00E117FA"/>
    <w:rsid w:val="00E11868"/>
    <w:rsid w:val="00E1187D"/>
    <w:rsid w:val="00E1209C"/>
    <w:rsid w:val="00E12615"/>
    <w:rsid w:val="00E12DCD"/>
    <w:rsid w:val="00E13438"/>
    <w:rsid w:val="00E136BC"/>
    <w:rsid w:val="00E1381A"/>
    <w:rsid w:val="00E13C45"/>
    <w:rsid w:val="00E154C2"/>
    <w:rsid w:val="00E1698A"/>
    <w:rsid w:val="00E16EFA"/>
    <w:rsid w:val="00E1745C"/>
    <w:rsid w:val="00E176EC"/>
    <w:rsid w:val="00E17966"/>
    <w:rsid w:val="00E17D44"/>
    <w:rsid w:val="00E17EFC"/>
    <w:rsid w:val="00E207E3"/>
    <w:rsid w:val="00E20DA1"/>
    <w:rsid w:val="00E2512B"/>
    <w:rsid w:val="00E25AC4"/>
    <w:rsid w:val="00E262E7"/>
    <w:rsid w:val="00E264EB"/>
    <w:rsid w:val="00E2725B"/>
    <w:rsid w:val="00E277CE"/>
    <w:rsid w:val="00E27A17"/>
    <w:rsid w:val="00E27B09"/>
    <w:rsid w:val="00E27B79"/>
    <w:rsid w:val="00E27F03"/>
    <w:rsid w:val="00E30975"/>
    <w:rsid w:val="00E319E2"/>
    <w:rsid w:val="00E31DB0"/>
    <w:rsid w:val="00E3283B"/>
    <w:rsid w:val="00E32B1F"/>
    <w:rsid w:val="00E3306E"/>
    <w:rsid w:val="00E3326E"/>
    <w:rsid w:val="00E33EDC"/>
    <w:rsid w:val="00E3420C"/>
    <w:rsid w:val="00E345AC"/>
    <w:rsid w:val="00E354B9"/>
    <w:rsid w:val="00E35C0A"/>
    <w:rsid w:val="00E35FCA"/>
    <w:rsid w:val="00E3605D"/>
    <w:rsid w:val="00E36B17"/>
    <w:rsid w:val="00E36C34"/>
    <w:rsid w:val="00E3735A"/>
    <w:rsid w:val="00E37477"/>
    <w:rsid w:val="00E3753E"/>
    <w:rsid w:val="00E37DCA"/>
    <w:rsid w:val="00E40EDE"/>
    <w:rsid w:val="00E40F82"/>
    <w:rsid w:val="00E42C05"/>
    <w:rsid w:val="00E45146"/>
    <w:rsid w:val="00E458E0"/>
    <w:rsid w:val="00E45CD1"/>
    <w:rsid w:val="00E45E60"/>
    <w:rsid w:val="00E464C3"/>
    <w:rsid w:val="00E467C7"/>
    <w:rsid w:val="00E46BD2"/>
    <w:rsid w:val="00E505A9"/>
    <w:rsid w:val="00E51564"/>
    <w:rsid w:val="00E522E8"/>
    <w:rsid w:val="00E528F2"/>
    <w:rsid w:val="00E53D7E"/>
    <w:rsid w:val="00E53E69"/>
    <w:rsid w:val="00E54186"/>
    <w:rsid w:val="00E54738"/>
    <w:rsid w:val="00E5513D"/>
    <w:rsid w:val="00E564FF"/>
    <w:rsid w:val="00E5726D"/>
    <w:rsid w:val="00E60940"/>
    <w:rsid w:val="00E60A4D"/>
    <w:rsid w:val="00E60A6E"/>
    <w:rsid w:val="00E612A0"/>
    <w:rsid w:val="00E61397"/>
    <w:rsid w:val="00E62189"/>
    <w:rsid w:val="00E63347"/>
    <w:rsid w:val="00E6502F"/>
    <w:rsid w:val="00E657EF"/>
    <w:rsid w:val="00E65C2C"/>
    <w:rsid w:val="00E6777A"/>
    <w:rsid w:val="00E70343"/>
    <w:rsid w:val="00E708B8"/>
    <w:rsid w:val="00E70B33"/>
    <w:rsid w:val="00E7308A"/>
    <w:rsid w:val="00E73179"/>
    <w:rsid w:val="00E74130"/>
    <w:rsid w:val="00E74361"/>
    <w:rsid w:val="00E74837"/>
    <w:rsid w:val="00E74F82"/>
    <w:rsid w:val="00E75481"/>
    <w:rsid w:val="00E76765"/>
    <w:rsid w:val="00E7738D"/>
    <w:rsid w:val="00E7769E"/>
    <w:rsid w:val="00E77BB6"/>
    <w:rsid w:val="00E77F38"/>
    <w:rsid w:val="00E8104F"/>
    <w:rsid w:val="00E827FE"/>
    <w:rsid w:val="00E8336F"/>
    <w:rsid w:val="00E844CE"/>
    <w:rsid w:val="00E873D5"/>
    <w:rsid w:val="00E874C0"/>
    <w:rsid w:val="00E87A92"/>
    <w:rsid w:val="00E90ACA"/>
    <w:rsid w:val="00E91F17"/>
    <w:rsid w:val="00E922B7"/>
    <w:rsid w:val="00E92BD9"/>
    <w:rsid w:val="00E93AEF"/>
    <w:rsid w:val="00E94713"/>
    <w:rsid w:val="00E95123"/>
    <w:rsid w:val="00E95838"/>
    <w:rsid w:val="00E95929"/>
    <w:rsid w:val="00E962F1"/>
    <w:rsid w:val="00EA0377"/>
    <w:rsid w:val="00EA0553"/>
    <w:rsid w:val="00EA0E4B"/>
    <w:rsid w:val="00EA10CF"/>
    <w:rsid w:val="00EA2CA7"/>
    <w:rsid w:val="00EA2E55"/>
    <w:rsid w:val="00EA340C"/>
    <w:rsid w:val="00EA3DDC"/>
    <w:rsid w:val="00EA528C"/>
    <w:rsid w:val="00EA66D9"/>
    <w:rsid w:val="00EA6D5E"/>
    <w:rsid w:val="00EA6F01"/>
    <w:rsid w:val="00EB0712"/>
    <w:rsid w:val="00EB0BA3"/>
    <w:rsid w:val="00EB1000"/>
    <w:rsid w:val="00EB32F9"/>
    <w:rsid w:val="00EB3F93"/>
    <w:rsid w:val="00EB5728"/>
    <w:rsid w:val="00EB660C"/>
    <w:rsid w:val="00EB6B58"/>
    <w:rsid w:val="00EB7815"/>
    <w:rsid w:val="00EB7F55"/>
    <w:rsid w:val="00EC0199"/>
    <w:rsid w:val="00EC02C2"/>
    <w:rsid w:val="00EC0AFC"/>
    <w:rsid w:val="00EC290B"/>
    <w:rsid w:val="00EC311B"/>
    <w:rsid w:val="00EC316E"/>
    <w:rsid w:val="00EC4C0B"/>
    <w:rsid w:val="00EC4E21"/>
    <w:rsid w:val="00EC53FB"/>
    <w:rsid w:val="00EC5B43"/>
    <w:rsid w:val="00EC6BB0"/>
    <w:rsid w:val="00EC6C3B"/>
    <w:rsid w:val="00EC6FBB"/>
    <w:rsid w:val="00EC75D2"/>
    <w:rsid w:val="00EC767B"/>
    <w:rsid w:val="00ED05B6"/>
    <w:rsid w:val="00ED14F3"/>
    <w:rsid w:val="00ED17DA"/>
    <w:rsid w:val="00ED1AAE"/>
    <w:rsid w:val="00ED1D28"/>
    <w:rsid w:val="00ED1D50"/>
    <w:rsid w:val="00ED1DE1"/>
    <w:rsid w:val="00ED22E7"/>
    <w:rsid w:val="00ED26E6"/>
    <w:rsid w:val="00ED372A"/>
    <w:rsid w:val="00ED4AE3"/>
    <w:rsid w:val="00ED5008"/>
    <w:rsid w:val="00ED543F"/>
    <w:rsid w:val="00ED5C70"/>
    <w:rsid w:val="00ED7E07"/>
    <w:rsid w:val="00EE0545"/>
    <w:rsid w:val="00EE0A26"/>
    <w:rsid w:val="00EE0D9B"/>
    <w:rsid w:val="00EE1590"/>
    <w:rsid w:val="00EE1EFC"/>
    <w:rsid w:val="00EE3054"/>
    <w:rsid w:val="00EE31B7"/>
    <w:rsid w:val="00EE41DB"/>
    <w:rsid w:val="00EE42ED"/>
    <w:rsid w:val="00EE4716"/>
    <w:rsid w:val="00EE4FC5"/>
    <w:rsid w:val="00EE5CB0"/>
    <w:rsid w:val="00EE61A4"/>
    <w:rsid w:val="00EE7606"/>
    <w:rsid w:val="00EE7B03"/>
    <w:rsid w:val="00EE7D93"/>
    <w:rsid w:val="00EF2213"/>
    <w:rsid w:val="00EF2340"/>
    <w:rsid w:val="00EF404A"/>
    <w:rsid w:val="00EF51FA"/>
    <w:rsid w:val="00F00316"/>
    <w:rsid w:val="00F01019"/>
    <w:rsid w:val="00F01218"/>
    <w:rsid w:val="00F01320"/>
    <w:rsid w:val="00F01703"/>
    <w:rsid w:val="00F01BD6"/>
    <w:rsid w:val="00F03BFD"/>
    <w:rsid w:val="00F049D3"/>
    <w:rsid w:val="00F061CF"/>
    <w:rsid w:val="00F06E1E"/>
    <w:rsid w:val="00F07DCD"/>
    <w:rsid w:val="00F10D78"/>
    <w:rsid w:val="00F119F9"/>
    <w:rsid w:val="00F11FD9"/>
    <w:rsid w:val="00F131D7"/>
    <w:rsid w:val="00F14B9B"/>
    <w:rsid w:val="00F21111"/>
    <w:rsid w:val="00F215CC"/>
    <w:rsid w:val="00F21676"/>
    <w:rsid w:val="00F221BA"/>
    <w:rsid w:val="00F22479"/>
    <w:rsid w:val="00F2276E"/>
    <w:rsid w:val="00F23A9F"/>
    <w:rsid w:val="00F23B2E"/>
    <w:rsid w:val="00F23F73"/>
    <w:rsid w:val="00F2642D"/>
    <w:rsid w:val="00F27B51"/>
    <w:rsid w:val="00F30535"/>
    <w:rsid w:val="00F309A7"/>
    <w:rsid w:val="00F31E33"/>
    <w:rsid w:val="00F3342B"/>
    <w:rsid w:val="00F334F5"/>
    <w:rsid w:val="00F33B40"/>
    <w:rsid w:val="00F33E85"/>
    <w:rsid w:val="00F368F4"/>
    <w:rsid w:val="00F37257"/>
    <w:rsid w:val="00F37351"/>
    <w:rsid w:val="00F40291"/>
    <w:rsid w:val="00F410CD"/>
    <w:rsid w:val="00F41547"/>
    <w:rsid w:val="00F421F7"/>
    <w:rsid w:val="00F4259C"/>
    <w:rsid w:val="00F444FA"/>
    <w:rsid w:val="00F44535"/>
    <w:rsid w:val="00F44893"/>
    <w:rsid w:val="00F44BCA"/>
    <w:rsid w:val="00F454D7"/>
    <w:rsid w:val="00F45EC8"/>
    <w:rsid w:val="00F46A12"/>
    <w:rsid w:val="00F47F1B"/>
    <w:rsid w:val="00F50696"/>
    <w:rsid w:val="00F50708"/>
    <w:rsid w:val="00F51831"/>
    <w:rsid w:val="00F5189C"/>
    <w:rsid w:val="00F51BEF"/>
    <w:rsid w:val="00F51C73"/>
    <w:rsid w:val="00F527C1"/>
    <w:rsid w:val="00F52CC5"/>
    <w:rsid w:val="00F53860"/>
    <w:rsid w:val="00F539B2"/>
    <w:rsid w:val="00F53E31"/>
    <w:rsid w:val="00F55535"/>
    <w:rsid w:val="00F55F27"/>
    <w:rsid w:val="00F5682A"/>
    <w:rsid w:val="00F572F0"/>
    <w:rsid w:val="00F575BF"/>
    <w:rsid w:val="00F57731"/>
    <w:rsid w:val="00F616BF"/>
    <w:rsid w:val="00F62235"/>
    <w:rsid w:val="00F624AD"/>
    <w:rsid w:val="00F62B46"/>
    <w:rsid w:val="00F63302"/>
    <w:rsid w:val="00F63535"/>
    <w:rsid w:val="00F64692"/>
    <w:rsid w:val="00F65E73"/>
    <w:rsid w:val="00F6655A"/>
    <w:rsid w:val="00F66BFC"/>
    <w:rsid w:val="00F67948"/>
    <w:rsid w:val="00F70428"/>
    <w:rsid w:val="00F7071F"/>
    <w:rsid w:val="00F71338"/>
    <w:rsid w:val="00F71C70"/>
    <w:rsid w:val="00F7247C"/>
    <w:rsid w:val="00F73A9F"/>
    <w:rsid w:val="00F73EF3"/>
    <w:rsid w:val="00F74A3D"/>
    <w:rsid w:val="00F74A64"/>
    <w:rsid w:val="00F75DE6"/>
    <w:rsid w:val="00F75DF2"/>
    <w:rsid w:val="00F777BD"/>
    <w:rsid w:val="00F779B6"/>
    <w:rsid w:val="00F77A17"/>
    <w:rsid w:val="00F80A23"/>
    <w:rsid w:val="00F81D14"/>
    <w:rsid w:val="00F841AF"/>
    <w:rsid w:val="00F84873"/>
    <w:rsid w:val="00F85268"/>
    <w:rsid w:val="00F86645"/>
    <w:rsid w:val="00F86B0E"/>
    <w:rsid w:val="00F900E2"/>
    <w:rsid w:val="00F90524"/>
    <w:rsid w:val="00F907E5"/>
    <w:rsid w:val="00F911F8"/>
    <w:rsid w:val="00F913E3"/>
    <w:rsid w:val="00F93866"/>
    <w:rsid w:val="00F939AB"/>
    <w:rsid w:val="00F93B0A"/>
    <w:rsid w:val="00F93E44"/>
    <w:rsid w:val="00F94113"/>
    <w:rsid w:val="00F94EAF"/>
    <w:rsid w:val="00F95B6E"/>
    <w:rsid w:val="00F95DB5"/>
    <w:rsid w:val="00F96AD5"/>
    <w:rsid w:val="00F96BBC"/>
    <w:rsid w:val="00F9756D"/>
    <w:rsid w:val="00F97A66"/>
    <w:rsid w:val="00FA064A"/>
    <w:rsid w:val="00FA096D"/>
    <w:rsid w:val="00FA162A"/>
    <w:rsid w:val="00FA18EB"/>
    <w:rsid w:val="00FA34DA"/>
    <w:rsid w:val="00FA5924"/>
    <w:rsid w:val="00FA7F67"/>
    <w:rsid w:val="00FB208B"/>
    <w:rsid w:val="00FB2853"/>
    <w:rsid w:val="00FB3C10"/>
    <w:rsid w:val="00FB3D76"/>
    <w:rsid w:val="00FB4FD0"/>
    <w:rsid w:val="00FB5950"/>
    <w:rsid w:val="00FB6595"/>
    <w:rsid w:val="00FB69D6"/>
    <w:rsid w:val="00FB7580"/>
    <w:rsid w:val="00FC00FD"/>
    <w:rsid w:val="00FC0E29"/>
    <w:rsid w:val="00FC1160"/>
    <w:rsid w:val="00FC15C0"/>
    <w:rsid w:val="00FC1715"/>
    <w:rsid w:val="00FC17AA"/>
    <w:rsid w:val="00FC3D0C"/>
    <w:rsid w:val="00FC4E85"/>
    <w:rsid w:val="00FC4EB6"/>
    <w:rsid w:val="00FC614E"/>
    <w:rsid w:val="00FC6457"/>
    <w:rsid w:val="00FC64DE"/>
    <w:rsid w:val="00FC7777"/>
    <w:rsid w:val="00FC7C83"/>
    <w:rsid w:val="00FD06C4"/>
    <w:rsid w:val="00FD11B5"/>
    <w:rsid w:val="00FD13FA"/>
    <w:rsid w:val="00FD161E"/>
    <w:rsid w:val="00FD2C25"/>
    <w:rsid w:val="00FD31F7"/>
    <w:rsid w:val="00FD3322"/>
    <w:rsid w:val="00FD3851"/>
    <w:rsid w:val="00FD43BE"/>
    <w:rsid w:val="00FD4933"/>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3797"/>
    <w:rsid w:val="00FF406D"/>
    <w:rsid w:val="00FF444A"/>
    <w:rsid w:val="00FF4AC0"/>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BB9AAB"/>
  <w15:docId w15:val="{1265BAB5-EFDC-47DD-9C05-76A11969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F2"/>
    <w:rPr>
      <w:rFonts w:eastAsia="Times New Roman"/>
      <w:sz w:val="24"/>
      <w:szCs w:val="24"/>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uiPriority w:val="9"/>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424E0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uiPriority w:val="9"/>
    <w:qFormat/>
    <w:rsid w:val="00424E0F"/>
    <w:pPr>
      <w:keepNext/>
      <w:numPr>
        <w:ilvl w:val="4"/>
        <w:numId w:val="5"/>
      </w:numPr>
      <w:spacing w:before="120" w:after="120"/>
      <w:outlineLvl w:val="4"/>
    </w:pPr>
    <w:rPr>
      <w:bCs/>
      <w:i/>
      <w:szCs w:val="26"/>
    </w:rPr>
  </w:style>
  <w:style w:type="paragraph" w:styleId="Heading6">
    <w:name w:val="heading 6"/>
    <w:basedOn w:val="Normal"/>
    <w:next w:val="Normal"/>
    <w:link w:val="Heading6Char"/>
    <w:uiPriority w:val="9"/>
    <w:qFormat/>
    <w:rsid w:val="00424E0F"/>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424E0F"/>
    <w:pPr>
      <w:keepNext/>
      <w:jc w:val="right"/>
      <w:outlineLvl w:val="6"/>
    </w:pPr>
    <w:rPr>
      <w:rFonts w:ascii="Univers" w:hAnsi="Univers"/>
      <w:b/>
      <w:sz w:val="28"/>
    </w:rPr>
  </w:style>
  <w:style w:type="paragraph" w:styleId="Heading8">
    <w:name w:val="heading 8"/>
    <w:basedOn w:val="Normal"/>
    <w:next w:val="Normal"/>
    <w:link w:val="Heading8Char"/>
    <w:uiPriority w:val="9"/>
    <w:qFormat/>
    <w:rsid w:val="00424E0F"/>
    <w:pPr>
      <w:keepNext/>
      <w:jc w:val="right"/>
      <w:outlineLvl w:val="7"/>
    </w:pPr>
    <w:rPr>
      <w:rFonts w:ascii="Univers" w:hAnsi="Univers"/>
      <w:b/>
      <w:sz w:val="32"/>
    </w:rPr>
  </w:style>
  <w:style w:type="paragraph" w:styleId="Heading9">
    <w:name w:val="heading 9"/>
    <w:basedOn w:val="Normal"/>
    <w:next w:val="Normal"/>
    <w:link w:val="Heading9Char"/>
    <w:uiPriority w:val="9"/>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uiPriority w:val="1"/>
    <w:qFormat/>
    <w:rsid w:val="00424E0F"/>
    <w:pPr>
      <w:spacing w:before="120" w:after="120"/>
      <w:ind w:firstLine="720"/>
    </w:pPr>
    <w:rPr>
      <w:iCs/>
    </w:rPr>
  </w:style>
  <w:style w:type="paragraph" w:styleId="Caption">
    <w:name w:val="caption"/>
    <w:basedOn w:val="Normal"/>
    <w:next w:val="Normal"/>
    <w:uiPriority w:val="35"/>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424E0F"/>
    <w:pPr>
      <w:keepLines/>
      <w:spacing w:after="60"/>
      <w:ind w:firstLine="720"/>
    </w:pPr>
    <w:rPr>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4"/>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uiPriority w:val="1"/>
    <w:rsid w:val="00424E0F"/>
    <w:rPr>
      <w:iCs/>
      <w:sz w:val="22"/>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rPr>
  </w:style>
  <w:style w:type="character" w:customStyle="1" w:styleId="BodyText2CharCharChar">
    <w:name w:val="Body Text 2 Char Char Char"/>
    <w:rPr>
      <w:sz w:val="22"/>
    </w:rPr>
  </w:style>
  <w:style w:type="character" w:customStyle="1" w:styleId="BodyText2CharCharCharCharCharCharCharCharCharCharCharCharCharCharCharCharCharCharChar">
    <w:name w:val="Body Text 2 Char Char Char Char Char Char Char Char Char Char Char Char Char Char Char Char Char Char Char"/>
    <w:rPr>
      <w:sz w:val="22"/>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rPr>
  </w:style>
  <w:style w:type="paragraph" w:customStyle="1" w:styleId="subhead">
    <w:name w:val="subhead"/>
    <w:basedOn w:val="Normal"/>
    <w:next w:val="Para1"/>
    <w:pPr>
      <w:spacing w:before="120" w:after="120"/>
      <w:jc w:val="center"/>
    </w:pPr>
    <w:rPr>
      <w:rFonts w:cs="Angsana New"/>
      <w:i/>
      <w:sz w:val="22"/>
    </w:rPr>
  </w:style>
  <w:style w:type="character" w:styleId="Emphasis">
    <w:name w:val="Emphasis"/>
    <w:uiPriority w:val="20"/>
    <w:qFormat/>
    <w:rPr>
      <w:i/>
      <w:iCs/>
    </w:rPr>
  </w:style>
  <w:style w:type="character" w:customStyle="1" w:styleId="BlockTextChar">
    <w:name w:val="Block Text Char"/>
    <w:rPr>
      <w:sz w:val="24"/>
      <w:szCs w:val="24"/>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rPr>
  </w:style>
  <w:style w:type="paragraph" w:styleId="TOC1">
    <w:name w:val="toc 1"/>
    <w:basedOn w:val="Normal"/>
    <w:next w:val="Normal"/>
    <w:autoRedefine/>
    <w:uiPriority w:val="39"/>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ascii="Times New Roman" w:eastAsia="MS Mincho" w:hAnsi="Times New Roman"/>
      <w:bCs/>
      <w:iCs/>
      <w:sz w:val="22"/>
      <w:szCs w:val="22"/>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ascii="Times New Roman" w:hAnsi="Times New Roman" w:cs="Angsana New"/>
      <w:iCs/>
      <w:snapToGrid w:val="0"/>
      <w:color w:val="000000"/>
      <w:sz w:val="22"/>
      <w:szCs w:val="22"/>
    </w:rPr>
  </w:style>
  <w:style w:type="paragraph" w:styleId="TOC2">
    <w:name w:val="toc 2"/>
    <w:basedOn w:val="Normal"/>
    <w:next w:val="Normal"/>
    <w:autoRedefine/>
    <w:uiPriority w:val="39"/>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uiPriority w:val="39"/>
    <w:semiHidden/>
    <w:rsid w:val="00424E0F"/>
    <w:pPr>
      <w:ind w:left="2160" w:hanging="720"/>
    </w:pPr>
  </w:style>
  <w:style w:type="paragraph" w:styleId="TOC5">
    <w:name w:val="toc 5"/>
    <w:basedOn w:val="Normal"/>
    <w:next w:val="Normal"/>
    <w:autoRedefine/>
    <w:uiPriority w:val="39"/>
    <w:semiHidden/>
    <w:rsid w:val="00424E0F"/>
    <w:pPr>
      <w:ind w:left="880"/>
    </w:pPr>
  </w:style>
  <w:style w:type="character" w:customStyle="1" w:styleId="Heading1Char">
    <w:name w:val="Heading 1 Char"/>
    <w:link w:val="Heading1"/>
    <w:uiPriority w:val="9"/>
    <w:rsid w:val="00CA25AD"/>
    <w:rPr>
      <w:rFonts w:ascii="Times New Roman" w:hAnsi="Times New Roman" w:cs="Angsana New"/>
      <w:b/>
      <w:caps/>
      <w:sz w:val="22"/>
      <w:szCs w:val="24"/>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ascii="Times New Roman" w:hAnsi="Times New Roman" w:cs="Angsana New"/>
      <w:b/>
      <w:caps/>
      <w:sz w:val="22"/>
      <w:szCs w:val="24"/>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rPr>
      <w:rFonts w:ascii="Times New Roman" w:hAnsi="Times New Roman"/>
    </w:rPr>
  </w:style>
  <w:style w:type="character" w:customStyle="1" w:styleId="HeaderChar">
    <w:name w:val="Header Char"/>
    <w:link w:val="Header"/>
    <w:uiPriority w:val="99"/>
    <w:rsid w:val="00203EDB"/>
    <w:rPr>
      <w:rFonts w:ascii="Times New Roman" w:hAnsi="Times New Roman" w:cs="Angsana New"/>
      <w:sz w:val="22"/>
      <w:szCs w:val="24"/>
    </w:rPr>
  </w:style>
  <w:style w:type="character" w:customStyle="1" w:styleId="PlainTextChar">
    <w:name w:val="Plain Text Char"/>
    <w:link w:val="PlainText"/>
    <w:uiPriority w:val="99"/>
    <w:rsid w:val="00B22797"/>
    <w:rPr>
      <w:rFonts w:ascii="Courier New" w:hAnsi="Courier New" w:cs="Courier New"/>
      <w:szCs w:val="24"/>
    </w:rPr>
  </w:style>
  <w:style w:type="character" w:customStyle="1" w:styleId="FooterChar">
    <w:name w:val="Footer Char"/>
    <w:link w:val="Footer"/>
    <w:uiPriority w:val="99"/>
    <w:rsid w:val="00316C7D"/>
    <w:rPr>
      <w:rFonts w:ascii="Times New Roman" w:hAnsi="Times New Roman" w:cs="Angsana New"/>
      <w:sz w:val="22"/>
      <w:szCs w:val="24"/>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ascii="Times New Roman" w:hAnsi="Times New Roman" w:cs="Angsana New"/>
      <w:sz w:val="18"/>
      <w:szCs w:val="24"/>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rPr>
      <w:rFonts w:ascii="Times New Roman" w:hAnsi="Times New Roman"/>
    </w:rPr>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uiPriority w:val="39"/>
    <w:rsid w:val="001416C5"/>
    <w:pPr>
      <w:tabs>
        <w:tab w:val="num" w:pos="1440"/>
      </w:tabs>
      <w:spacing w:before="120" w:after="120"/>
      <w:ind w:left="1440" w:hanging="360"/>
    </w:pPr>
  </w:style>
  <w:style w:type="paragraph" w:styleId="ListParagraph">
    <w:name w:val="List Paragraph"/>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ascii="Times New Roman" w:hAnsi="Times New Roman" w:cs="Angsana New"/>
      <w:szCs w:val="24"/>
    </w:rPr>
  </w:style>
  <w:style w:type="character" w:styleId="PlaceholderText">
    <w:name w:val="Placeholder Text"/>
    <w:basedOn w:val="DefaultParagraphFont"/>
    <w:uiPriority w:val="99"/>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paragraph" w:customStyle="1" w:styleId="CBD-Para-1">
    <w:name w:val="CBD-Para-1"/>
    <w:basedOn w:val="Normal"/>
    <w:qFormat/>
    <w:rsid w:val="00662E2A"/>
    <w:pPr>
      <w:keepLines/>
      <w:numPr>
        <w:numId w:val="15"/>
      </w:numPr>
      <w:spacing w:before="120" w:after="120"/>
      <w:jc w:val="both"/>
    </w:pPr>
    <w:rPr>
      <w:rFonts w:eastAsia="Malgun Gothic"/>
      <w:sz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662E2A"/>
    <w:pPr>
      <w:spacing w:after="160" w:line="240" w:lineRule="exact"/>
      <w:jc w:val="both"/>
    </w:pPr>
    <w:rPr>
      <w:rFonts w:eastAsia="MS Mincho"/>
      <w:sz w:val="18"/>
      <w:szCs w:val="20"/>
      <w:u w:val="single"/>
    </w:rPr>
  </w:style>
  <w:style w:type="character" w:customStyle="1" w:styleId="css-901oao">
    <w:name w:val="css-901oao"/>
    <w:basedOn w:val="DefaultParagraphFont"/>
    <w:rsid w:val="00342287"/>
    <w:rPr>
      <w:rFonts w:ascii="Times New Roman" w:hAnsi="Times New Roman"/>
    </w:rPr>
  </w:style>
  <w:style w:type="character" w:customStyle="1" w:styleId="Heading3Char">
    <w:name w:val="Heading 3 Char"/>
    <w:basedOn w:val="DefaultParagraphFont"/>
    <w:link w:val="Heading3"/>
    <w:uiPriority w:val="9"/>
    <w:rsid w:val="00974917"/>
    <w:rPr>
      <w:rFonts w:ascii="Times New Roman" w:eastAsia="Times New Roman" w:hAnsi="Times New Roman"/>
      <w:i/>
      <w:iCs/>
      <w:sz w:val="24"/>
      <w:szCs w:val="24"/>
    </w:rPr>
  </w:style>
  <w:style w:type="character" w:customStyle="1" w:styleId="Heading4Char">
    <w:name w:val="Heading 4 Char"/>
    <w:basedOn w:val="DefaultParagraphFont"/>
    <w:link w:val="Heading4"/>
    <w:uiPriority w:val="9"/>
    <w:rsid w:val="00974917"/>
    <w:rPr>
      <w:rFonts w:ascii="Times New Roman Bold" w:eastAsia="Arial Unicode MS" w:hAnsi="Times New Roman Bold" w:cs="Arial"/>
      <w:b/>
      <w:bCs/>
      <w:i/>
      <w:iCs/>
      <w:sz w:val="24"/>
      <w:szCs w:val="24"/>
    </w:rPr>
  </w:style>
  <w:style w:type="character" w:customStyle="1" w:styleId="Heading5Char">
    <w:name w:val="Heading 5 Char"/>
    <w:aliases w:val="Heading 5 - GTI Char"/>
    <w:basedOn w:val="DefaultParagraphFont"/>
    <w:link w:val="Heading5"/>
    <w:uiPriority w:val="9"/>
    <w:rsid w:val="00974917"/>
    <w:rPr>
      <w:rFonts w:ascii="Times New Roman" w:eastAsia="Times New Roman" w:hAnsi="Times New Roman"/>
      <w:bCs/>
      <w:i/>
      <w:sz w:val="24"/>
      <w:szCs w:val="26"/>
    </w:rPr>
  </w:style>
  <w:style w:type="character" w:customStyle="1" w:styleId="Heading6Char">
    <w:name w:val="Heading 6 Char"/>
    <w:basedOn w:val="DefaultParagraphFont"/>
    <w:link w:val="Heading6"/>
    <w:uiPriority w:val="9"/>
    <w:rsid w:val="00974917"/>
    <w:rPr>
      <w:rFonts w:ascii="Times New Roman" w:eastAsia="Times New Roman" w:hAnsi="Times New Roman"/>
      <w:sz w:val="24"/>
      <w:szCs w:val="24"/>
      <w:u w:val="single"/>
    </w:rPr>
  </w:style>
  <w:style w:type="character" w:customStyle="1" w:styleId="Heading7Char">
    <w:name w:val="Heading 7 Char"/>
    <w:basedOn w:val="DefaultParagraphFont"/>
    <w:link w:val="Heading7"/>
    <w:uiPriority w:val="9"/>
    <w:rsid w:val="00974917"/>
    <w:rPr>
      <w:rFonts w:ascii="Univers" w:eastAsia="Times New Roman" w:hAnsi="Univers"/>
      <w:b/>
      <w:sz w:val="28"/>
      <w:szCs w:val="24"/>
    </w:rPr>
  </w:style>
  <w:style w:type="character" w:customStyle="1" w:styleId="Heading8Char">
    <w:name w:val="Heading 8 Char"/>
    <w:basedOn w:val="DefaultParagraphFont"/>
    <w:link w:val="Heading8"/>
    <w:uiPriority w:val="9"/>
    <w:rsid w:val="00974917"/>
    <w:rPr>
      <w:rFonts w:ascii="Univers" w:eastAsia="Times New Roman" w:hAnsi="Univers"/>
      <w:b/>
      <w:sz w:val="32"/>
      <w:szCs w:val="24"/>
    </w:rPr>
  </w:style>
  <w:style w:type="character" w:customStyle="1" w:styleId="Heading9Char">
    <w:name w:val="Heading 9 Char"/>
    <w:basedOn w:val="DefaultParagraphFont"/>
    <w:link w:val="Heading9"/>
    <w:uiPriority w:val="9"/>
    <w:rsid w:val="00974917"/>
    <w:rPr>
      <w:rFonts w:ascii="Times New Roman" w:eastAsia="Times New Roman" w:hAnsi="Times New Roman"/>
      <w:i/>
      <w:iCs/>
      <w:sz w:val="24"/>
      <w:szCs w:val="24"/>
    </w:rPr>
  </w:style>
  <w:style w:type="character" w:customStyle="1" w:styleId="TitleChar">
    <w:name w:val="Title Char"/>
    <w:basedOn w:val="DefaultParagraphFont"/>
    <w:link w:val="Title"/>
    <w:uiPriority w:val="10"/>
    <w:rsid w:val="00974917"/>
    <w:rPr>
      <w:rFonts w:ascii="Times New Roman" w:eastAsia="Times New Roman" w:hAnsi="Times New Roman"/>
      <w:i/>
      <w:iCs/>
      <w:sz w:val="24"/>
      <w:szCs w:val="24"/>
    </w:rPr>
  </w:style>
  <w:style w:type="character" w:customStyle="1" w:styleId="SubtitleChar">
    <w:name w:val="Subtitle Char"/>
    <w:basedOn w:val="DefaultParagraphFont"/>
    <w:link w:val="Subtitle"/>
    <w:uiPriority w:val="11"/>
    <w:rsid w:val="00974917"/>
    <w:rPr>
      <w:rFonts w:ascii="Times New Roman" w:eastAsia="Times New Roman" w:hAnsi="Times New Roman"/>
      <w:b/>
      <w:bCs/>
      <w:sz w:val="24"/>
      <w:szCs w:val="24"/>
    </w:rPr>
  </w:style>
  <w:style w:type="paragraph" w:styleId="NoSpacing">
    <w:name w:val="No Spacing"/>
    <w:uiPriority w:val="1"/>
    <w:qFormat/>
    <w:rsid w:val="00974917"/>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974917"/>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7491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74917"/>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74917"/>
    <w:rPr>
      <w:rFonts w:ascii="Times New Roman" w:eastAsia="Times New Roman" w:hAnsi="Times New Roman"/>
      <w:color w:val="404040" w:themeColor="text1" w:themeTint="BF"/>
      <w:sz w:val="32"/>
      <w:szCs w:val="32"/>
    </w:rPr>
  </w:style>
  <w:style w:type="character" w:styleId="SubtleEmphasis">
    <w:name w:val="Subtle Emphasis"/>
    <w:basedOn w:val="DefaultParagraphFont"/>
    <w:uiPriority w:val="19"/>
    <w:qFormat/>
    <w:rsid w:val="00974917"/>
    <w:rPr>
      <w:i/>
      <w:iCs/>
      <w:color w:val="595959" w:themeColor="text1" w:themeTint="A6"/>
    </w:rPr>
  </w:style>
  <w:style w:type="character" w:styleId="IntenseEmphasis">
    <w:name w:val="Intense Emphasis"/>
    <w:basedOn w:val="DefaultParagraphFont"/>
    <w:uiPriority w:val="21"/>
    <w:qFormat/>
    <w:rsid w:val="00974917"/>
    <w:rPr>
      <w:b/>
      <w:bCs/>
      <w:i/>
      <w:iCs/>
    </w:rPr>
  </w:style>
  <w:style w:type="character" w:styleId="SubtleReference">
    <w:name w:val="Subtle Reference"/>
    <w:basedOn w:val="DefaultParagraphFont"/>
    <w:uiPriority w:val="31"/>
    <w:qFormat/>
    <w:rsid w:val="0097491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74917"/>
    <w:rPr>
      <w:b/>
      <w:bCs/>
      <w:caps w:val="0"/>
      <w:smallCaps/>
      <w:color w:val="auto"/>
      <w:spacing w:val="3"/>
      <w:u w:val="single"/>
    </w:rPr>
  </w:style>
  <w:style w:type="character" w:styleId="BookTitle">
    <w:name w:val="Book Title"/>
    <w:basedOn w:val="DefaultParagraphFont"/>
    <w:uiPriority w:val="33"/>
    <w:qFormat/>
    <w:rsid w:val="00974917"/>
    <w:rPr>
      <w:b/>
      <w:bCs/>
      <w:smallCaps/>
      <w:spacing w:val="7"/>
    </w:rPr>
  </w:style>
  <w:style w:type="paragraph" w:styleId="TOCHeading">
    <w:name w:val="TOC Heading"/>
    <w:basedOn w:val="Heading1"/>
    <w:next w:val="Normal"/>
    <w:uiPriority w:val="39"/>
    <w:unhideWhenUsed/>
    <w:qFormat/>
    <w:rsid w:val="00974917"/>
    <w:pPr>
      <w:keepLines/>
      <w:tabs>
        <w:tab w:val="clear" w:pos="720"/>
      </w:tabs>
      <w:spacing w:before="400" w:after="40"/>
      <w:jc w:val="left"/>
      <w:outlineLvl w:val="9"/>
    </w:pPr>
    <w:rPr>
      <w:rFonts w:asciiTheme="majorHAnsi" w:eastAsiaTheme="majorEastAsia" w:hAnsiTheme="majorHAnsi" w:cstheme="majorBidi"/>
      <w:b w:val="0"/>
      <w:sz w:val="36"/>
      <w:szCs w:val="36"/>
    </w:rPr>
  </w:style>
  <w:style w:type="table" w:styleId="TableGrid">
    <w:name w:val="Table Grid"/>
    <w:basedOn w:val="TableNormal"/>
    <w:uiPriority w:val="39"/>
    <w:rsid w:val="0097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974917"/>
    <w:rPr>
      <w:rFonts w:ascii="Times New Roman" w:eastAsia="Times New Roman" w:hAnsi="Times New Roman"/>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974917"/>
    <w:pPr>
      <w:spacing w:line="240" w:lineRule="exact"/>
      <w:jc w:val="both"/>
    </w:pPr>
    <w:rPr>
      <w:rFonts w:eastAsiaTheme="minorHAnsi"/>
      <w:vertAlign w:val="superscript"/>
    </w:rPr>
  </w:style>
  <w:style w:type="character" w:customStyle="1" w:styleId="ng-binding">
    <w:name w:val="ng-binding"/>
    <w:basedOn w:val="DefaultParagraphFont"/>
    <w:rsid w:val="00974917"/>
    <w:rPr>
      <w:rFonts w:ascii="Times New Roman" w:hAnsi="Times New Roman"/>
    </w:rPr>
  </w:style>
  <w:style w:type="character" w:customStyle="1" w:styleId="BalloonTextChar">
    <w:name w:val="Balloon Text Char"/>
    <w:basedOn w:val="DefaultParagraphFont"/>
    <w:link w:val="BalloonText"/>
    <w:uiPriority w:val="99"/>
    <w:semiHidden/>
    <w:rsid w:val="00974917"/>
    <w:rPr>
      <w:rFonts w:ascii="Tahoma" w:eastAsia="Times New Roman" w:hAnsi="Tahoma" w:cs="Tahoma"/>
      <w:sz w:val="16"/>
      <w:szCs w:val="16"/>
    </w:rPr>
  </w:style>
  <w:style w:type="paragraph" w:styleId="Bibliography">
    <w:name w:val="Bibliography"/>
    <w:basedOn w:val="Normal"/>
    <w:next w:val="Normal"/>
    <w:uiPriority w:val="37"/>
    <w:unhideWhenUsed/>
    <w:rsid w:val="00974917"/>
  </w:style>
  <w:style w:type="character" w:customStyle="1" w:styleId="UnresolvedMention">
    <w:name w:val="Unresolved Mention"/>
    <w:basedOn w:val="DefaultParagraphFont"/>
    <w:uiPriority w:val="99"/>
    <w:semiHidden/>
    <w:unhideWhenUsed/>
    <w:rsid w:val="00974917"/>
    <w:rPr>
      <w:color w:val="605E5C"/>
      <w:shd w:val="clear" w:color="auto" w:fill="E1DFDD"/>
    </w:rPr>
  </w:style>
  <w:style w:type="paragraph" w:styleId="TOC4">
    <w:name w:val="toc 4"/>
    <w:basedOn w:val="Normal"/>
    <w:next w:val="Normal"/>
    <w:autoRedefine/>
    <w:uiPriority w:val="39"/>
    <w:semiHidden/>
    <w:unhideWhenUsed/>
    <w:rsid w:val="00974917"/>
    <w:pPr>
      <w:ind w:left="660"/>
    </w:pPr>
    <w:rPr>
      <w:rFonts w:cstheme="minorHAnsi"/>
      <w:sz w:val="20"/>
    </w:rPr>
  </w:style>
  <w:style w:type="paragraph" w:styleId="TOC6">
    <w:name w:val="toc 6"/>
    <w:basedOn w:val="Normal"/>
    <w:next w:val="Normal"/>
    <w:autoRedefine/>
    <w:uiPriority w:val="39"/>
    <w:semiHidden/>
    <w:unhideWhenUsed/>
    <w:rsid w:val="00974917"/>
    <w:pPr>
      <w:ind w:left="1100"/>
    </w:pPr>
    <w:rPr>
      <w:rFonts w:cstheme="minorHAnsi"/>
      <w:sz w:val="20"/>
    </w:rPr>
  </w:style>
  <w:style w:type="paragraph" w:styleId="TOC7">
    <w:name w:val="toc 7"/>
    <w:basedOn w:val="Normal"/>
    <w:next w:val="Normal"/>
    <w:autoRedefine/>
    <w:uiPriority w:val="39"/>
    <w:semiHidden/>
    <w:unhideWhenUsed/>
    <w:rsid w:val="00974917"/>
    <w:pPr>
      <w:ind w:left="1320"/>
    </w:pPr>
    <w:rPr>
      <w:rFonts w:cstheme="minorHAnsi"/>
      <w:sz w:val="20"/>
    </w:rPr>
  </w:style>
  <w:style w:type="paragraph" w:styleId="TOC8">
    <w:name w:val="toc 8"/>
    <w:basedOn w:val="Normal"/>
    <w:next w:val="Normal"/>
    <w:autoRedefine/>
    <w:uiPriority w:val="39"/>
    <w:semiHidden/>
    <w:unhideWhenUsed/>
    <w:rsid w:val="00974917"/>
    <w:pPr>
      <w:ind w:left="1540"/>
    </w:pPr>
    <w:rPr>
      <w:rFonts w:cstheme="minorHAnsi"/>
      <w:sz w:val="20"/>
    </w:rPr>
  </w:style>
  <w:style w:type="character" w:customStyle="1" w:styleId="CommentSubjectChar">
    <w:name w:val="Comment Subject Char"/>
    <w:basedOn w:val="CommentTextChar"/>
    <w:link w:val="CommentSubject"/>
    <w:uiPriority w:val="99"/>
    <w:semiHidden/>
    <w:rsid w:val="00974917"/>
    <w:rPr>
      <w:rFonts w:ascii="Times New Roman" w:eastAsia="Times New Roman" w:hAnsi="Times New Roman" w:cs="Angsana New"/>
      <w:b/>
      <w:bCs/>
      <w:szCs w:val="24"/>
    </w:rPr>
  </w:style>
  <w:style w:type="table" w:customStyle="1" w:styleId="TableGrid1">
    <w:name w:val="Table Grid1"/>
    <w:basedOn w:val="TableNormal"/>
    <w:next w:val="TableGrid"/>
    <w:uiPriority w:val="59"/>
    <w:rsid w:val="00420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600">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44921">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9216335">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744377736">
      <w:bodyDiv w:val="1"/>
      <w:marLeft w:val="0"/>
      <w:marRight w:val="0"/>
      <w:marTop w:val="0"/>
      <w:marBottom w:val="0"/>
      <w:divBdr>
        <w:top w:val="none" w:sz="0" w:space="0" w:color="auto"/>
        <w:left w:val="none" w:sz="0" w:space="0" w:color="auto"/>
        <w:bottom w:val="none" w:sz="0" w:space="0" w:color="auto"/>
        <w:right w:val="none" w:sz="0" w:space="0" w:color="auto"/>
      </w:divBdr>
    </w:div>
    <w:div w:id="804543861">
      <w:bodyDiv w:val="1"/>
      <w:marLeft w:val="0"/>
      <w:marRight w:val="0"/>
      <w:marTop w:val="0"/>
      <w:marBottom w:val="0"/>
      <w:divBdr>
        <w:top w:val="none" w:sz="0" w:space="0" w:color="auto"/>
        <w:left w:val="none" w:sz="0" w:space="0" w:color="auto"/>
        <w:bottom w:val="none" w:sz="0" w:space="0" w:color="auto"/>
        <w:right w:val="none" w:sz="0" w:space="0" w:color="auto"/>
      </w:divBdr>
    </w:div>
    <w:div w:id="814106508">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88348516">
      <w:bodyDiv w:val="1"/>
      <w:marLeft w:val="0"/>
      <w:marRight w:val="0"/>
      <w:marTop w:val="0"/>
      <w:marBottom w:val="0"/>
      <w:divBdr>
        <w:top w:val="none" w:sz="0" w:space="0" w:color="auto"/>
        <w:left w:val="none" w:sz="0" w:space="0" w:color="auto"/>
        <w:bottom w:val="none" w:sz="0" w:space="0" w:color="auto"/>
        <w:right w:val="none" w:sz="0" w:space="0" w:color="auto"/>
      </w:divBdr>
    </w:div>
    <w:div w:id="948968198">
      <w:bodyDiv w:val="1"/>
      <w:marLeft w:val="0"/>
      <w:marRight w:val="0"/>
      <w:marTop w:val="0"/>
      <w:marBottom w:val="0"/>
      <w:divBdr>
        <w:top w:val="none" w:sz="0" w:space="0" w:color="auto"/>
        <w:left w:val="none" w:sz="0" w:space="0" w:color="auto"/>
        <w:bottom w:val="none" w:sz="0" w:space="0" w:color="auto"/>
        <w:right w:val="none" w:sz="0" w:space="0" w:color="auto"/>
      </w:divBdr>
    </w:div>
    <w:div w:id="1011369280">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11384824">
      <w:bodyDiv w:val="1"/>
      <w:marLeft w:val="0"/>
      <w:marRight w:val="0"/>
      <w:marTop w:val="0"/>
      <w:marBottom w:val="0"/>
      <w:divBdr>
        <w:top w:val="none" w:sz="0" w:space="0" w:color="auto"/>
        <w:left w:val="none" w:sz="0" w:space="0" w:color="auto"/>
        <w:bottom w:val="none" w:sz="0" w:space="0" w:color="auto"/>
        <w:right w:val="none" w:sz="0" w:space="0" w:color="auto"/>
      </w:divBdr>
      <w:divsChild>
        <w:div w:id="1867793578">
          <w:marLeft w:val="0"/>
          <w:marRight w:val="0"/>
          <w:marTop w:val="0"/>
          <w:marBottom w:val="0"/>
          <w:divBdr>
            <w:top w:val="none" w:sz="0" w:space="0" w:color="auto"/>
            <w:left w:val="none" w:sz="0" w:space="0" w:color="auto"/>
            <w:bottom w:val="none" w:sz="0" w:space="0" w:color="auto"/>
            <w:right w:val="none" w:sz="0" w:space="0" w:color="auto"/>
          </w:divBdr>
          <w:divsChild>
            <w:div w:id="865751058">
              <w:marLeft w:val="0"/>
              <w:marRight w:val="0"/>
              <w:marTop w:val="0"/>
              <w:marBottom w:val="0"/>
              <w:divBdr>
                <w:top w:val="none" w:sz="0" w:space="0" w:color="auto"/>
                <w:left w:val="none" w:sz="0" w:space="0" w:color="auto"/>
                <w:bottom w:val="none" w:sz="0" w:space="0" w:color="auto"/>
                <w:right w:val="none" w:sz="0" w:space="0" w:color="auto"/>
              </w:divBdr>
              <w:divsChild>
                <w:div w:id="1729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7627">
      <w:bodyDiv w:val="1"/>
      <w:marLeft w:val="0"/>
      <w:marRight w:val="0"/>
      <w:marTop w:val="0"/>
      <w:marBottom w:val="0"/>
      <w:divBdr>
        <w:top w:val="none" w:sz="0" w:space="0" w:color="auto"/>
        <w:left w:val="none" w:sz="0" w:space="0" w:color="auto"/>
        <w:bottom w:val="none" w:sz="0" w:space="0" w:color="auto"/>
        <w:right w:val="none" w:sz="0" w:space="0" w:color="auto"/>
      </w:divBdr>
    </w:div>
    <w:div w:id="1248731603">
      <w:bodyDiv w:val="1"/>
      <w:marLeft w:val="0"/>
      <w:marRight w:val="0"/>
      <w:marTop w:val="0"/>
      <w:marBottom w:val="0"/>
      <w:divBdr>
        <w:top w:val="none" w:sz="0" w:space="0" w:color="auto"/>
        <w:left w:val="none" w:sz="0" w:space="0" w:color="auto"/>
        <w:bottom w:val="none" w:sz="0" w:space="0" w:color="auto"/>
        <w:right w:val="none" w:sz="0" w:space="0" w:color="auto"/>
      </w:divBdr>
    </w:div>
    <w:div w:id="1263103509">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6216133">
      <w:bodyDiv w:val="1"/>
      <w:marLeft w:val="0"/>
      <w:marRight w:val="0"/>
      <w:marTop w:val="0"/>
      <w:marBottom w:val="0"/>
      <w:divBdr>
        <w:top w:val="none" w:sz="0" w:space="0" w:color="auto"/>
        <w:left w:val="none" w:sz="0" w:space="0" w:color="auto"/>
        <w:bottom w:val="none" w:sz="0" w:space="0" w:color="auto"/>
        <w:right w:val="none" w:sz="0" w:space="0" w:color="auto"/>
      </w:divBdr>
    </w:div>
    <w:div w:id="15483710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367774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3-fr.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50CCE2F696C74A50B402B2C257ED0264"/>
        <w:category>
          <w:name w:val="General"/>
          <w:gallery w:val="placeholder"/>
        </w:category>
        <w:types>
          <w:type w:val="bbPlcHdr"/>
        </w:types>
        <w:behaviors>
          <w:behavior w:val="content"/>
        </w:behaviors>
        <w:guid w:val="{CC883DA3-619C-4F34-B591-19920CB11AC7}"/>
      </w:docPartPr>
      <w:docPartBody>
        <w:p w:rsidR="00404886" w:rsidRDefault="00C7302B" w:rsidP="00C7302B">
          <w:pPr>
            <w:pStyle w:val="50CCE2F696C74A50B402B2C257ED0264"/>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65"/>
    <w:rsid w:val="0002749C"/>
    <w:rsid w:val="001E3D65"/>
    <w:rsid w:val="002234FB"/>
    <w:rsid w:val="0025771C"/>
    <w:rsid w:val="002628AC"/>
    <w:rsid w:val="0028257F"/>
    <w:rsid w:val="002E4E4A"/>
    <w:rsid w:val="00404886"/>
    <w:rsid w:val="004C5D61"/>
    <w:rsid w:val="005A587D"/>
    <w:rsid w:val="005D1822"/>
    <w:rsid w:val="006251B4"/>
    <w:rsid w:val="00663C30"/>
    <w:rsid w:val="00754AA8"/>
    <w:rsid w:val="007A2C75"/>
    <w:rsid w:val="007D2595"/>
    <w:rsid w:val="00841077"/>
    <w:rsid w:val="008469F8"/>
    <w:rsid w:val="008B40C9"/>
    <w:rsid w:val="00A20799"/>
    <w:rsid w:val="00A323FD"/>
    <w:rsid w:val="00A95042"/>
    <w:rsid w:val="00AA66CC"/>
    <w:rsid w:val="00B46D7B"/>
    <w:rsid w:val="00B72E6A"/>
    <w:rsid w:val="00C7302B"/>
    <w:rsid w:val="00CA37EC"/>
    <w:rsid w:val="00CE3BDA"/>
    <w:rsid w:val="00D4477B"/>
    <w:rsid w:val="00D80CC4"/>
    <w:rsid w:val="00DB585E"/>
    <w:rsid w:val="00DC4F66"/>
    <w:rsid w:val="00E60471"/>
    <w:rsid w:val="00F9491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302B"/>
  </w:style>
  <w:style w:type="paragraph" w:customStyle="1" w:styleId="50CCE2F696C74A50B402B2C257ED0264">
    <w:name w:val="50CCE2F696C74A50B402B2C257ED0264"/>
    <w:rsid w:val="00C73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D06B2BFF-9EB7-46A8-B7DB-B2497AF21258}">
  <ds:schemaRef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13ad741f-c0db-4e29-b5a6-03b4a1bc18ba"/>
    <ds:schemaRef ds:uri="358298e0-1b7e-4ebe-8695-94439b74f0d1"/>
    <ds:schemaRef ds:uri="http://purl.org/dc/elements/1.1/"/>
  </ds:schemaRefs>
</ds:datastoreItem>
</file>

<file path=customXml/itemProps3.xml><?xml version="1.0" encoding="utf-8"?>
<ds:datastoreItem xmlns:ds="http://schemas.openxmlformats.org/officeDocument/2006/customXml" ds:itemID="{49C598B3-635E-4A22-8F7E-7D5A15832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7468A-B5AF-4004-B1B8-04A60B62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18</Pages>
  <Words>8913</Words>
  <Characters>46079</Characters>
  <Application>Microsoft Office Word</Application>
  <DocSecurity>0</DocSecurity>
  <Lines>383</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mécanisme de financement</vt:lpstr>
      <vt:lpstr>mécanisme de financement</vt:lpstr>
    </vt:vector>
  </TitlesOfParts>
  <Manager/>
  <Company>United Nations</Company>
  <LinksUpToDate>false</LinksUpToDate>
  <CharactersWithSpaces>54883</CharactersWithSpaces>
  <SharedDoc>false</SharedDoc>
  <HyperlinkBase/>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mécanisme de financement</dc:title>
  <dc:subject>CBD/SBI/3/6/Add.2</dc:subject>
  <dc:creator>SCBD</dc:creator>
  <cp:keywords>Subsidiary Body on Implementation, third meeting, Convention on Biological Diversity</cp:keywords>
  <dc:description>Interim report on the full assessment of funding necessary and available for the implementation of the Convention for the eighth replenishment period of the Global Environment Facility (July 2022 to June 2026): executive summary</dc:description>
  <cp:lastModifiedBy>Xue He Yan</cp:lastModifiedBy>
  <cp:revision>16</cp:revision>
  <cp:lastPrinted>2022-02-08T14:11:00Z</cp:lastPrinted>
  <dcterms:created xsi:type="dcterms:W3CDTF">2022-02-01T17:38:00Z</dcterms:created>
  <dcterms:modified xsi:type="dcterms:W3CDTF">2022-02-08T14:19:00Z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