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FE3E15" w:rsidRPr="00DF422D" w14:paraId="4D781C74" w14:textId="77777777" w:rsidTr="0082791D">
        <w:trPr>
          <w:gridBefore w:val="1"/>
          <w:wBefore w:w="17" w:type="dxa"/>
          <w:trHeight w:val="993"/>
        </w:trPr>
        <w:tc>
          <w:tcPr>
            <w:tcW w:w="1350" w:type="dxa"/>
            <w:tcBorders>
              <w:bottom w:val="single" w:sz="12" w:space="0" w:color="000000"/>
            </w:tcBorders>
            <w:shd w:val="clear" w:color="auto" w:fill="auto"/>
          </w:tcPr>
          <w:p w14:paraId="3A55AEEB" w14:textId="69BECCAB" w:rsidR="00FE3E15" w:rsidRPr="00041416" w:rsidRDefault="00FE3E15" w:rsidP="0082791D">
            <w:pPr>
              <w:pStyle w:val="Header"/>
              <w:rPr>
                <w:noProof/>
                <w:kern w:val="22"/>
              </w:rPr>
            </w:pPr>
            <w:r>
              <w:rPr>
                <w:noProof/>
                <w:kern w:val="22"/>
                <w:lang w:val="en-US"/>
              </w:rPr>
              <w:drawing>
                <wp:inline distT="0" distB="0" distL="0" distR="0" wp14:anchorId="023598AF" wp14:editId="3347EF94">
                  <wp:extent cx="477520" cy="40259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a:ln>
                            <a:noFill/>
                          </a:ln>
                        </pic:spPr>
                      </pic:pic>
                    </a:graphicData>
                  </a:graphic>
                </wp:inline>
              </w:drawing>
            </w:r>
          </w:p>
        </w:tc>
        <w:tc>
          <w:tcPr>
            <w:tcW w:w="1260" w:type="dxa"/>
            <w:tcBorders>
              <w:bottom w:val="single" w:sz="12" w:space="0" w:color="000000"/>
            </w:tcBorders>
            <w:shd w:val="clear" w:color="auto" w:fill="auto"/>
          </w:tcPr>
          <w:p w14:paraId="04243C20" w14:textId="0DAB7A69" w:rsidR="00FE3E15" w:rsidRPr="00041416" w:rsidRDefault="00FE3E15" w:rsidP="0082791D">
            <w:pPr>
              <w:rPr>
                <w:noProof/>
                <w:kern w:val="22"/>
              </w:rPr>
            </w:pPr>
            <w:r>
              <w:rPr>
                <w:noProof/>
                <w:kern w:val="22"/>
                <w:lang w:val="en-US"/>
              </w:rPr>
              <w:drawing>
                <wp:inline distT="0" distB="0" distL="0" distR="0" wp14:anchorId="5D2F0FEB" wp14:editId="33C7A902">
                  <wp:extent cx="340995" cy="402590"/>
                  <wp:effectExtent l="0" t="0" r="190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14:paraId="7D23476D" w14:textId="77777777" w:rsidR="00FE3E15" w:rsidRPr="00041416" w:rsidRDefault="00FE3E15" w:rsidP="0082791D">
            <w:pPr>
              <w:jc w:val="right"/>
              <w:rPr>
                <w:rFonts w:ascii="Univers" w:hAnsi="Univers"/>
                <w:b/>
                <w:kern w:val="22"/>
                <w:sz w:val="32"/>
                <w:szCs w:val="32"/>
              </w:rPr>
            </w:pPr>
            <w:r w:rsidRPr="00041416">
              <w:rPr>
                <w:rFonts w:ascii="Univers" w:hAnsi="Univers"/>
                <w:b/>
                <w:kern w:val="22"/>
                <w:sz w:val="32"/>
                <w:szCs w:val="32"/>
              </w:rPr>
              <w:t>CBD</w:t>
            </w:r>
          </w:p>
        </w:tc>
      </w:tr>
      <w:tr w:rsidR="00FE3E15" w:rsidRPr="001B19F9" w14:paraId="77A0AF59" w14:textId="77777777" w:rsidTr="0082791D">
        <w:trPr>
          <w:trHeight w:val="1925"/>
        </w:trPr>
        <w:tc>
          <w:tcPr>
            <w:tcW w:w="5238" w:type="dxa"/>
            <w:gridSpan w:val="4"/>
          </w:tcPr>
          <w:p w14:paraId="13E871B9" w14:textId="27169360" w:rsidR="00FE3E15" w:rsidRPr="00EC3104" w:rsidRDefault="00FE3E15" w:rsidP="0082791D">
            <w:pPr>
              <w:rPr>
                <w:kern w:val="22"/>
              </w:rPr>
            </w:pPr>
            <w:r>
              <w:rPr>
                <w:noProof/>
                <w:kern w:val="22"/>
                <w:lang w:val="en-US"/>
              </w:rPr>
              <w:drawing>
                <wp:inline distT="0" distB="0" distL="0" distR="0" wp14:anchorId="718299DD" wp14:editId="0345C801">
                  <wp:extent cx="2838450" cy="1078230"/>
                  <wp:effectExtent l="0" t="0" r="0" b="762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8230"/>
                          </a:xfrm>
                          <a:prstGeom prst="rect">
                            <a:avLst/>
                          </a:prstGeom>
                          <a:noFill/>
                          <a:ln>
                            <a:noFill/>
                          </a:ln>
                        </pic:spPr>
                      </pic:pic>
                    </a:graphicData>
                  </a:graphic>
                </wp:inline>
              </w:drawing>
            </w:r>
          </w:p>
        </w:tc>
        <w:tc>
          <w:tcPr>
            <w:tcW w:w="824" w:type="dxa"/>
          </w:tcPr>
          <w:p w14:paraId="575F890B" w14:textId="77777777" w:rsidR="00FE3E15" w:rsidRPr="00F3253C" w:rsidRDefault="00FE3E15" w:rsidP="0082791D">
            <w:pPr>
              <w:rPr>
                <w:kern w:val="22"/>
              </w:rPr>
            </w:pPr>
          </w:p>
        </w:tc>
        <w:tc>
          <w:tcPr>
            <w:tcW w:w="3685" w:type="dxa"/>
          </w:tcPr>
          <w:p w14:paraId="071945BD" w14:textId="77777777" w:rsidR="00FE3E15" w:rsidRPr="001B19F9" w:rsidRDefault="00FE3E15" w:rsidP="00264601">
            <w:pPr>
              <w:spacing w:after="0" w:line="240" w:lineRule="auto"/>
              <w:ind w:left="602"/>
              <w:rPr>
                <w:kern w:val="22"/>
              </w:rPr>
            </w:pPr>
            <w:r w:rsidRPr="001B19F9">
              <w:rPr>
                <w:kern w:val="22"/>
              </w:rPr>
              <w:t>Distr.</w:t>
            </w:r>
          </w:p>
          <w:p w14:paraId="6F9515DC" w14:textId="77777777" w:rsidR="00FE3E15" w:rsidRPr="001B19F9" w:rsidRDefault="00FE3E15" w:rsidP="00264601">
            <w:pPr>
              <w:spacing w:after="0" w:line="240" w:lineRule="auto"/>
              <w:ind w:left="602"/>
              <w:rPr>
                <w:kern w:val="22"/>
              </w:rPr>
            </w:pPr>
            <w:r w:rsidRPr="001B19F9">
              <w:rPr>
                <w:kern w:val="22"/>
              </w:rPr>
              <w:t>GENERAL</w:t>
            </w:r>
          </w:p>
          <w:p w14:paraId="45748D96" w14:textId="77777777" w:rsidR="00FE3E15" w:rsidRPr="001B19F9" w:rsidRDefault="00FE3E15" w:rsidP="00264601">
            <w:pPr>
              <w:spacing w:after="0" w:line="240" w:lineRule="auto"/>
              <w:ind w:left="602"/>
              <w:rPr>
                <w:kern w:val="22"/>
              </w:rPr>
            </w:pPr>
          </w:p>
          <w:p w14:paraId="2368864A" w14:textId="047A52F0" w:rsidR="00FE3E15" w:rsidRPr="001B19F9" w:rsidRDefault="00FE3E15" w:rsidP="00264601">
            <w:pPr>
              <w:tabs>
                <w:tab w:val="left" w:pos="0"/>
              </w:tabs>
              <w:suppressAutoHyphens/>
              <w:spacing w:after="0" w:line="240" w:lineRule="auto"/>
              <w:ind w:left="602"/>
              <w:rPr>
                <w:kern w:val="22"/>
              </w:rPr>
            </w:pPr>
            <w:r w:rsidRPr="001B19F9">
              <w:rPr>
                <w:kern w:val="22"/>
              </w:rPr>
              <w:t>CBD/SBSTTA/21/</w:t>
            </w:r>
            <w:r>
              <w:rPr>
                <w:kern w:val="22"/>
              </w:rPr>
              <w:t>INF/</w:t>
            </w:r>
            <w:r w:rsidR="0061253C">
              <w:rPr>
                <w:kern w:val="22"/>
              </w:rPr>
              <w:t>2</w:t>
            </w:r>
            <w:r w:rsidR="00264601">
              <w:rPr>
                <w:kern w:val="22"/>
              </w:rPr>
              <w:t>/Rev.1</w:t>
            </w:r>
          </w:p>
          <w:p w14:paraId="7BF493B4" w14:textId="77777777" w:rsidR="00FE3E15" w:rsidRPr="00906E52" w:rsidRDefault="00FE3E15" w:rsidP="00264601">
            <w:pPr>
              <w:tabs>
                <w:tab w:val="left" w:pos="0"/>
              </w:tabs>
              <w:suppressAutoHyphens/>
              <w:spacing w:after="0" w:line="240" w:lineRule="auto"/>
              <w:ind w:left="602"/>
              <w:rPr>
                <w:kern w:val="22"/>
              </w:rPr>
            </w:pPr>
            <w:r w:rsidRPr="00CB7539">
              <w:rPr>
                <w:kern w:val="22"/>
              </w:rPr>
              <w:t>21 November 2017</w:t>
            </w:r>
          </w:p>
          <w:p w14:paraId="70D363E3" w14:textId="77777777" w:rsidR="00FE3E15" w:rsidRPr="00F83A19" w:rsidRDefault="00FE3E15" w:rsidP="00264601">
            <w:pPr>
              <w:spacing w:after="0" w:line="240" w:lineRule="auto"/>
              <w:ind w:left="602"/>
              <w:rPr>
                <w:kern w:val="22"/>
              </w:rPr>
            </w:pPr>
          </w:p>
          <w:p w14:paraId="78ABF346" w14:textId="77777777" w:rsidR="00FE3E15" w:rsidRPr="00B26D93" w:rsidRDefault="00FE3E15" w:rsidP="00264601">
            <w:pPr>
              <w:spacing w:after="0" w:line="240" w:lineRule="auto"/>
              <w:ind w:left="602"/>
              <w:rPr>
                <w:rFonts w:ascii="Courier New" w:hAnsi="Courier New"/>
                <w:kern w:val="22"/>
              </w:rPr>
            </w:pPr>
            <w:r w:rsidRPr="00672AE0">
              <w:rPr>
                <w:kern w:val="22"/>
              </w:rPr>
              <w:t>ENGLISH</w:t>
            </w:r>
            <w:r>
              <w:rPr>
                <w:kern w:val="22"/>
              </w:rPr>
              <w:t xml:space="preserve"> ONLY</w:t>
            </w:r>
          </w:p>
        </w:tc>
      </w:tr>
    </w:tbl>
    <w:p w14:paraId="6A73F153" w14:textId="77777777" w:rsidR="00FE3E15" w:rsidRPr="00F3253C" w:rsidRDefault="00FE3E15" w:rsidP="0061253C">
      <w:pPr>
        <w:pStyle w:val="Cornernotation"/>
        <w:ind w:right="4210"/>
        <w:rPr>
          <w:kern w:val="22"/>
          <w:szCs w:val="22"/>
        </w:rPr>
      </w:pPr>
      <w:r w:rsidRPr="00EC3104">
        <w:rPr>
          <w:caps/>
          <w:kern w:val="22"/>
          <w:szCs w:val="22"/>
        </w:rPr>
        <w:t>Subsidiary Body on Scientific, Technical and Technological Advice</w:t>
      </w:r>
    </w:p>
    <w:p w14:paraId="7CFDF110" w14:textId="77777777" w:rsidR="00FE3E15" w:rsidRPr="001B19F9" w:rsidRDefault="00FE3E15" w:rsidP="00A01423">
      <w:pPr>
        <w:spacing w:after="0" w:line="240" w:lineRule="auto"/>
        <w:rPr>
          <w:kern w:val="22"/>
        </w:rPr>
      </w:pPr>
      <w:r w:rsidRPr="001B19F9">
        <w:rPr>
          <w:kern w:val="22"/>
        </w:rPr>
        <w:t>Twenty-first meeting</w:t>
      </w:r>
    </w:p>
    <w:p w14:paraId="3515F2F1" w14:textId="77777777" w:rsidR="00FE3E15" w:rsidRPr="00F83A19" w:rsidRDefault="00FE3E15" w:rsidP="00A01423">
      <w:pPr>
        <w:spacing w:after="0" w:line="240" w:lineRule="auto"/>
        <w:rPr>
          <w:kern w:val="22"/>
        </w:rPr>
      </w:pPr>
      <w:r w:rsidRPr="00EC3104">
        <w:rPr>
          <w:kern w:val="22"/>
        </w:rPr>
        <w:t xml:space="preserve">Montreal, Canada, </w:t>
      </w:r>
      <w:r w:rsidRPr="00F3253C">
        <w:rPr>
          <w:kern w:val="22"/>
        </w:rPr>
        <w:t>11-</w:t>
      </w:r>
      <w:r w:rsidRPr="002E0E18">
        <w:rPr>
          <w:kern w:val="22"/>
        </w:rPr>
        <w:t>14</w:t>
      </w:r>
      <w:r w:rsidRPr="00906E52">
        <w:rPr>
          <w:kern w:val="22"/>
        </w:rPr>
        <w:t xml:space="preserve"> December 2017</w:t>
      </w:r>
    </w:p>
    <w:p w14:paraId="2615D268" w14:textId="77777777" w:rsidR="00FE3E15" w:rsidRPr="001B19F9" w:rsidRDefault="00FE3E15" w:rsidP="00A01423">
      <w:pPr>
        <w:spacing w:after="0" w:line="240" w:lineRule="auto"/>
        <w:rPr>
          <w:kern w:val="22"/>
        </w:rPr>
      </w:pPr>
      <w:r w:rsidRPr="001B19F9">
        <w:rPr>
          <w:kern w:val="22"/>
        </w:rPr>
        <w:t xml:space="preserve">Item </w:t>
      </w:r>
      <w:r>
        <w:rPr>
          <w:kern w:val="22"/>
        </w:rPr>
        <w:t>3</w:t>
      </w:r>
      <w:r w:rsidRPr="001B19F9">
        <w:rPr>
          <w:kern w:val="22"/>
        </w:rPr>
        <w:t xml:space="preserve"> of the provisional agenda</w:t>
      </w:r>
      <w:r w:rsidRPr="001B19F9">
        <w:rPr>
          <w:rStyle w:val="FootnoteReference"/>
          <w:snapToGrid w:val="0"/>
          <w:kern w:val="22"/>
        </w:rPr>
        <w:footnoteReference w:customMarkFollows="1" w:id="1"/>
        <w:t>*</w:t>
      </w:r>
    </w:p>
    <w:p w14:paraId="4747EC05" w14:textId="77777777" w:rsidR="00FE3E15" w:rsidRPr="00FE3E15" w:rsidRDefault="00FE3E15" w:rsidP="00FE3E15">
      <w:pPr>
        <w:pStyle w:val="heading2notforTOC"/>
        <w:rPr>
          <w:b/>
          <w:bCs/>
          <w:i w:val="0"/>
          <w:caps/>
          <w:snapToGrid w:val="0"/>
          <w:kern w:val="22"/>
        </w:rPr>
      </w:pPr>
      <w:r w:rsidRPr="00FE3E15">
        <w:rPr>
          <w:b/>
          <w:bCs/>
          <w:i w:val="0"/>
          <w:caps/>
          <w:snapToGrid w:val="0"/>
          <w:kern w:val="22"/>
        </w:rPr>
        <w:t>Review of future projections of biodiversity and ecosystem services</w:t>
      </w:r>
    </w:p>
    <w:p w14:paraId="5B029E41" w14:textId="77777777" w:rsidR="00FE3E15" w:rsidRPr="00EC3104" w:rsidRDefault="00FE3E15" w:rsidP="00FE3E15">
      <w:pPr>
        <w:pStyle w:val="heading2notforTOC"/>
        <w:rPr>
          <w:snapToGrid w:val="0"/>
          <w:kern w:val="22"/>
          <w:szCs w:val="22"/>
        </w:rPr>
      </w:pPr>
      <w:r w:rsidRPr="00EC3104">
        <w:rPr>
          <w:snapToGrid w:val="0"/>
          <w:kern w:val="22"/>
          <w:szCs w:val="22"/>
        </w:rPr>
        <w:t>Note by the Executive Secretary</w:t>
      </w:r>
    </w:p>
    <w:p w14:paraId="0E7E1A01" w14:textId="734FDDFB" w:rsidR="00FE3E15" w:rsidRPr="00FE3E15" w:rsidRDefault="00FE3E15" w:rsidP="00FE3E15">
      <w:pPr>
        <w:pStyle w:val="Para1"/>
        <w:numPr>
          <w:ilvl w:val="0"/>
          <w:numId w:val="18"/>
        </w:numPr>
        <w:tabs>
          <w:tab w:val="clear" w:pos="1080"/>
          <w:tab w:val="num" w:pos="720"/>
        </w:tabs>
        <w:ind w:left="0" w:firstLine="0"/>
      </w:pPr>
      <w:r w:rsidRPr="00BE40DE">
        <w:t xml:space="preserve">The Executive Secretary is circulating herewith, for the information of participants in the twenty-first meeting of the Subsidiary Body on Scientific, Technical and Technological Advice, </w:t>
      </w:r>
      <w:r>
        <w:t>a r</w:t>
      </w:r>
      <w:r w:rsidRPr="00FE3E15">
        <w:t>eview of future projections of biodiversity and ecosystem services</w:t>
      </w:r>
      <w:r w:rsidRPr="00FE3E15">
        <w:rPr>
          <w:rFonts w:eastAsia="Malgun Gothic"/>
          <w:kern w:val="22"/>
          <w:szCs w:val="22"/>
        </w:rPr>
        <w:t>. The note has been prepare</w:t>
      </w:r>
      <w:r w:rsidR="00DA6BA3">
        <w:rPr>
          <w:rFonts w:eastAsia="Malgun Gothic"/>
          <w:kern w:val="22"/>
          <w:szCs w:val="22"/>
        </w:rPr>
        <w:t>d</w:t>
      </w:r>
      <w:r w:rsidRPr="00FE3E15">
        <w:rPr>
          <w:rFonts w:eastAsia="Malgun Gothic"/>
          <w:kern w:val="22"/>
          <w:szCs w:val="22"/>
        </w:rPr>
        <w:t xml:space="preserve"> by the UN Environment World Conservation Monitoring Centre </w:t>
      </w:r>
      <w:r>
        <w:rPr>
          <w:rFonts w:eastAsia="Malgun Gothic"/>
          <w:kern w:val="22"/>
          <w:szCs w:val="22"/>
        </w:rPr>
        <w:t>in consultation with</w:t>
      </w:r>
      <w:r w:rsidRPr="00FE3E15">
        <w:rPr>
          <w:rFonts w:eastAsia="Malgun Gothic"/>
          <w:kern w:val="22"/>
          <w:szCs w:val="22"/>
        </w:rPr>
        <w:t xml:space="preserve"> the Secretariat of the Convention on Biological Diversity</w:t>
      </w:r>
      <w:r w:rsidR="000C0CBD">
        <w:rPr>
          <w:rFonts w:eastAsia="Malgun Gothic"/>
          <w:kern w:val="22"/>
          <w:szCs w:val="22"/>
        </w:rPr>
        <w:t>,</w:t>
      </w:r>
      <w:r>
        <w:rPr>
          <w:rStyle w:val="FootnoteReference"/>
          <w:rFonts w:eastAsia="Malgun Gothic"/>
          <w:kern w:val="22"/>
          <w:szCs w:val="22"/>
        </w:rPr>
        <w:footnoteReference w:id="2"/>
      </w:r>
      <w:r w:rsidR="000C0CBD">
        <w:rPr>
          <w:rFonts w:eastAsia="Malgun Gothic"/>
          <w:kern w:val="22"/>
          <w:szCs w:val="22"/>
        </w:rPr>
        <w:t xml:space="preserve"> with the generous financial support from the United Kingdom of Great Britain and Northern Ireland.</w:t>
      </w:r>
    </w:p>
    <w:p w14:paraId="16B84B8B" w14:textId="573FEDA6" w:rsidR="00FE3E15" w:rsidRPr="00D260E2" w:rsidRDefault="0061253C" w:rsidP="00686D74">
      <w:pPr>
        <w:pStyle w:val="Para1"/>
        <w:numPr>
          <w:ilvl w:val="0"/>
          <w:numId w:val="18"/>
        </w:numPr>
        <w:tabs>
          <w:tab w:val="clear" w:pos="1080"/>
          <w:tab w:val="num" w:pos="720"/>
        </w:tabs>
        <w:ind w:left="0" w:firstLine="0"/>
        <w:rPr>
          <w:rFonts w:eastAsia="Malgun Gothic"/>
          <w:kern w:val="22"/>
          <w:szCs w:val="22"/>
        </w:rPr>
      </w:pPr>
      <w:r>
        <w:t>The present</w:t>
      </w:r>
      <w:r w:rsidR="00FE3E15">
        <w:t xml:space="preserve"> note provides additional information relevant to CBD/SBSTTA/21/2</w:t>
      </w:r>
      <w:r>
        <w:t>,</w:t>
      </w:r>
      <w:r w:rsidR="00FE3E15">
        <w:t xml:space="preserve"> </w:t>
      </w:r>
      <w:r>
        <w:t xml:space="preserve">section III C, </w:t>
      </w:r>
      <w:r w:rsidR="00FE3E15">
        <w:t xml:space="preserve">which focuses on ongoing work related to the development of </w:t>
      </w:r>
      <w:r w:rsidR="0067405A">
        <w:t>scenarios on biodiversity, land use</w:t>
      </w:r>
      <w:r w:rsidR="00FE3E15">
        <w:t>, climate change and sustainable</w:t>
      </w:r>
      <w:r w:rsidR="00A01423">
        <w:t xml:space="preserve"> development</w:t>
      </w:r>
      <w:r w:rsidR="00FE3E15">
        <w:t>.</w:t>
      </w:r>
      <w:r w:rsidR="00F1283E">
        <w:t xml:space="preserve"> </w:t>
      </w:r>
      <w:r w:rsidR="00F1283E">
        <w:rPr>
          <w:szCs w:val="22"/>
        </w:rPr>
        <w:t>In response to recommendation XXI/1 it has been revised following a peer review process as well as to reflect addition work on this issue</w:t>
      </w:r>
      <w:r w:rsidR="005E2685">
        <w:rPr>
          <w:szCs w:val="22"/>
        </w:rPr>
        <w:t>.</w:t>
      </w:r>
    </w:p>
    <w:p w14:paraId="3736C94C" w14:textId="77777777" w:rsidR="00FE3E15" w:rsidRPr="00BA7390" w:rsidRDefault="00FE3E15" w:rsidP="00FE3E15">
      <w:pPr>
        <w:pStyle w:val="Para1"/>
        <w:numPr>
          <w:ilvl w:val="0"/>
          <w:numId w:val="18"/>
        </w:numPr>
        <w:tabs>
          <w:tab w:val="clear" w:pos="1080"/>
        </w:tabs>
        <w:ind w:left="0" w:firstLine="0"/>
        <w:rPr>
          <w:rFonts w:eastAsia="Malgun Gothic"/>
          <w:kern w:val="22"/>
          <w:szCs w:val="22"/>
        </w:rPr>
      </w:pPr>
      <w:r w:rsidRPr="00BA7390">
        <w:rPr>
          <w:rFonts w:eastAsia="Malgun Gothic"/>
          <w:kern w:val="22"/>
          <w:szCs w:val="22"/>
        </w:rPr>
        <w:t>The report is presented in the form and language in which it was received by the Secretariat.</w:t>
      </w:r>
    </w:p>
    <w:p w14:paraId="70D7FAC7" w14:textId="77777777" w:rsidR="00D177B7" w:rsidRPr="0093487F" w:rsidRDefault="00D177B7" w:rsidP="003D4111">
      <w:pPr>
        <w:jc w:val="center"/>
        <w:rPr>
          <w:b/>
        </w:rPr>
      </w:pPr>
    </w:p>
    <w:p w14:paraId="2F0A2479" w14:textId="77777777" w:rsidR="00FE3E15" w:rsidRDefault="00FE3E15">
      <w:pPr>
        <w:rPr>
          <w:b/>
        </w:rPr>
      </w:pPr>
      <w:r>
        <w:rPr>
          <w:b/>
        </w:rPr>
        <w:br w:type="page"/>
      </w:r>
    </w:p>
    <w:p w14:paraId="28BCA7CB" w14:textId="54DBACA4" w:rsidR="00D177B7" w:rsidRPr="0093487F" w:rsidRDefault="00F55CE7" w:rsidP="003D4111">
      <w:pPr>
        <w:jc w:val="center"/>
        <w:rPr>
          <w:b/>
        </w:rPr>
      </w:pPr>
      <w:r>
        <w:rPr>
          <w:b/>
        </w:rPr>
        <w:lastRenderedPageBreak/>
        <w:t>REVIEW OF FUTURE PROJECTIONS OF BIODIVERSITY AND ECOSYSTEM SERVICES</w:t>
      </w:r>
    </w:p>
    <w:p w14:paraId="1F5FE06C" w14:textId="21520C0F" w:rsidR="00D177B7" w:rsidRDefault="00D177B7" w:rsidP="00032878">
      <w:pPr>
        <w:pStyle w:val="ListParagraph"/>
        <w:numPr>
          <w:ilvl w:val="0"/>
          <w:numId w:val="20"/>
        </w:numPr>
        <w:ind w:left="0" w:firstLine="0"/>
        <w:jc w:val="center"/>
        <w:rPr>
          <w:rFonts w:ascii="Times New Roman Bold" w:hAnsi="Times New Roman Bold" w:cs="Times New Roman"/>
          <w:b/>
          <w:caps/>
        </w:rPr>
      </w:pPr>
      <w:bookmarkStart w:id="0" w:name="_Toc497834770"/>
      <w:r w:rsidRPr="0093487F">
        <w:rPr>
          <w:rFonts w:ascii="Times New Roman Bold" w:hAnsi="Times New Roman Bold" w:cs="Times New Roman"/>
          <w:b/>
          <w:caps/>
        </w:rPr>
        <w:t>Introduction</w:t>
      </w:r>
      <w:bookmarkEnd w:id="0"/>
      <w:r w:rsidR="00344001">
        <w:rPr>
          <w:rFonts w:ascii="Times New Roman Bold" w:hAnsi="Times New Roman Bold" w:cs="Times New Roman"/>
          <w:b/>
          <w:caps/>
        </w:rPr>
        <w:t xml:space="preserve"> AND SCOPE</w:t>
      </w:r>
    </w:p>
    <w:p w14:paraId="5553175B" w14:textId="77777777" w:rsidR="00F1283E" w:rsidRDefault="00F1283E" w:rsidP="00625589">
      <w:pPr>
        <w:pStyle w:val="ListParagraph"/>
        <w:ind w:left="0"/>
        <w:rPr>
          <w:rFonts w:ascii="Times New Roman Bold" w:hAnsi="Times New Roman Bold" w:cs="Times New Roman"/>
          <w:b/>
          <w:caps/>
        </w:rPr>
      </w:pPr>
    </w:p>
    <w:p w14:paraId="713C552B" w14:textId="77777777" w:rsidR="00F1283E" w:rsidRDefault="00F1283E" w:rsidP="00F1283E">
      <w:pPr>
        <w:pStyle w:val="ListParagraph"/>
        <w:numPr>
          <w:ilvl w:val="0"/>
          <w:numId w:val="4"/>
        </w:numPr>
        <w:contextualSpacing w:val="0"/>
      </w:pPr>
      <w:r>
        <w:t>The 2050 Vision of the Convention on Biological Diversity’s (CBD) Strategic Plan for Biodiversity 2011-2020 is that ‘</w:t>
      </w:r>
      <w:r w:rsidRPr="005B7064">
        <w:rPr>
          <w:i/>
        </w:rPr>
        <w:t>biodiversity is valued, conserved</w:t>
      </w:r>
      <w:r>
        <w:rPr>
          <w:i/>
        </w:rPr>
        <w:t>,</w:t>
      </w:r>
      <w:r w:rsidRPr="005B7064">
        <w:rPr>
          <w:i/>
        </w:rPr>
        <w:t xml:space="preserve"> restored and wisely used, maintaining ecosystem services, sustaining a healthy planet, and delivering benefits essential for all people</w:t>
      </w:r>
      <w:r>
        <w:t>.’ To achieve this 2050 Vision it is necessary to assess where we stand at present, but also to evaluate where we are heading, and how alternative policies and socio-economic developments may affect this trajectory.</w:t>
      </w:r>
    </w:p>
    <w:p w14:paraId="329C5406" w14:textId="77777777" w:rsidR="00F1283E" w:rsidRDefault="00F1283E" w:rsidP="00F1283E">
      <w:pPr>
        <w:pStyle w:val="ListParagraph"/>
        <w:numPr>
          <w:ilvl w:val="0"/>
          <w:numId w:val="4"/>
        </w:numPr>
        <w:contextualSpacing w:val="0"/>
      </w:pPr>
      <w:r>
        <w:t xml:space="preserve">To determine the trajectories of biodiversity and ecosystem services, we can use </w:t>
      </w:r>
      <w:r w:rsidRPr="005B7064">
        <w:rPr>
          <w:i/>
        </w:rPr>
        <w:t>projections</w:t>
      </w:r>
      <w:r>
        <w:t xml:space="preserve"> of </w:t>
      </w:r>
      <w:r w:rsidRPr="005B7064">
        <w:rPr>
          <w:i/>
        </w:rPr>
        <w:t>trends</w:t>
      </w:r>
      <w:r>
        <w:t xml:space="preserve">, often generated by </w:t>
      </w:r>
      <w:r w:rsidRPr="005B7064">
        <w:rPr>
          <w:i/>
        </w:rPr>
        <w:t>models</w:t>
      </w:r>
      <w:r>
        <w:t xml:space="preserve"> and frequently forced by specific </w:t>
      </w:r>
      <w:r w:rsidRPr="005B7064">
        <w:rPr>
          <w:i/>
        </w:rPr>
        <w:t>scenarios</w:t>
      </w:r>
      <w:r>
        <w:t xml:space="preserve"> of socio-economic development and climate (all italicised words defined below). </w:t>
      </w:r>
    </w:p>
    <w:p w14:paraId="32503855" w14:textId="1A4A4379" w:rsidR="00F1283E" w:rsidRDefault="00F1283E" w:rsidP="00625589">
      <w:pPr>
        <w:pStyle w:val="ListParagraph"/>
        <w:numPr>
          <w:ilvl w:val="0"/>
          <w:numId w:val="4"/>
        </w:numPr>
        <w:contextualSpacing w:val="0"/>
      </w:pPr>
      <w:r>
        <w:t xml:space="preserve">The purpose of this document is to review recent information from the scientific literature on the status, trends, and projections of global biodiversity and ecosystem services, and to describe how this can be used to inform how the 2050 Vision might be achieved. The review is not intended to comprehensively cover all biodiversity projection and scenario studies, but rather to </w:t>
      </w:r>
      <w:r w:rsidR="00625589">
        <w:t xml:space="preserve">provide </w:t>
      </w:r>
      <w:r>
        <w:t xml:space="preserve">illustrative examples </w:t>
      </w:r>
      <w:r w:rsidR="00625589">
        <w:t>of their</w:t>
      </w:r>
      <w:r>
        <w:t xml:space="preserve"> relevance for achieving the 2050 Vision. Our starting point is the </w:t>
      </w:r>
      <w:r w:rsidR="00625589">
        <w:t xml:space="preserve">fourth edition of the </w:t>
      </w:r>
      <w:r>
        <w:t xml:space="preserve">Global Biodiversity Outlook  (GBO4) </w:t>
      </w:r>
      <w:r>
        <w:fldChar w:fldCharType="begin" w:fldLock="1"/>
      </w:r>
      <w:r>
        <w:instrText>ADDIN CSL_CITATION { "citationItems" : [ { "id" : "ITEM-1", "itemData" : { "author" : [ { "dropping-particle" : "", "family" : "Diversity", "given" : "Secretariat of the Convention on Biological", "non-dropping-particle" : "", "parse-names" : false, "suffix" : "" } ], "id" : "ITEM-1", "issued" : { "date-parts" : [ [ "0" ] ] }, "publisher-place" : "Montreal", "title" : "Global Biodiversity Outlook 4", "type" : "report" }, "uris" : [ "http://www.mendeley.com/documents/?uuid=930b3e76-59f6-42f3-a2a6-9b0c674370dd" ] } ], "mendeley" : { "formattedCitation" : "(Diversity, n.d.)", "manualFormatting" : "(Secretariat of the Convention on Biological Diversity, 2014)", "plainTextFormattedCitation" : "(Diversity, n.d.)", "previouslyFormattedCitation" : "(Diversity, n.d.)" }, "properties" : {  }, "schema" : "https://github.com/citation-style-language/schema/raw/master/csl-citation.json" }</w:instrText>
      </w:r>
      <w:r>
        <w:fldChar w:fldCharType="separate"/>
      </w:r>
      <w:r w:rsidRPr="00D87C25">
        <w:rPr>
          <w:noProof/>
        </w:rPr>
        <w:t>(</w:t>
      </w:r>
      <w:r>
        <w:rPr>
          <w:noProof/>
        </w:rPr>
        <w:t>Secretariat of the Convention on Biological Diversity, 2014</w:t>
      </w:r>
      <w:r w:rsidRPr="00D87C25">
        <w:rPr>
          <w:noProof/>
        </w:rPr>
        <w:t>)</w:t>
      </w:r>
      <w:r>
        <w:fldChar w:fldCharType="end"/>
      </w:r>
      <w:r>
        <w:t xml:space="preserve">. We then build upon this </w:t>
      </w:r>
      <w:r w:rsidR="00625589">
        <w:t xml:space="preserve">by </w:t>
      </w:r>
      <w:r>
        <w:t xml:space="preserve">identifying assessments and projections of the state of biodiversity in the scientific literature since </w:t>
      </w:r>
      <w:r w:rsidR="00625589">
        <w:t>GBO-4 was published in 2014</w:t>
      </w:r>
      <w:r>
        <w:t>. We compare projections for biodiversity and ecosystem services under ‘business as usual’ scenarios to projections under alternative scenarios, identify gaps and uncertainties, and finish by examining the relevance of recent projections and scenarios for achieving the 2050 Vision.</w:t>
      </w:r>
    </w:p>
    <w:p w14:paraId="4A8DD9AA" w14:textId="77777777" w:rsidR="00F1283E" w:rsidRPr="006C7860" w:rsidRDefault="00F1283E" w:rsidP="00F1283E">
      <w:r w:rsidRPr="006C7860">
        <w:rPr>
          <w:i/>
        </w:rPr>
        <w:t>Terminology</w:t>
      </w:r>
    </w:p>
    <w:p w14:paraId="3EE41EDB" w14:textId="77777777" w:rsidR="00F1283E" w:rsidRDefault="00F1283E" w:rsidP="00F1283E">
      <w:pPr>
        <w:pStyle w:val="ListParagraph"/>
        <w:numPr>
          <w:ilvl w:val="0"/>
          <w:numId w:val="4"/>
        </w:numPr>
        <w:contextualSpacing w:val="0"/>
      </w:pPr>
      <w:r>
        <w:t>Here we consider ‘biodiversity’ in a broad sense (using the CBD’s definition of “biological diversity” as “</w:t>
      </w:r>
      <w:r w:rsidRPr="005B7064">
        <w:rPr>
          <w:i/>
        </w:rPr>
        <w:t>the variability among living organisms from all sources including, inter alia, terrestrial, marine and other aquatic ecosystems and the ecological complexes of which they are part; this includes diversity within species, be</w:t>
      </w:r>
      <w:r>
        <w:rPr>
          <w:i/>
        </w:rPr>
        <w:t>tween species and of ecosystems”</w:t>
      </w:r>
      <w:r>
        <w:t>)</w:t>
      </w:r>
      <w:r w:rsidRPr="005B7064">
        <w:rPr>
          <w:i/>
        </w:rPr>
        <w:t xml:space="preserve">. </w:t>
      </w:r>
      <w:r>
        <w:t>We consider ‘ecosystem services’ as both goods and services that represent the “</w:t>
      </w:r>
      <w:r w:rsidRPr="005B7064">
        <w:rPr>
          <w:i/>
        </w:rPr>
        <w:t>direct and indirect contributions of ecosystems to human wellbeing”</w:t>
      </w:r>
      <w:r>
        <w:rPr>
          <w:rStyle w:val="FootnoteReference"/>
          <w:i/>
        </w:rPr>
        <w:footnoteReference w:id="3"/>
      </w:r>
      <w:r>
        <w:t>.</w:t>
      </w:r>
    </w:p>
    <w:p w14:paraId="50809811" w14:textId="77777777" w:rsidR="00F1283E" w:rsidRPr="00351429" w:rsidRDefault="00F1283E" w:rsidP="00F1283E">
      <w:pPr>
        <w:pStyle w:val="ListParagraph"/>
        <w:numPr>
          <w:ilvl w:val="0"/>
          <w:numId w:val="4"/>
        </w:numPr>
        <w:contextualSpacing w:val="0"/>
        <w:rPr>
          <w:rFonts w:asciiTheme="majorHAnsi" w:hAnsiTheme="majorHAnsi"/>
        </w:rPr>
      </w:pPr>
      <w:r>
        <w:t>‘Scenarios’, in the sense used herein, are depictions or storylines of plausible or possible societal futures that can then be used to explore trajectories of biodiversity and ecosystem services, along with a range of policy or management options, into the future. Specifically, following the definition of the IPBES Methodological Assessment on Scenarios and Models of Biodiversity and Ecosystem Services, scenarios are “</w:t>
      </w:r>
      <w:r>
        <w:rPr>
          <w:i/>
        </w:rPr>
        <w:t xml:space="preserve">plausible </w:t>
      </w:r>
      <w:r w:rsidRPr="005B7064">
        <w:rPr>
          <w:i/>
        </w:rPr>
        <w:t xml:space="preserve">representations of possible futures for one or more components of a system, </w:t>
      </w:r>
      <w:r>
        <w:rPr>
          <w:i/>
        </w:rPr>
        <w:t>or […] alternative policy or management options intended to alter the future state of these components</w:t>
      </w:r>
      <w:r w:rsidRPr="005B7064">
        <w:rPr>
          <w:i/>
        </w:rPr>
        <w:t>.</w:t>
      </w:r>
      <w:r>
        <w:t xml:space="preserve">” </w:t>
      </w:r>
      <w:r>
        <w:fldChar w:fldCharType="begin" w:fldLock="1"/>
      </w:r>
      <w:r>
        <w:instrText>ADDIN CSL_CITATION { "citationItems" : [ { "id" : "ITEM-1", "itemData" : { "author" : [ { "dropping-particle" : "", "family" : "IPBES", "given" : "", "non-dropping-particle" : "", "parse-names" : false, "suffix" : "" } ], "id" : "ITEM-1", "issued" : { "date-parts" : [ [ "2016" ] ] }, "number-of-pages" : "348pp", "publisher-place" : "Bonn, Germany", "title" : "The Methodological assessment report on scenarios and models of biodiversity and ecosystem services.", "type" : "report" }, "uris" : [ "http://www.mendeley.com/documents/?uuid=ecf8bd9c-f101-43db-87fa-30d3686ef7aa" ] } ], "mendeley" : { "formattedCitation" : "(IPBES, 2016)", "plainTextFormattedCitation" : "(IPBES, 2016)", "previouslyFormattedCitation" : "(IPBES, 2016)" }, "properties" : {  }, "schema" : "https://github.com/citation-style-language/schema/raw/master/csl-citation.json" }</w:instrText>
      </w:r>
      <w:r>
        <w:fldChar w:fldCharType="separate"/>
      </w:r>
      <w:r w:rsidRPr="00D87C25">
        <w:rPr>
          <w:noProof/>
        </w:rPr>
        <w:t>(IPBES, 2016)</w:t>
      </w:r>
      <w:r>
        <w:fldChar w:fldCharType="end"/>
      </w:r>
      <w:r>
        <w:t xml:space="preserve">.  </w:t>
      </w:r>
    </w:p>
    <w:p w14:paraId="70569C37" w14:textId="77777777" w:rsidR="00F1283E" w:rsidRPr="00DF707A" w:rsidRDefault="00F1283E" w:rsidP="00F1283E">
      <w:pPr>
        <w:pStyle w:val="ListParagraph"/>
        <w:numPr>
          <w:ilvl w:val="0"/>
          <w:numId w:val="4"/>
        </w:numPr>
        <w:contextualSpacing w:val="0"/>
        <w:rPr>
          <w:rFonts w:asciiTheme="majorHAnsi" w:hAnsiTheme="majorHAnsi"/>
        </w:rPr>
      </w:pPr>
      <w:r w:rsidRPr="00DF707A">
        <w:t>‘Business-as-usual’ (BAU) is used to indicate a scenario in which societal variables, policies, economics, and other dynamics continue to follow their current pathways, without radical changes or shifts at global scales. These scenarios can represent baselines for biod</w:t>
      </w:r>
      <w:bookmarkStart w:id="1" w:name="_GoBack"/>
      <w:bookmarkEnd w:id="1"/>
      <w:r w:rsidRPr="00DF707A">
        <w:t xml:space="preserve">iversity assuming the </w:t>
      </w:r>
      <w:r w:rsidRPr="00DF707A">
        <w:lastRenderedPageBreak/>
        <w:t>continuation of current socioeconomic paradigms, and can help to indicate biodiversity trajectories against which alternate scenarios of societal development may be compared.</w:t>
      </w:r>
      <w:r w:rsidRPr="00DF707A">
        <w:rPr>
          <w:rStyle w:val="FootnoteReference"/>
        </w:rPr>
        <w:footnoteReference w:id="4"/>
      </w:r>
    </w:p>
    <w:p w14:paraId="45B3D43B" w14:textId="77777777" w:rsidR="00F1283E" w:rsidRPr="00DB73C9" w:rsidRDefault="00F1283E" w:rsidP="00F1283E">
      <w:pPr>
        <w:pStyle w:val="ListParagraph"/>
        <w:numPr>
          <w:ilvl w:val="0"/>
          <w:numId w:val="4"/>
        </w:numPr>
        <w:contextualSpacing w:val="0"/>
        <w:rPr>
          <w:rFonts w:asciiTheme="majorHAnsi" w:hAnsiTheme="majorHAnsi"/>
        </w:rPr>
      </w:pPr>
      <w:r>
        <w:t>‘Trend’ is used in the sense of the general direction in which ecosystems or biodiversity are heading, and ‘projection’ is taken to mean specific (largely quantitative) trajectories that are generally produced by models, which themselves are often forced using specific scenarios.</w:t>
      </w:r>
    </w:p>
    <w:p w14:paraId="1EE1A4CA" w14:textId="77777777" w:rsidR="00F1283E" w:rsidRPr="005B7064" w:rsidRDefault="00F1283E" w:rsidP="00F1283E">
      <w:pPr>
        <w:pStyle w:val="ListParagraph"/>
        <w:numPr>
          <w:ilvl w:val="0"/>
          <w:numId w:val="4"/>
        </w:numPr>
        <w:contextualSpacing w:val="0"/>
        <w:rPr>
          <w:rFonts w:asciiTheme="majorHAnsi" w:hAnsiTheme="majorHAnsi"/>
        </w:rPr>
      </w:pPr>
      <w:r>
        <w:t xml:space="preserve"> ‘Models’ as defined in IPBES </w:t>
      </w:r>
      <w:r>
        <w:fldChar w:fldCharType="begin" w:fldLock="1"/>
      </w:r>
      <w:r>
        <w:instrText>ADDIN CSL_CITATION { "citationItems" : [ { "id" : "ITEM-1", "itemData" : { "author" : [ { "dropping-particle" : "", "family" : "IPBES", "given" : "", "non-dropping-particle" : "", "parse-names" : false, "suffix" : "" } ], "id" : "ITEM-1", "issued" : { "date-parts" : [ [ "2016" ] ] }, "number-of-pages" : "348pp", "publisher-place" : "Bonn, Germany", "title" : "The Methodological assessment report on scenarios and models of biodiversity and ecosystem services.", "type" : "report" }, "uris" : [ "http://www.mendeley.com/documents/?uuid=ecf8bd9c-f101-43db-87fa-30d3686ef7aa" ] } ], "mendeley" : { "formattedCitation" : "(IPBES, 2016)", "manualFormatting" : "(2016)", "plainTextFormattedCitation" : "(IPBES, 2016)", "previouslyFormattedCitation" : "(IPBES, 2016)" }, "properties" : {  }, "schema" : "https://github.com/citation-style-language/schema/raw/master/csl-citation.json" }</w:instrText>
      </w:r>
      <w:r>
        <w:fldChar w:fldCharType="separate"/>
      </w:r>
      <w:r>
        <w:rPr>
          <w:noProof/>
        </w:rPr>
        <w:t>(</w:t>
      </w:r>
      <w:r w:rsidRPr="00D87C25">
        <w:rPr>
          <w:noProof/>
        </w:rPr>
        <w:t>2016)</w:t>
      </w:r>
      <w:r>
        <w:fldChar w:fldCharType="end"/>
      </w:r>
      <w:r>
        <w:t xml:space="preserve"> are ‘</w:t>
      </w:r>
      <w:r>
        <w:rPr>
          <w:i/>
        </w:rPr>
        <w:t>qualitative or quantitative representations of key components of a system and of relationships between these components’</w:t>
      </w:r>
      <w:r>
        <w:t>.</w:t>
      </w:r>
    </w:p>
    <w:p w14:paraId="517BAC8D" w14:textId="56DF3CED" w:rsidR="00F1283E" w:rsidRDefault="00F1283E" w:rsidP="00F1283E">
      <w:pPr>
        <w:rPr>
          <w:rFonts w:cs="Times New Roman"/>
        </w:rPr>
      </w:pPr>
    </w:p>
    <w:p w14:paraId="10978EE4" w14:textId="77777777" w:rsidR="00F1283E" w:rsidRPr="00982F67" w:rsidRDefault="00F1283E" w:rsidP="00F1283E">
      <w:pPr>
        <w:rPr>
          <w:rFonts w:cs="Times New Roman"/>
          <w:b/>
        </w:rPr>
      </w:pPr>
      <w:r w:rsidRPr="00A51F1E">
        <w:rPr>
          <w:rFonts w:cs="Times New Roman"/>
          <w:i/>
        </w:rPr>
        <w:t>The use of scenarios in informing projections</w:t>
      </w:r>
    </w:p>
    <w:p w14:paraId="2151895C" w14:textId="77777777" w:rsidR="00F1283E" w:rsidRDefault="00F1283E" w:rsidP="00F1283E">
      <w:pPr>
        <w:pStyle w:val="ListParagraph"/>
        <w:numPr>
          <w:ilvl w:val="0"/>
          <w:numId w:val="4"/>
        </w:numPr>
        <w:contextualSpacing w:val="0"/>
      </w:pPr>
      <w:r>
        <w:t>Scenarios can be used to ‘force’ statistical or mathematical models of biodiversity or ecosystems, and hence to explore a range of possible or plausible biodiversity futures under various assumptions of political, technological, and socio-economic development. They are an important step in clarifying the socio-economic assumptions that underlie projections, and provide the foundation or storyline for models to interpret into (generally) quantitative outcomes, often for a specific date in the future (e.g. 2030, 2050, or 2100). Scenarios can be global, regional, national, sub-national, or local. They can cover specific ecosystems or habitats, or specific sectors (e.g. agriculture)</w:t>
      </w:r>
      <w:r>
        <w:rPr>
          <w:rStyle w:val="FootnoteReference"/>
        </w:rPr>
        <w:footnoteReference w:id="5"/>
      </w:r>
      <w:r>
        <w:t>.</w:t>
      </w:r>
    </w:p>
    <w:p w14:paraId="500F61AB" w14:textId="0799D20F" w:rsidR="00F1283E" w:rsidRDefault="00F1283E" w:rsidP="00F1283E">
      <w:pPr>
        <w:pStyle w:val="ListParagraph"/>
        <w:numPr>
          <w:ilvl w:val="0"/>
          <w:numId w:val="4"/>
        </w:numPr>
        <w:contextualSpacing w:val="0"/>
      </w:pPr>
      <w:r>
        <w:t xml:space="preserve">The IPBES methodological assessment describes four types of scenarios: ‘exploratory’ (descriptions of how the future might unfold, based on potential trajectories of drivers); ‘target-seeking’ (a future end-point or target is specified, and the scenario describes a societal trajectory to reach that end point); ‘policy-screening’ (designed to explore various policy alternatives or options); and ‘retrospective policy evaluation’ (designed to explore the gap between a policy implemented in the past and pathways that would have achieved a particular target) </w:t>
      </w:r>
      <w:r>
        <w:fldChar w:fldCharType="begin" w:fldLock="1"/>
      </w:r>
      <w:r>
        <w:instrText>ADDIN CSL_CITATION { "citationItems" : [ { "id" : "ITEM-1", "itemData" : { "author" : [ { "dropping-particle" : "", "family" : "IPBES", "given" : "", "non-dropping-particle" : "", "parse-names" : false, "suffix" : "" } ], "id" : "ITEM-1", "issued" : { "date-parts" : [ [ "2016" ] ] }, "number-of-pages" : "348pp", "publisher-place" : "Bonn, Germany", "title" : "The Methodological assessment report on scenarios and models of biodiversity and ecosystem services.", "type" : "report" }, "uris" : [ "http://www.mendeley.com/documents/?uuid=ecf8bd9c-f101-43db-87fa-30d3686ef7aa" ] } ], "mendeley" : { "formattedCitation" : "(IPBES, 2016)", "plainTextFormattedCitation" : "(IPBES, 2016)", "previouslyFormattedCitation" : "(IPBES, 2016)" }, "properties" : {  }, "schema" : "https://github.com/citation-style-language/schema/raw/master/csl-citation.json" }</w:instrText>
      </w:r>
      <w:r>
        <w:fldChar w:fldCharType="separate"/>
      </w:r>
      <w:r w:rsidRPr="00D87C25">
        <w:rPr>
          <w:noProof/>
        </w:rPr>
        <w:t>(IPBES, 2016)</w:t>
      </w:r>
      <w:r>
        <w:fldChar w:fldCharType="end"/>
      </w:r>
      <w:r>
        <w:t>. Exploratory scenarios are associated with ‘agenda setting’, often based on storylines – i.e. identification of high-level problems and providing a means to explore and discuss issues. Target-seeking and policy-screening scenarios, in the IPBES context, are ‘intervention’ scenarios, in that they specifically evaluate management or policy alternatives, and can aid with policy design and implementation. Retrospective policy evaluation scenarios provide an approach to review and evaluate a historically implemented policy in comparison to hypothetical alternatives (IPBES, 2016).</w:t>
      </w:r>
    </w:p>
    <w:p w14:paraId="7922AF64" w14:textId="77777777" w:rsidR="00F1283E" w:rsidRDefault="00F1283E" w:rsidP="00F1283E">
      <w:pPr>
        <w:pStyle w:val="ListParagraph"/>
        <w:numPr>
          <w:ilvl w:val="0"/>
          <w:numId w:val="4"/>
        </w:numPr>
        <w:contextualSpacing w:val="0"/>
      </w:pPr>
      <w:r>
        <w:t xml:space="preserve">In GBO4, an assessment of the prospects for meeting the 2050 Vision was conducted through comparing trends from a BAU scenario to three alternative ‘pathways’ which required major or transformational societal change </w:t>
      </w:r>
      <w:r>
        <w:fldChar w:fldCharType="begin" w:fldLock="1"/>
      </w:r>
      <w:r>
        <w:instrText>ADDIN CSL_CITATION { "citationItems" : [ { "id" : "ITEM-1", "itemData" : { "author" : [ { "dropping-particle" : "", "family" : "Diversity", "given" : "Secretariat of the Convention on Biological", "non-dropping-particle" : "", "parse-names" : false, "suffix" : "" } ], "id" : "ITEM-1", "issued" : { "date-parts" : [ [ "0" ] ] }, "publisher-place" : "Montreal", "title" : "Global Biodiversity Outlook 4", "type" : "report" }, "uris" : [ "http://www.mendeley.com/documents/?uuid=930b3e76-59f6-42f3-a2a6-9b0c674370dd" ] } ], "mendeley" : { "formattedCitation" : "(Diversity, n.d.)", "manualFormatting" : "(Secretariat of the Convention on Biological Diversity, 2014)", "plainTextFormattedCitation" : "(Diversity, n.d.)", "previouslyFormattedCitation" : "(Diversity, n.d.)" }, "properties" : {  }, "schema" : "https://github.com/citation-style-language/schema/raw/master/csl-citation.json" }</w:instrText>
      </w:r>
      <w:r>
        <w:fldChar w:fldCharType="separate"/>
      </w:r>
      <w:r w:rsidRPr="00C54664">
        <w:rPr>
          <w:noProof/>
        </w:rPr>
        <w:t>(</w:t>
      </w:r>
      <w:r>
        <w:rPr>
          <w:noProof/>
        </w:rPr>
        <w:t>Secretariat of the Convention on Biological Diversity, 2014</w:t>
      </w:r>
      <w:r w:rsidRPr="00D87C25">
        <w:rPr>
          <w:noProof/>
        </w:rPr>
        <w:t>)</w:t>
      </w:r>
      <w:r>
        <w:fldChar w:fldCharType="end"/>
      </w:r>
      <w:r>
        <w:t>. These alternatives were extensions of the “Roads from Rio+20” scenarios: a ‘global technology’ pathway, with strong international coordination and a focus on technological solutions, a ‘decentralized solutions’ pathway, with regional prioritization driving adaptive management practices, and a ‘lifestyle change’ pathway focussing on a reduction of consumption and behavioural change, such as energy and material use, and food wastage.</w:t>
      </w:r>
    </w:p>
    <w:p w14:paraId="42AF7A1A" w14:textId="77777777" w:rsidR="00F1283E" w:rsidRDefault="00F1283E" w:rsidP="00F1283E">
      <w:pPr>
        <w:pStyle w:val="ListParagraph"/>
        <w:numPr>
          <w:ilvl w:val="0"/>
          <w:numId w:val="4"/>
        </w:numPr>
        <w:contextualSpacing w:val="0"/>
      </w:pPr>
      <w:r>
        <w:t xml:space="preserve">Two important sets of scenarios that are commonly used for biodiversity projections derive from the Intergovernmental Panel on Climate Change (IPCC). The first is the Representative </w:t>
      </w:r>
      <w:r>
        <w:lastRenderedPageBreak/>
        <w:t xml:space="preserve">Concentration Pathways (RCPs) </w:t>
      </w:r>
      <w:r>
        <w:fldChar w:fldCharType="begin" w:fldLock="1"/>
      </w:r>
      <w:r>
        <w:instrText>ADDIN CSL_CITATION { "citationItems" : [ { "id" : "ITEM-1", "itemData" : { "DOI" : "10.1007/s10584-011-0148-z", "ISSN" : "0165-0009", "author" : [ { "dropping-particle" : "", "family" : "Vuuren", "given" : "Detlef P.", "non-dropping-particle" : "van", "parse-names" : false, "suffix" : "" }, { "dropping-particle" : "", "family" : "Edmonds", "given" : "Jae", "non-dropping-particle" : "", "parse-names" : false, "suffix" : "" }, { "dropping-particle" : "", "family" : "Kainuma", "given" : "Mikiko", "non-dropping-particle" : "", "parse-names" : false, "suffix" : "" }, { "dropping-particle" : "", "family" : "Riahi", "given" : "Keywan", "non-dropping-particle" : "", "parse-names" : false, "suffix" : "" }, { "dropping-particle" : "", "family" : "Thomson", "given" : "Allison", "non-dropping-particle" : "", "parse-names" : false, "suffix" : "" }, { "dropping-particle" : "", "family" : "Hibbard", "given" : "Kathy", "non-dropping-particle" : "", "parse-names" : false, "suffix" : "" }, { "dropping-particle" : "", "family" : "Hurtt", "given" : "George C.", "non-dropping-particle" : "", "parse-names" : false, "suffix" : "" }, { "dropping-particle" : "", "family" : "Kram", "given" : "Tom", "non-dropping-particle" : "", "parse-names" : false, "suffix" : "" }, { "dropping-particle" : "", "family" : "Krey", "given" : "Volker", "non-dropping-particle" : "", "parse-names" : false, "suffix" : "" }, { "dropping-particle" : "", "family" : "Lamarque", "given" : "Jean-Francois", "non-dropping-particle" : "", "parse-names" : false, "suffix" : "" }, { "dropping-particle" : "", "family" : "Masui", "given" : "Toshihiko", "non-dropping-particle" : "", "parse-names" : false, "suffix" : "" }, { "dropping-particle" : "", "family" : "Meinshausen", "given" : "Malte", "non-dropping-particle" : "", "parse-names" : false, "suffix" : "" }, { "dropping-particle" : "", "family" : "Nakicenovic", "given" : "Nebojsa", "non-dropping-particle" : "", "parse-names" : false, "suffix" : "" }, { "dropping-particle" : "", "family" : "Smith", "given" : "Steven J.", "non-dropping-particle" : "", "parse-names" : false, "suffix" : "" }, { "dropping-particle" : "", "family" : "Rose", "given" : "Steven K.", "non-dropping-particle" : "", "parse-names" : false, "suffix" : "" } ], "container-title" : "Climatic Change", "id" : "ITEM-1", "issue" : "1-2", "issued" : { "date-parts" : [ [ "2011", "11", "5" ] ] }, "page" : "5-31", "publisher" : "Springer Netherlands", "title" : "The representative concentration pathways: an overview", "type" : "article-journal", "volume" : "109" }, "uris" : [ "http://www.mendeley.com/documents/?uuid=20047d5a-6184-3ef4-9b1a-e2c56f2784ce" ] } ], "mendeley" : { "formattedCitation" : "(van Vuuren et al., 2011)", "plainTextFormattedCitation" : "(van Vuuren et al., 2011)", "previouslyFormattedCitation" : "(van Vuuren et al., 2011)" }, "properties" : {  }, "schema" : "https://github.com/citation-style-language/schema/raw/master/csl-citation.json" }</w:instrText>
      </w:r>
      <w:r>
        <w:fldChar w:fldCharType="separate"/>
      </w:r>
      <w:r w:rsidRPr="004B18AC">
        <w:rPr>
          <w:noProof/>
        </w:rPr>
        <w:t>(van Vuuren et al., 2011)</w:t>
      </w:r>
      <w:r>
        <w:fldChar w:fldCharType="end"/>
      </w:r>
      <w:r>
        <w:t xml:space="preserve">. The RCPs assume particular greenhouse gas (GHG) concentrations and levels of radiative forcing over time. These can then be used to derive future changes in variables such as global air temperature, emissions, and land use change consistent with each RCP. There are four RCPs, each of which could arise from various combinations of socio-economic trajectories; we describe four pathways here </w:t>
      </w:r>
      <w:r>
        <w:fldChar w:fldCharType="begin" w:fldLock="1"/>
      </w:r>
      <w:r>
        <w:instrText>ADDIN CSL_CITATION { "citationItems" : [ { "id" : "ITEM-1", "itemData" : { "DOI" : "10.1007/s10584-011-0148-z", "ISSN" : "0165-0009", "author" : [ { "dropping-particle" : "", "family" : "Vuuren", "given" : "Detlef P.", "non-dropping-particle" : "van", "parse-names" : false, "suffix" : "" }, { "dropping-particle" : "", "family" : "Edmonds", "given" : "Jae", "non-dropping-particle" : "", "parse-names" : false, "suffix" : "" }, { "dropping-particle" : "", "family" : "Kainuma", "given" : "Mikiko", "non-dropping-particle" : "", "parse-names" : false, "suffix" : "" }, { "dropping-particle" : "", "family" : "Riahi", "given" : "Keywan", "non-dropping-particle" : "", "parse-names" : false, "suffix" : "" }, { "dropping-particle" : "", "family" : "Thomson", "given" : "Allison", "non-dropping-particle" : "", "parse-names" : false, "suffix" : "" }, { "dropping-particle" : "", "family" : "Hibbard", "given" : "Kathy", "non-dropping-particle" : "", "parse-names" : false, "suffix" : "" }, { "dropping-particle" : "", "family" : "Hurtt", "given" : "George C.", "non-dropping-particle" : "", "parse-names" : false, "suffix" : "" }, { "dropping-particle" : "", "family" : "Kram", "given" : "Tom", "non-dropping-particle" : "", "parse-names" : false, "suffix" : "" }, { "dropping-particle" : "", "family" : "Krey", "given" : "Volker", "non-dropping-particle" : "", "parse-names" : false, "suffix" : "" }, { "dropping-particle" : "", "family" : "Lamarque", "given" : "Jean-Francois", "non-dropping-particle" : "", "parse-names" : false, "suffix" : "" }, { "dropping-particle" : "", "family" : "Masui", "given" : "Toshihiko", "non-dropping-particle" : "", "parse-names" : false, "suffix" : "" }, { "dropping-particle" : "", "family" : "Meinshausen", "given" : "Malte", "non-dropping-particle" : "", "parse-names" : false, "suffix" : "" }, { "dropping-particle" : "", "family" : "Nakicenovic", "given" : "Nebojsa", "non-dropping-particle" : "", "parse-names" : false, "suffix" : "" }, { "dropping-particle" : "", "family" : "Smith", "given" : "Steven J.", "non-dropping-particle" : "", "parse-names" : false, "suffix" : "" }, { "dropping-particle" : "", "family" : "Rose", "given" : "Steven K.", "non-dropping-particle" : "", "parse-names" : false, "suffix" : "" } ], "container-title" : "Climatic Change", "id" : "ITEM-1", "issue" : "1-2", "issued" : { "date-parts" : [ [ "2011", "11", "5" ] ] }, "page" : "5-31", "publisher" : "Springer Netherlands", "title" : "The representative concentration pathways: an overview", "type" : "article-journal", "volume" : "109" }, "uris" : [ "http://www.mendeley.com/documents/?uuid=20047d5a-6184-3ef4-9b1a-e2c56f2784ce" ] } ], "mendeley" : { "formattedCitation" : "(van Vuuren et al., 2011)", "manualFormatting" : "(van Vuuren et al., 2011; IPCC 2013; Davies-Barnard et al. 2014)", "plainTextFormattedCitation" : "(van Vuuren et al., 2011)", "previouslyFormattedCitation" : "(van Vuuren et al., 2011)" }, "properties" : {  }, "schema" : "https://github.com/citation-style-language/schema/raw/master/csl-citation.json" }</w:instrText>
      </w:r>
      <w:r>
        <w:fldChar w:fldCharType="separate"/>
      </w:r>
      <w:r w:rsidRPr="004B18AC">
        <w:rPr>
          <w:noProof/>
        </w:rPr>
        <w:t>(van Vuuren et al., 2011</w:t>
      </w:r>
      <w:r>
        <w:rPr>
          <w:noProof/>
        </w:rPr>
        <w:t>; IPCC 2013; Davies-Barnard et al. 2014</w:t>
      </w:r>
      <w:r w:rsidRPr="004B18AC">
        <w:rPr>
          <w:noProof/>
        </w:rPr>
        <w:t>)</w:t>
      </w:r>
      <w:r>
        <w:fldChar w:fldCharType="end"/>
      </w:r>
      <w:r>
        <w:t xml:space="preserve">. All temperature changes are mean projections in 2081-2100 versus a baseline reference period of 1986-2005. Changes in agricultural area (the sum of cropland and pasture/grassland) are projections in 2100 versus a baseline of 2005. </w:t>
      </w:r>
    </w:p>
    <w:p w14:paraId="60EC0B23" w14:textId="77777777" w:rsidR="00F1283E" w:rsidRDefault="00F1283E" w:rsidP="00F1283E">
      <w:pPr>
        <w:pStyle w:val="ListParagraph"/>
        <w:numPr>
          <w:ilvl w:val="0"/>
          <w:numId w:val="4"/>
        </w:numPr>
        <w:contextualSpacing w:val="0"/>
      </w:pPr>
      <w:r w:rsidRPr="00BF3A28">
        <w:t>RCP8.5</w:t>
      </w:r>
      <w:r>
        <w:t xml:space="preserve"> (hereafter referred to as ‘</w:t>
      </w:r>
      <w:r w:rsidRPr="00EB5B7C">
        <w:rPr>
          <w:i/>
        </w:rPr>
        <w:t>high emissions</w:t>
      </w:r>
      <w:r w:rsidRPr="0088117A">
        <w:t>’</w:t>
      </w:r>
      <w:r>
        <w:t>) has a continual rise in GHG concentration and radiative forcing, and results in a mean projected temperature increase of 3.7</w:t>
      </w:r>
      <w:r w:rsidRPr="00EB5B7C">
        <w:rPr>
          <w:rFonts w:cs="Times New Roman"/>
        </w:rPr>
        <w:t>°</w:t>
      </w:r>
      <w:r>
        <w:t>C and an increase in agricultural area. RCP6.0 (hereafter ‘</w:t>
      </w:r>
      <w:r w:rsidRPr="00EB5B7C">
        <w:rPr>
          <w:i/>
        </w:rPr>
        <w:t>medium emissions</w:t>
      </w:r>
      <w:r>
        <w:t>’) and RCP4.5 (hereafter ‘</w:t>
      </w:r>
      <w:r w:rsidRPr="00EB5B7C">
        <w:rPr>
          <w:i/>
        </w:rPr>
        <w:t>medium-low emissions</w:t>
      </w:r>
      <w:r>
        <w:t>’) are intermediate scenarios with somewhat lower GHG concentrations, mean temperature increases of 2.2</w:t>
      </w:r>
      <w:r w:rsidRPr="00EB5B7C">
        <w:rPr>
          <w:rFonts w:cs="Times New Roman"/>
        </w:rPr>
        <w:t>°</w:t>
      </w:r>
      <w:r>
        <w:t>C and 1.8</w:t>
      </w:r>
      <w:r w:rsidRPr="00EB5B7C">
        <w:rPr>
          <w:rFonts w:cs="Times New Roman"/>
        </w:rPr>
        <w:t>°</w:t>
      </w:r>
      <w:r>
        <w:t>C respectively, and reduced overall agricultural areas by 2100. The RCP2.6 (hereafter ‘</w:t>
      </w:r>
      <w:r w:rsidRPr="00EB5B7C">
        <w:rPr>
          <w:i/>
        </w:rPr>
        <w:t>low emissions</w:t>
      </w:r>
      <w:r>
        <w:t>’) scenario has a stabilization and then a decline in GHG concentration, a 1</w:t>
      </w:r>
      <w:r w:rsidRPr="00EB5B7C">
        <w:rPr>
          <w:rFonts w:cs="Times New Roman"/>
        </w:rPr>
        <w:t>°</w:t>
      </w:r>
      <w:r>
        <w:t>C temperature increase, and a large increase in biofuel plantations (and total agricultural area) by 2100. Of relevance to the 2050 Vision, RCP2.6 represents around a 1</w:t>
      </w:r>
      <w:r w:rsidRPr="00EB5B7C">
        <w:rPr>
          <w:rFonts w:cs="Times New Roman"/>
        </w:rPr>
        <w:t>°</w:t>
      </w:r>
      <w:r>
        <w:t>C mean increase in global surface temperature (relative to the 1986-2005 baseline) by mid-century (2046-2065), RCP4.5 and RCP6.0 a 1.4</w:t>
      </w:r>
      <w:r w:rsidRPr="00EB5B7C">
        <w:rPr>
          <w:rFonts w:cs="Times New Roman"/>
        </w:rPr>
        <w:t>°</w:t>
      </w:r>
      <w:r>
        <w:t>C and 1.3</w:t>
      </w:r>
      <w:r w:rsidRPr="00EB5B7C">
        <w:rPr>
          <w:rFonts w:cs="Times New Roman"/>
        </w:rPr>
        <w:t>°</w:t>
      </w:r>
      <w:r>
        <w:t>C mean increase, and RCP8.5 a 2</w:t>
      </w:r>
      <w:r w:rsidRPr="00EB5B7C">
        <w:rPr>
          <w:rFonts w:cs="Times New Roman"/>
        </w:rPr>
        <w:t>°</w:t>
      </w:r>
      <w:r>
        <w:t>C mean increase.</w:t>
      </w:r>
      <w:r>
        <w:rPr>
          <w:rStyle w:val="FootnoteReference"/>
        </w:rPr>
        <w:footnoteReference w:id="6"/>
      </w:r>
    </w:p>
    <w:p w14:paraId="5A7439CB" w14:textId="77777777" w:rsidR="00F1283E" w:rsidRPr="00A51F1E" w:rsidRDefault="00F1283E" w:rsidP="00F1283E">
      <w:pPr>
        <w:pStyle w:val="ListParagraph"/>
        <w:numPr>
          <w:ilvl w:val="0"/>
          <w:numId w:val="4"/>
        </w:numPr>
        <w:contextualSpacing w:val="0"/>
        <w:rPr>
          <w:rFonts w:cs="Times New Roman"/>
        </w:rPr>
      </w:pPr>
      <w:r>
        <w:t xml:space="preserve">The second set of scenarios is the Shared Socioeconomic Pathways (SSPs) </w:t>
      </w:r>
      <w:r>
        <w:fldChar w:fldCharType="begin" w:fldLock="1"/>
      </w:r>
      <w:r>
        <w:instrText>ADDIN CSL_CITATION { "citationItems" : [ { "id" : "ITEM-1", "itemData" : { "DOI" : "10.1007/s10584-013-0905-2", "ISSN" : "1573-1480", "abstract" : "The new scenario framework for climate change research envisions combining pathways of future radiative forcing and their associated climate changes with alternative pathways of socioeconomic development in order to carry out research on climate change impacts, adaptation, and mitigation. Here we propose a conceptual framework for how to define and develop a set of Shared Socioeconomic Pathways (SSPs) for use within the scenario framework. We define SSPs as reference pathways describing plausible alternative trends in the evolution of society and ecosystems over a century timescale, in the absence of climate change or climate policies. We introduce the concept of a space of challenges to adaptation and to mitigation that should be spanned by the SSPs, and discuss how particular trends in social, economic, and environmental development could be combined to produce such outcomes. A comparison to the narratives from the scenarios developed in the Special Report on Emissions Scenarios (SRES) illustrates how a starting point for developing SSPs can be defined. We suggest initial development of a set of basic SSPs that could then be extended to meet more specific purposes, and envision a process of application of basic and extended SSPs that would be iterative and potentially lead to modification of the original SSPs themselves.", "author" : [ { "dropping-particle" : "", "family" : "O'Neill", "given" : "Brian C", "non-dropping-particle" : "", "parse-names" : false, "suffix" : "" }, { "dropping-particle" : "", "family" : "Kriegler", "given" : "Elmar", "non-dropping-particle" : "", "parse-names" : false, "suffix" : "" }, { "dropping-particle" : "", "family" : "Riahi", "given" : "Keywan", "non-dropping-particle" : "", "parse-names" : false, "suffix" : "" }, { "dropping-particle" : "", "family" : "Ebi", "given" : "Kristie L", "non-dropping-particle" : "", "parse-names" : false, "suffix" : "" }, { "dropping-particle" : "", "family" : "Hallegatte", "given" : "Stephane", "non-dropping-particle" : "", "parse-names" : false, "suffix" : "" }, { "dropping-particle" : "", "family" : "Carter", "given" : "Timothy R", "non-dropping-particle" : "", "parse-names" : false, "suffix" : "" }, { "dropping-particle" : "", "family" : "Mathur", "given" : "Ritu", "non-dropping-particle" : "", "parse-names" : false, "suffix" : "" }, { "dropping-particle" : "", "family" : "Vuuren", "given" : "Detlef P", "non-dropping-particle" : "", "parse-names" : false, "suffix" : "" } ], "container-title" : "Climatic Change", "id" : "ITEM-1", "issue" : "3", "issued" : { "date-parts" : [ [ "2013" ] ] }, "page" : "387-400", "title" : "A new scenario framework for climate change research: the concept of shared socioeconomic pathways", "type" : "article-journal", "volume" : "122" }, "uris" : [ "http://www.mendeley.com/documents/?uuid=3a7dda98-020f-4c66-9ad3-a00598b92f81" ] } ], "mendeley" : { "formattedCitation" : "(O\u2019Neill et al., 2013)", "plainTextFormattedCitation" : "(O\u2019Neill et al., 2013)", "previouslyFormattedCitation" : "(O\u2019Neill et al., 2013)" }, "properties" : {  }, "schema" : "https://github.com/citation-style-language/schema/raw/master/csl-citation.json" }</w:instrText>
      </w:r>
      <w:r>
        <w:fldChar w:fldCharType="separate"/>
      </w:r>
      <w:r w:rsidRPr="00362BEE">
        <w:rPr>
          <w:noProof/>
        </w:rPr>
        <w:t>(O’Neill et al., 2013)</w:t>
      </w:r>
      <w:r>
        <w:fldChar w:fldCharType="end"/>
      </w:r>
      <w:r>
        <w:t>. The SSPs, rather than focus on specific radiative forcings without necessarily prescribing the pathways that lead to these outcomes, instead describe particular combinations of socio-economic development, population growth, and policy, which then affect trajectories of global change into the future. There are 5 SSPs: SSP1 (‘sustainability’), SSP2 (‘middle of the road’), SSP3 (‘regional rivalry’), SSP4 (‘inequality’), and SSP5 (fossil-fuelled development). See CBD/SBSTTA/21/INF/3 for further details on the SSPs.</w:t>
      </w:r>
    </w:p>
    <w:p w14:paraId="421DCE0A" w14:textId="77777777" w:rsidR="00F1283E" w:rsidRDefault="00F1283E" w:rsidP="00F1283E">
      <w:pPr>
        <w:tabs>
          <w:tab w:val="center" w:pos="4535"/>
          <w:tab w:val="left" w:pos="6040"/>
        </w:tabs>
        <w:jc w:val="center"/>
        <w:rPr>
          <w:b/>
        </w:rPr>
      </w:pPr>
      <w:bookmarkStart w:id="2" w:name="_Toc497834772"/>
      <w:r w:rsidRPr="00C73BE5">
        <w:rPr>
          <w:b/>
        </w:rPr>
        <w:t xml:space="preserve">II. </w:t>
      </w:r>
      <w:bookmarkEnd w:id="2"/>
      <w:r>
        <w:rPr>
          <w:b/>
        </w:rPr>
        <w:t>RECENT ASSESSMENTS OF STATUS AND PROJECTIONS OF FUTURE TRENDS IN GLOBAL BIODIVERSITY AND ECOSYSTEM SERVICES</w:t>
      </w:r>
    </w:p>
    <w:p w14:paraId="2B337BB6" w14:textId="331C5055" w:rsidR="00F1283E" w:rsidRDefault="00F1283E">
      <w:pPr>
        <w:pStyle w:val="ListParagraph"/>
        <w:numPr>
          <w:ilvl w:val="0"/>
          <w:numId w:val="4"/>
        </w:numPr>
        <w:contextualSpacing w:val="0"/>
      </w:pPr>
      <w:bookmarkStart w:id="3" w:name="_Toc497834773"/>
      <w:r>
        <w:t xml:space="preserve">This section reviews how global projections, scenarios, and models of ecosystems provide information on the trajectory of change in biodiversity and ecosystem services over the coming century – and specifically how they are relevant to the 2050 </w:t>
      </w:r>
      <w:r w:rsidR="00D72031">
        <w:t>Vision</w:t>
      </w:r>
      <w:r>
        <w:t xml:space="preserve">. The Global Biodiversity Outlook 4 report </w:t>
      </w:r>
      <w:r>
        <w:fldChar w:fldCharType="begin" w:fldLock="1"/>
      </w:r>
      <w:r>
        <w:instrText>ADDIN CSL_CITATION { "citationItems" : [ { "id" : "ITEM-1", "itemData" : { "author" : [ { "dropping-particle" : "", "family" : "Diversity", "given" : "Secretariat of the Convention on Biological", "non-dropping-particle" : "", "parse-names" : false, "suffix" : "" } ], "id" : "ITEM-1", "issued" : { "date-parts" : [ [ "0" ] ] }, "publisher-place" : "Montreal", "title" : "Global Biodiversity Outlook 4", "type" : "report" }, "uris" : [ "http://www.mendeley.com/documents/?uuid=930b3e76-59f6-42f3-a2a6-9b0c674370dd" ] } ], "mendeley" : { "formattedCitation" : "(Diversity, n.d.)", "manualFormatting" : "(Secretariat of the Convention on Biological Diversity, 2014)", "plainTextFormattedCitation" : "(Diversity, n.d.)", "previouslyFormattedCitation" : "(Diversity, n.d.)" }, "properties" : {  }, "schema" : "https://github.com/citation-style-language/schema/raw/master/csl-citation.json" }</w:instrText>
      </w:r>
      <w:r>
        <w:fldChar w:fldCharType="separate"/>
      </w:r>
      <w:r w:rsidRPr="00D87C25">
        <w:rPr>
          <w:noProof/>
        </w:rPr>
        <w:t>(</w:t>
      </w:r>
      <w:r>
        <w:rPr>
          <w:noProof/>
        </w:rPr>
        <w:t>Secretariat of the Convention on Biological Diversity, 2014</w:t>
      </w:r>
      <w:r w:rsidRPr="00362BEE">
        <w:rPr>
          <w:noProof/>
        </w:rPr>
        <w:t>)</w:t>
      </w:r>
      <w:r>
        <w:fldChar w:fldCharType="end"/>
      </w:r>
      <w:r>
        <w:t xml:space="preserve"> represents one of the more recent authoritative assessments of biodiversity status and trends, and is used as a starting point for discussion of more recent assessments in the scientific literature.</w:t>
      </w:r>
    </w:p>
    <w:bookmarkEnd w:id="3"/>
    <w:p w14:paraId="1CB69FEA" w14:textId="77777777" w:rsidR="00F1283E" w:rsidRPr="00893F4C" w:rsidRDefault="00F1283E" w:rsidP="00F1283E">
      <w:pPr>
        <w:rPr>
          <w:b/>
        </w:rPr>
      </w:pPr>
      <w:r>
        <w:rPr>
          <w:b/>
        </w:rPr>
        <w:t>IIA</w:t>
      </w:r>
      <w:r w:rsidRPr="00893F4C">
        <w:rPr>
          <w:b/>
        </w:rPr>
        <w:t xml:space="preserve">. </w:t>
      </w:r>
      <w:r>
        <w:rPr>
          <w:b/>
        </w:rPr>
        <w:t>Terrestrial biodiversity status and trends</w:t>
      </w:r>
    </w:p>
    <w:p w14:paraId="25219E6A" w14:textId="77777777" w:rsidR="00F1283E" w:rsidRPr="00F2148B" w:rsidRDefault="00F1283E" w:rsidP="00F1283E">
      <w:pPr>
        <w:rPr>
          <w:rFonts w:cs="Times New Roman"/>
          <w:i/>
        </w:rPr>
      </w:pPr>
      <w:r>
        <w:rPr>
          <w:rFonts w:cs="Times New Roman"/>
          <w:i/>
        </w:rPr>
        <w:t>IIA.1. Current state of biodiversity and ecosystem services</w:t>
      </w:r>
    </w:p>
    <w:p w14:paraId="15C70A26" w14:textId="6E19EEE2" w:rsidR="00F1283E" w:rsidRDefault="00F1283E" w:rsidP="00F1283E">
      <w:pPr>
        <w:pStyle w:val="ListParagraph"/>
        <w:numPr>
          <w:ilvl w:val="0"/>
          <w:numId w:val="4"/>
        </w:numPr>
        <w:contextualSpacing w:val="0"/>
      </w:pPr>
      <w:r>
        <w:t>The state of terrestrial biodiversity</w:t>
      </w:r>
      <w:r w:rsidR="005E1E47">
        <w:t>,</w:t>
      </w:r>
      <w:r>
        <w:t xml:space="preserve"> as described in GBO4</w:t>
      </w:r>
      <w:r w:rsidR="005E1E47">
        <w:t>,</w:t>
      </w:r>
      <w:r>
        <w:t xml:space="preserve"> can be briefly summarized as follows: the loss of forest habitats in some regions (e.g. the Brazilian Amazon) had slowed, though deforestation in many tropical regions was still increasing. However, there had been an increase in certified sustainable forestry. Habitats of all types continue to be fragmented and degraded. Pollutants (such as pesticides, chemicals, and plastics) were increasing. The rate of species invasions was increasing, despite steps to control and eradicate invasives. Terrestrial ecosystems especially vulnerable to climate change, such as cloud forest, had insufficient information </w:t>
      </w:r>
      <w:r>
        <w:lastRenderedPageBreak/>
        <w:t xml:space="preserve">available to be able to fully assess impacts. Protected areas were covering an increasing fraction of the land, though networks remain unrepresentative and some critical sites for biodiversity are poorly conserved. The mean extinction risk was increasing for amphibians, birds, and mammals. In all, it appeared unlikely that ecosystems could be kept within safe ecological limits at current patterns of consumption </w:t>
      </w:r>
      <w:r>
        <w:fldChar w:fldCharType="begin" w:fldLock="1"/>
      </w:r>
      <w:r>
        <w:instrText>ADDIN CSL_CITATION { "citationItems" : [ { "id" : "ITEM-1", "itemData" : { "author" : [ { "dropping-particle" : "", "family" : "Diversity", "given" : "Secretariat of the Convention on Biological", "non-dropping-particle" : "", "parse-names" : false, "suffix" : "" } ], "id" : "ITEM-1", "issued" : { "date-parts" : [ [ "0" ] ] }, "publisher-place" : "Montreal", "title" : "Global Biodiversity Outlook 4", "type" : "report" }, "uris" : [ "http://www.mendeley.com/documents/?uuid=930b3e76-59f6-42f3-a2a6-9b0c674370dd" ] } ], "mendeley" : { "formattedCitation" : "(Diversity, n.d.)", "manualFormatting" : "(Secretariat of the Convention on Biological Diversity, 2014)", "plainTextFormattedCitation" : "(Diversity, n.d.)", "previouslyFormattedCitation" : "(Diversity, n.d.)" }, "properties" : {  }, "schema" : "https://github.com/citation-style-language/schema/raw/master/csl-citation.json" }</w:instrText>
      </w:r>
      <w:r>
        <w:fldChar w:fldCharType="separate"/>
      </w:r>
      <w:r w:rsidRPr="00D87C25">
        <w:rPr>
          <w:noProof/>
        </w:rPr>
        <w:t>(</w:t>
      </w:r>
      <w:r>
        <w:rPr>
          <w:noProof/>
        </w:rPr>
        <w:t>Secretariat of the Convention on Biological Diversity, 2014</w:t>
      </w:r>
      <w:r w:rsidRPr="00362BEE">
        <w:rPr>
          <w:noProof/>
        </w:rPr>
        <w:t>)</w:t>
      </w:r>
      <w:r>
        <w:fldChar w:fldCharType="end"/>
      </w:r>
      <w:r>
        <w:t>.</w:t>
      </w:r>
    </w:p>
    <w:p w14:paraId="0FDD0BC8" w14:textId="77777777" w:rsidR="00F1283E" w:rsidRPr="00893F4C" w:rsidRDefault="00F1283E" w:rsidP="00F1283E">
      <w:pPr>
        <w:pStyle w:val="ListParagraph"/>
        <w:numPr>
          <w:ilvl w:val="0"/>
          <w:numId w:val="4"/>
        </w:numPr>
        <w:contextualSpacing w:val="0"/>
        <w:rPr>
          <w:rFonts w:cs="Times New Roman"/>
        </w:rPr>
      </w:pPr>
      <w:r>
        <w:rPr>
          <w:rFonts w:cs="Times New Roman"/>
        </w:rPr>
        <w:t>Subsequent</w:t>
      </w:r>
      <w:r w:rsidRPr="00893F4C">
        <w:rPr>
          <w:rFonts w:cs="Times New Roman"/>
        </w:rPr>
        <w:t xml:space="preserve"> to GBO4, considerable material has appeared in the scientific literature detailing the state of terrestrial biodiversity. Overall, the picture remains consistent with </w:t>
      </w:r>
      <w:r>
        <w:rPr>
          <w:rFonts w:cs="Times New Roman"/>
        </w:rPr>
        <w:t>the</w:t>
      </w:r>
      <w:r w:rsidRPr="00893F4C">
        <w:rPr>
          <w:rFonts w:cs="Times New Roman"/>
        </w:rPr>
        <w:t xml:space="preserve"> findings</w:t>
      </w:r>
      <w:r>
        <w:rPr>
          <w:rFonts w:cs="Times New Roman"/>
        </w:rPr>
        <w:t xml:space="preserve"> of GBO4 at the global level</w:t>
      </w:r>
      <w:r w:rsidRPr="00893F4C">
        <w:rPr>
          <w:rFonts w:cs="Times New Roman"/>
        </w:rPr>
        <w:t xml:space="preserve">. </w:t>
      </w:r>
      <w:r>
        <w:rPr>
          <w:rFonts w:cs="Times New Roman"/>
        </w:rPr>
        <w:t>Spatial patterns in changes of species richness (number of species in a particular area) are scale dependent. Globally, richness may be declining as human-induced extinctions occur, although this is hard to prove conclusively. Biodiversity</w:t>
      </w:r>
      <w:r w:rsidRPr="00893F4C">
        <w:rPr>
          <w:rFonts w:cs="Times New Roman"/>
        </w:rPr>
        <w:t xml:space="preserve"> </w:t>
      </w:r>
      <w:r>
        <w:rPr>
          <w:rFonts w:cs="Times New Roman"/>
        </w:rPr>
        <w:t xml:space="preserve">at regional scales </w:t>
      </w:r>
      <w:r w:rsidRPr="00893F4C">
        <w:rPr>
          <w:rFonts w:cs="Times New Roman"/>
        </w:rPr>
        <w:t xml:space="preserve">may show </w:t>
      </w:r>
      <w:r>
        <w:rPr>
          <w:rFonts w:cs="Times New Roman"/>
        </w:rPr>
        <w:t xml:space="preserve">net </w:t>
      </w:r>
      <w:r w:rsidRPr="00893F4C">
        <w:rPr>
          <w:rFonts w:cs="Times New Roman"/>
        </w:rPr>
        <w:t>increases due to species introductions</w:t>
      </w:r>
      <w:r>
        <w:rPr>
          <w:rFonts w:cs="Times New Roman"/>
        </w:rPr>
        <w:t xml:space="preserve">. At local scales, land use change and other conversion of ecosystems causes declines in local diversity (e.g. Newbold et al. 2015), but in the absence of such impacts it appears that there is large variation but no mean trend (e.g. Velland et al. 2017). The </w:t>
      </w:r>
      <w:r w:rsidRPr="00893F4C">
        <w:rPr>
          <w:rFonts w:cs="Times New Roman"/>
        </w:rPr>
        <w:t xml:space="preserve">redistribution of species due to climate change is accelerating, with consequences for ecosystem services </w:t>
      </w:r>
      <w:r>
        <w:rPr>
          <w:rFonts w:cs="Times New Roman"/>
        </w:rPr>
        <w:t xml:space="preserve">that are </w:t>
      </w:r>
      <w:r w:rsidRPr="00893F4C">
        <w:rPr>
          <w:rFonts w:cs="Times New Roman"/>
        </w:rPr>
        <w:t xml:space="preserve">based upon </w:t>
      </w:r>
      <w:r>
        <w:rPr>
          <w:rFonts w:cs="Times New Roman"/>
        </w:rPr>
        <w:t xml:space="preserve">existing biodiversity. </w:t>
      </w:r>
      <w:r w:rsidRPr="00893F4C">
        <w:rPr>
          <w:rFonts w:cs="Times New Roman"/>
        </w:rPr>
        <w:t>There is evidence</w:t>
      </w:r>
      <w:r>
        <w:rPr>
          <w:rFonts w:cs="Times New Roman"/>
        </w:rPr>
        <w:t xml:space="preserve"> </w:t>
      </w:r>
      <w:r w:rsidRPr="00893F4C">
        <w:rPr>
          <w:rFonts w:cs="Times New Roman"/>
        </w:rPr>
        <w:t>of changes in community composition, and species abundance</w:t>
      </w:r>
      <w:r>
        <w:rPr>
          <w:rFonts w:cs="Times New Roman"/>
        </w:rPr>
        <w:t>s</w:t>
      </w:r>
      <w:r w:rsidRPr="00893F4C">
        <w:rPr>
          <w:rFonts w:cs="Times New Roman"/>
        </w:rPr>
        <w:t xml:space="preserve"> show an overall mean decline, though the magnitude varies between taxa and studies. </w:t>
      </w:r>
      <w:r>
        <w:rPr>
          <w:rFonts w:cs="Times New Roman"/>
        </w:rPr>
        <w:t>Protected area coverage continues to increase</w:t>
      </w:r>
      <w:r>
        <w:rPr>
          <w:rStyle w:val="FootnoteReference"/>
          <w:rFonts w:cs="Times New Roman"/>
        </w:rPr>
        <w:footnoteReference w:id="7"/>
      </w:r>
      <w:r>
        <w:rPr>
          <w:rFonts w:cs="Times New Roman"/>
        </w:rPr>
        <w:t xml:space="preserve">, though regions remain where coverage is low and threats high (Watson et al. 2016). Protected area effectiveness in terms of biodiversity outcomes is correlated with resources and capacity (e.g. budgets and staff) (Geldmann et al. 2018). </w:t>
      </w:r>
      <w:r w:rsidRPr="00893F4C">
        <w:rPr>
          <w:rFonts w:cs="Times New Roman"/>
        </w:rPr>
        <w:t xml:space="preserve">Extinction rates are estimated to be far above background levels, and measures of extinction risk, including for taxa important for ecosystem services such as pollinators, suggest a general increase in risk. There remains limited information on </w:t>
      </w:r>
      <w:r>
        <w:rPr>
          <w:rFonts w:cs="Times New Roman"/>
        </w:rPr>
        <w:t xml:space="preserve">global-scale </w:t>
      </w:r>
      <w:r w:rsidRPr="00893F4C">
        <w:rPr>
          <w:rFonts w:cs="Times New Roman"/>
        </w:rPr>
        <w:t xml:space="preserve">changes in </w:t>
      </w:r>
      <w:r w:rsidRPr="00CA7668">
        <w:rPr>
          <w:rFonts w:cs="Times New Roman"/>
        </w:rPr>
        <w:t>genetic diversity and</w:t>
      </w:r>
      <w:r>
        <w:rPr>
          <w:rFonts w:cs="Times New Roman"/>
        </w:rPr>
        <w:t xml:space="preserve"> some ecosystem services and</w:t>
      </w:r>
      <w:r w:rsidRPr="00CA7668">
        <w:rPr>
          <w:rFonts w:cs="Times New Roman"/>
        </w:rPr>
        <w:t xml:space="preserve"> threatened habitats</w:t>
      </w:r>
      <w:r w:rsidRPr="00893F4C">
        <w:rPr>
          <w:rFonts w:cs="Times New Roman"/>
        </w:rPr>
        <w:t>.</w:t>
      </w:r>
    </w:p>
    <w:p w14:paraId="2E199F12" w14:textId="77777777" w:rsidR="00F1283E" w:rsidRDefault="00F1283E" w:rsidP="00F1283E">
      <w:pPr>
        <w:pStyle w:val="ListParagraph"/>
        <w:numPr>
          <w:ilvl w:val="0"/>
          <w:numId w:val="4"/>
        </w:numPr>
        <w:contextualSpacing w:val="0"/>
        <w:rPr>
          <w:rFonts w:cs="Times New Roman"/>
        </w:rPr>
      </w:pPr>
      <w:r>
        <w:rPr>
          <w:rFonts w:cs="Times New Roman"/>
          <w:i/>
        </w:rPr>
        <w:t xml:space="preserve">Species richness: </w:t>
      </w:r>
      <w:r w:rsidRPr="00893F4C">
        <w:rPr>
          <w:rFonts w:cs="Times New Roman"/>
        </w:rPr>
        <w:t xml:space="preserve">A </w:t>
      </w:r>
      <w:r w:rsidRPr="004638FA">
        <w:rPr>
          <w:rFonts w:cs="Times New Roman"/>
        </w:rPr>
        <w:t>global quantification of local (i.e. at individual sites) terrestrial biodiversity responses to land use and related changes demonstrated that, on average, samples had declined in species richness by 8.1%</w:t>
      </w:r>
      <w:r w:rsidRPr="004638FA">
        <w:rPr>
          <w:rStyle w:val="FootnoteReference"/>
        </w:rPr>
        <w:footnoteReference w:id="8"/>
      </w:r>
      <w:r w:rsidRPr="004638FA">
        <w:rPr>
          <w:rFonts w:cs="Times New Roman"/>
        </w:rPr>
        <w:t xml:space="preserve"> </w:t>
      </w:r>
      <w:r>
        <w:rPr>
          <w:rFonts w:cs="Times New Roman"/>
        </w:rPr>
        <w:t>between 1500 and 2005</w:t>
      </w:r>
      <w:r w:rsidRPr="004638FA">
        <w:rPr>
          <w:rFonts w:cs="Times New Roman"/>
        </w:rPr>
        <w:t xml:space="preserve"> due to such impacts</w:t>
      </w:r>
      <w:r>
        <w:rPr>
          <w:rFonts w:cs="Times New Roman"/>
        </w:rPr>
        <w:t xml:space="preserve"> </w:t>
      </w:r>
      <w:r w:rsidRPr="004638FA">
        <w:rPr>
          <w:rFonts w:cs="Times New Roman"/>
        </w:rPr>
        <w:fldChar w:fldCharType="begin" w:fldLock="1"/>
      </w:r>
      <w:r>
        <w:rPr>
          <w:rFonts w:cs="Times New Roman"/>
        </w:rPr>
        <w:instrText>ADDIN CSL_CITATION { "citationItems" : [ { "id" : "ITEM-1", "itemData" : { "DOI" : "10.1038/nature14324", "ISSN" : "0028-0836", "abstract" : "&lt;p&gt;Analysis of a global data set of local biodiversity comparisons reveals an average 13.6% reduction in species richness and 10.7% reduction in abundance as a result of past human land use, and projections based on these data under a business-as-usual land-use scenario pred&amp;hellip;&lt;/p&gt;", "author" : [ { "dropping-particle" : "", "family" : "Newbold", "given" : "Tim", "non-dropping-particle" : "", "parse-names" : false, "suffix" : "" }, { "dropping-particle" : "", "family" : "Hudson", "given" : "Lawrence N.", "non-dropping-particle" : "", "parse-names" : false, "suffix" : "" }, { "dropping-particle" : "", "family" : "Hill", "given" : "Samantha L. L.", "non-dropping-particle" : "", "parse-names" : false, "suffix" : "" }, { "dropping-particle" : "", "family" : "Contu", "given" : "Sara", "non-dropping-particle" : "", "parse-names" : false, "suffix" : "" }, { "dropping-particle" : "", "family" : "Lysenko", "given" : "Igor", "non-dropping-particle" : "", "parse-names" : false, "suffix" : "" }, { "dropping-particle" : "", "family" : "Senior", "given" : "Rebecca A.", "non-dropping-particle" : "", "parse-names" : false, "suffix" : "" }, { "dropping-particle" : "", "family" : "B\u00f6rger", "given" : "Luca", "non-dropping-particle" : "", "parse-names" : false, "suffix" : "" }, { "dropping-particle" : "", "family" : "Bennett", "given" : "Dominic J.", "non-dropping-particle" : "", "parse-names" : false, "suffix" : "" }, { "dropping-particle" : "", "family" : "Choimes", "given" : "Argyrios", "non-dropping-particle" : "", "parse-names" : false, "suffix" : "" }, { "dropping-particle" : "", "family" : "Collen", "given" : "Ben", "non-dropping-particle" : "", "parse-names" : false, "suffix" : "" }, { "dropping-particle" : "", "family" : "Day", "given" : "Julie", "non-dropping-particle" : "", "parse-names" : false, "suffix" : "" }, { "dropping-particle" : "", "family" : "Palma", "given" : "Adriana", "non-dropping-particle" : "De", "parse-names" : false, "suffix" : "" }, { "dropping-particle" : "", "family" : "D\u00edaz", "given" : "Sandra", "non-dropping-particle" : "", "parse-names" : false, "suffix" : "" }, { "dropping-particle" : "", "family" : "Echeverria-Londo\u00f1o", "given" : "Susy", "non-dropping-particle" : "", "parse-names" : false, "suffix" : "" }, { "dropping-particle" : "", "family" : "Edgar", "given" : "Melanie J.", "non-dropping-particle" : "", "parse-names" : false, "suffix" : "" }, { "dropping-particle" : "", "family" : "Feldman", "given" : "Anat", "non-dropping-particle" : "", "parse-names" : false, "suffix" : "" }, { "dropping-particle" : "", "family" : "Garon", "given" : "Morgan", "non-dropping-particle" : "", "parse-names" : false, "suffix" : "" }, { "dropping-particle" : "", "family" : "Harrison", "given" : "Michelle L. K.", "non-dropping-particle" : "", "parse-names" : false, "suffix" : "" }, { "dropping-particle" : "", "family" : "Alhusseini", "given" : "Tamera", "non-dropping-particle" : "", "parse-names" : false, "suffix" : "" }, { "dropping-particle" : "", "family" : "Ingram", "given" : "Daniel J.", "non-dropping-particle" : "", "parse-names" : false, "suffix" : "" }, { "dropping-particle" : "", "family" : "Itescu", "given" : "Yuval", "non-dropping-particle" : "", "parse-names" : false, "suffix" : "" }, { "dropping-particle" : "", "family" : "Kattge", "given" : "Jens", "non-dropping-particle" : "", "parse-names" : false, "suffix" : "" }, { "dropping-particle" : "", "family" : "Kemp", "given" : "Victoria", "non-dropping-particle" : "", "parse-names" : false, "suffix" : "" }, { "dropping-particle" : "", "family" : "Kirkpatrick", "given" : "Lucinda", "non-dropping-particle" : "", "parse-names" : false, "suffix" : "" }, { "dropping-particle" : "", "family" : "Kleyer", "given" : "Michael", "non-dropping-particle" : "", "parse-names" : false, "suffix" : "" }, { "dropping-particle" : "", "family" : "Correia", "given" : "David Laginha Pinto", "non-dropping-particle" : "", "parse-names" : false, "suffix" : "" }, { "dropping-particle" : "", "family" : "Martin", "given" : "Callum D.", "non-dropping-particle" : "", "parse-names" : false, "suffix" : "" }, { "dropping-particle" : "", "family" : "Meiri", "given" : "Shai", "non-dropping-particle" : "", "parse-names" : false, "suffix" : "" }, { "dropping-particle" : "", "family" : "Novosolov", "given" : "Maria", "non-dropping-particle" : "", "parse-names" : false, "suffix" : "" }, { "dropping-particle" : "", "family" : "Pan", "given" : "Yuan", "non-dropping-particle" : "", "parse-names" : false, "suffix" : "" }, { "dropping-particle" : "", "family" : "Phillips", "given" : "Helen R. P.", "non-dropping-particle" : "", "parse-names" : false, "suffix" : "" }, { "dropping-particle" : "", "family" : "Purves", "given" : "Drew W.", "non-dropping-particle" : "", "parse-names" : false, "suffix" : "" }, { "dropping-particle" : "", "family" : "Robinson", "given" : "Alexandra", "non-dropping-particle" : "", "parse-names" : false, "suffix" : "" }, { "dropping-particle" : "", "family" : "Simpson", "given" : "Jake", "non-dropping-particle" : "", "parse-names" : false, "suffix" : "" }, { "dropping-particle" : "", "family" : "Tuck", "given" : "Sean L.", "non-dropping-particle" : "", "parse-names" : false, "suffix" : "" }, { "dropping-particle" : "", "family" : "Weiher", "given" : "Evan", "non-dropping-particle" : "", "parse-names" : false, "suffix" : "" }, { "dropping-particle" : "", "family" : "White", "given" : "Hannah J.", "non-dropping-particle" : "", "parse-names" : false, "suffix" : "" }, { "dropping-particle" : "", "family" : "Ewers", "given" : "Robert M.", "non-dropping-particle" : "", "parse-names" : false, "suffix" : "" }, { "dropping-particle" : "", "family" : "Mace", "given" : "Georgina M.", "non-dropping-particle" : "", "parse-names" : false, "suffix" : "" }, { "dropping-particle" : "", "family" : "Scharlemann", "given" : "J\u00f6rn P. W.", "non-dropping-particle" : "", "parse-names" : false, "suffix" : "" }, { "dropping-particle" : "", "family" : "Purvis", "given" : "Andy", "non-dropping-particle" : "", "parse-names" : false, "suffix" : "" } ], "container-title" : "Nature", "id" : "ITEM-1", "issue" : "7545", "issued" : { "date-parts" : [ [ "2015", "4", "1" ] ] }, "page" : "45-50", "publisher" : "Nature Publishing Group", "title" : "Global effects of land use on local terrestrial biodiversity", "type" : "article-journal", "volume" : "520" }, "uris" : [ "http://www.mendeley.com/documents/?uuid=1d641616-36b2-3643-ae1b-140c8015904f" ] } ], "mendeley" : { "formattedCitation" : "(Newbold et al., 2015a)", "manualFormatting" : "(Newbold et al., 2015)", "plainTextFormattedCitation" : "(Newbold et al., 2015a)", "previouslyFormattedCitation" : "(Newbold et al., 2015a)" }, "properties" : {  }, "schema" : "https://github.com/citation-style-language/schema/raw/master/csl-citation.json" }</w:instrText>
      </w:r>
      <w:r w:rsidRPr="004638FA">
        <w:rPr>
          <w:rFonts w:cs="Times New Roman"/>
        </w:rPr>
        <w:fldChar w:fldCharType="separate"/>
      </w:r>
      <w:r w:rsidRPr="004638FA">
        <w:rPr>
          <w:rFonts w:cs="Times New Roman"/>
          <w:noProof/>
        </w:rPr>
        <w:t>(Newbold et al., 2015)</w:t>
      </w:r>
      <w:r w:rsidRPr="004638FA">
        <w:rPr>
          <w:rFonts w:cs="Times New Roman"/>
        </w:rPr>
        <w:fldChar w:fldCharType="end"/>
      </w:r>
      <w:r w:rsidRPr="004638FA">
        <w:rPr>
          <w:rFonts w:cs="Times New Roman"/>
        </w:rPr>
        <w:t xml:space="preserve">. For the most-impacted sites, this value </w:t>
      </w:r>
      <w:r>
        <w:rPr>
          <w:rFonts w:cs="Times New Roman"/>
        </w:rPr>
        <w:t>rose</w:t>
      </w:r>
      <w:r w:rsidRPr="004638FA">
        <w:rPr>
          <w:rFonts w:cs="Times New Roman"/>
        </w:rPr>
        <w:t xml:space="preserve"> to 40.3%</w:t>
      </w:r>
      <w:r w:rsidRPr="004638FA">
        <w:rPr>
          <w:rStyle w:val="FootnoteReference"/>
        </w:rPr>
        <w:footnoteReference w:id="9"/>
      </w:r>
      <w:r w:rsidRPr="004638FA">
        <w:rPr>
          <w:rFonts w:cs="Times New Roman"/>
          <w:vertAlign w:val="superscript"/>
        </w:rPr>
        <w:t>,</w:t>
      </w:r>
      <w:r w:rsidRPr="004638FA">
        <w:rPr>
          <w:rStyle w:val="FootnoteReference"/>
          <w:rFonts w:cs="Times New Roman"/>
        </w:rPr>
        <w:footnoteReference w:id="10"/>
      </w:r>
      <w:r w:rsidRPr="004638FA">
        <w:rPr>
          <w:rFonts w:cs="Times New Roman"/>
        </w:rPr>
        <w:t xml:space="preserve"> (see Fig. 1). </w:t>
      </w:r>
      <w:r w:rsidRPr="004638FA">
        <w:rPr>
          <w:rFonts w:cs="Times New Roman"/>
        </w:rPr>
        <w:fldChar w:fldCharType="begin" w:fldLock="1"/>
      </w:r>
      <w:r>
        <w:rPr>
          <w:rFonts w:cs="Times New Roman"/>
        </w:rPr>
        <w:instrText>ADDIN CSL_CITATION { "citationItems" : [ { "id" : "ITEM-1", "itemData" : { "DOI" : "10.1073/pnas.1312779110", "ISSN" : "1091-6490", "PMID" : "24167259", "abstract" : "Global biodiversity is in decline. This is of concern for aesthetic and ethical reasons, but possibly also for practical reasons, as suggested by experimental studies, mostly with plants, showing that biodiversity reductions in small study plots can lead to compromised ecosystem function. However, inferring that ecosystem functions will decline due to biodiversity loss in the real world rests on the untested assumption that such loss is actually occurring at these small scales in nature. Using a global database of 168 published studies and &gt;16,000 nonexperimental, local-scale vegetation plots, we show that mean temporal change in species diversity over periods of 5-261 y is not different from zero, with increases at least as likely as declines over time. Sites influenced primarily by plant species' invasions showed a tendency for declines in species richness, whereas sites undergoing postdisturbance succession showed increases in richness over time. Other distinctions among studies had little influence on temporal richness trends. Although maximizing diversity is likely important for maintaining ecosystem function in intensely managed systems such as restored grasslands or tree plantations, the clear lack of any general tendency for plant biodiversity to decline at small scales in nature directly contradicts the key assumption linking experimental results to ecosystem function as a motivation for biodiversity conservation in nature. How often real world changes in the diversity and composition of plant communities at the local scale cause ecosystem function to deteriorate, or actually to improve, remains unknown and is in critical need of further study.", "author" : [ { "dropping-particle" : "", "family" : "Vellend", "given" : "Mark", "non-dropping-particle" : "", "parse-names" : false, "suffix" : "" }, { "dropping-particle" : "", "family" : "Baeten", "given" : "Lander", "non-dropping-particle" : "", "parse-names" : false, "suffix" : "" }, { "dropping-particle" : "", "family" : "Myers-Smith", "given" : "Isla H", "non-dropping-particle" : "", "parse-names" : false, "suffix" : "" }, { "dropping-particle" : "", "family" : "Elmendorf", "given" : "Sarah C", "non-dropping-particle" : "", "parse-names" : false, "suffix" : "" }, { "dropping-particle" : "", "family" : "Beaus\u00e9jo</w:instrText>
      </w:r>
      <w:r w:rsidRPr="00F1283E">
        <w:rPr>
          <w:rFonts w:cs="Times New Roman"/>
          <w:lang w:val="fr-BE"/>
        </w:rPr>
        <w:instrText>ur", "given" : "Robin", "non-dropping-particle" : "", "parse-names" : false, "suffix" : "" }, { "dropping-particle" : "", "family" : "Brown", "given" : "Carissa D", "non-dropping-particle" : "", "parse-names" : false, "suffix" : "" }, { "dropping-particle" : "", "family" : "Frenne", "given" : "Pieter", "non-dropping-particle" : "De", "parse-names" : false, "suffix" : "" }, { "dropping-particle" : "", "family" : "Verheyen", "given" : "Kris", "non-dropping-particle" : "", "parse-names" : false, "suffix" : "" }, { "dropping-particle" : "", "family" : "Wipf", "given" : "Sonja", "non-dropping-particle" : "", "parse-names" : false, "suffix" : "" } ], "container-title" : "Proceedings of the National Academy of Sciences of the United States of America", "id" : "ITEM-1", "issue" : "48", "issued" : { "date-parts" : [ [ "2013", "11", "26" ] ] }, "page" : "19456-9", "publisher" : "National Academy of Sciences", "title" : "Global meta-analysis reveals no net change in local-scale plant biodiversity over time.", "type" : "article-journal", "volume" : "110" }, "uris" : [ "http://www.mendeley.com/documents/?uuid=7d136973-dce4-3d88-892d-78e0bfbbc052" ] } ], "mendeley" : { "formattedCitation" : "(Vellend et al., 2013)", "manualFormatting" : "Vellend et al. (2013)", "plainTextFormattedCitation" : "(Vellend et al., 2013)", "previouslyFormattedCitation" : "(Vellend et al., 2013)" }, "properties" : {  }, "schema" : "https://github.com/citation-style-language/schema/raw/master/csl-citation.json" }</w:instrText>
      </w:r>
      <w:r w:rsidRPr="004638FA">
        <w:rPr>
          <w:rFonts w:cs="Times New Roman"/>
        </w:rPr>
        <w:fldChar w:fldCharType="separate"/>
      </w:r>
      <w:r w:rsidRPr="00F1283E">
        <w:rPr>
          <w:rFonts w:cs="Times New Roman"/>
          <w:noProof/>
          <w:lang w:val="fr-BE"/>
        </w:rPr>
        <w:t>Vellend et al. (2013)</w:t>
      </w:r>
      <w:r w:rsidRPr="004638FA">
        <w:rPr>
          <w:rFonts w:cs="Times New Roman"/>
        </w:rPr>
        <w:fldChar w:fldCharType="end"/>
      </w:r>
      <w:r w:rsidRPr="00F1283E">
        <w:rPr>
          <w:rFonts w:cs="Times New Roman"/>
          <w:lang w:val="fr-BE"/>
        </w:rPr>
        <w:t xml:space="preserve"> and </w:t>
      </w:r>
      <w:r w:rsidRPr="004638FA">
        <w:rPr>
          <w:rFonts w:cs="Times New Roman"/>
        </w:rPr>
        <w:fldChar w:fldCharType="begin" w:fldLock="1"/>
      </w:r>
      <w:r w:rsidRPr="00F1283E">
        <w:rPr>
          <w:rFonts w:cs="Times New Roman"/>
          <w:lang w:val="fr-BE"/>
        </w:rPr>
        <w:instrText>ADDIN CSL_CITATION { "citationItems" : [ { "id" : "ITEM-1", "itemData" : { "author" : [ { "dropping-particle" : "", "family" : "Dornelas", "given" : "Maria", "non-dropping-particle" : "", "parse-names" : false, "suffix" : "" }, { "dropping-particle" : "", "family" : "Gotelli", "given" : "Nicholas J", "non-dropping-particle" : "", "parse-names" : false, "suffix" : "" }, { "dropping-particle" : "", "family" : "McGill", "given" : "Brian", "non-dropping-particle" : "", "parse-names" : false, "suffix" : "" }, { "dropping-particle" : "", "family" : "Shimadzu", "given" : "Hideyasu", "non-dropping-particle" : "", "parse-names" : false, "suffix" : "" }, { "dropping-particle" : "", "family" : "Moyes", "given" : "Faye", "non-dropping-particle" : "", "parse-names" : false, "suffix" : "" }, { "dropping-particle" : "", "family" : "Sievers", "given" : "Caya", "non-dropping-particle" : "", "parse-names" : false, "suffix" : "" }, { "dropping-particle" : "", "family" : "Magurran", "given" : "Anne E", "non-dropping-particle" : "", "parse-names" : false, "suffix" : "" } ], "container-title" : "Science", "id" : "ITEM-1", "issue" : "6181", "issued" : { "date-parts" : [ [ "2014" ] ] }, "page" : "296-299", "publisher" : "American Association for the Advancement of Science", "title" : "Assemblage time series reveal biodiversity change but not systematic loss", "type" : "article-journal", "volume" : "344" }, "uris" : [ "http://www.mendeley.com/documents/?uuid=95ddf96d-4fde-4e23-b57e-d284cc95c1b3" ] } ], "mendeley" : { "formattedCitation" : "(Dornelas et al., 2014)", "manualFormatting" : "Dornelas et al. (2014)", "plainTextFormattedCitation" : "(Dornelas et al., 2014)", "previouslyFormattedCitation" : "(Dornelas et al., 2014)" }, "properties" : {  }, "schema" : "https://github.com/citation-style-language/schema/raw/master/csl-citation.json" }</w:instrText>
      </w:r>
      <w:r w:rsidRPr="004638FA">
        <w:rPr>
          <w:rFonts w:cs="Times New Roman"/>
        </w:rPr>
        <w:fldChar w:fldCharType="separate"/>
      </w:r>
      <w:r w:rsidRPr="00F1283E">
        <w:rPr>
          <w:rFonts w:cs="Times New Roman"/>
          <w:noProof/>
          <w:lang w:val="fr-BE"/>
        </w:rPr>
        <w:t>Dornelas et al. (2014)</w:t>
      </w:r>
      <w:r w:rsidRPr="004638FA">
        <w:rPr>
          <w:rFonts w:cs="Times New Roman"/>
        </w:rPr>
        <w:fldChar w:fldCharType="end"/>
      </w:r>
      <w:r w:rsidRPr="00F1283E">
        <w:rPr>
          <w:rFonts w:cs="Times New Roman"/>
          <w:lang w:val="fr-BE"/>
        </w:rPr>
        <w:t xml:space="preserve"> </w:t>
      </w:r>
      <w:r w:rsidRPr="000F5B19">
        <w:rPr>
          <w:rFonts w:cs="Times New Roman"/>
          <w:lang w:val="fr-BE"/>
        </w:rPr>
        <w:t>also demonstrated a wide range of changes in species abundance at local level</w:t>
      </w:r>
      <w:r w:rsidRPr="00724052">
        <w:rPr>
          <w:rStyle w:val="FootnoteReference"/>
          <w:rFonts w:cs="Times New Roman"/>
          <w:lang w:val="en-US"/>
        </w:rPr>
        <w:footnoteReference w:id="11"/>
      </w:r>
      <w:r w:rsidRPr="000F5B19">
        <w:rPr>
          <w:rFonts w:cs="Times New Roman"/>
          <w:lang w:val="fr-BE"/>
        </w:rPr>
        <w:t xml:space="preserve">, with an average change that was close to zero, for plants and multiple taxa respectively. </w:t>
      </w:r>
      <w:r w:rsidRPr="00724052">
        <w:rPr>
          <w:rFonts w:cs="Times New Roman"/>
          <w:lang w:val="en-US"/>
        </w:rPr>
        <w:t>However, Dornelas</w:t>
      </w:r>
      <w:r>
        <w:rPr>
          <w:rFonts w:cs="Times New Roman"/>
        </w:rPr>
        <w:t xml:space="preserve"> et al. did</w:t>
      </w:r>
      <w:r w:rsidRPr="004638FA">
        <w:rPr>
          <w:rFonts w:cs="Times New Roman"/>
        </w:rPr>
        <w:t xml:space="preserve"> </w:t>
      </w:r>
      <w:r>
        <w:rPr>
          <w:rFonts w:cs="Times New Roman"/>
        </w:rPr>
        <w:t>find</w:t>
      </w:r>
      <w:r w:rsidRPr="004638FA">
        <w:rPr>
          <w:rFonts w:cs="Times New Roman"/>
        </w:rPr>
        <w:t xml:space="preserve"> that community species composition was systematically changing over time, potentially due to environmental change or biotic homogenization. These differences between studies may be due to the fact that Newbold et al. (2015) focus</w:t>
      </w:r>
      <w:r>
        <w:rPr>
          <w:rFonts w:cs="Times New Roman"/>
        </w:rPr>
        <w:t>sed</w:t>
      </w:r>
      <w:r w:rsidRPr="004638FA">
        <w:rPr>
          <w:rFonts w:cs="Times New Roman"/>
        </w:rPr>
        <w:t xml:space="preserve"> on a range of sites from relatively natural to those that have undergone significant disturbance and land use conversion – i.e. compare reasonably ‘pristine’ directly to substantially impacted – whereas Dornelas et al. (2014) and Velland et al. (2013) look</w:t>
      </w:r>
      <w:r>
        <w:rPr>
          <w:rFonts w:cs="Times New Roman"/>
        </w:rPr>
        <w:t>ed</w:t>
      </w:r>
      <w:r w:rsidRPr="004638FA">
        <w:rPr>
          <w:rFonts w:cs="Times New Roman"/>
        </w:rPr>
        <w:t xml:space="preserve"> along time-series from multiple locations which </w:t>
      </w:r>
      <w:r>
        <w:rPr>
          <w:rFonts w:cs="Times New Roman"/>
        </w:rPr>
        <w:t>were</w:t>
      </w:r>
      <w:r w:rsidRPr="004638FA">
        <w:rPr>
          <w:rFonts w:cs="Times New Roman"/>
        </w:rPr>
        <w:t xml:space="preserve"> not necessarily undergoing such disturbance patterns. Thus, conversion of </w:t>
      </w:r>
      <w:r>
        <w:rPr>
          <w:rFonts w:cs="Times New Roman"/>
        </w:rPr>
        <w:t>natural ecosystems to croplands</w:t>
      </w:r>
      <w:r w:rsidRPr="004638FA">
        <w:rPr>
          <w:rFonts w:cs="Times New Roman"/>
        </w:rPr>
        <w:t xml:space="preserve"> or urban environments appears to cause a local loss of biodiversity, but without </w:t>
      </w:r>
      <w:r>
        <w:rPr>
          <w:rFonts w:cs="Times New Roman"/>
        </w:rPr>
        <w:t>such</w:t>
      </w:r>
      <w:r w:rsidRPr="004638FA">
        <w:rPr>
          <w:rFonts w:cs="Times New Roman"/>
        </w:rPr>
        <w:t xml:space="preserve"> impacts</w:t>
      </w:r>
      <w:r>
        <w:rPr>
          <w:rFonts w:cs="Times New Roman"/>
        </w:rPr>
        <w:t>,</w:t>
      </w:r>
      <w:r w:rsidRPr="004638FA">
        <w:rPr>
          <w:rFonts w:cs="Times New Roman"/>
        </w:rPr>
        <w:t xml:space="preserve"> there may be variation </w:t>
      </w:r>
      <w:r>
        <w:rPr>
          <w:rFonts w:cs="Times New Roman"/>
        </w:rPr>
        <w:t xml:space="preserve">in richness </w:t>
      </w:r>
      <w:r w:rsidRPr="004638FA">
        <w:rPr>
          <w:rFonts w:cs="Times New Roman"/>
        </w:rPr>
        <w:t>but no mean trend (Velland et al. 2017).</w:t>
      </w:r>
      <w:r>
        <w:rPr>
          <w:rFonts w:cs="Times New Roman"/>
        </w:rPr>
        <w:t xml:space="preserve"> </w:t>
      </w:r>
    </w:p>
    <w:p w14:paraId="27F83DD9" w14:textId="77777777" w:rsidR="00F1283E" w:rsidRDefault="00F1283E" w:rsidP="00F1283E">
      <w:pPr>
        <w:pStyle w:val="ListParagraph"/>
        <w:numPr>
          <w:ilvl w:val="0"/>
          <w:numId w:val="4"/>
        </w:numPr>
        <w:contextualSpacing w:val="0"/>
        <w:rPr>
          <w:rFonts w:cs="Times New Roman"/>
        </w:rPr>
      </w:pPr>
      <w:r>
        <w:rPr>
          <w:rFonts w:cs="Times New Roman"/>
        </w:rPr>
        <w:lastRenderedPageBreak/>
        <w:t>Biodiversity is also important for maintaining productive ecosystems, and its loss results in generally negative impacts on ecosystem services that human beings rely upon (Cardinale et al 2012; Duffy et al. 2017). Species richness was also found to be important for a range of ecosystem services in a systematic review (Harrison et al. 2014), in particular freshwater fishing and timber production.</w:t>
      </w:r>
    </w:p>
    <w:p w14:paraId="79696C2B" w14:textId="77777777" w:rsidR="00F1283E" w:rsidRPr="00893F4C" w:rsidRDefault="00F1283E" w:rsidP="00F1283E">
      <w:pPr>
        <w:pStyle w:val="ListParagraph"/>
        <w:numPr>
          <w:ilvl w:val="0"/>
          <w:numId w:val="4"/>
        </w:numPr>
        <w:contextualSpacing w:val="0"/>
        <w:rPr>
          <w:rFonts w:cs="Times New Roman"/>
        </w:rPr>
      </w:pPr>
      <w:r>
        <w:rPr>
          <w:rFonts w:cs="Times New Roman"/>
        </w:rPr>
        <w:t>There is</w:t>
      </w:r>
      <w:r w:rsidRPr="00893F4C">
        <w:rPr>
          <w:rFonts w:cs="Times New Roman"/>
        </w:rPr>
        <w:t xml:space="preserve"> considerable evidence </w:t>
      </w:r>
      <w:r>
        <w:rPr>
          <w:rFonts w:cs="Times New Roman"/>
        </w:rPr>
        <w:t xml:space="preserve">that </w:t>
      </w:r>
      <w:r w:rsidRPr="00893F4C">
        <w:rPr>
          <w:rFonts w:cs="Times New Roman"/>
        </w:rPr>
        <w:t>suggests that species are being redis</w:t>
      </w:r>
      <w:r>
        <w:rPr>
          <w:rFonts w:cs="Times New Roman"/>
        </w:rPr>
        <w:t xml:space="preserve">tributed due to climate change </w:t>
      </w:r>
      <w:r>
        <w:rPr>
          <w:rFonts w:cs="Times New Roman"/>
        </w:rPr>
        <w:fldChar w:fldCharType="begin" w:fldLock="1"/>
      </w:r>
      <w:r>
        <w:rPr>
          <w:rFonts w:cs="Times New Roman"/>
        </w:rPr>
        <w:instrText>ADDIN CSL_CITATION { "citationItems" : [ { "id" : "ITEM-1", "itemData" : { "DOI" : "10.1126/science.aai9214", "ISSN" : "1095-9203", "PMID" : "28360268", "abstract" : "Distributions of Earth's species are changing at accelerating rates, increasingly driven by human-mediated climate change. Such changes are already altering the composition of ecological communities, but beyond conservation of natural systems, how and why does this matter? We review evidence that climate-driven species redistribution at regional to global scales affects ecosystem functioning, human well-being, and the dynamics of climate change itself. Production of natural resources required for food security, patterns of disease transmission, and processes of carbon sequestration are all altered by changes in species distribution. Consideration of these effects of biodiversity redistribution is critical yet lacking in most mitigation and adaptation strategies, including the United Nation's Sustainable Development Goals.", "author" : [ { "dropping-particle" : "", "family" : "Pecl", "given" : "Gretta T", "non-dropping-particle" : "", "parse-names" : false, "suffix" : "" }, { "dropping-particle" : "", "family" : "Ara\u00fajo", "given" : "Miguel B", "non-dropping-particle" : "", "parse-names" : false, "suffix" : "" }, { "dropping-particle" : "", "family" : "Bell", "given" : "Johann D", "non-dropping-particle" : "", "parse-names" : false, "suffix" : "" }, { "dropping-particle" : "", "family" : "Blanchard", "given" : "Julia", "non-dropping-particle" : "", "parse-names" : false, "suffix" : "" }, { "dropping-particle" : "", "family" : "Bonebrake", "given" : "Timothy C", "non-dropping-particle" : "", "parse-names" : false, "suffix" : "" }, { "dropping-particle" : "", "family" : "Chen", "given" : "I-Ching", "non-dropping-particle" : "", "parse-names" : false, "suffix" : "" }, { "dropping-particle" : "", "family" : "Clark", "given" : "Timothy D", "non-dropping-particle" : "", "parse-names" : false, "suffix" : "" }, { "dropping-particle" : "", "family" : "Colwell", "given" : "Robert K", "non-dropping-particle" : "", "parse-names" : false, "suffix" : "" }, { "dropping-particle" : "", "family" : "Danielsen", "given" : "Finn", "non-dropping-particle" : "", "parse-names" : false, "suffix" : "" }, { "dropping-particle" : "", "family" : "Eveng\u00e5rd", "given" : "Birgitta", "non-dropping-particle" : "", "parse-names" : false, "suffix" : "" }, { "dropping-particle" : "", "family" : "Falconi", "given" : "Lorena", "non-dropping-particle" : "", "parse-names" : false, "suffix" : "" }, { "dropping-particle" : "", "family" : "Ferrier", "given" : "Simon", "non-dropping-particle" : "", "parse-names" : false, "suffix" : "" }, { "dropping-particle" : "", "family" : "Frusher", "given" : "Stewart", "non-dropping-particle" : "", "parse-names" : false, "suffix" : "" }, { "dropping-particle" : "", "family" : "Garcia", "given" : "Raquel A", "non-dropping-particle" : "", "parse-names" : false, "suffix" : "" }, { "dropping-particle" : "", "family" : "Griffis", "given" : "Roger B", "non-dropping-particle" : "", "parse-names" : false, "suffix" : "" }, { "dropping-particle" : "", "family" : "Hobday", "given" : "Alistair J", "non-dropping-particle" : "", "parse-names" : false, "suffix" : "" }, { "dropping-particle" : "", "family" : "Janion-Scheepers", "given" : "Charlene", "non-dropping-particle" : "", "parse-names" : false, "suffix" : "" }, { "dropping-particle" : "", "family" : "Jarzyna", "given" : "Marta A", "non-dropping-particle" : "", "parse-names" : false, "suffix" : "" }, { "dropping-particle" : "", "family" : "Jennings", "given" : "Sarah", "non-dropping-particle" : "", "parse-names" : false, "suffix" : "" }, { "dropping-particle" : "", "family" : "Lenoir", "given" : "Jonathan", "non-dropping-particle" : "", "parse-names" : false, "suffix" : "" }, { "dropping-particle" : "", "family" : "Linnetved", "given" : "Hlif I", "non-dropping-particle" : "", "parse-names" : false, "suffix" : "" }, { "dropping-particle" : "", "family" : "Martin", "given" : "Victoria Y", "non-dropping-particle" : "", "parse-names" : false, "suffix" : "" }, { "dropping-particle" : "", "family" : "McCormack", "given" : "Phillipa C", "non-dropping-particle" : "", "parse-names" : false, "suffix" : "" }, { "dropping-particle" : "", "family" : "McDonald", "given" : "Jan", "non-dropping-particle" : "", "parse-names" : false, "suffix" : "" }, { "dropping-particle" : "", "family" : "Mitchell", "given" : "Nicola J", "non-dropping-particle" : "", "parse-names" : false, "suffix" : "" }, { "dropping-particle" : "", "family" : "Mustonen", "given" : "Tero", "non-dropping-particle" : "", "parse-names" : false, "suffix" : "" }, { "dropping-particle" : "", "family" : "Pandolfi", "given" : "John M", "non-dropping-particle" : "", "parse-names" : false, "suffix" : "" }, { "dropping-particle" : "", "family" : "Pettorelli", "given" : "Nathalie", "non-dropping-particle" : "", "parse-names" : false, "suffix" : "" }, { "dropping-particle" : "", "family" : "Popova", "given" : "Ekaterina", "non-dropping-particle" : "", "parse-names" : false, "suffix" : "" }, { "dropping-particle" : "", "family" : "Robinson", "given" : "Sharon A", "non-dropping-particle" : "", "parse-names" : false, "suffix" : "" }, { "dropping-particle" : "", "family" : "Scheffers", "given" : "Brett R", "non-dropping-particle" : "", "parse-names" : false, "suffix" : "" }, { "dropping-particle" : "", "family" : "Shaw", "given" : "Justine D", "non-dropping-particle" : "", "parse-names" : false, "suffix" : "" }, { "dropping-particle" : "", "family" : "Sorte", "given" : "Cascade J B", "non-dropping-particle" : "", "parse-names" : false, "suffix" : "" }, { "dropping-particle" : "", "family" : "Strugnell", "given" : "Jan M", "non-dropping-particle" : "", "parse-names" : false, "suffix" : "" }, { "dropping-particle" : "", "family" : "Sunday", "given" : "Jennifer M", "non-dropping-particle" : "", "parse-names" : false, "suffix" : "" }, { "dropping-particle" : "", "family" : "Tuanmu", "given" : "Mao-Ning", "non-dropping-particle" : "", "parse-names" : false, "suffix" : "" }, { "dropping-particle" : "", "family" : "Verg\u00e9s", "given" : "Adriana", "non-dropping-particle" : "", "parse-names" : false, "suffix" : "" }, { "dropping-particle" : "", "family" : "Villanueva", "given" : "Cecilia", "non-dropping-particle" : "", "parse-names" : false, "suffix" : "" }, { "dropping-particle" : "", "family" : "Wernberg", "given" : "Thomas", "non-dropping-particle" : "", "parse-names" : false, "suffix" : "" }, { "dropping-particle" : "", "family" : "Wapstra", "given" : "Erik", "non-dropping-particle" : "", "parse-names" : false, "suffix" : "" }, { "dropping-particle" : "", "family" : "Williams", "given" : "Stephen E", "non-dropping-particle" : "", "parse-names" : false, "suffix" : "" } ], "container-title" : "Science (New York, N.Y.)", "id" : "ITEM-1", "issue" : "6332", "issued" : { "date-parts" : [ [ "2017", "3", "31" ] ] }, "page" : "eaai9214", "publisher" : "American Association for the Advancement of Science", "title" : "Biodiversity redistribution under climate change: Impacts on ecosystems and human well-being.", "type" : "article-journal", "volume" : "355" }, "uris" : [ "http://www.mendeley.com/documents/?uuid=11a1262b-55cf-3e0a-ac3f-a5121bf161b8" ] } ], "mendeley" : { "formattedCitation" : "(Pecl et al., 2017)", "plainTextFormattedCitation" : "(Pecl et al., 2017)", "previouslyFormattedCitation" : "(Pecl et al., 2017)" }, "properties" : {  }, "schema" : "https://github.com/citation-style-language/schema/raw/master/csl-citation.json" }</w:instrText>
      </w:r>
      <w:r>
        <w:rPr>
          <w:rFonts w:cs="Times New Roman"/>
        </w:rPr>
        <w:fldChar w:fldCharType="separate"/>
      </w:r>
      <w:r w:rsidRPr="00E516ED">
        <w:rPr>
          <w:rFonts w:cs="Times New Roman"/>
          <w:noProof/>
        </w:rPr>
        <w:t>(Pecl et al., 2017)</w:t>
      </w:r>
      <w:r>
        <w:rPr>
          <w:rFonts w:cs="Times New Roman"/>
        </w:rPr>
        <w:fldChar w:fldCharType="end"/>
      </w:r>
      <w:r w:rsidRPr="00893F4C">
        <w:rPr>
          <w:rFonts w:cs="Times New Roman"/>
        </w:rPr>
        <w:t>.</w:t>
      </w:r>
      <w:r>
        <w:rPr>
          <w:rFonts w:cs="Times New Roman"/>
        </w:rPr>
        <w:t xml:space="preserve"> </w:t>
      </w:r>
      <w:r w:rsidRPr="00893F4C">
        <w:rPr>
          <w:rFonts w:cs="Times New Roman"/>
        </w:rPr>
        <w:t>The consequences of species redistributions include major changes in food supply (</w:t>
      </w:r>
      <w:r>
        <w:rPr>
          <w:rFonts w:cs="Times New Roman"/>
        </w:rPr>
        <w:t>e.g.</w:t>
      </w:r>
      <w:r w:rsidRPr="00893F4C">
        <w:rPr>
          <w:rFonts w:cs="Times New Roman"/>
        </w:rPr>
        <w:t xml:space="preserve"> targeted species in fisheries), economic goods and services (such as changes in forest land suitability), biological pest control, pathogens and </w:t>
      </w:r>
      <w:r>
        <w:rPr>
          <w:rFonts w:cs="Times New Roman"/>
        </w:rPr>
        <w:t>disease transmission</w:t>
      </w:r>
      <w:r w:rsidRPr="00893F4C">
        <w:rPr>
          <w:rFonts w:cs="Times New Roman"/>
        </w:rPr>
        <w:t>, cultural and traditional knowledge systems, and climate feedback</w:t>
      </w:r>
      <w:r>
        <w:rPr>
          <w:rFonts w:cs="Times New Roman"/>
        </w:rPr>
        <w:t xml:space="preserve"> and carbon sequestration </w:t>
      </w:r>
      <w:r>
        <w:rPr>
          <w:rFonts w:cs="Times New Roman"/>
        </w:rPr>
        <w:fldChar w:fldCharType="begin" w:fldLock="1"/>
      </w:r>
      <w:r>
        <w:rPr>
          <w:rFonts w:cs="Times New Roman"/>
        </w:rPr>
        <w:instrText>ADDIN CSL_CITATION { "citationItems" : [ { "id" : "ITEM-1", "itemData" : { "DOI" : "10.1126/science.aai9214", "ISSN" : "1095-9203", "PMID" : "28360268", "abstract" : "Distributions of Earth's species are changing at accelerating rates, increasingly driven by human-mediated climate change. Such changes are already altering the composition of ecological communities, but beyond conservation of natural systems, how and why does this matter? We review evidence that climate-driven species redistribution at regional to global scales affects ecosystem functioning, human well-being, and the dynamics of climate change itself. Production of natural resources required for food security, patterns of disease transmission, and processes of carbon sequestration are all altered by changes in species distribution. Consideration of these effects of biodiversity redistribution is critical yet lacking in most mitigation and adaptation strategies, including the United Nation's Sustainable Development Goals.", "author" : [ { "dropping-particle" : "", "family" : "Pecl", "given" : "Gretta T", "non-dropping-particle" : "", "parse-names" : false, "suffix" : "" }, { "dropping-particle" : "", "family" : "Ara\u00fajo", "given" : "Miguel B", "non-dropping-particle" : "", "parse-names" : false, "suffix" : "" }, { "dropping-particle" : "", "family" : "Bell", "given" : "Johann D", "non-dropping-particle" : "", "parse-names" : false, "suffix" : "" }, { "dropping-particle" : "", "family" : "Blanchard", "given" : "Julia", "non-dropping-particle" : "", "parse-names" : false, "suffix" : "" }, { "dropping-particle" : "", "family" : "Bonebrake", "given" : "Timothy C", "non-dropping-particle" : "", "parse-names" : false, "suffix" : "" }, { "dropping-particle" : "", "family" : "Chen", "given" : "I-Ching", "non-dropping-particle" : "", "parse-names" : false, "suffix" : "" }, { "dropping-particle" : "", "family" : "Clark", "given" : "Timothy D", "non-dropping-particle" : "", "parse-names" : false, "suffix" : "" }, { "dropping-particle" : "", "family" : "Colwell", "given" : "Robert K", "non-dropping-particle" : "", "parse-names" : false, "suffix" : "" }, { "dropping-particle" : "", "family" : "Danielsen", "given" : "Finn", "non-dropping-particle" : "", "parse-names" : false, "suffix" : "" }, { "dropping-particle" : "", "family" : "Eveng\u00e5rd", "given" : "Birgitta", "non-dropping-particle" : "", "parse-names" : false, "suffix" : "" }, { "dropping-particle" : "", "family" : "Falconi", "given" : "Lorena", "non-dropping-particle" : "", "parse-names" : false, "suffix" : "" }, { "dropping-particle" : "", "family" : "Ferrier", "given" : "Simon", "non-dropping-particle" : "", "parse-names" : false, "suffix" : "" }, { "dropping-particle" : "", "family" : "Frusher", "given" : "Stewart", "non-dropping-particle" : "", "parse-names" : false, "suffix" : "" }, { "dropping-particle" : "", "family" : "Garcia", "given" : "Raquel A", "non-dropping-particle" : "", "parse-names" : false, "suffix" : "" }, { "dropping-particle" : "", "family" : "Griffis", "given" : "Roger B", "non-dropping-particle" : "", "parse-names" : false, "suffix" : "" }, { "dropping-particle" : "", "family" : "Hobday", "given" : "Alistair J", "non-dropping-particle" : "", "parse-names" : false, "suffix" : "" }, { "dropping-particle" : "", "family" : "Janion-Scheepers", "given" : "Charlene", "non-dropping-particle" : "", "parse-names" : false, "suffix" : "" }, { "dropping-particle" : "", "family" : "Jarzyna", "given" : "Marta A", "non-dropping-particle" : "", "parse-names" : false, "suffix" : "" }, { "dropping-particle" : "", "family" : "Jennings", "given" : "Sarah", "non-dropping-particle" : "", "parse-names" : false, "suffix" : "" }, { "dropping-particle" : "", "family" : "Lenoir", "given" : "Jonathan", "non-dropping-particle" : "", "parse-names" : false, "suffix" : "" }, { "dropping-particle" : "", "family" : "Linnetved", "given" : "Hlif I", "non-dropping-particle" : "", "parse-names" : false, "suffix" : "" }, { "dropping-particle" : "", "family" : "Martin", "given" : "Victoria Y", "non-dropping-particle" : "", "parse-names" : false, "suffix" : "" }, { "dropping-particle" : "", "family" : "McCormack", "given" : "Phillipa C", "non-dropping-particle" : "", "parse-names" : false, "suffix" : "" }, { "dropping-particle" : "", "family" : "McDonald", "given" : "Jan", "non-dropping-particle" : "", "parse-names" : false, "suffix" : "" }, { "dropping-particle" : "", "family" : "Mitchell", "given" : "Nicola J", "non-dropping-particle" : "", "parse-names" : false, "suffix" : "" }, { "dropping-particle" : "", "family" : "Mustonen", "given" : "Tero", "non-dropping-particle" : "", "parse-names" : false, "suffix" : "" }, { "dropping-particle" : "", "family" : "Pandolfi", "given" : "John M", "non-dropping-particle" : "", "parse-names" : false, "suffix" : "" }, { "dropping-particle" : "", "family" : "Pettorelli", "given" : "Nathalie", "non-dropping-particle" : "", "parse-names" : false, "suffix" : "" }, { "dropping-particle" : "", "family" : "Popova", "given" : "Ekaterina", "non-dropping-particle" : "", "parse-names" : false, "suffix" : "" }, { "dropping-particle" : "", "family" : "Robinson", "given" : "Sharon A", "non-dropping-particle" : "", "parse-names" : false, "suffix" : "" }, { "dropping-particle" : "", "family" : "Scheffers", "given" : "Brett R", "non-dropping-particle" : "", "parse-names" : false, "suffix" : "" }, { "dropping-particle" : "", "family" : "Shaw", "given" : "Justine D", "non-dropping-particle" : "", "parse-names" : false, "suffix" : "" }, { "dropping-particle" : "", "family" : "Sorte", "given" : "Cascade J B", "non-dropping-particle" : "", "parse-names" : false, "suffix" : "" }, { "dropping-particle" : "", "family" : "Strugnell", "given" : "Jan M", "non-dropping-particle" : "", "parse-names" : false, "suffix" : "" }, { "dropping-particle" : "", "family" : "Sunday", "given" : "Jennifer M", "non-dropping-particle" : "", "parse-names" : false, "suffix" : "" }, { "dropping-particle" : "", "family" : "Tuanmu", "given" : "Mao-Ning", "non-dropping-particle" : "", "parse-names" : false, "suffix" : "" }, { "dropping-particle" : "", "family" : "Verg\u00e9s", "given" : "Adriana", "non-dropping-particle" : "", "parse-names" : false, "suffix" : "" }, { "dropping-particle" : "", "family" : "Villanueva", "given" : "Cecilia", "non-dropping-particle" : "", "parse-names" : false, "suffix" : "" }, { "dropping-particle" : "", "family" : "Wernberg", "given" : "Thomas", "non-dropping-particle" : "", "parse-names" : false, "suffix" : "" }, { "dropping-particle" : "", "family" : "Wapstra", "given" : "Erik", "non-dropping-particle" : "", "parse-names" : false, "suffix" : "" }, { "dropping-particle" : "", "family" : "Williams", "given" : "Stephen E", "non-dropping-particle" : "", "parse-names" : false, "suffix" : "" } ], "container-title" : "Science (New York, N.Y.)", "id" : "ITEM-1", "issue" : "6332", "issued" : { "date-parts" : [ [ "2017", "3", "31" ] ] }, "page" : "eaai9214", "publisher" : "American Association for the Advancement of Science", "title" : "Biodiversity redistribution under climate change: Impacts on ecosystems and human well-being.", "type" : "article-journal", "volume" : "355" }, "uris" : [ "http://www.mendeley.com/documents/?uuid=11a1262b-55cf-3e0a-ac3f-a5121bf161b8" ] } ], "mendeley" : { "formattedCitation" : "(Pecl et al., 2017)", "plainTextFormattedCitation" : "(Pecl et al., 2017)", "previouslyFormattedCitation" : "(Pecl et al., 2017)" }, "properties" : {  }, "schema" : "https://github.com/citation-style-language/schema/raw/master/csl-citation.json" }</w:instrText>
      </w:r>
      <w:r>
        <w:rPr>
          <w:rFonts w:cs="Times New Roman"/>
        </w:rPr>
        <w:fldChar w:fldCharType="separate"/>
      </w:r>
      <w:r w:rsidRPr="00F2148B">
        <w:rPr>
          <w:rFonts w:cs="Times New Roman"/>
          <w:noProof/>
        </w:rPr>
        <w:t>(Pecl et al., 2017)</w:t>
      </w:r>
      <w:r>
        <w:rPr>
          <w:rFonts w:cs="Times New Roman"/>
        </w:rPr>
        <w:fldChar w:fldCharType="end"/>
      </w:r>
      <w:r w:rsidRPr="00893F4C">
        <w:rPr>
          <w:rFonts w:cs="Times New Roman"/>
        </w:rPr>
        <w:t>.</w:t>
      </w:r>
    </w:p>
    <w:p w14:paraId="5C67B29E" w14:textId="77777777" w:rsidR="00F1283E" w:rsidRPr="00893F4C" w:rsidRDefault="00F1283E" w:rsidP="00F1283E">
      <w:pPr>
        <w:pStyle w:val="ListParagraph"/>
        <w:rPr>
          <w:rFonts w:cs="Times New Roman"/>
        </w:rPr>
      </w:pPr>
    </w:p>
    <w:p w14:paraId="113C4120" w14:textId="77777777" w:rsidR="00F1283E" w:rsidRPr="00893F4C" w:rsidRDefault="00F1283E" w:rsidP="00F1283E">
      <w:pPr>
        <w:pStyle w:val="ListParagraph"/>
        <w:jc w:val="center"/>
        <w:rPr>
          <w:rFonts w:cs="Times New Roman"/>
        </w:rPr>
      </w:pPr>
      <w:r w:rsidRPr="00893F4C">
        <w:rPr>
          <w:rFonts w:cs="Times New Roman"/>
          <w:noProof/>
          <w:lang w:val="en-US"/>
        </w:rPr>
        <w:drawing>
          <wp:inline distT="0" distB="0" distL="0" distR="0" wp14:anchorId="6E548005" wp14:editId="3AC028F1">
            <wp:extent cx="4488718" cy="1676400"/>
            <wp:effectExtent l="0" t="0" r="7620" b="0"/>
            <wp:docPr id="5" name="Picture 5"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7179" cy="1679560"/>
                    </a:xfrm>
                    <a:prstGeom prst="rect">
                      <a:avLst/>
                    </a:prstGeom>
                    <a:noFill/>
                    <a:ln>
                      <a:noFill/>
                    </a:ln>
                  </pic:spPr>
                </pic:pic>
              </a:graphicData>
            </a:graphic>
          </wp:inline>
        </w:drawing>
      </w:r>
    </w:p>
    <w:p w14:paraId="4F9B276A" w14:textId="77777777" w:rsidR="00F1283E" w:rsidRPr="00893F4C" w:rsidRDefault="00F1283E" w:rsidP="00F1283E">
      <w:pPr>
        <w:pStyle w:val="ListParagraph"/>
        <w:rPr>
          <w:rFonts w:cs="Times New Roman"/>
        </w:rPr>
      </w:pPr>
    </w:p>
    <w:p w14:paraId="0E43EF98" w14:textId="77777777" w:rsidR="00F1283E" w:rsidRPr="006D7A08" w:rsidRDefault="00F1283E" w:rsidP="00F1283E">
      <w:pPr>
        <w:rPr>
          <w:rFonts w:cs="Times New Roman"/>
        </w:rPr>
      </w:pPr>
      <w:r w:rsidRPr="006D7A08">
        <w:rPr>
          <w:rFonts w:cs="Times New Roman"/>
        </w:rPr>
        <w:t xml:space="preserve">Figure 1: Net change in terrestrial local richness due to land use and related pressures by the year 2000. From Newbold </w:t>
      </w:r>
      <w:r w:rsidRPr="006D7A08">
        <w:rPr>
          <w:rFonts w:cs="Times New Roman"/>
          <w:i/>
        </w:rPr>
        <w:t>et al.</w:t>
      </w:r>
      <w:r>
        <w:rPr>
          <w:rFonts w:cs="Times New Roman"/>
        </w:rPr>
        <w:t xml:space="preserve"> (2015)</w:t>
      </w:r>
    </w:p>
    <w:p w14:paraId="5F4B44C7" w14:textId="77777777" w:rsidR="00F1283E" w:rsidRPr="00893F4C" w:rsidRDefault="00F1283E" w:rsidP="00F1283E">
      <w:pPr>
        <w:pStyle w:val="ListParagraph"/>
        <w:rPr>
          <w:rFonts w:cs="Times New Roman"/>
        </w:rPr>
      </w:pPr>
    </w:p>
    <w:p w14:paraId="659A66B9" w14:textId="77777777" w:rsidR="00F1283E" w:rsidRDefault="00F1283E" w:rsidP="00F1283E">
      <w:pPr>
        <w:pStyle w:val="ListParagraph"/>
        <w:numPr>
          <w:ilvl w:val="0"/>
          <w:numId w:val="4"/>
        </w:numPr>
        <w:contextualSpacing w:val="0"/>
        <w:rPr>
          <w:rFonts w:cs="Times New Roman"/>
        </w:rPr>
      </w:pPr>
      <w:r>
        <w:rPr>
          <w:rFonts w:cs="Times New Roman"/>
          <w:i/>
        </w:rPr>
        <w:t xml:space="preserve">Species abundances: </w:t>
      </w:r>
      <w:r w:rsidRPr="00893F4C">
        <w:rPr>
          <w:rFonts w:cs="Times New Roman"/>
        </w:rPr>
        <w:t xml:space="preserve">Global trends in species abundances suggest </w:t>
      </w:r>
      <w:r>
        <w:rPr>
          <w:rFonts w:cs="Times New Roman"/>
        </w:rPr>
        <w:t xml:space="preserve">that on average there have been </w:t>
      </w:r>
      <w:r w:rsidRPr="00893F4C">
        <w:rPr>
          <w:rFonts w:cs="Times New Roman"/>
        </w:rPr>
        <w:t>d</w:t>
      </w:r>
      <w:r>
        <w:rPr>
          <w:rFonts w:cs="Times New Roman"/>
        </w:rPr>
        <w:t>eclines, although the rates vary</w:t>
      </w:r>
      <w:r w:rsidRPr="00893F4C">
        <w:rPr>
          <w:rFonts w:cs="Times New Roman"/>
        </w:rPr>
        <w:t xml:space="preserve"> among studies</w:t>
      </w:r>
      <w:r>
        <w:rPr>
          <w:rFonts w:cs="Times New Roman"/>
        </w:rPr>
        <w:t xml:space="preserve"> and taxa.</w:t>
      </w:r>
      <w:r w:rsidRPr="00893F4C">
        <w:rPr>
          <w:rFonts w:cs="Times New Roman"/>
        </w:rPr>
        <w:t xml:space="preserve"> The Living Planet Index (LPI) is a measure of biodiversity that integrates population data for a variety of vertebrate species and calculates an average </w:t>
      </w:r>
      <w:r>
        <w:rPr>
          <w:rFonts w:cs="Times New Roman"/>
        </w:rPr>
        <w:t xml:space="preserve">(geometric mean) </w:t>
      </w:r>
      <w:r w:rsidRPr="00893F4C">
        <w:rPr>
          <w:rFonts w:cs="Times New Roman"/>
        </w:rPr>
        <w:t>temporal change in abundance</w:t>
      </w:r>
      <w:r w:rsidRPr="008E53BD">
        <w:rPr>
          <w:rStyle w:val="FootnoteReference"/>
        </w:rPr>
        <w:footnoteReference w:id="12"/>
      </w:r>
      <w:r w:rsidRPr="00893F4C">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"WWF", "given" : "", "non-dropping-particle" : "", "parse-names" : false, "suffix" : "" } ], "id" : "ITEM-1", "issued" : { "date-parts" : [ [ "2016" ] ] }, "publisher-place" : "Gland, Switzerland", "title" : "Living Planet Report 2016", "type" : "report" }, "uris" : [ "http://www.mendeley.com/documents/?uuid=195674a6-83b0-4beb-9296-0e587cfc0adf" ] } ], "mendeley" : { "formattedCitation" : "(WWF, 2016)", "plainTextFormattedCitation" : "(WWF, 2016)", "previouslyFormattedCitation" : "(WWF, 2016)" }, "properties" : {  }, "schema" : "https://github.com/citation-style-language/schema/raw/master/csl-citation.json" }</w:instrText>
      </w:r>
      <w:r>
        <w:rPr>
          <w:rFonts w:cs="Times New Roman"/>
        </w:rPr>
        <w:fldChar w:fldCharType="separate"/>
      </w:r>
      <w:r w:rsidRPr="00F2148B">
        <w:rPr>
          <w:rFonts w:cs="Times New Roman"/>
          <w:noProof/>
        </w:rPr>
        <w:t>(WWF, 2016)</w:t>
      </w:r>
      <w:r>
        <w:rPr>
          <w:rFonts w:cs="Times New Roman"/>
        </w:rPr>
        <w:fldChar w:fldCharType="end"/>
      </w:r>
      <w:r>
        <w:rPr>
          <w:rFonts w:cs="Times New Roman"/>
        </w:rPr>
        <w:t>. The LPI suggested</w:t>
      </w:r>
      <w:r w:rsidRPr="00475825">
        <w:rPr>
          <w:rFonts w:cs="Times New Roman"/>
        </w:rPr>
        <w:t xml:space="preserve"> a strong population decline for vertebrate species, with the index showing</w:t>
      </w:r>
      <w:r w:rsidRPr="00893F4C">
        <w:rPr>
          <w:rFonts w:cs="Times New Roman"/>
        </w:rPr>
        <w:t xml:space="preserve"> a decline of 58% between 1970 and 2012 for all vertebrates considered, and 38% for terrestrial vertebrate populations. J</w:t>
      </w:r>
      <w:r>
        <w:rPr>
          <w:rFonts w:cs="Times New Roman"/>
        </w:rPr>
        <w:t>ust over half of species showed</w:t>
      </w:r>
      <w:r w:rsidRPr="00893F4C">
        <w:rPr>
          <w:rFonts w:cs="Times New Roman"/>
        </w:rPr>
        <w:t xml:space="preserve"> an increasing or stable trend in abundance (except for amphibians), </w:t>
      </w:r>
      <w:r>
        <w:rPr>
          <w:rFonts w:cs="Times New Roman"/>
        </w:rPr>
        <w:t xml:space="preserve">but </w:t>
      </w:r>
      <w:r w:rsidRPr="00893F4C">
        <w:rPr>
          <w:rFonts w:cs="Times New Roman"/>
        </w:rPr>
        <w:t xml:space="preserve">the magnitude of declines for those that </w:t>
      </w:r>
      <w:r>
        <w:rPr>
          <w:rFonts w:cs="Times New Roman"/>
        </w:rPr>
        <w:t>were decreasing exceeded</w:t>
      </w:r>
      <w:r w:rsidRPr="00893F4C">
        <w:rPr>
          <w:rFonts w:cs="Times New Roman"/>
        </w:rPr>
        <w:t xml:space="preserve"> the </w:t>
      </w:r>
      <w:r>
        <w:rPr>
          <w:rFonts w:cs="Times New Roman"/>
        </w:rPr>
        <w:t>magnitude</w:t>
      </w:r>
      <w:r w:rsidRPr="00893F4C">
        <w:rPr>
          <w:rFonts w:cs="Times New Roman"/>
        </w:rPr>
        <w:t xml:space="preserve"> for those increasing, resulting in </w:t>
      </w:r>
      <w:r>
        <w:rPr>
          <w:rFonts w:cs="Times New Roman"/>
        </w:rPr>
        <w:t>a net</w:t>
      </w:r>
      <w:r w:rsidRPr="00893F4C">
        <w:rPr>
          <w:rFonts w:cs="Times New Roman"/>
        </w:rPr>
        <w:t xml:space="preserve"> decline in the LPI. Newbold et al. (2015) suggest a mean abundance decline in local samples of 10.7% relative to the absence of human effects</w:t>
      </w:r>
      <w:r>
        <w:rPr>
          <w:rFonts w:cs="Times New Roman"/>
        </w:rPr>
        <w:t xml:space="preserve"> (during the period 1500-2005)</w:t>
      </w:r>
      <w:r w:rsidRPr="00893F4C">
        <w:rPr>
          <w:rFonts w:cs="Times New Roman"/>
        </w:rPr>
        <w:t xml:space="preserve">. </w:t>
      </w:r>
      <w:r w:rsidRPr="00955F0C">
        <w:rPr>
          <w:rFonts w:cs="Times New Roman"/>
        </w:rPr>
        <w:fldChar w:fldCharType="begin" w:fldLock="1"/>
      </w:r>
      <w:r>
        <w:rPr>
          <w:rFonts w:cs="Times New Roman"/>
        </w:rPr>
        <w:instrText>ADDIN CSL_CITATION { "citationItems" : [ { "id" : "ITEM-1", "itemData" : { "DOI" : "10.1126/science.aaf2201", "ISSN" : "1095-9203", "PMID" : "27418509", "abstract" : "Land use and related pressures have reduced local terrestrial biodiversity, but it is unclear how the magnitude of change relates to the recently proposed planetary boundary (\"safe limit\"). We estimate that land use and related pressures have already reduced local biodiversity intactness--the average proportion of natural biodiversity remaining in local ecosystems--beyond its recently proposed planetary boundary across 58.1% of the world's land surface, where 71.4% of the human population live. Biodiversity intactness within most biomes (especially grassland biomes), most biodiversity hotspots, and even some wilderness areas is inferred to be beyond the boundary. Such widespread transgression of safe limits suggests that biodiversity loss, if unchecked, will undermine efforts toward long-term sustainable development.", "author" : [ { "dropping-particle" : "", "family" : "Newbold", "given" : "Tim", "non-dropping-particle" : "", "parse-names" : false, "suffix" : "" }, { "dropping-particle" : "", "family" : "Hudson", "given" : "Lawrence N", "non-dropping-particle" : "", "parse-names" : false, "suffix" : "" }, { "dropping-particle" : "", "family" : "Arnell", "given" : "Andrew P", "non-dropping-particle" : "", "parse-names" : false, "suffix" : "" }, { "dropping-particle" : "", "family" : "Contu", "given" : "Sara", "non-dropping-particle" : "", "parse-names" : false, "suffix" : "" }, { "dropping-particle" : "", "family" : "Palma", "given" : "Adriana", "non-dropping-particle" : "De", "parse-names" : false, "suffix" : "" }, { "dropping-particle" : "", "family" : "Ferrier", "given" : "Simon", "non-dropping-particle" : "", "parse-names" : false, "suffix" : "" }, { "dropping-particle" : "", "family" : "Hill", "given" : "Samantha L L", "non-dropping-particle" : "", "parse-names" : false, "suffix" : "" }, { "dropping-particle" : "", "family" : "Hoskins", "given" : "Andrew J", "non-dropping-particle" : "", "parse-names" : false, "suffix" : "" }, { "dropping-particle" : "", "family" : "Lysenko", "given" : "Igor", "non-dropping-particle" : "", "parse-names" : false, "suffix" : "" }, { "dropping-particle" : "", "family" : "Phillips", "given" : "Helen R P", "non-dropping-particle" : "", "parse-names" : false, "suffix" : "" }, { "dropping-particle" : "", "family" : "Burton", "given" : "Victoria J", "non-dropping-particle" : "", "parse-names" : false, "suffix" : "" }, { "dropping-particle" : "", "family" : "Chng", "given" : "Charlotte W T", "non-dropping-particle" : "", "parse-names" : false, "suffix" : "" }, { "dropping-particle" : "", "family" : "Emerson", "given" : "Susan", "non-dropping-particle" : "", "parse-names" : false, "suffix" : "" }, { "dropping-particle" : "", "family" : "Gao", "given" : "Di", "non-dropping-particle" : "", "parse-names" : false, "suffix" : "" }, { "dropping-particle" : "", "family" : "Pask-Hale", "given" : "Gwilym", "non-dropping-particle" : "", "parse-names" : false, "suffix" : "" }, { "dropping-particle" : "", "family" : "Hutton", "given" : "Jon", "non-dropping-particle" : "", "parse-names" : false, "suffix" : "" }, { "dropping-particle" : "", "family" : "Jung", "given" : "Martin", "non-dropping-particle" : "", "parse-names" : false, "suffix" : "" }, { "dropping-particle" : "", "family" : "Sanchez-Ortiz", "given" : "Katia", "non-dropping-particle" : "", "parse-names" : false, "suffix" : "" }, { "dropping-particle" : "", "family" : "Simmons", "given" : "Benno I", "non-dropping-particle" : "", "parse-names" : false, "suffix" : "" }, { "dropping-particle" : "", "family" : "Whitmee", "given" : "Sarah", "non-dropping-particle" : "", "parse-names" : false, "suffix" : "" }, { "dropping-particle" : "", "family" : "Zhang", "given" : "Hanbin", "non-dropping-particle" : "", "parse-names" : false, "suffix" : "" }, { "dropping-particle" : "", "family" : "Scharlemann", "given" : "J\u00f6rn P W", "non-dropping-particle" : "", "parse-names" : false, "suffix" : "" }, { "dropping-particle" : "", "family" : "Purvis", "given" : "Andy", "non-dropping-particle" : "", "parse-names" : false, "suffix" : "" } ], "container-title" : "Science (New York, N.Y.)", "id" : "ITEM-1", "issue" : "6296", "issued" : { "date-parts" : [ [ "2016", "7", "15" ] ] }, "page" : "288-91", "publisher" : "American Association for the Advancement of Science", "title" : "Has land use pushed terrestrial biodiversity beyond the planetary boundary? A global assessment.", "type" : "article-journal", "volume" : "353" }, "uris" : [ "http://www.mendeley.com/documents/?uuid=dda26ff7-6dba-3f4f-b105-765ba3f9fa6b" ] } ], "mendeley" : { "formattedCitation" : "(Newbold et al., 2016)", "manualFormatting" : "Newbold et al. (2016)", "plainTextFormattedCitation" : "(Newbold et al., 2016)", "previouslyFormattedCitation" : "(Newbold et al., 2016)" }, "properties" : {  }, "schema" : "https://github.com/citation-style-language/schema/raw/master/csl-citation.json" }</w:instrText>
      </w:r>
      <w:r w:rsidRPr="00955F0C">
        <w:rPr>
          <w:rFonts w:cs="Times New Roman"/>
        </w:rPr>
        <w:fldChar w:fldCharType="separate"/>
      </w:r>
      <w:r>
        <w:rPr>
          <w:rFonts w:cs="Times New Roman"/>
          <w:noProof/>
        </w:rPr>
        <w:t>Newbold et al. (</w:t>
      </w:r>
      <w:r w:rsidRPr="00955F0C">
        <w:rPr>
          <w:rFonts w:cs="Times New Roman"/>
          <w:noProof/>
        </w:rPr>
        <w:t>2016)</w:t>
      </w:r>
      <w:r w:rsidRPr="00955F0C">
        <w:rPr>
          <w:rFonts w:cs="Times New Roman"/>
        </w:rPr>
        <w:fldChar w:fldCharType="end"/>
      </w:r>
      <w:r>
        <w:rPr>
          <w:rFonts w:cs="Times New Roman"/>
        </w:rPr>
        <w:t xml:space="preserve"> examined</w:t>
      </w:r>
      <w:r w:rsidRPr="00893F4C">
        <w:rPr>
          <w:rFonts w:cs="Times New Roman"/>
        </w:rPr>
        <w:t xml:space="preserve"> global reductions in local biodiversity, </w:t>
      </w:r>
      <w:r>
        <w:rPr>
          <w:rFonts w:cs="Times New Roman"/>
        </w:rPr>
        <w:t xml:space="preserve">using mean abundances for a range of species relative to undisturbed habitat, </w:t>
      </w:r>
      <w:r w:rsidRPr="00893F4C">
        <w:rPr>
          <w:rFonts w:cs="Times New Roman"/>
        </w:rPr>
        <w:t>and suggest</w:t>
      </w:r>
      <w:r>
        <w:rPr>
          <w:rFonts w:cs="Times New Roman"/>
        </w:rPr>
        <w:t>ed</w:t>
      </w:r>
      <w:r w:rsidRPr="00893F4C">
        <w:rPr>
          <w:rFonts w:cs="Times New Roman"/>
        </w:rPr>
        <w:t xml:space="preserve"> that</w:t>
      </w:r>
      <w:r>
        <w:rPr>
          <w:rFonts w:cs="Times New Roman"/>
        </w:rPr>
        <w:t xml:space="preserve"> for around 58% of the world’s land surface, the mean abundance has been reduced below 90% (a ‘precautionary’ level proposed by Steffen et al. 2015</w:t>
      </w:r>
      <w:r>
        <w:rPr>
          <w:rStyle w:val="FootnoteReference"/>
          <w:rFonts w:cs="Times New Roman"/>
        </w:rPr>
        <w:footnoteReference w:id="13"/>
      </w:r>
      <w:r>
        <w:rPr>
          <w:rFonts w:cs="Times New Roman"/>
        </w:rPr>
        <w:t>) due to land use pressures</w:t>
      </w:r>
      <w:r>
        <w:rPr>
          <w:rStyle w:val="FootnoteReference"/>
          <w:rFonts w:cs="Times New Roman"/>
        </w:rPr>
        <w:footnoteReference w:id="14"/>
      </w:r>
      <w:r>
        <w:rPr>
          <w:rFonts w:cs="Times New Roman"/>
        </w:rPr>
        <w:t xml:space="preserve">. </w:t>
      </w:r>
    </w:p>
    <w:p w14:paraId="6F63BEA4" w14:textId="6042A046" w:rsidR="00F1283E" w:rsidRDefault="00F1283E">
      <w:pPr>
        <w:pStyle w:val="ListParagraph"/>
        <w:numPr>
          <w:ilvl w:val="0"/>
          <w:numId w:val="4"/>
        </w:numPr>
        <w:contextualSpacing w:val="0"/>
        <w:rPr>
          <w:rFonts w:cs="Times New Roman"/>
        </w:rPr>
      </w:pPr>
      <w:r w:rsidRPr="0090187F">
        <w:rPr>
          <w:rFonts w:cs="Times New Roman"/>
        </w:rPr>
        <w:lastRenderedPageBreak/>
        <w:t xml:space="preserve">Although not a global study, </w:t>
      </w:r>
      <w:r w:rsidRPr="0090187F">
        <w:rPr>
          <w:rFonts w:cs="Times New Roman"/>
        </w:rPr>
        <w:fldChar w:fldCharType="begin" w:fldLock="1"/>
      </w:r>
      <w:r>
        <w:rPr>
          <w:rFonts w:cs="Times New Roman"/>
        </w:rPr>
        <w:instrText>ADDIN CSL_CITATION { "citationItems" : [ { "id" : "ITEM-1", "itemData" : { "DOI" : "10.1371/journal.pone.0185809", "ISSN" : "1932-6203", "author" : [ { "dropping-particle" : "", "family" : "Hallmann", "given" : "Caspar A.", "non-dropping-particle" : "", "parse-names" : false, "suffix" : "" }, { "dropping-particle" : "", "family" : "Sorg", "given" : "Martin", "non-dropping-particle" : "", "parse-names" : false, "suffix" : "" }, { "dropping-particle" : "", "family" : "Jongejans", "given" : "Eelke", "non-dropping-particle" : "", "parse-names" : false, "suffix" : "" }, { "dropping-particle" : "", "family" : "Siepel", "given" : "Henk", "non-dropping-particle" : "", "parse-names" : false, "suffix" : "" }, { "dropping-particle" : "", "family" : "Hofland", "given" : "Nick", "non-dropping-particle" : "", "parse-names" : false, "suffix" : "" }, { "dropping-particle" : "", "family" : "Schwan", "given" : "Heinz", "non-dropping-particle" : "", "parse-names" : false, "suffix" : "" }, { "dropping-particle" : "", "family" : "Stenmans", "given" : "Werner", "non-dropping-particle" : "", "parse-names" : false, "suffix" : "" }, { "dropping-particle" : "", "family" : "M\u00fcller", "given" : "Andreas", "non-dropping-particle" : "", "parse-names" : false, "suffix" : "" }, { "dropping-particle" : "", "family" : "Sumser", "given" : "Hubert", "non-dropping-particle" : "", "parse-names" : false, "suffix" : "" }, { "dropping-particle" : "", "family" : "H\u00f6rren", "given" : "Thomas", "non-dropping-particle" : "", "parse-names" : false, "suffix" : "" }, { "dropping-particle" : "", "family" : "Goulson", "given" : "Dave", "non-dropping-particle" : "", "parse-names" : false, "suffix" : "" }, { "dropping-particle" : "", "family" : "Kroon", "given" : "Hans", "non-dropping-particle" : "de", "parse-names" : false, "suffix" : "" } ], "container-title" : "PLOS ONE", "editor" : [ { "dropping-particle" : "", "family" : "Lamb", "given" : "Eric Gordon", "non-dropping-particle" : "", "parse-names" : false, "suffix" : "" } ], "id" : "ITEM-1", "issue" : "10", "issued" : { "date-parts" : [ [ "2017", "10", "18" ] ] }, "page" : "e0185809", "publisher" : "Public Library of Science", "title" : "More than 75 percent decline over 27 years in total flying insect biomass in protected areas", "type" : "article-journal", "volume" : "12" }, "uris" : [ "http://www.mendeley.com/documents/?uuid=30620f40-85c9-3ef6-8a89-90d76d59082c" ] } ], "mendeley" : { "formattedCitation" : "(Hallmann et al., 2017)", "manualFormatting" : "(Hallmann et al. 2017)", "plainTextFormattedCitation" : "(Hallmann et al., 2017)", "previouslyFormattedCitation" : "(Hallmann et al., 2017)" }, "properties" : {  }, "schema" : "https://github.com/citation-style-language/schema/raw/master/csl-citation.json" }</w:instrText>
      </w:r>
      <w:r w:rsidRPr="0090187F">
        <w:rPr>
          <w:rFonts w:cs="Times New Roman"/>
        </w:rPr>
        <w:fldChar w:fldCharType="separate"/>
      </w:r>
      <w:r>
        <w:rPr>
          <w:rFonts w:cs="Times New Roman"/>
          <w:noProof/>
        </w:rPr>
        <w:t>(Hallmann et al.</w:t>
      </w:r>
      <w:r w:rsidRPr="0090187F">
        <w:rPr>
          <w:rFonts w:cs="Times New Roman"/>
          <w:noProof/>
        </w:rPr>
        <w:t xml:space="preserve"> 2017)</w:t>
      </w:r>
      <w:r w:rsidRPr="0090187F">
        <w:rPr>
          <w:rFonts w:cs="Times New Roman"/>
        </w:rPr>
        <w:fldChar w:fldCharType="end"/>
      </w:r>
      <w:r w:rsidRPr="0090187F">
        <w:rPr>
          <w:rFonts w:cs="Times New Roman"/>
        </w:rPr>
        <w:t xml:space="preserve"> recently analysed biomass trends in insects</w:t>
      </w:r>
      <w:r>
        <w:t>—</w:t>
      </w:r>
      <w:r w:rsidRPr="0090187F">
        <w:rPr>
          <w:rFonts w:cs="Times New Roman"/>
        </w:rPr>
        <w:t>a taxon generally under-represented in s</w:t>
      </w:r>
      <w:r>
        <w:rPr>
          <w:rFonts w:cs="Times New Roman"/>
        </w:rPr>
        <w:t>tudies</w:t>
      </w:r>
      <w:r>
        <w:t>—</w:t>
      </w:r>
      <w:r w:rsidRPr="0090187F">
        <w:rPr>
          <w:rFonts w:cs="Times New Roman"/>
        </w:rPr>
        <w:t>within protected areas in Germany. They found a</w:t>
      </w:r>
      <w:r>
        <w:rPr>
          <w:rFonts w:cs="Times New Roman"/>
        </w:rPr>
        <w:t xml:space="preserve"> decline of more tha</w:t>
      </w:r>
      <w:r w:rsidRPr="0090187F">
        <w:rPr>
          <w:rFonts w:cs="Times New Roman"/>
        </w:rPr>
        <w:t xml:space="preserve">n 75% in flying insect biomass, with potentially serious consequences for ecosystem functioning, as insects are important as pollinators, detritivores, in nutrient cycling, and </w:t>
      </w:r>
      <w:r>
        <w:rPr>
          <w:rFonts w:cs="Times New Roman"/>
        </w:rPr>
        <w:t xml:space="preserve">for </w:t>
      </w:r>
      <w:r w:rsidRPr="0090187F">
        <w:rPr>
          <w:rFonts w:cs="Times New Roman"/>
        </w:rPr>
        <w:t>other ecological processes. Overall, the recent literature suggests that for many, but not all, species there has been a decline in abundance.</w:t>
      </w:r>
      <w:r>
        <w:rPr>
          <w:rFonts w:cs="Times New Roman"/>
        </w:rPr>
        <w:t xml:space="preserve"> </w:t>
      </w:r>
    </w:p>
    <w:p w14:paraId="609587F2" w14:textId="77777777" w:rsidR="00F1283E" w:rsidRPr="0090187F" w:rsidRDefault="00F1283E" w:rsidP="00F1283E">
      <w:pPr>
        <w:pStyle w:val="ListParagraph"/>
        <w:numPr>
          <w:ilvl w:val="0"/>
          <w:numId w:val="4"/>
        </w:numPr>
        <w:contextualSpacing w:val="0"/>
        <w:rPr>
          <w:rFonts w:cs="Times New Roman"/>
        </w:rPr>
      </w:pPr>
      <w:r>
        <w:rPr>
          <w:rFonts w:cs="Times New Roman"/>
        </w:rPr>
        <w:t xml:space="preserve">A systematic review of the links between biodiversity and ecosystem services found a relationship between species abundance and ecosystem services, with abundance particularly important for pest regulation, pollination and recreation (Harrison et al. 2014), suggesting that any declines will impact the provision of such goods and services to people. </w:t>
      </w:r>
    </w:p>
    <w:p w14:paraId="638D3E2E" w14:textId="77777777" w:rsidR="00F1283E" w:rsidRPr="00893F4C" w:rsidRDefault="00F1283E" w:rsidP="00F1283E">
      <w:pPr>
        <w:pStyle w:val="ListParagraph"/>
        <w:numPr>
          <w:ilvl w:val="0"/>
          <w:numId w:val="4"/>
        </w:numPr>
        <w:contextualSpacing w:val="0"/>
        <w:rPr>
          <w:rFonts w:cs="Times New Roman"/>
        </w:rPr>
      </w:pPr>
      <w:r>
        <w:rPr>
          <w:rFonts w:cs="Times New Roman"/>
          <w:i/>
        </w:rPr>
        <w:t xml:space="preserve">Extinction rates: </w:t>
      </w:r>
      <w:r w:rsidRPr="00893F4C">
        <w:rPr>
          <w:rFonts w:cs="Times New Roman"/>
        </w:rPr>
        <w:t>Extinction rates remain hard to quantify. The most recent Red List Index</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"IUCN", "given" : "", "non-dropping-particle" : "", "parse-names" : false, "suffix" : "" } ], "id" : "ITEM-1", "issued" : { "date-parts" : [ [ "2017" ] ] }, "title" : "The IUCN Red List of Threatened Species. Version 2017-2.", "type" : "report" }, "uris" : [ "http://www.mendeley.com/documents/?uuid=d7a790be-724f-4276-bcaa-b52e759fd4b1" ] } ], "mendeley" : { "formattedCitation" : "(IUCN, 2017)", "plainTextFormattedCitation" : "(IUCN, 2017)", "previouslyFormattedCitation" : "(IUCN, 2017)" }, "properties" : {  }, "schema" : "https://github.com/citation-style-language/schema/raw/master/csl-citation.json" }</w:instrText>
      </w:r>
      <w:r>
        <w:rPr>
          <w:rFonts w:cs="Times New Roman"/>
        </w:rPr>
        <w:fldChar w:fldCharType="separate"/>
      </w:r>
      <w:r w:rsidRPr="00F2148B">
        <w:rPr>
          <w:rFonts w:cs="Times New Roman"/>
          <w:noProof/>
        </w:rPr>
        <w:t>(IUCN, 2017)</w:t>
      </w:r>
      <w:r>
        <w:rPr>
          <w:rFonts w:cs="Times New Roman"/>
        </w:rPr>
        <w:fldChar w:fldCharType="end"/>
      </w:r>
      <w:r>
        <w:rPr>
          <w:rFonts w:cs="Times New Roman"/>
        </w:rPr>
        <w:t xml:space="preserve"> estimated</w:t>
      </w:r>
      <w:r w:rsidRPr="00893F4C">
        <w:rPr>
          <w:rFonts w:cs="Times New Roman"/>
        </w:rPr>
        <w:t xml:space="preserve"> that 25% of evaluated species </w:t>
      </w:r>
      <w:r>
        <w:rPr>
          <w:rFonts w:cs="Times New Roman"/>
        </w:rPr>
        <w:t>were</w:t>
      </w:r>
      <w:r w:rsidRPr="00893F4C">
        <w:rPr>
          <w:rFonts w:cs="Times New Roman"/>
        </w:rPr>
        <w:t xml:space="preserve"> threatened with extinction in 2017, while</w:t>
      </w:r>
      <w:r>
        <w:rPr>
          <w:rFonts w:cs="Times New Roman"/>
        </w:rPr>
        <w:t xml:space="preserve"> </w:t>
      </w:r>
      <w:r>
        <w:rPr>
          <w:rFonts w:cs="Times New Roman"/>
        </w:rPr>
        <w:fldChar w:fldCharType="begin" w:fldLock="1"/>
      </w:r>
      <w:r>
        <w:rPr>
          <w:rFonts w:cs="Times New Roman"/>
        </w:rPr>
        <w:instrText>ADDIN CSL_CITATION { "citationItems" : [ { "id" : "ITEM-1", "itemData" : { "DOI" : "10.1111/cobi.12380", "ISSN" : "08888892", "author" : [ { "dropping-particle" : "", "family" : "Vos", "given" : "Jurriaan M.", "non-dropping-particle" : "De", "parse-names" : false, "suffix" : "" }, { "dropping-particle" : "", "family" : "Joppa", "given" : "Lucas N.", "non-dropping-particle" : "", "parse-names" : false, "suffix" : "" }, { "dropping-particle" : "", "family" : "Gittleman", "given" : "John L.", "non-dropping-particle" : "", "parse-names" : false, "suffix" : "" }, { "dropping-particle" : "", "family" : "Stephens", "given" : "Patrick R.", "non-dropping-particle" : "", "parse-names" : false, "suffix" : "" }, { "dropping-particle" : "", "family" : "Pimm", "given" : "Stuart L.", "non-dropping-particle" : "", "parse-names" : false, "suffix" : "" } ], "container-title" : "Conservation Biology", "id" : "ITEM-1", "issue" : "2", "issued" : { "date-parts" : [ [ "2015", "4", "1" ] ] }, "page" : "452-462", "title" : "Estimating the normal background rate of species extinction", "type" : "article-journal", "volume" : "29" }, "uris" : [ "http://www.mendeley.com/documents/?uuid=893e06ba-1162-3e6e-b598-d6deee7e6f1a" ] } ], "mendeley" : { "formattedCitation" : "(De Vos et al., 2015)", "manualFormatting" : "De Vos et al. (2015)", "plainTextFormattedCitation" : "(De Vos et al., 2015)", "previouslyFormattedCitation" : "(De Vos et al., 2015)" }, "properties" : {  }, "schema" : "https://github.com/citation-style-language/schema/raw/master/csl-citation.json" }</w:instrText>
      </w:r>
      <w:r>
        <w:rPr>
          <w:rFonts w:cs="Times New Roman"/>
        </w:rPr>
        <w:fldChar w:fldCharType="separate"/>
      </w:r>
      <w:r>
        <w:rPr>
          <w:rFonts w:cs="Times New Roman"/>
          <w:noProof/>
        </w:rPr>
        <w:t>De Vos et al. (</w:t>
      </w:r>
      <w:r w:rsidRPr="00475825">
        <w:rPr>
          <w:rFonts w:cs="Times New Roman"/>
          <w:noProof/>
        </w:rPr>
        <w:t>2015)</w:t>
      </w:r>
      <w:r>
        <w:rPr>
          <w:rFonts w:cs="Times New Roman"/>
        </w:rPr>
        <w:fldChar w:fldCharType="end"/>
      </w:r>
      <w:r w:rsidRPr="00893F4C">
        <w:rPr>
          <w:rFonts w:cs="Times New Roman"/>
        </w:rPr>
        <w:t xml:space="preserve"> estimate</w:t>
      </w:r>
      <w:r>
        <w:rPr>
          <w:rFonts w:cs="Times New Roman"/>
        </w:rPr>
        <w:t>d</w:t>
      </w:r>
      <w:r w:rsidRPr="00893F4C">
        <w:rPr>
          <w:rFonts w:cs="Times New Roman"/>
        </w:rPr>
        <w:t xml:space="preserve"> extinction rates </w:t>
      </w:r>
      <w:r>
        <w:rPr>
          <w:rFonts w:cs="Times New Roman"/>
        </w:rPr>
        <w:t xml:space="preserve">to be </w:t>
      </w:r>
      <w:r w:rsidRPr="00893F4C">
        <w:rPr>
          <w:rFonts w:cs="Times New Roman"/>
        </w:rPr>
        <w:t>around 1,000 times higher than natural background rates.</w:t>
      </w:r>
      <w:r>
        <w:rPr>
          <w:rFonts w:cs="Times New Roman"/>
        </w:rPr>
        <w:t xml:space="preserve"> A study of endemic species of birds, mammals and amphibians found that 927 (28% of the total number of endemics for the three taxa) are projected to become extinct due to current patterns of global land use (Chaudhary &amp; Brooks </w:t>
      </w:r>
      <w:r>
        <w:rPr>
          <w:rFonts w:cs="Times New Roman"/>
          <w:i/>
        </w:rPr>
        <w:t>in press</w:t>
      </w:r>
      <w:r>
        <w:rPr>
          <w:rFonts w:cs="Times New Roman"/>
        </w:rPr>
        <w:t>).</w:t>
      </w:r>
    </w:p>
    <w:p w14:paraId="3C9760CC" w14:textId="77777777" w:rsidR="00F1283E" w:rsidRPr="00893F4C" w:rsidRDefault="00F1283E" w:rsidP="00F1283E">
      <w:pPr>
        <w:pStyle w:val="ListParagraph"/>
        <w:numPr>
          <w:ilvl w:val="0"/>
          <w:numId w:val="4"/>
        </w:numPr>
        <w:contextualSpacing w:val="0"/>
        <w:rPr>
          <w:rFonts w:cs="Times New Roman"/>
        </w:rPr>
      </w:pPr>
      <w:r w:rsidRPr="006E1C17">
        <w:rPr>
          <w:rFonts w:cs="Times New Roman"/>
          <w:i/>
        </w:rPr>
        <w:t>Genetic diversity:</w:t>
      </w:r>
      <w:r w:rsidRPr="00893F4C">
        <w:rPr>
          <w:rFonts w:cs="Times New Roman"/>
        </w:rPr>
        <w:t xml:space="preserve"> Genetic diversity patterns at a global scale are only recently beginning to be mapped</w:t>
      </w:r>
      <w:r>
        <w:rPr>
          <w:rFonts w:cs="Times New Roman"/>
        </w:rPr>
        <w:t xml:space="preserve"> </w:t>
      </w:r>
      <w:r>
        <w:rPr>
          <w:rFonts w:cs="Times New Roman"/>
        </w:rPr>
        <w:fldChar w:fldCharType="begin" w:fldLock="1"/>
      </w:r>
      <w:r>
        <w:rPr>
          <w:rFonts w:cs="Times New Roman"/>
        </w:rPr>
        <w:instrText>ADDIN CSL_CITATION { "citationItems" : [ { "id" : "ITEM-1", "itemData" : { "DOI" : "10.1126/science.aaf4381", "ISSN" : "1095-9203", "PMID" : "27708102", "abstract" : "The Anthropocene is witnessing a loss of biodiversity, with well-documented declines in the diversity of ecosystems and species. For intraspecific genetic diversity, however, we lack even basic knowledge on its global distribution. We georeferenced 92,801 mitochondrial sequences for &gt;4500 species of terrestrial mammals and amphibians, and found that genetic diversity is 27% higher in the tropics than in nontropical regions. Overall, habitats that are more affected by humans hold less genetic diversity than wilder regions, although results for mammals are sensitive to choice of genetic locus. Our study associates geographic coordinates with publicly available genetic sequences at a massive scale, yielding an opportunity to investigate both the drivers of this component of biodiversity and the genetic consequences of the anthropogenic modification of nature.", "author" : [ { "dropping-particle" : "", "family" : "Miraldo", "given" : "Andreia", "non-dropping-particle" : "", "parse-names" : false, "suffix" : "" }, { "dropping-particle" : "", "family" : "Li", "given" : "Sen", "non-dropping-particle" : "", "parse-names" : false, "suffix" : "" }, { "dropping-particle" : "", "family" : "Borregaard", "given" : "Michael K", "non-dropping-particle" : "", "parse-names" : false, "suffix" : "" }, { "dropping-particle" : "", "family" : "Fl\u00f3rez-Rodr\u00edguez", "given" : "Alexander", "non-dropping-particle" : "", "parse-names" : false, "suffix" : "" }, { "dropping-particle" : "", "family" : "Gopalakrishnan", "given" : "Shyam", "non-dropping-particle" : "", "parse-names" : false, "suffix" : "" }, { "dropping-particle" : "", "family" : "Rizvanovic", "given" : "Mirnesa", "non-dropping-particle" : "", "parse-names" : false, "suffix" : "" }, { "dropping-particle" : "", "family" : "Wang", "given" : "Zhiheng", "non-dropping-particle" : "", "parse-names" : false, "suffix" : "" }, { "dropping-particle" : "", "family" : "Rahbek", "given" : "Carsten", "non-dropping-particle" : "", "parse-names" : false, "suffix" : "" }, { "dropping-particle" : "", "family" : "Marske", "given" : "Katharine A", "non-dropping-particle" : "", "parse-names" : false, "suffix" : "" }, { "dropping-particle" : "", "family" : "Nogu\u00e9s-Bravo", "given" : "David", "non-dropping-particle" : "", "parse-names" : false, "suffix" : "" } ], "container-title" : "Science (New York, N.Y.)", "id" : "ITEM-1", "issue" : "6307", "issued" : { "date-parts" : [ [ "2016", "9", "30" ] ] }, "page" : "1532-1535", "publisher" : "American Association for the Advancement of Science", "title" : "An Anthropocene map of genetic diversity.", "type" : "article-journal", "volume" : "353" }, "uris" : [ "http://www.mendeley.com/documents/?uuid=5bc4ff29-e9a7-3b53-9307-a74fc168395a" ] } ], "mendeley" : { "formattedCitation" : "(Miraldo et al., 2016)", "plainTextFormattedCitation" : "(Miraldo et al., 2016)", "previouslyFormattedCitation" : "(Miraldo et al., 2016)" }, "properties" : {  }, "schema" : "https://github.com/citation-style-language/schema/raw/master/csl-citation.json" }</w:instrText>
      </w:r>
      <w:r>
        <w:rPr>
          <w:rFonts w:cs="Times New Roman"/>
        </w:rPr>
        <w:fldChar w:fldCharType="separate"/>
      </w:r>
      <w:r w:rsidRPr="00F2148B">
        <w:rPr>
          <w:rFonts w:cs="Times New Roman"/>
          <w:noProof/>
        </w:rPr>
        <w:t>(Miraldo et al., 2016)</w:t>
      </w:r>
      <w:r>
        <w:rPr>
          <w:rFonts w:cs="Times New Roman"/>
        </w:rPr>
        <w:fldChar w:fldCharType="end"/>
      </w:r>
      <w:r w:rsidRPr="00893F4C">
        <w:rPr>
          <w:rFonts w:cs="Times New Roman"/>
        </w:rPr>
        <w:t xml:space="preserve">, </w:t>
      </w:r>
      <w:r>
        <w:rPr>
          <w:rFonts w:cs="Times New Roman"/>
        </w:rPr>
        <w:t>so</w:t>
      </w:r>
      <w:r w:rsidRPr="00893F4C">
        <w:rPr>
          <w:rFonts w:cs="Times New Roman"/>
        </w:rPr>
        <w:t xml:space="preserve"> </w:t>
      </w:r>
      <w:r>
        <w:rPr>
          <w:rFonts w:cs="Times New Roman"/>
        </w:rPr>
        <w:t>there</w:t>
      </w:r>
      <w:r w:rsidRPr="00893F4C">
        <w:rPr>
          <w:rFonts w:cs="Times New Roman"/>
        </w:rPr>
        <w:t xml:space="preserve"> is little or no relevant information on large-scale changes to date.</w:t>
      </w:r>
      <w:r>
        <w:rPr>
          <w:rFonts w:cs="Times New Roman"/>
        </w:rPr>
        <w:t xml:space="preserve"> The aforementioned study, however, did find that there was less genetic diversity in habitats affected by humans.</w:t>
      </w:r>
    </w:p>
    <w:p w14:paraId="16695624" w14:textId="77777777" w:rsidR="00F1283E" w:rsidRPr="00893F4C" w:rsidRDefault="00F1283E" w:rsidP="00F1283E">
      <w:pPr>
        <w:pStyle w:val="ListParagraph"/>
        <w:numPr>
          <w:ilvl w:val="0"/>
          <w:numId w:val="4"/>
        </w:numPr>
        <w:contextualSpacing w:val="0"/>
        <w:rPr>
          <w:rFonts w:cs="Times New Roman"/>
        </w:rPr>
      </w:pPr>
      <w:r w:rsidRPr="006E1C17">
        <w:rPr>
          <w:rFonts w:cs="Times New Roman"/>
          <w:i/>
        </w:rPr>
        <w:t>Ecosystem services:</w:t>
      </w:r>
      <w:r w:rsidRPr="00893F4C">
        <w:rPr>
          <w:rFonts w:cs="Times New Roman"/>
        </w:rPr>
        <w:t xml:space="preserve"> </w:t>
      </w:r>
      <w:r w:rsidRPr="00F150CC">
        <w:rPr>
          <w:rFonts w:cs="Times New Roman"/>
        </w:rPr>
        <w:t xml:space="preserve">As </w:t>
      </w:r>
      <w:r>
        <w:rPr>
          <w:rFonts w:cs="Times New Roman"/>
        </w:rPr>
        <w:t>described</w:t>
      </w:r>
      <w:r w:rsidRPr="00F150CC">
        <w:rPr>
          <w:rFonts w:cs="Times New Roman"/>
        </w:rPr>
        <w:t xml:space="preserve"> above, changes in species richness, abundance, distribution</w:t>
      </w:r>
      <w:r>
        <w:rPr>
          <w:rFonts w:cs="Times New Roman"/>
        </w:rPr>
        <w:t>, and interactions</w:t>
      </w:r>
      <w:r w:rsidRPr="00F150CC">
        <w:rPr>
          <w:rFonts w:cs="Times New Roman"/>
        </w:rPr>
        <w:t xml:space="preserve"> will </w:t>
      </w:r>
      <w:r>
        <w:rPr>
          <w:rFonts w:cs="Times New Roman"/>
        </w:rPr>
        <w:t xml:space="preserve">(often negatively) </w:t>
      </w:r>
      <w:r w:rsidRPr="00F150CC">
        <w:rPr>
          <w:rFonts w:cs="Times New Roman"/>
        </w:rPr>
        <w:t xml:space="preserve">impact ecosystem functions and services (Cardinale et al. 2012; </w:t>
      </w:r>
      <w:r>
        <w:rPr>
          <w:rFonts w:cs="Times New Roman"/>
        </w:rPr>
        <w:t xml:space="preserve">Harrison et al. 2014; </w:t>
      </w:r>
      <w:r w:rsidRPr="00F150CC">
        <w:rPr>
          <w:rFonts w:cs="Times New Roman"/>
        </w:rPr>
        <w:t xml:space="preserve">Duffy et al. 2017; Pecl et al. 2017). </w:t>
      </w:r>
      <w:r>
        <w:rPr>
          <w:rFonts w:cs="Times New Roman"/>
        </w:rPr>
        <w:t xml:space="preserve">In addition, an </w:t>
      </w:r>
      <w:r w:rsidRPr="00F150CC">
        <w:rPr>
          <w:rFonts w:cs="Times New Roman"/>
        </w:rPr>
        <w:t>assessment of trends in pollinating birds and mammals</w:t>
      </w:r>
      <w:r w:rsidRPr="00A4629F">
        <w:rPr>
          <w:rFonts w:eastAsia="Times New Roman" w:cs="Times New Roman"/>
          <w:szCs w:val="20"/>
          <w:lang w:eastAsia="en-GB"/>
        </w:rPr>
        <w:t>–</w:t>
      </w:r>
      <w:r>
        <w:rPr>
          <w:rFonts w:cs="Times New Roman"/>
        </w:rPr>
        <w:t>pollination being a key ecosystem service</w:t>
      </w:r>
      <w:r w:rsidRPr="00A4629F">
        <w:rPr>
          <w:rFonts w:eastAsia="Times New Roman" w:cs="Times New Roman"/>
          <w:szCs w:val="20"/>
          <w:lang w:eastAsia="en-GB"/>
        </w:rPr>
        <w:t>–</w:t>
      </w:r>
      <w:r w:rsidRPr="00F150CC">
        <w:rPr>
          <w:rFonts w:cs="Times New Roman"/>
        </w:rPr>
        <w:t>suggest</w:t>
      </w:r>
      <w:r>
        <w:rPr>
          <w:rFonts w:cs="Times New Roman"/>
        </w:rPr>
        <w:t>ed</w:t>
      </w:r>
      <w:r w:rsidRPr="00F150CC">
        <w:rPr>
          <w:rFonts w:cs="Times New Roman"/>
        </w:rPr>
        <w:t xml:space="preserve"> that at a global scale, the Red List Index status of such spe</w:t>
      </w:r>
      <w:r>
        <w:rPr>
          <w:rFonts w:cs="Times New Roman"/>
        </w:rPr>
        <w:t>cies indicated</w:t>
      </w:r>
      <w:r w:rsidRPr="00F150CC">
        <w:rPr>
          <w:rFonts w:cs="Times New Roman"/>
        </w:rPr>
        <w:t xml:space="preserve"> an overall move towards greater extinction risk </w:t>
      </w:r>
      <w:r w:rsidRPr="00F150CC">
        <w:rPr>
          <w:rFonts w:cs="Times New Roman"/>
        </w:rPr>
        <w:fldChar w:fldCharType="begin" w:fldLock="1"/>
      </w:r>
      <w:r>
        <w:rPr>
          <w:rFonts w:cs="Times New Roman"/>
        </w:rPr>
        <w:instrText>ADDIN CSL_CITATION { "citationItems" : [ { "id" : "ITEM-1", "itemData" : { "DOI" : "10.1111/conl.12162", "ISSN" : "1755263X", "author" : [ { "dropping-particle" : "", "family" : "Regan", "given" : "Eugenie C.", "non-dropping-particle" : "", "parse-names" : false, "suffix" : "" }, { "dropping-particle" : "", "family" : "Santini", "given" : "Luca", "non-dropping-particle" : "", "parse-names" : false, "suffix" : "" }, { "dropping-particle" : "", "family" : "Ingwall-King", "given" : "Lisa", "non-dropping-particle" : "", "parse-names" : false, "suffix" : "" }, { "dropping-particle" : "", "family" : "Hoffmann", "given" : "Michael", "non-dropping-particle" : "", "parse-names" : false, "suffix" : "" }, { "dropping-particle" : "", "family" : "Rondinini", "given" : "Carlo", "non-dropping-particle" : "", "parse-names" : false, "suffix" : "" }, { "dropping-particle" : "", "family" : "Symes", "given" : "Andy", "non-dropping-particle" : "", "parse-names" : false, "suffix" : "" }, { "dropping-particle" : "", "family" : "Taylor", "given" : "Joseph", "non-dropping-particle" : "", "parse-names" : false, "suffix" : "" }, { "dropping-particle" : "", "family" : "Butchart", "given" : "Stuart H.M.", "non-dropping-particle" : "", "parse-names" : false, "suffix" : "" } ], "container-title" : "Conservation Letters", "id" : "ITEM-1", "issue" : "6", "issued" : { "date-parts" : [ [ "2015", "11", "1" ] ] }, "page" : "397-403", "title" : "Global Trends in the Status of Bird and Mammal Pollinators", "type" : "article-journal", "volume" : "8" }, "uris" : [ "http://www.mendeley.com/documents/?uuid=9c89704f-b22d-328b-91c9-a163189a43a9" ] } ], "mendeley" : { "formattedCitation" : "(Regan et al., 2015)", "plainTextFormattedCitation" : "(Regan et al., 2015)", "previouslyFormattedCitation" : "(Regan et al., 2015)" }, "properties" : {  }, "schema" : "https://github.com/citation-style-language/schema/raw/master/csl-citation.json" }</w:instrText>
      </w:r>
      <w:r w:rsidRPr="00F150CC">
        <w:rPr>
          <w:rFonts w:cs="Times New Roman"/>
        </w:rPr>
        <w:fldChar w:fldCharType="separate"/>
      </w:r>
      <w:r w:rsidRPr="00F150CC">
        <w:rPr>
          <w:rFonts w:cs="Times New Roman"/>
          <w:noProof/>
        </w:rPr>
        <w:t>(Regan et al., 2015)</w:t>
      </w:r>
      <w:r w:rsidRPr="00F150CC">
        <w:rPr>
          <w:rFonts w:cs="Times New Roman"/>
        </w:rPr>
        <w:fldChar w:fldCharType="end"/>
      </w:r>
      <w:r w:rsidRPr="00F150CC">
        <w:rPr>
          <w:rFonts w:cs="Times New Roman"/>
        </w:rPr>
        <w:t>.</w:t>
      </w:r>
      <w:r w:rsidRPr="00893F4C">
        <w:rPr>
          <w:rFonts w:cs="Times New Roman"/>
        </w:rPr>
        <w:t xml:space="preserve"> </w:t>
      </w:r>
    </w:p>
    <w:p w14:paraId="2A48D6CC" w14:textId="77777777" w:rsidR="00F1283E" w:rsidRPr="00C54664" w:rsidRDefault="00F1283E" w:rsidP="00F1283E">
      <w:pPr>
        <w:rPr>
          <w:i/>
        </w:rPr>
      </w:pPr>
      <w:r>
        <w:rPr>
          <w:i/>
        </w:rPr>
        <w:t>I</w:t>
      </w:r>
      <w:r w:rsidRPr="00F2148B">
        <w:rPr>
          <w:i/>
        </w:rPr>
        <w:t>I</w:t>
      </w:r>
      <w:r>
        <w:rPr>
          <w:i/>
        </w:rPr>
        <w:t xml:space="preserve">A.2 Biodiversity trends under </w:t>
      </w:r>
      <w:r>
        <w:rPr>
          <w:rFonts w:eastAsia="Times New Roman" w:cs="Times New Roman"/>
          <w:i/>
          <w:szCs w:val="20"/>
          <w:lang w:eastAsia="en-GB"/>
        </w:rPr>
        <w:t xml:space="preserve">business as usual </w:t>
      </w:r>
      <w:r>
        <w:rPr>
          <w:i/>
        </w:rPr>
        <w:t>scenarios</w:t>
      </w:r>
    </w:p>
    <w:p w14:paraId="47652AEC" w14:textId="77777777" w:rsidR="00F1283E" w:rsidRDefault="00F1283E" w:rsidP="00F1283E">
      <w:pPr>
        <w:pStyle w:val="ListParagraph"/>
        <w:numPr>
          <w:ilvl w:val="0"/>
          <w:numId w:val="4"/>
        </w:numPr>
        <w:contextualSpacing w:val="0"/>
      </w:pPr>
      <w:r>
        <w:t xml:space="preserve">The business-as-usual scenario in GBO-4 indicated large-scale negative and unsustainable impacts on terrestrial biodiversity and ecosystem services. Climate change was projected to become a major driver of ecosystem and biodiversity impacts, with species impacted by a range of factors including global temperature increases, altered patterns of precipitation, and rising sea-levels. The movement of species to stay in favourable climates (over 10km/year in some regions) would impact ecosystem services and reduce the effectiveness of protected areas, as well as increase the risks of species extinction </w:t>
      </w:r>
      <w:r>
        <w:fldChar w:fldCharType="begin" w:fldLock="1"/>
      </w:r>
      <w:r>
        <w:instrText>ADDIN CSL_CITATION { "citationItems" : [ { "id" : "ITEM-1", "itemData" : { "ISBN" : "978-92-807-3414-0", "author" : [ { "dropping-particle" : "", "family" : "Leadley", "given" : "P W", "non-dropping-particle" : "", "parse-names" : false, "suffix" : "" }, { "dropping-particle" : "", "family" : "Krug", "given" : "C B", "non-dropping-particle" : "", "parse-names" : false, "suffix" : "" }, { "dropping-particle" : "", "family" : "Alkemade", "given" : "R", "non-dropping-particle" : "", "parse-names" : false, "suffix" : "" }, { "dropping-particle" : "", "family" : "Pereira", "given" : "H M", "non-dropping-particle" : "", "parse-names" : false, "suffix" : "" }, { "dropping-particle" : "", "family" : "Sumaila", "given" : "U R", "non-dropping-particle" : "", "parse-names" : false, "suffix" : "" }, { "dropping-particle" : "", "family" : "Walpole", "given" : "M", "non-dropping-particle" : "", "parse-names" : false, "suffix" : "" }, { "dropping-particle" : "", "family" : "Marques", "given" : "A", "non-dropping-particle" : "", "parse-names" : false, "suffix" : "" }, { "dropping-particle" : "", "family" : "Newbold", "given" : "T", "non-dropping-particle" : "", "parse-names" : false, "suffix" : "" }, { "dropping-particle" : "", "family" : "Teh", "given" : "L S L", "non-dropping-particle" : "", "parse-names" : false, "suffix" : "" }, { "dropping-particle" : "", "family" : "Kolck", "given" : "J", "non-dropping-particle" : "", "parse-names" : false, "suffix" : "" }, { "dropping-particle" : "", "family" : "Bellard", "given" : "C", "non-dropping-particle" : "", "parse-names" : false, "suffix" : "" }, { "dropping-particle" : "", "family" : "Januchowski-Hartley", "given" : "S R", "non-dropping-particle" : "", "parse-names" : false, "suffix" : "" }, { "dropping-particle" : "", "family" : "Mumby", "given" : "P J", "non-dropping-particle" : "", "parse-names" : false, "suffix" : "" } ], "id" : "ITEM-1", "issued" : { "date-parts" : [ [ "2014" ] ] }, "title" : "PROGRESS TOWARDS THE AICHI BIODIVERSITY TARGETS: AN ASSESSMENT OF BIODIVERSITY TRENDS, POLICY SCENARIOS AND KEY ACTIONS Global Biodiversity Outlook 4 (GBO-4) Technical Report ii PROGRESS TOWARDS THE AICHI BIODIVERSITY TARGETS", "type" : "article-journal" }, "uris" : [ "http://www.mendeley.com/documents/?uuid=6340f510-aa8e-39eb-bff5-d74c242babdf" ] } ], "mendeley" : { "formattedCitation" : "(Leadley et al., 2014)", "plainTextFormattedCitation" : "(Leadley et al., 2014)", "previouslyFormattedCitation" : "(Leadley et al., 2014)" }, "properties" : {  }, "schema" : "https://github.com/citation-style-language/schema/raw/master/csl-citation.json" }</w:instrText>
      </w:r>
      <w:r>
        <w:fldChar w:fldCharType="separate"/>
      </w:r>
      <w:r w:rsidRPr="00893F4C">
        <w:rPr>
          <w:noProof/>
        </w:rPr>
        <w:t>(Leadley et al., 2014)</w:t>
      </w:r>
      <w:r>
        <w:fldChar w:fldCharType="end"/>
      </w:r>
      <w:r>
        <w:t>.</w:t>
      </w:r>
      <w:r w:rsidRPr="00891A64">
        <w:t xml:space="preserve"> </w:t>
      </w:r>
      <w:r>
        <w:t xml:space="preserve">Indices of local abundance and local species richness were projected to decline under BAU scenarios of land use and climate change. This was in part due to a substantially increased demand for fertile land for both agriculture and bioenergy, leading to insufficient room for, and putting pressure on, natural terrestrial habitats. The combination of anthropogenic drivers could push some regional social-ecological systems beyond tipping points and transition them to a new phase in which biodiversity and ecosystem services would become severely impacted. Additional serious ‘regime shifts’ were projected to be possible, if still speculative </w:t>
      </w:r>
      <w:r>
        <w:fldChar w:fldCharType="begin" w:fldLock="1"/>
      </w:r>
      <w:r>
        <w:instrText>ADDIN CSL_CITATION { "citationItems" : [ { "id" : "ITEM-1", "itemData" : { "ISBN" : "978-92-807-3414-0", "author" : [ { "dropping-particle" : "", "family" : "Leadley", "given" : "P W", "non-dropping-particle" : "", "parse-names" : false, "suffix" : "" }, { "dropping-particle" : "", "family" : "Krug", "given" : "C B", "non-dropping-particle" : "", "parse-names" : false, "suffix" : "" }, { "dropping-particle" : "", "family" : "Alkemade", "given" : "R", "non-dropping-particle" : "", "parse-names" : false, "suffix" : "" }, { "dropping-particle" : "", "family" : "Pereira", "given" : "H M", "non-dropping-particle" : "", "parse-names" : false, "suffix" : "" }, { "dropping-particle" : "", "family" : "Sumaila", "given" : "U R", "non-dropping-particle" : "", "parse-names" : false, "suffix" : "" }, { "dropping-particle" : "", "family" : "Walpole", "given" : "M", "non-dropping-particle" : "", "parse-names" : false, "suffix" : "" }, { "dropping-particle" : "", "family" : "Marques", "given" : "A", "non-dropping-particle" : "", "parse-names" : false, "suffix" : "" }, { "dropping-particle" : "", "family" : "Newbold", "given" : "T", "non-dropping-particle" : "", "parse-names" : false, "suffix" : "" }, { "dropping-particle" : "", "family" : "Teh", "given" : "L S L", "non-dropping-particle" : "", "parse-names" : false, "suffix" : "" }, { "dropping-particle" : "", "family" : "Kolck", "given" : "J", "non-dropping-particle" : "", "parse-names" : false, "suffix" : "" }, { "dropping-particle" : "", "family" : "Bellard", "given" : "C", "non-dropping-particle" : "", "parse-names" : false, "suffix" : "" }, { "dropping-particle" : "", "family" : "Januchowski-Hartley", "given" : "S R", "non-dropping-particle" : "", "parse-names" : false, "suffix" : "" }, { "dropping-particle" : "", "family" : "Mumby", "given" : "P J", "non-dropping-particle" : "", "parse-names" : false, "suffix" : "" } ], "id" : "ITEM-1", "issued" : { "date-parts" : [ [ "2014" ] ] }, "title" : "PROGRESS TOWARDS THE AICHI BIODIVERSITY TARGETS: AN ASSESSMENT OF BIODIVERSITY TRENDS, POLICY SCENARIOS AND KEY ACTIONS Global Biodiversity Outlook 4 (GBO-4) Technical Report ii PROGRESS TOWARDS THE AICHI BIODIVERSITY TARGETS", "type" : "article-journal" }, "uris" : [ "http://www.mendeley.com/documents/?uuid=6340f510-aa8e-39eb-bff5-d74c242babdf" ] } ], "mendeley" : { "formattedCitation" : "(Leadley et al., 2014)", "plainTextFormattedCitation" : "(Leadley et al., 2014)", "previouslyFormattedCitation" : "(Leadley et al., 2014)" }, "properties" : {  }, "schema" : "https://github.com/citation-style-language/schema/raw/master/csl-citation.json" }</w:instrText>
      </w:r>
      <w:r>
        <w:fldChar w:fldCharType="separate"/>
      </w:r>
      <w:r w:rsidRPr="00893F4C">
        <w:rPr>
          <w:noProof/>
        </w:rPr>
        <w:t>(Leadley et al., 2014)</w:t>
      </w:r>
      <w:r>
        <w:fldChar w:fldCharType="end"/>
      </w:r>
      <w:r>
        <w:t>.</w:t>
      </w:r>
    </w:p>
    <w:p w14:paraId="0F2C7F45" w14:textId="77777777" w:rsidR="00F1283E" w:rsidRPr="00F2148B" w:rsidRDefault="00F1283E" w:rsidP="00F1283E">
      <w:pPr>
        <w:pStyle w:val="ListParagraph"/>
        <w:numPr>
          <w:ilvl w:val="0"/>
          <w:numId w:val="4"/>
        </w:numPr>
        <w:contextualSpacing w:val="0"/>
        <w:rPr>
          <w:rFonts w:cs="Times New Roman"/>
        </w:rPr>
      </w:pPr>
      <w:r>
        <w:rPr>
          <w:rFonts w:cs="Times New Roman"/>
        </w:rPr>
        <w:lastRenderedPageBreak/>
        <w:t>Post-GBO4 s</w:t>
      </w:r>
      <w:r w:rsidRPr="00F2148B">
        <w:rPr>
          <w:rFonts w:cs="Times New Roman"/>
        </w:rPr>
        <w:t xml:space="preserve">tudies that have examined a </w:t>
      </w:r>
      <w:r>
        <w:rPr>
          <w:rFonts w:cs="Times New Roman"/>
        </w:rPr>
        <w:t>high-emissions</w:t>
      </w:r>
      <w:r w:rsidRPr="008E53BD">
        <w:rPr>
          <w:rStyle w:val="FootnoteReference"/>
        </w:rPr>
        <w:footnoteReference w:id="15"/>
      </w:r>
      <w:r>
        <w:rPr>
          <w:rFonts w:cs="Times New Roman"/>
        </w:rPr>
        <w:t xml:space="preserve"> </w:t>
      </w:r>
      <w:r w:rsidRPr="00F2148B">
        <w:rPr>
          <w:rFonts w:cs="Times New Roman"/>
        </w:rPr>
        <w:t xml:space="preserve">scenario suggest a continuing decline in biodiversity and ecosystem services, and therefore a corresponding inability to meet the 2050 Vision. </w:t>
      </w:r>
      <w:r>
        <w:rPr>
          <w:rFonts w:cs="Times New Roman"/>
        </w:rPr>
        <w:t>P</w:t>
      </w:r>
      <w:r w:rsidRPr="00F2148B">
        <w:rPr>
          <w:rFonts w:cs="Times New Roman"/>
        </w:rPr>
        <w:t>rojections examine</w:t>
      </w:r>
      <w:r>
        <w:rPr>
          <w:rFonts w:cs="Times New Roman"/>
        </w:rPr>
        <w:t xml:space="preserve">d changes in species richness, </w:t>
      </w:r>
      <w:r w:rsidRPr="00F2148B">
        <w:rPr>
          <w:rFonts w:cs="Times New Roman"/>
        </w:rPr>
        <w:t xml:space="preserve">abundance, </w:t>
      </w:r>
      <w:r>
        <w:rPr>
          <w:rFonts w:cs="Times New Roman"/>
        </w:rPr>
        <w:t xml:space="preserve">or extinction risk, </w:t>
      </w:r>
      <w:r w:rsidRPr="00F2148B">
        <w:rPr>
          <w:rFonts w:cs="Times New Roman"/>
        </w:rPr>
        <w:t>while other facets of biodiversity remain</w:t>
      </w:r>
      <w:r>
        <w:rPr>
          <w:rFonts w:cs="Times New Roman"/>
        </w:rPr>
        <w:t>ed</w:t>
      </w:r>
      <w:r w:rsidRPr="00F2148B">
        <w:rPr>
          <w:rFonts w:cs="Times New Roman"/>
        </w:rPr>
        <w:t xml:space="preserve"> less explored.</w:t>
      </w:r>
      <w:r>
        <w:rPr>
          <w:rFonts w:cs="Times New Roman"/>
        </w:rPr>
        <w:t xml:space="preserve"> Further details are provided in the paragraphs below.</w:t>
      </w:r>
    </w:p>
    <w:p w14:paraId="391B443F" w14:textId="77777777" w:rsidR="00F1283E" w:rsidRPr="0082791D" w:rsidRDefault="00F1283E" w:rsidP="00F1283E">
      <w:pPr>
        <w:pStyle w:val="ListParagraph"/>
        <w:numPr>
          <w:ilvl w:val="0"/>
          <w:numId w:val="4"/>
        </w:numPr>
        <w:contextualSpacing w:val="0"/>
        <w:rPr>
          <w:rFonts w:cs="Times New Roman"/>
          <w:bCs/>
          <w:szCs w:val="20"/>
        </w:rPr>
      </w:pPr>
      <w:r w:rsidRPr="00F2148B">
        <w:rPr>
          <w:rFonts w:cs="Times New Roman"/>
          <w:szCs w:val="20"/>
        </w:rPr>
        <w:t xml:space="preserve">Extrapolations of the LPI to 2020 under </w:t>
      </w:r>
      <w:r w:rsidRPr="003D261A">
        <w:rPr>
          <w:rFonts w:cs="Times New Roman"/>
          <w:szCs w:val="20"/>
        </w:rPr>
        <w:t>BAU</w:t>
      </w:r>
      <w:r w:rsidRPr="00F2148B">
        <w:rPr>
          <w:rFonts w:cs="Times New Roman"/>
          <w:szCs w:val="20"/>
        </w:rPr>
        <w:t xml:space="preserve"> suggest</w:t>
      </w:r>
      <w:r>
        <w:rPr>
          <w:rFonts w:cs="Times New Roman"/>
          <w:szCs w:val="20"/>
        </w:rPr>
        <w:t>ed</w:t>
      </w:r>
      <w:r w:rsidRPr="00F2148B">
        <w:rPr>
          <w:rFonts w:cs="Times New Roman"/>
          <w:szCs w:val="20"/>
        </w:rPr>
        <w:t xml:space="preserve"> a continued decline in the index value to 67%</w:t>
      </w:r>
      <w:r w:rsidRPr="008E53BD">
        <w:rPr>
          <w:rStyle w:val="FootnoteReference"/>
        </w:rPr>
        <w:footnoteReference w:id="16"/>
      </w:r>
      <w:r w:rsidRPr="00F2148B">
        <w:rPr>
          <w:rFonts w:cs="Times New Roman"/>
          <w:szCs w:val="20"/>
        </w:rPr>
        <w:t xml:space="preserve"> compared to the 1970 baseline (WWF 2016).  </w:t>
      </w:r>
      <w:r>
        <w:rPr>
          <w:rFonts w:cs="Times New Roman"/>
          <w:szCs w:val="20"/>
        </w:rPr>
        <w:t>Further o</w:t>
      </w:r>
      <w:r w:rsidRPr="00F2148B">
        <w:rPr>
          <w:rFonts w:cs="Times New Roman"/>
          <w:szCs w:val="20"/>
        </w:rPr>
        <w:t>u</w:t>
      </w:r>
      <w:r>
        <w:rPr>
          <w:rFonts w:cs="Times New Roman"/>
          <w:szCs w:val="20"/>
        </w:rPr>
        <w:t>t to 2050, Visconti et al. (2016</w:t>
      </w:r>
      <w:r w:rsidRPr="00F2148B">
        <w:rPr>
          <w:rFonts w:cs="Times New Roman"/>
          <w:szCs w:val="20"/>
        </w:rPr>
        <w:t>) used a BAU</w:t>
      </w:r>
      <w:r>
        <w:rPr>
          <w:rStyle w:val="FootnoteReference"/>
          <w:rFonts w:cs="Times New Roman"/>
          <w:szCs w:val="20"/>
        </w:rPr>
        <w:footnoteReference w:id="17"/>
      </w:r>
      <w:r w:rsidRPr="00F2148B">
        <w:rPr>
          <w:rFonts w:cs="Times New Roman"/>
          <w:szCs w:val="20"/>
        </w:rPr>
        <w:t xml:space="preserve"> climate change and </w:t>
      </w:r>
      <w:r>
        <w:rPr>
          <w:rFonts w:cs="Times New Roman"/>
          <w:szCs w:val="20"/>
        </w:rPr>
        <w:t>land use</w:t>
      </w:r>
      <w:r w:rsidRPr="00F2148B">
        <w:rPr>
          <w:rFonts w:cs="Times New Roman"/>
          <w:szCs w:val="20"/>
        </w:rPr>
        <w:t xml:space="preserve"> scenario</w:t>
      </w:r>
      <w:r>
        <w:rPr>
          <w:rFonts w:cs="Times New Roman"/>
          <w:szCs w:val="20"/>
        </w:rPr>
        <w:t xml:space="preserve">, and found around </w:t>
      </w:r>
      <w:r w:rsidRPr="00F2148B">
        <w:rPr>
          <w:rFonts w:cs="Times New Roman"/>
          <w:szCs w:val="20"/>
        </w:rPr>
        <w:t xml:space="preserve">an </w:t>
      </w:r>
      <w:r w:rsidRPr="00AA12C9">
        <w:rPr>
          <w:rFonts w:cs="Times New Roman"/>
          <w:szCs w:val="20"/>
        </w:rPr>
        <w:t>18-35</w:t>
      </w:r>
      <w:r w:rsidRPr="00F2148B">
        <w:rPr>
          <w:rFonts w:cs="Times New Roman"/>
          <w:szCs w:val="20"/>
        </w:rPr>
        <w:t>%</w:t>
      </w:r>
      <w:r>
        <w:rPr>
          <w:rStyle w:val="FootnoteReference"/>
          <w:rFonts w:cs="Times New Roman"/>
          <w:szCs w:val="20"/>
        </w:rPr>
        <w:footnoteReference w:id="18"/>
      </w:r>
      <w:r w:rsidRPr="00F2148B">
        <w:rPr>
          <w:rFonts w:cs="Times New Roman"/>
          <w:szCs w:val="20"/>
        </w:rPr>
        <w:t xml:space="preserve"> decline in geometric mean population abundance (akin to the LPI), and an increase in species extinction risk for </w:t>
      </w:r>
      <w:r w:rsidRPr="005A1EB6">
        <w:rPr>
          <w:rFonts w:cs="Times New Roman"/>
          <w:szCs w:val="20"/>
        </w:rPr>
        <w:t>8-23</w:t>
      </w:r>
      <w:r w:rsidRPr="00F2148B">
        <w:rPr>
          <w:rFonts w:cs="Times New Roman"/>
          <w:szCs w:val="20"/>
        </w:rPr>
        <w:t>%</w:t>
      </w:r>
      <w:r>
        <w:rPr>
          <w:rStyle w:val="FootnoteReference"/>
          <w:rFonts w:cs="Times New Roman"/>
          <w:szCs w:val="20"/>
        </w:rPr>
        <w:footnoteReference w:id="19"/>
      </w:r>
      <w:r w:rsidRPr="00F2148B">
        <w:rPr>
          <w:rFonts w:cs="Times New Roman"/>
          <w:szCs w:val="20"/>
        </w:rPr>
        <w:t xml:space="preserve"> of species</w:t>
      </w:r>
      <w:r>
        <w:rPr>
          <w:rFonts w:cs="Times New Roman"/>
          <w:szCs w:val="20"/>
        </w:rPr>
        <w:t>, both relative to a 2010 baseline</w:t>
      </w:r>
      <w:r w:rsidRPr="00F2148B">
        <w:rPr>
          <w:rFonts w:cs="Times New Roman"/>
          <w:szCs w:val="20"/>
        </w:rPr>
        <w:t xml:space="preserve">. </w:t>
      </w:r>
    </w:p>
    <w:p w14:paraId="6615F7FB" w14:textId="77777777" w:rsidR="00F1283E" w:rsidRPr="00A229E5" w:rsidRDefault="00F1283E" w:rsidP="00F1283E">
      <w:pPr>
        <w:pStyle w:val="ListParagraph"/>
        <w:numPr>
          <w:ilvl w:val="0"/>
          <w:numId w:val="4"/>
        </w:numPr>
        <w:contextualSpacing w:val="0"/>
        <w:rPr>
          <w:rFonts w:cs="Times New Roman"/>
          <w:bCs/>
          <w:szCs w:val="20"/>
        </w:rPr>
      </w:pPr>
      <w:r w:rsidRPr="00F2148B">
        <w:rPr>
          <w:rFonts w:cs="Times New Roman"/>
          <w:szCs w:val="20"/>
        </w:rPr>
        <w:t xml:space="preserve">Further into the future, Newbold et al. (2015) projected future biodiversity impacts under </w:t>
      </w:r>
      <w:r>
        <w:rPr>
          <w:rFonts w:cs="Times New Roman"/>
          <w:szCs w:val="20"/>
        </w:rPr>
        <w:t>land use changes associated with the RCP Scenarios (see paragraphs 12 and 13 above). Note however, that the projections did not take into account the impacts of climate change). Under a scenario with high land use change (rapid increase in cropland area under the high-emissions scenario), l</w:t>
      </w:r>
      <w:r w:rsidRPr="00F2148B">
        <w:rPr>
          <w:rFonts w:cs="Times New Roman"/>
          <w:szCs w:val="20"/>
        </w:rPr>
        <w:t>ocal (within-sample) richness was projecte</w:t>
      </w:r>
      <w:r>
        <w:rPr>
          <w:rFonts w:cs="Times New Roman"/>
          <w:szCs w:val="20"/>
        </w:rPr>
        <w:t>d to fall an additional 3.4% between 2005 and 2095</w:t>
      </w:r>
      <w:r w:rsidRPr="00F2148B">
        <w:rPr>
          <w:rFonts w:cs="Times New Roman"/>
          <w:szCs w:val="20"/>
        </w:rPr>
        <w:t>, with the effe</w:t>
      </w:r>
      <w:r>
        <w:rPr>
          <w:rFonts w:cs="Times New Roman"/>
          <w:szCs w:val="20"/>
        </w:rPr>
        <w:t>cts concentrated in biodiverse</w:t>
      </w:r>
      <w:r w:rsidRPr="00B85A9E">
        <w:rPr>
          <w:rFonts w:cs="Times New Roman"/>
          <w:szCs w:val="20"/>
        </w:rPr>
        <w:t xml:space="preserve"> but economically disadvantaged countries. </w:t>
      </w:r>
      <w:r w:rsidRPr="00B85A9E">
        <w:rPr>
          <w:rFonts w:cs="Times New Roman"/>
          <w:szCs w:val="20"/>
        </w:rPr>
        <w:fldChar w:fldCharType="begin" w:fldLock="1"/>
      </w:r>
      <w:r>
        <w:rPr>
          <w:rFonts w:cs="Times New Roman"/>
          <w:szCs w:val="20"/>
        </w:rPr>
        <w:instrText>ADDIN CSL_CITATION { "citationItems" : [ { "id" : "ITEM-1", "itemData" : { "DOI" : "10.1038/nature14324", "ISBN" : "0028-0836", "ISSN" : "0028-0836", "PMID" : "25832402", "abstract" : "Human activities, especially conversion and degradation of habitats, are causing global biodiversity declines. How local ecological assemblages are responding is less clear\u2014a concern given their importance for many ecosystem functions and services.We analysed a terrestrial assemblage database of unprecedented geographic and taxonomic coverage to quantify local biodiversity responses to land use and related changes. Here we show that in the worst-affected habitats, these pressures reducewithin-sample species richness by anaverage of 76.5%,total abundance by 39.5%andrarefaction-based richness by 40.3%. We estimate that, globally, these pressures have already slightly reduced average within-sample richness (by 13.6%), total abundance (10.7%) and rarefaction-based richness (8.1%), with changes showing marked spatial variation. Rapid further losses are predicted under a business-as-usual land-use scenario; within-sample richness is projected to fall by a further 3.4% globally by 2100, with losses concentrated in biodiverse but economically poor countries. Strongmitigationcan delivermuchmore positive biodiversity changes (up to a 1.9%average increase) that are less strongly related to countries\u2019 socioeconomic status.", "author" : [ { "dropping-particle" : "", "family" : "Newbold", "given" : "Tim", "non-dropping-particle" : "", "parse-names" : false, "suffix" : "" }, { "dropping-particle" : "", "family" : "Hudson", "given" : "Lawrence N.", "non-dropping-particle" : "", "parse-names" : false, "suffix" : "" }, { "dropping-particle" : "", "family" : "Hill", "given" : "Samantha L. L.", "non-dropping-particle" : "", "parse-names" : false, "suffix" : "" }, { "dropping-particle" : "", "family" : "Contu", "given" : "Sara", "non-dropping-particle" : "", "parse-names" : false, "suffix" : "" }, { "dropping-particle" : "", "family" : "Lysenko", "given" : "Igor", "non-dropping-particle" : "", "parse-names" : false, "suffix" : "" }, { "dropping-particle" : "", "family" : "Senior", "given" : "Rebecca A.", "non-dropping-particle" : "", "parse-names" : false, "suffix" : "" }, { "dropping-particle" : "", "family" : "B\u00f6rger", "given" : "Luca", "non-dropping-particle" : "", "parse-names" : false, "suffix" : "" }, { "dropping-particle" : "", "family" : "Bennett", "given" : "Dominic J.", "non-dropping-particle" : "", "parse-names" : false, "suffix" : "" }, { "dropping-particle" : "", "family" : "Choimes", "given" : "Argyrios", "non-dropping-particle" : "", "parse-names" : false, "suffix" : "" }, { "dropping-particle" : "", "family" : "Collen", "given" : "Ben", "non-dropping-particle" : "", "parse-names" : false, "suffix" : "" }, { "dropping-particle" : "", "family" : "Day", "given" : "Julie", "non-dropping-particle" : "", "parse-names" : false, "suffix" : "" }, { "dropping-particle" : "", "family" : "Palma", "given" : "Adriana", "non-dropping-particle" : "De", "parse-names" : false, "suffix" : "" }, { "dropping-particle" : "", "family" : "D\u00edaz", "given" : "Sandra", "non-dropping-particle" : "", "parse-names" : false, "suffix" : "" }, { "dropping-particle" : "", "family" : "Echeverria-Londo\u00f1o", "given" : "Susy", "non-dropping-particle" : "", "parse-names" : false, "suffix" : "" }, { "dropping-particle" : "", "family" : "Edgar", "given" : "Melanie J.", "non-dropping-particle" : "", "parse-names" : false, "suffix" : "" }, { "dropping-particle" : "", "family" : "Feldman", "given" : "Anat", "non-dropping-particle" : "", "parse-names" : false, "suffix" : "" }, { "dropping-particle" : "", "family" : "Garon", "given" : "Morgan", "non-dropping-particle" : "", "parse-names" : false, "suffix" : "" }, { "dropping-particle" : "", "family" : "Harrison", "given" : "Michelle L. K.", "non-dropping-particle" : "", "parse-names" : false, "suffix" : "" }, { "dropping-particle" : "", "family" : "Alhusseini", "given" : "Tamera", "non-dropping-particle" : "", "parse-names" : false, "suffix" : "" }, { "dropping-particle" : "", "family" : "Ingram", "given" : "Daniel J.", "non-dropping-particle" : "", "parse-names" : false, "suffix" : "" }, { "dropping-particle" : "", "family" : "Itescu", "given" : "Yuval", "non-dropping-particle" : "", "parse-names" : false, "suffix" : "" }, { "dropping-particle" : "", "family" : "Kattge", "given" : "Jens", "non-dropping-particle" : "", "parse-names" : false, "suffix" : "" }, { "dropping-particle" : "", "family" : "Kemp", "given" : "Victoria", "non-dropping-particle" : "", "parse-names" : false, "suffix" : "" }, { "dropping-particle" : "", "family" : "Kirkpatrick", "given" : "Lucinda", "non-dropping-particle" : "", "parse-names" : false, "suffix" : "" }, { "dropping-particle" : "", "family" : "Kleyer", "given" : "Michael", "non-dropping-particle" : "", "parse-names" : false, "suffix" : "" }, { "dropping-particle" : "", "family" : "Correia", "given" : "David Laginha Pinto", "non-dropping-particle" : "", "parse-names" : false, "suffix" : "" }, { "dropping-particle" : "", "family" : "Martin", "given" : "Callum D.", "non-dropping-particle" : "", "parse-names" : false, "suffix" : "" }, { "dropping-particle" : "", "family" : "Meiri", "given" : "Shai", "non-dropping-particle" : "", "parse-names" : false, "suffix" : "" }, { "dropping-particle" : "", "family" : "Novosolov", "given" : "Maria", "non-dropping-particle" : "", "parse-names" : false, "suffix" : "" }, { "dropping-particle" : "", "family" : "Pan", "given" : "Yuan", "non-dropping-particle" : "", "parse-names" : false, "suffix" : "" }, { "dropping-particle" : "", "family" : "Phillips", "given" : "Helen R. P.", "non-dropping-particle" : "", "parse-names" : false, "suffix" : "" }, { "dropping-particle" : "", "family" : "Purves", "given" : "Drew W.", "non-dropping-particle" : "", "parse-names" : false, "suffix" : "" }, { "dropping-particle" : "", "family" : "Robinson", "given" : "Alexandra", "non-dropping-particle" : "", "parse-names" : false, "suffix" : "" }, { "dropping-particle" : "", "family" : "Simpson", "given" : "Jake", "non-dropping-particle" : "", "parse-names" : false, "suffix" : "" }, { "dropping-particle" : "", "family" : "Tuck", "given" : "Sean L.", "non-dropping-particle" : "", "parse-names" : false, "suffix" : "" }, { "dropping-particle" : "", "family" : "Weiher", "given" : "Evan", "non-dropping-particle" : "", "parse-names" : false, "suffix" : "" }, { "dropping-particle" : "", "family" : "White", "given" : "Hannah J.", "non-dropping-particle" : "", "parse-names" : false, "suffix" : "" }, { "dropping-particle" : "", "family" : "Ewers", "given" : "Robert M.", "non-dropping-particle" : "", "parse-names" : false, "suffix" : "" }, { "dropping-particle" : "", "family" : "Mace", "given" : "Georgina M.", "non-dropping-particle" : "", "parse-names" : false, "suffix" : "" }, { "dropping-particle" : "", "family" : "Scharlemann", "given" : "J\u00f6rn P. W.", "non-dropping-particle" : "", "parse-names" : false, "suffix" : "" }, { "dropping-particle" : "", "family" : "Purvis", "given" : "Andy", "non-dropping-particle" : "", "parse-names" : false, "suffix" : "" } ], "container-title" : "Nature", "id" : "ITEM-1", "issue" : "7545", "issued" : { "date-parts" : [ [ "2015", "4" ] ] }, "page" : "45-50", "publisher" : "Nature Research", "title" : "Global effects of land use on local terrestrial biodiversity", "type" : "article-journal", "volume" : "520" }, "uris" : [ "http://www.mendeley.com/documents/?uuid=3c9b2f49-592b-3bae-b16f-2ea7f3b69acf", "http://www.mendeley.com/documents/?uuid=84533f74-b2aa-434c-917a-b3e1577b873c" ] } ], "mendeley" : { "formattedCitation" : "(Newbold et al., 2015b)", "manualFormatting" : "(Newbold et al., 2015)", "plainTextFormattedCitation" : "(Newbold et al., 2015b)", "previouslyFormattedCitation" : "(Newbold et al., 2015b)" }, "properties" : {  }, "schema" : "https://github.com/citation-style-language/schema/raw/master/csl-citation.json" }</w:instrText>
      </w:r>
      <w:r w:rsidRPr="00B85A9E">
        <w:rPr>
          <w:rFonts w:cs="Times New Roman"/>
          <w:szCs w:val="20"/>
        </w:rPr>
        <w:fldChar w:fldCharType="separate"/>
      </w:r>
      <w:r w:rsidRPr="00B85A9E">
        <w:rPr>
          <w:rFonts w:cs="Times New Roman"/>
          <w:noProof/>
          <w:szCs w:val="20"/>
        </w:rPr>
        <w:t>(Newbold et al., 2015)</w:t>
      </w:r>
      <w:r w:rsidRPr="00B85A9E">
        <w:rPr>
          <w:rFonts w:cs="Times New Roman"/>
          <w:szCs w:val="20"/>
        </w:rPr>
        <w:fldChar w:fldCharType="end"/>
      </w:r>
      <w:r w:rsidRPr="00B85A9E">
        <w:rPr>
          <w:rFonts w:cs="Times New Roman"/>
          <w:szCs w:val="20"/>
        </w:rPr>
        <w:t xml:space="preserve">. </w:t>
      </w:r>
    </w:p>
    <w:p w14:paraId="73D742E1" w14:textId="77777777" w:rsidR="00F1283E" w:rsidRPr="00563988" w:rsidRDefault="00F1283E" w:rsidP="00F1283E">
      <w:pPr>
        <w:pStyle w:val="ListParagraph"/>
        <w:numPr>
          <w:ilvl w:val="0"/>
          <w:numId w:val="4"/>
        </w:numPr>
        <w:contextualSpacing w:val="0"/>
        <w:rPr>
          <w:rFonts w:cs="Times New Roman"/>
          <w:bCs/>
          <w:szCs w:val="20"/>
        </w:rPr>
      </w:pPr>
      <w:r>
        <w:rPr>
          <w:rFonts w:cs="Times New Roman"/>
          <w:szCs w:val="20"/>
        </w:rPr>
        <w:t>Under a trend (roughly equivalent to BAU) scenario, a near linear decline</w:t>
      </w:r>
      <w:r w:rsidRPr="00B85A9E">
        <w:rPr>
          <w:rFonts w:cs="Times New Roman"/>
          <w:szCs w:val="20"/>
        </w:rPr>
        <w:t xml:space="preserve"> in mean species abundance (MSA) </w:t>
      </w:r>
      <w:r>
        <w:rPr>
          <w:rFonts w:cs="Times New Roman"/>
          <w:szCs w:val="20"/>
        </w:rPr>
        <w:t xml:space="preserve">out to 2050 was projected </w:t>
      </w:r>
      <w:r w:rsidRPr="004478A0">
        <w:rPr>
          <w:rFonts w:cs="Times New Roman"/>
          <w:szCs w:val="20"/>
        </w:rPr>
        <w:fldChar w:fldCharType="begin" w:fldLock="1"/>
      </w:r>
      <w:r>
        <w:rPr>
          <w:rFonts w:cs="Times New Roman"/>
          <w:szCs w:val="20"/>
        </w:rPr>
        <w:instrText>ADDIN CSL_CITATION { "citationItems" : [ { "id" : "ITEM-1", "itemData" : { "DOI" : "10.1016/J.TECHFORE.2015.03.005", "ISSN" : "0040-1625", "container-title" : "Technological Forecasting and Social Change", "id" : "ITEM-1", "issued" : { "date-parts" : [ [ "2015", "9", "1" ] ] }, "page" : "303-323", "publisher" : "North-Holland", "title" : "Pathways to achieve a set of ambitious global sustainability objectives by 2050: Explorations using the IMAGE integrated assessment model", "type" : "article-journal", "volume" : "98" }, "uris" : [ "http://www.mendeley.com/documents/?uuid=9c76bcee-35b9-3a8b-8d16-7ee65f222ef2" ] } ], "mendeley" : { "formattedCitation" : "(Anon, 2015)", "manualFormatting" : "(van Vuuren et al. 2015)", "plainTextFormattedCitation" : "(Anon, 2015)", "previouslyFormattedCitation" : "(Anon, 2015)" }, "properties" : {  }, "schema" : "https://github.com/citation-style-language/schema/raw/master/csl-citation.json" }</w:instrText>
      </w:r>
      <w:r w:rsidRPr="004478A0">
        <w:rPr>
          <w:rFonts w:cs="Times New Roman"/>
          <w:szCs w:val="20"/>
        </w:rPr>
        <w:fldChar w:fldCharType="separate"/>
      </w:r>
      <w:r w:rsidRPr="004478A0">
        <w:rPr>
          <w:rFonts w:cs="Times New Roman"/>
          <w:noProof/>
          <w:szCs w:val="20"/>
        </w:rPr>
        <w:t>(</w:t>
      </w:r>
      <w:r>
        <w:rPr>
          <w:rFonts w:cs="Times New Roman"/>
          <w:noProof/>
          <w:szCs w:val="20"/>
        </w:rPr>
        <w:t>van Vuuren et al. 2015</w:t>
      </w:r>
      <w:r w:rsidRPr="004478A0">
        <w:rPr>
          <w:rFonts w:cs="Times New Roman"/>
          <w:noProof/>
          <w:szCs w:val="20"/>
        </w:rPr>
        <w:t>)</w:t>
      </w:r>
      <w:r w:rsidRPr="004478A0">
        <w:rPr>
          <w:rFonts w:cs="Times New Roman"/>
          <w:szCs w:val="20"/>
        </w:rPr>
        <w:fldChar w:fldCharType="end"/>
      </w:r>
      <w:r w:rsidRPr="00B85A9E">
        <w:rPr>
          <w:rFonts w:cs="Times New Roman"/>
          <w:szCs w:val="20"/>
        </w:rPr>
        <w:t>.</w:t>
      </w:r>
      <w:r>
        <w:rPr>
          <w:rFonts w:cs="Times New Roman"/>
          <w:szCs w:val="20"/>
        </w:rPr>
        <w:t xml:space="preserve"> Projections of mean extinction risk for mammals and birds in southeast Asia, India, China, sub-Saharan Africa, and tropical South America under a 2060 BAU scenario (Tilman et al. 2017) indicated substantial increases in risk for animals of all sizes due to increasing cropland area, ultimately driven by population growth and changing incomes. The greatest increase in risk was associated with mammals in sub-Saharan Africa.</w:t>
      </w:r>
    </w:p>
    <w:p w14:paraId="242DA4C1" w14:textId="77777777" w:rsidR="00F1283E" w:rsidRPr="00B85A9E" w:rsidRDefault="00F1283E" w:rsidP="00F1283E">
      <w:pPr>
        <w:pStyle w:val="ListParagraph"/>
        <w:numPr>
          <w:ilvl w:val="0"/>
          <w:numId w:val="4"/>
        </w:numPr>
        <w:contextualSpacing w:val="0"/>
        <w:rPr>
          <w:rFonts w:cs="Times New Roman"/>
          <w:bCs/>
          <w:szCs w:val="20"/>
        </w:rPr>
      </w:pPr>
      <w:r>
        <w:rPr>
          <w:rFonts w:cs="Times New Roman"/>
          <w:szCs w:val="20"/>
        </w:rPr>
        <w:t>Changes in terrestrial biodiversity hotspots</w:t>
      </w:r>
      <w:r>
        <w:t>—</w:t>
      </w:r>
      <w:r>
        <w:rPr>
          <w:rFonts w:cs="Times New Roman"/>
          <w:szCs w:val="20"/>
        </w:rPr>
        <w:t>areas of high vulnerability and irreplaceability</w:t>
      </w:r>
      <w:r>
        <w:t>—</w:t>
      </w:r>
      <w:r>
        <w:rPr>
          <w:rFonts w:cs="Times New Roman"/>
          <w:szCs w:val="20"/>
        </w:rPr>
        <w:t>have also been projected by examining the area retaining existing climate or conversely changing to novel conditions (Bellard et al. 2014). On average, 16% of land area within hotspots experienced a ‘novel’ climate by 2070-2099 under a BAU scenario</w:t>
      </w:r>
      <w:r>
        <w:rPr>
          <w:rStyle w:val="FootnoteReference"/>
          <w:rFonts w:cs="Times New Roman"/>
          <w:szCs w:val="20"/>
        </w:rPr>
        <w:footnoteReference w:id="20"/>
      </w:r>
      <w:r>
        <w:rPr>
          <w:rFonts w:cs="Times New Roman"/>
          <w:szCs w:val="20"/>
        </w:rPr>
        <w:t>. It was also calculated that climate change could negatively impact around 25% of endemic species within hotspots, on average, and furthermore that most hotspots may be suitable for fewer invasive alien species due to a changing climate, though still relatively high numbers in absolute terms, and with some islands and island groups projected to be vulnerable (Bellard et al. 2014).</w:t>
      </w:r>
    </w:p>
    <w:p w14:paraId="06165310" w14:textId="77777777" w:rsidR="00F1283E" w:rsidRPr="00955F0C" w:rsidRDefault="00F1283E" w:rsidP="00F1283E">
      <w:pPr>
        <w:rPr>
          <w:rFonts w:cs="Times New Roman"/>
          <w:bCs/>
          <w:i/>
          <w:szCs w:val="20"/>
        </w:rPr>
      </w:pPr>
      <w:r>
        <w:rPr>
          <w:rFonts w:cs="Times New Roman"/>
          <w:bCs/>
          <w:i/>
          <w:szCs w:val="20"/>
        </w:rPr>
        <w:t>IIA.3. Biodiversity trends under alternative scenarios</w:t>
      </w:r>
    </w:p>
    <w:p w14:paraId="217D4336" w14:textId="77777777" w:rsidR="00F1283E" w:rsidRDefault="00F1283E" w:rsidP="00F1283E">
      <w:pPr>
        <w:pStyle w:val="ListParagraph"/>
        <w:numPr>
          <w:ilvl w:val="0"/>
          <w:numId w:val="4"/>
        </w:numPr>
        <w:contextualSpacing w:val="0"/>
      </w:pPr>
      <w:r>
        <w:t xml:space="preserve">Common to all three GBO4 alternative scenarios (also described in CBD/SBSTTA/21/2, Paragraphs 38-42), relative to the BAU projections, were reductions in impacts on terrestrial species biodiversity (population sizes, Red List Index status, local species richness, and mean species abundance), and an increase in food crop production. In addition, halting deforestation and implementing reforestation were highlighted as making important contributions to both mitigating climate change and protecting biodiversity. Reductions in GHGs and an increase in energy efficiency were needed to meet climate goals, and moreover, biodiversity goals could only be </w:t>
      </w:r>
      <w:r>
        <w:lastRenderedPageBreak/>
        <w:t>achieved if a substantial deployment of biofuels was avoided. Transformation of systems of food production, distribution, and consumption could contribute towards both meeting human demands and reducing pressures and impacts on biodiversity. Other policy tools could include, among others, reducing ecosystem degradation and fragmentation, and reducing overexploitation.</w:t>
      </w:r>
    </w:p>
    <w:p w14:paraId="5D884382" w14:textId="77777777" w:rsidR="00F1283E" w:rsidRDefault="00F1283E" w:rsidP="00F1283E">
      <w:pPr>
        <w:pStyle w:val="ListParagraph"/>
        <w:numPr>
          <w:ilvl w:val="0"/>
          <w:numId w:val="4"/>
        </w:numPr>
        <w:spacing w:line="270" w:lineRule="atLeast"/>
        <w:contextualSpacing w:val="0"/>
        <w:rPr>
          <w:rFonts w:cs="Times New Roman"/>
          <w:bCs/>
          <w:szCs w:val="20"/>
        </w:rPr>
      </w:pPr>
      <w:r>
        <w:rPr>
          <w:rFonts w:cs="Times New Roman"/>
          <w:bCs/>
          <w:szCs w:val="20"/>
        </w:rPr>
        <w:t>In some cases, projections</w:t>
      </w:r>
      <w:r w:rsidRPr="00955F0C">
        <w:rPr>
          <w:rFonts w:cs="Times New Roman"/>
          <w:bCs/>
          <w:szCs w:val="20"/>
        </w:rPr>
        <w:t xml:space="preserve"> of terrestrial biodiversity to 2050 </w:t>
      </w:r>
      <w:r>
        <w:rPr>
          <w:rFonts w:cs="Times New Roman"/>
          <w:bCs/>
          <w:szCs w:val="20"/>
        </w:rPr>
        <w:t>using alternative scenarios</w:t>
      </w:r>
      <w:r w:rsidRPr="00955F0C">
        <w:rPr>
          <w:rFonts w:cs="Times New Roman"/>
          <w:bCs/>
          <w:szCs w:val="20"/>
        </w:rPr>
        <w:t xml:space="preserve"> </w:t>
      </w:r>
      <w:r>
        <w:rPr>
          <w:rFonts w:cs="Times New Roman"/>
          <w:bCs/>
          <w:szCs w:val="20"/>
        </w:rPr>
        <w:t xml:space="preserve">developed since GBO-4, </w:t>
      </w:r>
      <w:r w:rsidRPr="00955F0C">
        <w:rPr>
          <w:rFonts w:cs="Times New Roman"/>
          <w:bCs/>
          <w:szCs w:val="20"/>
        </w:rPr>
        <w:t>identify ways to at least partially meet the 2050 Vision through specific policy c</w:t>
      </w:r>
      <w:r>
        <w:rPr>
          <w:rFonts w:cs="Times New Roman"/>
          <w:bCs/>
          <w:szCs w:val="20"/>
        </w:rPr>
        <w:t>hoices</w:t>
      </w:r>
      <w:r w:rsidRPr="00955F0C">
        <w:rPr>
          <w:rFonts w:cs="Times New Roman"/>
          <w:bCs/>
          <w:szCs w:val="20"/>
        </w:rPr>
        <w:t>.</w:t>
      </w:r>
      <w:r>
        <w:rPr>
          <w:rFonts w:cs="Times New Roman"/>
          <w:bCs/>
          <w:szCs w:val="20"/>
        </w:rPr>
        <w:t xml:space="preserve"> Negative interactions between climate change and land use change on biodiversity have been identified, as have potential positive interactions between climate change policy and biodiversity consequences, for example through reforestation. Further details are provided in the paragraphs below. </w:t>
      </w:r>
    </w:p>
    <w:p w14:paraId="4F92CAB6" w14:textId="77777777" w:rsidR="00F1283E" w:rsidRPr="00955F0C" w:rsidRDefault="00F1283E" w:rsidP="00F1283E">
      <w:pPr>
        <w:pStyle w:val="ListParagraph"/>
        <w:numPr>
          <w:ilvl w:val="0"/>
          <w:numId w:val="4"/>
        </w:numPr>
        <w:ind w:left="357" w:hanging="357"/>
        <w:contextualSpacing w:val="0"/>
        <w:rPr>
          <w:rFonts w:cs="Times New Roman"/>
          <w:bCs/>
          <w:szCs w:val="20"/>
        </w:rPr>
      </w:pPr>
      <w:r w:rsidRPr="00955F0C">
        <w:rPr>
          <w:rFonts w:cs="Times New Roman"/>
          <w:szCs w:val="20"/>
        </w:rPr>
        <w:t xml:space="preserve">Visconti </w:t>
      </w:r>
      <w:r w:rsidRPr="00503438">
        <w:rPr>
          <w:rFonts w:cs="Times New Roman"/>
          <w:szCs w:val="20"/>
        </w:rPr>
        <w:t>et al</w:t>
      </w:r>
      <w:r w:rsidRPr="00955F0C">
        <w:rPr>
          <w:rFonts w:cs="Times New Roman"/>
          <w:i/>
          <w:szCs w:val="20"/>
        </w:rPr>
        <w:t xml:space="preserve"> </w:t>
      </w:r>
      <w:r>
        <w:rPr>
          <w:rFonts w:cs="Times New Roman"/>
          <w:szCs w:val="20"/>
        </w:rPr>
        <w:t>(2016) examined a ‘Consumption Change’</w:t>
      </w:r>
      <w:r w:rsidRPr="00955F0C">
        <w:rPr>
          <w:rFonts w:cs="Times New Roman"/>
          <w:szCs w:val="20"/>
        </w:rPr>
        <w:t xml:space="preserve"> scenario</w:t>
      </w:r>
      <w:r>
        <w:rPr>
          <w:rStyle w:val="FootnoteReference"/>
          <w:rFonts w:cs="Times New Roman"/>
          <w:szCs w:val="20"/>
        </w:rPr>
        <w:footnoteReference w:id="21"/>
      </w:r>
      <w:r w:rsidRPr="00955F0C">
        <w:rPr>
          <w:rFonts w:cs="Times New Roman"/>
          <w:bCs/>
          <w:szCs w:val="20"/>
        </w:rPr>
        <w:t xml:space="preserve">, </w:t>
      </w:r>
      <w:r>
        <w:rPr>
          <w:rFonts w:cs="Times New Roman"/>
          <w:bCs/>
          <w:szCs w:val="20"/>
        </w:rPr>
        <w:t xml:space="preserve">in which </w:t>
      </w:r>
      <w:r w:rsidRPr="00955F0C">
        <w:rPr>
          <w:rFonts w:cs="Times New Roman"/>
          <w:bCs/>
          <w:szCs w:val="20"/>
        </w:rPr>
        <w:t xml:space="preserve">a set of sustainable development goals on climate change, biodiversity and human well-being </w:t>
      </w:r>
      <w:r>
        <w:rPr>
          <w:rFonts w:cs="Times New Roman"/>
          <w:bCs/>
          <w:szCs w:val="20"/>
        </w:rPr>
        <w:t>were</w:t>
      </w:r>
      <w:r w:rsidRPr="00955F0C">
        <w:rPr>
          <w:rFonts w:cs="Times New Roman"/>
          <w:bCs/>
          <w:szCs w:val="20"/>
        </w:rPr>
        <w:t xml:space="preserve"> achieved through changes in production, consumption, waste, protected areas, and forestry, among others. This scenario showed a reduction in extinction risk, especially in the tropics, and </w:t>
      </w:r>
      <w:r>
        <w:rPr>
          <w:rFonts w:cs="Times New Roman"/>
          <w:bCs/>
          <w:szCs w:val="20"/>
        </w:rPr>
        <w:t xml:space="preserve">a decline in </w:t>
      </w:r>
      <w:r w:rsidRPr="00955F0C">
        <w:rPr>
          <w:rFonts w:cs="Times New Roman"/>
          <w:bCs/>
          <w:szCs w:val="20"/>
        </w:rPr>
        <w:t xml:space="preserve">population losses compared to </w:t>
      </w:r>
      <w:r w:rsidRPr="00116B05">
        <w:rPr>
          <w:rFonts w:cs="Times New Roman"/>
          <w:bCs/>
          <w:szCs w:val="20"/>
        </w:rPr>
        <w:t>BAU</w:t>
      </w:r>
      <w:r>
        <w:rPr>
          <w:rFonts w:cs="Times New Roman"/>
          <w:bCs/>
          <w:szCs w:val="20"/>
        </w:rPr>
        <w:t>. F</w:t>
      </w:r>
      <w:r w:rsidRPr="00955F0C">
        <w:rPr>
          <w:rFonts w:cs="Times New Roman"/>
          <w:bCs/>
          <w:szCs w:val="20"/>
        </w:rPr>
        <w:t xml:space="preserve">urthermore the policy mix under consideration also contributed towards meeting other societal development goals, suggesting that scenarios with ambitious </w:t>
      </w:r>
      <w:r>
        <w:rPr>
          <w:rFonts w:cs="Times New Roman"/>
          <w:bCs/>
          <w:szCs w:val="20"/>
        </w:rPr>
        <w:t xml:space="preserve">longer-term </w:t>
      </w:r>
      <w:r w:rsidRPr="00955F0C">
        <w:rPr>
          <w:rFonts w:cs="Times New Roman"/>
          <w:bCs/>
          <w:szCs w:val="20"/>
        </w:rPr>
        <w:t xml:space="preserve">policies can be compatible with </w:t>
      </w:r>
      <w:r>
        <w:rPr>
          <w:rFonts w:cs="Times New Roman"/>
          <w:bCs/>
          <w:szCs w:val="20"/>
        </w:rPr>
        <w:t xml:space="preserve">near-term </w:t>
      </w:r>
      <w:r w:rsidRPr="00955F0C">
        <w:rPr>
          <w:rFonts w:cs="Times New Roman"/>
          <w:bCs/>
          <w:szCs w:val="20"/>
        </w:rPr>
        <w:t>biodiversity goals</w:t>
      </w:r>
      <w:r>
        <w:rPr>
          <w:rFonts w:cs="Times New Roman"/>
          <w:bCs/>
          <w:szCs w:val="20"/>
        </w:rPr>
        <w:t xml:space="preserve"> </w:t>
      </w:r>
      <w:r>
        <w:rPr>
          <w:rFonts w:cs="Times New Roman"/>
          <w:bCs/>
          <w:szCs w:val="20"/>
        </w:rPr>
        <w:fldChar w:fldCharType="begin" w:fldLock="1"/>
      </w:r>
      <w:r>
        <w:rPr>
          <w:rFonts w:cs="Times New Roman"/>
          <w:bCs/>
          <w:szCs w:val="20"/>
        </w:rPr>
        <w:instrText>ADDIN CSL_CITATION { "citationItems" : [ { "id" : "ITEM-1", "itemData" : { "DOI" : "10.1111/conl.12159", "ISSN" : "1755263X", "author" : [ { "dropping-particle" : "", "family" : "Visconti", "given" : "Piero", "non-dropping-particle" : "", "parse-names" : false, "suffix" : "" }, { "dropping-particle" : "", "family" : "Bakkenes", "given" : "Michel", "non-dropping-particle" : "", "parse-names" : false, "suffix" : "" }, { "dropping-particle" : "", "family" : "Baisero", "given" : "Daniele", "non-dropping-particle" : "", "parse-names" : false, "suffix" : "" }, { "dropping-particle" : "", "family" : "Brooks", "given" : "Thomas", "non-dropping-particle" : "", "parse-names" : false, "suffix" : "" }, { "dropping-particle" : "", "family" : "Butchart", "given" : "Stuart H. M.", "non-dropping-particle" : "", "parse-names" : false, "suffix" : "" }, { "dropping-particle" : "", "family" : "Joppa", "given" : "Lucas", "non-dropping-particle" : "", "parse-names" : false, "suffix" : "" }, { "dropping-particle" : "", "family" : "Alkemade", "given" : "Rob", "non-dropping-particle" : "", "parse-names" : false, "suffix" : "" }, { "dropping-particle" : "", "family" : "Marco", "given" : "Moreno", "non-dropping-particle" : "Di", "parse-names" : false, "suffix" : "" }, { "dropping-particle" : "", "family" : "Santini", "given" : "Luca", "non-dropping-particle" : "", "parse-names" : false, "suffix" : "" }, { "dropping-particle" : "", "family" : "Hoffmann", "given" : "Michael", "non-dropping-particle" : "", "parse-names" : false, "suffix" : "" }, { "dropping-particle" : "", "family" : "Maiorano", "given" : "Luigi", "non-dropping-particle" : "", "parse-names" : false, "suffix" : "" }, { "dropping-particle" : "", "family" : "Pressey", "given" : "Robert L.", "non-dropping-particle" : "", "parse-names" : false, "suffix" : "" }, { "dropping-particle" : "", "family" : "Arponen", "given" : "Anni", "non-dropping-particle" : "", "parse-names" : false, "suffix" : "" }, { "dropping-particle" : "", "family" : "Boitani", "given" : "Luigi", "non-dropping-particle" : "", "parse-names" : false, "suffix" : "" }, { "dropping-particle" : "", "family" : "Reside", "given" : "April E.", "non-dropping-particle" : "", "parse-names" : false, "suffix" : "" }, { "dropping-particle" : "", "family" : "Vuuren", "given" : "Detlef P.", "non-dropping-particle" : "van", "parse-names" : false, "suffix" : "" }, { "dropping-particle" : "", "family" : "Rondinini", "given" : "Carlo", "non-dropping-particle" : "", "parse-names" : false, "suffix" : "" } ], "container-title" : "Conservation Letters", "id" : "ITEM-1", "issue" : "1", "issued" : { "date-parts" : [ [ "2016", "1", "1" ] ] }, "page" : "5-13", "title" : "Projecting Global Biodiversity Indicators under Future Development Scenarios", "type" : "article-journal", "volume" : "9" }, "uris" : [ "http://www.mendeley.com/documents/?uuid=edb44cd9-a0d5-3480-9bf5-d21327c420db" ] } ], "mendeley" : { "formattedCitation" : "(Visconti et al., 2016)", "plainTextFormattedCitation" : "(Visconti et al., 2016)", "previouslyFormattedCitation" : "(Visconti et al., 2016)" }, "properties" : {  }, "schema" : "https://github.com/citation-style-language/schema/raw/master/csl-citation.json" }</w:instrText>
      </w:r>
      <w:r>
        <w:rPr>
          <w:rFonts w:cs="Times New Roman"/>
          <w:bCs/>
          <w:szCs w:val="20"/>
        </w:rPr>
        <w:fldChar w:fldCharType="separate"/>
      </w:r>
      <w:r w:rsidRPr="00693765">
        <w:rPr>
          <w:rFonts w:cs="Times New Roman"/>
          <w:bCs/>
          <w:noProof/>
          <w:szCs w:val="20"/>
        </w:rPr>
        <w:t>(Visconti et al., 2016)</w:t>
      </w:r>
      <w:r>
        <w:rPr>
          <w:rFonts w:cs="Times New Roman"/>
          <w:bCs/>
          <w:szCs w:val="20"/>
        </w:rPr>
        <w:fldChar w:fldCharType="end"/>
      </w:r>
      <w:r w:rsidRPr="00955F0C">
        <w:rPr>
          <w:rFonts w:cs="Times New Roman"/>
          <w:bCs/>
          <w:szCs w:val="20"/>
        </w:rPr>
        <w:t xml:space="preserve">. </w:t>
      </w:r>
    </w:p>
    <w:p w14:paraId="4D7784F4" w14:textId="77777777" w:rsidR="00F1283E" w:rsidRPr="00156856" w:rsidRDefault="00F1283E" w:rsidP="00F1283E">
      <w:pPr>
        <w:pStyle w:val="ListParagraph"/>
        <w:numPr>
          <w:ilvl w:val="0"/>
          <w:numId w:val="4"/>
        </w:numPr>
        <w:ind w:left="357" w:hanging="357"/>
        <w:contextualSpacing w:val="0"/>
        <w:rPr>
          <w:rFonts w:cs="Times New Roman"/>
          <w:bCs/>
          <w:szCs w:val="20"/>
        </w:rPr>
      </w:pPr>
      <w:r w:rsidRPr="00156856">
        <w:rPr>
          <w:rFonts w:cs="Times New Roman"/>
          <w:bCs/>
          <w:szCs w:val="20"/>
        </w:rPr>
        <w:fldChar w:fldCharType="begin" w:fldLock="1"/>
      </w:r>
      <w:r>
        <w:rPr>
          <w:rFonts w:cs="Times New Roman"/>
          <w:bCs/>
          <w:szCs w:val="20"/>
        </w:rPr>
        <w:instrText>ADDIN CSL_CITATION { "citationItems" : [ { "id" : "ITEM-1", "itemData" : { "DOI" : "10.1038/nature14324", "ISSN" : "0028-0836", "abstract" : "&lt;p&gt;Analysis of a global data set of local biodiversity comparisons reveals an average 13.6% reduction in species richness and 10.7% reduction in abundance as a result of past human land use, and projections based on these data under a business-as-usual land-use scenario pred&amp;hellip;&lt;/p&gt;", "author" : [ { "dropping-particle" : "", "family" : "Newbold", "given" : "Tim", "non-dropping-particle" : "", "parse-names" : false, "suffix" : "" }, { "dropping-particle" : "", "family" : "Hudson", "given" : "Lawrence N.", "non-dropping-particle" : "", "parse-names" : false, "suffix" : "" }, { "dropping-particle" : "", "family" : "Hill", "given" : "Samantha L. L.", "non-dropping-particle" : "", "parse-names" : false, "suffix" : "" }, { "dropping-particle" : "", "family" : "Contu", "given" : "Sara", "non-dropping-particle" : "", "parse-names" : false, "suffix" : "" }, { "dropping-particle" : "", "family" : "Lysenko", "given" : "Igor", "non-dropping-particle" : "", "parse-names" : false, "suffix" : "" }, { "dropping-particle" : "", "family" : "Senior", "given" : "Rebecca A.", "non-dropping-particle" : "", "parse-names" : false, "suffix" : "" }, { "dropping-particle" : "", "family" : "B\u00f6rger", "given" : "Luca", "non-dropping-particle" : "", "parse-names" : false, "suffix" : "" }, { "dropping-particle" : "", "family" : "Bennett", "given" : "Dominic J.", "non-dropping-particle" : "", "parse-names" : false, "suffix" : "" }, { "dropping-particle" : "", "family" : "Choimes", "given" : "Argyrios", "non-dropping-particle" : "", "parse-names" : false, "suffix" : "" }, { "dropping-particle" : "", "family" : "Collen", "given" : "Ben", "non-dropping-particle" : "", "parse-names" : false, "suffix" : "" }, { "dropping-particle" : "", "family" : "Day", "given" : "Julie", "non-dropping-particle" : "", "parse-names" : false, "suffix" : "" }, { "dropping-particle" : "", "family" : "Palma", "given" : "Adriana", "non-dropping-particle" : "De", "parse-names" : false, "suffix" : "" }, { "dropping-particle" : "", "family" : "D\u00edaz", "given" : "Sandra", "non-dropping-particle" : "", "parse-names" : false, "suffix" : "" }, { "dropping-particle" : "", "family" : "Echeverria-Londo\u00f1o", "given" : "Susy", "non-dropping-particle" : "", "parse-names" : false, "suffix" : "" }, { "dropping-particle" : "", "family" : "Edgar", "given" : "Melanie J.", "non-dropping-particle" : "", "parse-names" : false, "suffix" : "" }, { "dropping-particle" : "", "family" : "Feldman", "given" : "Anat", "non-dropping-particle" : "", "parse-names" : false, "suffix" : "" }, { "dropping-particle" : "", "family" : "Garon", "given" : "Morgan", "non-dropping-particle" : "", "parse-names" : false, "suffix" : "" }, { "dropping-particle" : "", "family" : "Harrison", "given" : "Michelle L. K.", "non-dropping-particle" : "", "parse-names" : false, "suffix" : "" }, { "dropping-particle" : "", "family" : "Alhusseini", "given" : "Tamera", "non-dropping-particle" : "", "parse-names" : false, "suffix" : "" }, { "dropping-particle" : "", "family" : "Ingram", "given" : "Daniel J.", "non-dropping-particle" : "", "parse-names" : false, "suffix" : "" }, { "dropping-particle" : "", "family" : "Itescu", "given" : "Yuval", "non-dropping-particle" : "", "parse-names" : false, "suffix" : "" }, { "dropping-particle" : "", "family" : "Kattge", "given" : "Jens", "non-dropping-particle" : "", "parse-names" : false, "suffix" : "" }, { "dropping-particle" : "", "family" : "Kemp", "given" : "Victoria", "non-dropping-particle" : "", "parse-names" : false, "suffix" : "" }, { "dropping-particle" : "", "family" : "Kirkpatrick", "given" : "Lucinda", "non-dropping-particle" : "", "parse-names" : false, "suffix" : "" }, { "dropping-particle" : "", "family" : "Kleyer", "given" : "Michael", "non-dropping-particle" : "", "parse-names" : false, "suffix" : "" }, { "dropping-particle" : "", "family" : "Correia", "given" : "David Laginha Pinto", "non-dropping-particle" : "", "parse-names" : false, "suffix" : "" }, { "dropping-particle" : "", "family" : "Martin", "given" : "Callum D.", "non-dropping-particle" : "", "parse-names" : false, "suffix" : "" }, { "dropping-particle" : "", "family" : "Meiri", "given" : "Shai", "non-dropping-particle" : "", "parse-names" : false, "suffix" : "" }, { "dropping-particle" : "", "family" : "Novosolov", "given" : "Maria", "non-dropping-particle" : "", "parse-names" : false, "suffix" : "" }, { "dropping-particle" : "", "family" : "Pan", "given" : "Yuan", "non-dropping-particle" : "", "parse-names" : false, "suffix" : "" }, { "dropping-particle" : "", "family" : "Phillips", "given" : "Helen R. P.", "non-dropping-particle" : "", "parse-names" : false, "suffix" : "" }, { "dropping-particle" : "", "family" : "Purves", "given" : "Drew W.", "non-dropping-particle" : "", "parse-names" : false, "suffix" : "" }, { "dropping-particle" : "", "family" : "Robinson", "given" : "Alexandra", "non-dropping-particle" : "", "parse-names" : false, "suffix" : "" }, { "dropping-particle" : "", "family" : "Simpson", "given" : "Jake", "non-dropping-particle" : "", "parse-names" : false, "suffix" : "" }, { "dropping-particle" : "", "family" : "Tuck", "given" : "Sean L.", "non-dropping-particle" : "", "parse-names" : false, "suffix" : "" }, { "dropping-particle" : "", "family" : "Weiher", "given" : "Evan", "non-dropping-particle" : "", "parse-names" : false, "suffix" : "" }, { "dropping-particle" : "", "family" : "White", "given" : "Hannah J.", "non-dropping-particle" : "", "parse-names" : false, "suffix" : "" }, { "dropping-particle" : "", "family" : "Ewers", "given" : "Robert M.", "non-dropping-particle" : "", "parse-names" : false, "suffix" : "" }, { "dropping-particle" : "", "family" : "Mace", "given" : "Georgina M.", "non-dropping-particle" : "", "parse-names" : false, "suffix" : "" }, { "dropping-particle" : "", "family" : "Scharlemann", "given" : "J\u00f6rn P. W.", "non-dropping-particle" : "", "parse-names" : false, "suffix" : "" }, { "dropping-particle" : "", "family" : "Purvis", "given" : "Andy", "non-dropping-particle" : "", "parse-names" : false, "suffix" : "" } ], "container-title" : "Nature", "id" : "ITEM-1", "issue" : "7545", "issued" : { "date-parts" : [ [ "2015", "4", "1" ] ] }, "page" : "45-50", "publisher" : "Nature Publishing Group", "title" : "Global effects of land use on local terrestrial biodiversity", "type" : "article-journal", "volume" : "520" }, "uris" : [ "http://www.mendeley.com/documents/?uuid=1d641616-36b2-3643-ae1b-140c8015904f" ] } ], "mendeley" : { "formattedCitation" : "(Newbold et al., 2015a)", "manualFormatting" : "Newbold et al. (2015)", "plainTextFormattedCitation" : "(Newbold et al., 2015a)", "previouslyFormattedCitation" : "(Newbold et al., 2015a)" }, "properties" : {  }, "schema" : "https://github.com/citation-style-language/schema/raw/master/csl-citation.json" }</w:instrText>
      </w:r>
      <w:r w:rsidRPr="00156856">
        <w:rPr>
          <w:rFonts w:cs="Times New Roman"/>
          <w:bCs/>
          <w:szCs w:val="20"/>
        </w:rPr>
        <w:fldChar w:fldCharType="separate"/>
      </w:r>
      <w:r w:rsidRPr="00156856">
        <w:rPr>
          <w:rFonts w:cs="Times New Roman"/>
          <w:bCs/>
          <w:noProof/>
          <w:szCs w:val="20"/>
        </w:rPr>
        <w:t>Newbold et al. (2015)</w:t>
      </w:r>
      <w:r w:rsidRPr="00156856">
        <w:rPr>
          <w:rFonts w:cs="Times New Roman"/>
          <w:bCs/>
          <w:szCs w:val="20"/>
        </w:rPr>
        <w:fldChar w:fldCharType="end"/>
      </w:r>
      <w:r w:rsidRPr="00156856">
        <w:rPr>
          <w:rFonts w:cs="Times New Roman"/>
          <w:bCs/>
          <w:szCs w:val="20"/>
        </w:rPr>
        <w:t>, examined biodiversity changes to 2095 under land use change scenarios associated with the various RCP scenarios. The strongest climate mitigation (low emissions) scenario</w:t>
      </w:r>
      <w:r w:rsidRPr="00156856">
        <w:rPr>
          <w:rStyle w:val="FootnoteReference"/>
        </w:rPr>
        <w:footnoteReference w:id="22"/>
      </w:r>
      <w:r w:rsidRPr="00156856">
        <w:rPr>
          <w:rFonts w:cs="Times New Roman"/>
          <w:bCs/>
          <w:szCs w:val="20"/>
        </w:rPr>
        <w:t xml:space="preserve"> assumes substantial conversion of land to biofuels and other agriculture, and therefore </w:t>
      </w:r>
      <w:r>
        <w:rPr>
          <w:rFonts w:cs="Times New Roman"/>
          <w:bCs/>
          <w:szCs w:val="20"/>
        </w:rPr>
        <w:t>led</w:t>
      </w:r>
      <w:r w:rsidRPr="00156856">
        <w:rPr>
          <w:rFonts w:cs="Times New Roman"/>
          <w:bCs/>
          <w:szCs w:val="20"/>
        </w:rPr>
        <w:t xml:space="preserve"> to </w:t>
      </w:r>
      <w:r>
        <w:rPr>
          <w:rFonts w:cs="Times New Roman"/>
          <w:bCs/>
          <w:szCs w:val="20"/>
        </w:rPr>
        <w:t xml:space="preserve">a </w:t>
      </w:r>
      <w:r w:rsidRPr="00156856">
        <w:rPr>
          <w:rFonts w:cs="Times New Roman"/>
          <w:bCs/>
          <w:szCs w:val="20"/>
        </w:rPr>
        <w:t xml:space="preserve">very negative outcome for biodiversity. </w:t>
      </w:r>
      <w:r>
        <w:rPr>
          <w:rFonts w:cs="Times New Roman"/>
          <w:bCs/>
          <w:szCs w:val="20"/>
        </w:rPr>
        <w:t xml:space="preserve">However, </w:t>
      </w:r>
      <w:r w:rsidRPr="00156856">
        <w:rPr>
          <w:rFonts w:cs="Times New Roman"/>
          <w:bCs/>
          <w:szCs w:val="20"/>
        </w:rPr>
        <w:t xml:space="preserve">the scenario associated with a medium </w:t>
      </w:r>
      <w:r>
        <w:rPr>
          <w:rFonts w:cs="Times New Roman"/>
          <w:bCs/>
          <w:szCs w:val="20"/>
        </w:rPr>
        <w:t xml:space="preserve">level of climate </w:t>
      </w:r>
      <w:r w:rsidRPr="00156856">
        <w:rPr>
          <w:rFonts w:cs="Times New Roman"/>
          <w:bCs/>
          <w:szCs w:val="20"/>
        </w:rPr>
        <w:t>mitigation</w:t>
      </w:r>
      <w:r w:rsidRPr="00156856">
        <w:rPr>
          <w:rStyle w:val="FootnoteReference"/>
        </w:rPr>
        <w:footnoteReference w:id="23"/>
      </w:r>
      <w:r w:rsidRPr="00156856">
        <w:rPr>
          <w:rFonts w:cs="Times New Roman"/>
          <w:bCs/>
          <w:szCs w:val="20"/>
        </w:rPr>
        <w:t xml:space="preserve"> projected an increase in mean local richness relative to 2005; this scenario has carbon pricing leading to greater preservation of primary forest, and reforestation of secondary forest, thus highlighting potential interactions between climate change mitigation policies and biodiversity.</w:t>
      </w:r>
    </w:p>
    <w:p w14:paraId="7D346080" w14:textId="77777777" w:rsidR="00F1283E" w:rsidRPr="00955F0C" w:rsidRDefault="00F1283E" w:rsidP="00F1283E">
      <w:pPr>
        <w:pStyle w:val="ListParagraph"/>
        <w:numPr>
          <w:ilvl w:val="0"/>
          <w:numId w:val="4"/>
        </w:numPr>
        <w:ind w:left="357" w:hanging="357"/>
        <w:contextualSpacing w:val="0"/>
        <w:rPr>
          <w:rFonts w:cs="Times New Roman"/>
          <w:bCs/>
          <w:szCs w:val="20"/>
        </w:rPr>
      </w:pPr>
      <w:r>
        <w:rPr>
          <w:rFonts w:cs="Times New Roman"/>
          <w:bCs/>
          <w:szCs w:val="20"/>
        </w:rPr>
        <w:t>A study to examine the effects of land use change on extinction risk in 2060 concluded that three proactive policies, namely closing yield gaps (moving from forecasted BAU yields towards attainable yields), reducing meat consumption relative to BAU, and increasing food imports to focus crop production in higher-yield regions, all reduced extinction risks for birds and mammals in sub-Saharan Africa, tropical South America, and southeast Asia, India, and China relative to BAU (Tilman et al. 2017). In combination, these three policies could offset about one half to two-thirds of projected 2060 BAU increases in extinction risk for large- and medium-sized birds and mammals.</w:t>
      </w:r>
    </w:p>
    <w:p w14:paraId="5D6702DD" w14:textId="77777777" w:rsidR="00F1283E" w:rsidRPr="00955F0C" w:rsidRDefault="00F1283E" w:rsidP="00F1283E">
      <w:pPr>
        <w:pStyle w:val="ListParagraph"/>
        <w:numPr>
          <w:ilvl w:val="0"/>
          <w:numId w:val="4"/>
        </w:numPr>
        <w:contextualSpacing w:val="0"/>
        <w:rPr>
          <w:rFonts w:cs="Times New Roman"/>
          <w:bCs/>
          <w:szCs w:val="20"/>
        </w:rPr>
      </w:pPr>
      <w:r w:rsidRPr="00CC5DA9">
        <w:rPr>
          <w:rFonts w:cs="Times New Roman"/>
          <w:bCs/>
          <w:szCs w:val="20"/>
        </w:rPr>
        <w:t>Three ‘challenge’ scenarios</w:t>
      </w:r>
      <w:r w:rsidRPr="00955F0C">
        <w:rPr>
          <w:rFonts w:cs="Times New Roman"/>
          <w:bCs/>
          <w:szCs w:val="20"/>
        </w:rPr>
        <w:t>, and the impacts of their policy measures on mean species abundance</w:t>
      </w:r>
      <w:r>
        <w:rPr>
          <w:rFonts w:cs="Times New Roman"/>
          <w:bCs/>
          <w:szCs w:val="20"/>
        </w:rPr>
        <w:t xml:space="preserve"> (MSA) were compared to a trend (BAU) scenario (van Vuuren et al. 2015)</w:t>
      </w:r>
      <w:r w:rsidRPr="00955F0C">
        <w:rPr>
          <w:rFonts w:cs="Times New Roman"/>
          <w:bCs/>
          <w:szCs w:val="20"/>
        </w:rPr>
        <w:t xml:space="preserve">. </w:t>
      </w:r>
      <w:r>
        <w:rPr>
          <w:rFonts w:cs="Times New Roman"/>
          <w:bCs/>
          <w:szCs w:val="20"/>
        </w:rPr>
        <w:t>B</w:t>
      </w:r>
      <w:r w:rsidRPr="00955F0C">
        <w:rPr>
          <w:rFonts w:cs="Times New Roman"/>
          <w:bCs/>
          <w:szCs w:val="20"/>
        </w:rPr>
        <w:t>y 2050 the three scenarios could stabilize ‘biodiversity loss’ (proxied by MSA) at 2020 levels through increasing agricultural productivity, reducing consumption of meat and eggs, reducing waste, avoiding fragmentation, mitigating climate change, expanding protected areas, and other policies in differing combinations depending upon the scenario examined</w:t>
      </w:r>
      <w:r>
        <w:rPr>
          <w:rFonts w:cs="Times New Roman"/>
          <w:bCs/>
          <w:szCs w:val="20"/>
        </w:rPr>
        <w:t>.</w:t>
      </w:r>
    </w:p>
    <w:p w14:paraId="53E5B592" w14:textId="77777777" w:rsidR="00F1283E" w:rsidRPr="00955F0C" w:rsidRDefault="00F1283E" w:rsidP="00F1283E">
      <w:pPr>
        <w:pStyle w:val="ListParagraph"/>
        <w:numPr>
          <w:ilvl w:val="0"/>
          <w:numId w:val="4"/>
        </w:numPr>
        <w:contextualSpacing w:val="0"/>
        <w:rPr>
          <w:rFonts w:cs="Times New Roman"/>
          <w:bCs/>
          <w:szCs w:val="20"/>
        </w:rPr>
      </w:pPr>
      <w:r>
        <w:rPr>
          <w:rFonts w:cs="Times New Roman"/>
          <w:bCs/>
          <w:szCs w:val="20"/>
        </w:rPr>
        <w:t>C</w:t>
      </w:r>
      <w:r w:rsidRPr="00955F0C">
        <w:rPr>
          <w:rFonts w:cs="Times New Roman"/>
          <w:bCs/>
          <w:szCs w:val="20"/>
        </w:rPr>
        <w:t>limate change can exacerbate the impact</w:t>
      </w:r>
      <w:r>
        <w:rPr>
          <w:rFonts w:cs="Times New Roman"/>
          <w:bCs/>
          <w:szCs w:val="20"/>
        </w:rPr>
        <w:t>s</w:t>
      </w:r>
      <w:r w:rsidRPr="00955F0C">
        <w:rPr>
          <w:rFonts w:cs="Times New Roman"/>
          <w:bCs/>
          <w:szCs w:val="20"/>
        </w:rPr>
        <w:t xml:space="preserve"> of habitat loss and fragmentation on biodiversity by increasing the susceptibility of fragmented populations to </w:t>
      </w:r>
      <w:r>
        <w:rPr>
          <w:rFonts w:cs="Times New Roman"/>
          <w:bCs/>
          <w:szCs w:val="20"/>
        </w:rPr>
        <w:t>random</w:t>
      </w:r>
      <w:r w:rsidRPr="00955F0C">
        <w:rPr>
          <w:rFonts w:cs="Times New Roman"/>
          <w:bCs/>
          <w:szCs w:val="20"/>
        </w:rPr>
        <w:t xml:space="preserve"> events and hindering the ability of species to cope with land-cover changes. Using a statistical model of species vulnerability to </w:t>
      </w:r>
      <w:r w:rsidRPr="00955F0C">
        <w:rPr>
          <w:rFonts w:cs="Times New Roman"/>
          <w:bCs/>
          <w:szCs w:val="20"/>
        </w:rPr>
        <w:lastRenderedPageBreak/>
        <w:t xml:space="preserve">land cover </w:t>
      </w:r>
      <w:r>
        <w:rPr>
          <w:rFonts w:cs="Times New Roman"/>
          <w:bCs/>
          <w:szCs w:val="20"/>
        </w:rPr>
        <w:t xml:space="preserve">and </w:t>
      </w:r>
      <w:r w:rsidRPr="00955F0C">
        <w:rPr>
          <w:rFonts w:cs="Times New Roman"/>
          <w:bCs/>
          <w:szCs w:val="20"/>
        </w:rPr>
        <w:t>climate change in conjunction with scenarios of climate change from the</w:t>
      </w:r>
      <w:r>
        <w:rPr>
          <w:rFonts w:cs="Times New Roman"/>
          <w:bCs/>
          <w:szCs w:val="20"/>
        </w:rPr>
        <w:t xml:space="preserve"> IPCC fourth assessment report and </w:t>
      </w:r>
      <w:r w:rsidRPr="00955F0C">
        <w:rPr>
          <w:rFonts w:cs="Times New Roman"/>
          <w:bCs/>
          <w:szCs w:val="20"/>
        </w:rPr>
        <w:t xml:space="preserve">projections of land-cover change from three Millennium Ecosystem Assessment scenarios, </w:t>
      </w:r>
      <w:r>
        <w:rPr>
          <w:rFonts w:cs="Times New Roman"/>
        </w:rPr>
        <w:t>Mantyka-Pringle</w:t>
      </w:r>
      <w:r w:rsidRPr="00955F0C">
        <w:rPr>
          <w:rFonts w:cs="Times New Roman"/>
          <w:bCs/>
          <w:szCs w:val="20"/>
        </w:rPr>
        <w:t xml:space="preserve"> </w:t>
      </w:r>
      <w:r>
        <w:rPr>
          <w:rFonts w:cs="Times New Roman"/>
          <w:bCs/>
          <w:szCs w:val="20"/>
        </w:rPr>
        <w:t xml:space="preserve">et al. (2015) </w:t>
      </w:r>
      <w:r w:rsidRPr="00955F0C">
        <w:rPr>
          <w:rFonts w:cs="Times New Roman"/>
          <w:bCs/>
          <w:szCs w:val="20"/>
        </w:rPr>
        <w:t>mapped the effect of this interaction. They found that future climate change could increase the impact of land-cover change on birds and mammals by 28%-43% and 9%-24%, respectively, depending on the specific scenario.</w:t>
      </w:r>
    </w:p>
    <w:p w14:paraId="2E738159" w14:textId="77777777" w:rsidR="00F1283E" w:rsidRDefault="00F1283E" w:rsidP="00F1283E">
      <w:pPr>
        <w:pStyle w:val="ListParagraph"/>
        <w:numPr>
          <w:ilvl w:val="0"/>
          <w:numId w:val="4"/>
        </w:numPr>
        <w:contextualSpacing w:val="0"/>
        <w:rPr>
          <w:rFonts w:cs="Times New Roman"/>
          <w:bCs/>
          <w:szCs w:val="20"/>
        </w:rPr>
      </w:pPr>
      <w:r>
        <w:rPr>
          <w:rFonts w:cs="Times New Roman"/>
          <w:bCs/>
          <w:szCs w:val="20"/>
        </w:rPr>
        <w:t>Efforts</w:t>
      </w:r>
      <w:r w:rsidRPr="00955F0C">
        <w:rPr>
          <w:rFonts w:cs="Times New Roman"/>
          <w:bCs/>
          <w:szCs w:val="20"/>
        </w:rPr>
        <w:t xml:space="preserve"> to mitigate climate change can exert an indirect effect on biodiversity since climate mitigation policies will influence </w:t>
      </w:r>
      <w:r>
        <w:rPr>
          <w:rFonts w:cs="Times New Roman"/>
          <w:bCs/>
          <w:szCs w:val="20"/>
        </w:rPr>
        <w:t>land use</w:t>
      </w:r>
      <w:r w:rsidRPr="00955F0C">
        <w:rPr>
          <w:rFonts w:cs="Times New Roman"/>
          <w:bCs/>
          <w:szCs w:val="20"/>
        </w:rPr>
        <w:t xml:space="preserve"> decisions.</w:t>
      </w:r>
      <w:r>
        <w:rPr>
          <w:rFonts w:cs="Times New Roman"/>
          <w:bCs/>
          <w:szCs w:val="20"/>
        </w:rPr>
        <w:t xml:space="preserve"> </w:t>
      </w:r>
      <w:r>
        <w:rPr>
          <w:rFonts w:cs="Times New Roman"/>
          <w:bCs/>
          <w:szCs w:val="20"/>
        </w:rPr>
        <w:fldChar w:fldCharType="begin" w:fldLock="1"/>
      </w:r>
      <w:r>
        <w:rPr>
          <w:rFonts w:cs="Times New Roman"/>
          <w:bCs/>
          <w:szCs w:val="20"/>
        </w:rPr>
        <w:instrText>ADDIN CSL_CITATION { "citationItems" : [ { "id" : "ITEM-1", "itemData" : { "DOI" : "10.1111/cobi.12549", "ISSN" : "08888892", "author" : [ { "dropping-particle" : "", "family" : "Jantz", "given" : "Samuel M.", "non-dropping-particle" : "", "parse-names" : false, "suffix" : "" }, { "dropping-particle" : "", "family" : "Barker", "given" : "Brian", "non-dropping-particle" : "", "parse-names" : false, "suffix" : "" }, { "dropping-particle" : "", "family" : "Brooks", "given" : "Thomas M.", "non-dropping-particle" : "", "parse-names" : false, "suffix" : "" }, { "dropping-particle" : "", "family" : "Chini", "given" : "Louise P.", "non-dropping-particle" : "", "parse-names" : false, "suffix" : "" }, { "dropping-particle" : "", "family" : "Huang", "given" : "Qiongyu", "non-dropping-particle" : "", "parse-names" : false, "suffix" : "" }, { "dropping-particle" : "", "family" : "Moore", "given" : "Rachel M.", "non-dropping-particle" : "", "parse-names" : false, "suffix" : "" }, { "dropping-particle" : "", "family" : "Noel", "given" : "Jacob", "non-dropping-particle" : "", "parse-names" : false, "suffix" : "" }, { "dropping-particle" : "", "family" : "Hurtt", "given" : "George C.", "non-dropping-particle" : "", "parse-names" : false, "suffix" : "" } ], "container-title" : "Conservation Biology", "id" : "ITEM-1", "issue" : "4", "issued" : { "date-parts" : [ [ "2015", "8", "1" ] ] }, "page" : "1122-1131", "title" : "Future habitat loss and extinctions driven by land-use change in biodiversity hotspots under four scenarios of climate-change mitigation", "type" : "article-journal", "volume" : "29" }, "uris" : [ "http://www.mendeley.com/documents/?uuid=3c32f997-9244-3501-92e7-775360fc97d9" ] } ], "mendeley" : { "formattedCitation" : "(Jantz et al., 2015)", "manualFormatting" : "Jantz et al. (2015)", "plainTextFormattedCitation" : "(Jantz et al., 2015)", "previouslyFormattedCitation" : "(Jantz et al., 2015)" }, "properties" : {  }, "schema" : "https://github.com/citation-style-language/schema/raw/master/csl-citation.json" }</w:instrText>
      </w:r>
      <w:r>
        <w:rPr>
          <w:rFonts w:cs="Times New Roman"/>
          <w:bCs/>
          <w:szCs w:val="20"/>
        </w:rPr>
        <w:fldChar w:fldCharType="separate"/>
      </w:r>
      <w:r>
        <w:rPr>
          <w:rFonts w:cs="Times New Roman"/>
          <w:bCs/>
          <w:noProof/>
          <w:szCs w:val="20"/>
        </w:rPr>
        <w:t>Jantz et al. (</w:t>
      </w:r>
      <w:r w:rsidRPr="00710A91">
        <w:rPr>
          <w:rFonts w:cs="Times New Roman"/>
          <w:bCs/>
          <w:noProof/>
          <w:szCs w:val="20"/>
        </w:rPr>
        <w:t>2015)</w:t>
      </w:r>
      <w:r>
        <w:rPr>
          <w:rFonts w:cs="Times New Roman"/>
          <w:bCs/>
          <w:szCs w:val="20"/>
        </w:rPr>
        <w:fldChar w:fldCharType="end"/>
      </w:r>
      <w:r w:rsidRPr="00955F0C">
        <w:rPr>
          <w:rFonts w:cs="Times New Roman"/>
          <w:bCs/>
          <w:szCs w:val="20"/>
        </w:rPr>
        <w:t xml:space="preserve"> use</w:t>
      </w:r>
      <w:r>
        <w:rPr>
          <w:rFonts w:cs="Times New Roman"/>
          <w:bCs/>
          <w:szCs w:val="20"/>
        </w:rPr>
        <w:t>d</w:t>
      </w:r>
      <w:r w:rsidRPr="00955F0C">
        <w:rPr>
          <w:rFonts w:cs="Times New Roman"/>
          <w:bCs/>
          <w:szCs w:val="20"/>
        </w:rPr>
        <w:t xml:space="preserve"> RCP scenarios to assess the potential impact of climate policy on loss of habitable area in biodiversity hotspots due to necessitated </w:t>
      </w:r>
      <w:r>
        <w:rPr>
          <w:rFonts w:cs="Times New Roman"/>
          <w:bCs/>
          <w:szCs w:val="20"/>
        </w:rPr>
        <w:t>land use</w:t>
      </w:r>
      <w:r w:rsidRPr="00955F0C">
        <w:rPr>
          <w:rFonts w:cs="Times New Roman"/>
          <w:bCs/>
          <w:szCs w:val="20"/>
        </w:rPr>
        <w:t xml:space="preserve"> change</w:t>
      </w:r>
      <w:r>
        <w:rPr>
          <w:rFonts w:cs="Times New Roman"/>
          <w:bCs/>
          <w:szCs w:val="20"/>
        </w:rPr>
        <w:t xml:space="preserve"> (but not including direct climate change impacts)</w:t>
      </w:r>
      <w:r w:rsidRPr="00955F0C">
        <w:rPr>
          <w:rFonts w:cs="Times New Roman"/>
          <w:bCs/>
          <w:szCs w:val="20"/>
        </w:rPr>
        <w:t>, and project</w:t>
      </w:r>
      <w:r>
        <w:rPr>
          <w:rFonts w:cs="Times New Roman"/>
          <w:bCs/>
          <w:szCs w:val="20"/>
        </w:rPr>
        <w:t>ed</w:t>
      </w:r>
      <w:r w:rsidRPr="00955F0C">
        <w:rPr>
          <w:rFonts w:cs="Times New Roman"/>
          <w:bCs/>
          <w:szCs w:val="20"/>
        </w:rPr>
        <w:t xml:space="preserve"> the potential extinctions that might resu</w:t>
      </w:r>
      <w:r>
        <w:rPr>
          <w:rFonts w:cs="Times New Roman"/>
          <w:bCs/>
          <w:szCs w:val="20"/>
        </w:rPr>
        <w:t>lt from these changes. Similarly</w:t>
      </w:r>
      <w:r w:rsidRPr="00955F0C">
        <w:rPr>
          <w:rFonts w:cs="Times New Roman"/>
          <w:bCs/>
          <w:szCs w:val="20"/>
        </w:rPr>
        <w:t xml:space="preserve"> to the</w:t>
      </w:r>
      <w:r>
        <w:rPr>
          <w:rFonts w:cs="Times New Roman"/>
          <w:bCs/>
          <w:szCs w:val="20"/>
        </w:rPr>
        <w:t xml:space="preserve"> </w:t>
      </w:r>
      <w:r>
        <w:rPr>
          <w:rFonts w:cs="Times New Roman"/>
          <w:bCs/>
          <w:szCs w:val="20"/>
        </w:rPr>
        <w:fldChar w:fldCharType="begin" w:fldLock="1"/>
      </w:r>
      <w:r>
        <w:rPr>
          <w:rFonts w:cs="Times New Roman"/>
          <w:bCs/>
          <w:szCs w:val="20"/>
        </w:rPr>
        <w:instrText>ADDIN CSL_CITATION { "citationItems" : [ { "id" : "ITEM-1", "itemData" : { "DOI" : "10.1038/nature14324", "ISBN" : "0028-0836", "ISSN" : "0028-0836", "PMID" : "25832402", "abstract" : "Human activities, especially conversion and degradation of habitats, are causing global biodiversity declines. How local ecological assemblages are responding is less clear\u2014a concern given their importance for many ecosystem functions and services.We analysed a terrestrial assemblage database of unprecedented geographic and taxonomic coverage to quantify local biodiversity responses to land use and related changes. Here we show that in the worst-affected habitats, these pressures reducewithin-sample species richness by anaverage of 76.5%,total abundance by 39.5%andrarefaction-based richness by 40.3%. We estimate that, globally, these pressures have already slightly reduced average within-sample richness (by 13.6%), total abundance (10.7%) and rarefaction-based richness (8.1%), with changes showing marked spatial variation. Rapid further losses are predicted under a business-as-usual land-use scenario; within-sample richness is projected to fall by a further 3.4% globally by 2100, with losses concentrated in biodiverse but economically poor countries. Strongmitigationcan delivermuchmore positive biodiversity changes (up to a 1.9%average increase) that are less strongly related to countries\u2019 socioeconomic status.", "author" : [ { "dropping-particle" : "", "family" : "Newbold", "given" : "Tim", "non-dropping-particle" : "", "parse-names" : false, "suffix" : "" }, { "dropping-particle" : "", "family" : "Hudson", "given" : "Lawrence N.", "non-dropping-particle" : "", "parse-names" : false, "suffix" : "" }, { "dropping-particle" : "", "family" : "Hill", "given" : "Samantha L. L.", "non-dropping-particle" : "", "parse-names" : false, "suffix" : "" }, { "dropping-particle" : "", "family" : "Contu", "given" : "Sara", "non-dropping-particle" : "", "parse-names" : false, "suffix" : "" }, { "dropping-particle" : "", "family" : "Lysenko", "given" : "Igor", "non-dropping-particle" : "", "parse-names" : false, "suffix" : "" }, { "dropping-particle" : "", "family" : "Senior", "given" : "Rebecca A.", "non-dropping-particle" : "", "parse-names" : false, "suffix" : "" }, { "dropping-particle" : "", "family" : "B\u00f6rger", "given" : "Luca", "non-dropping-particle" : "", "parse-names" : false, "suffix" : "" }, { "dropping-particle" : "", "family" : "Bennett", "given" : "Dominic J.", "non-dropping-particle" : "", "parse-names" : false, "suffix" : "" }, { "dropping-particle" : "", "family" : "Choimes", "given" : "Argyrios", "non-dropping-particle" : "", "parse-names" : false, "suffix" : "" }, { "dropping-particle" : "", "family" : "Collen", "given" : "Ben", "non-dropping-particle" : "", "parse-names" : false, "suffix" : "" }, { "dropping-particle" : "", "family" : "Day", "given" : "Julie", "non-dropping-particle" : "", "parse-names" : false, "suffix" : "" }, { "dropping-particle" : "", "family" : "Palma", "given" : "Adriana", "non-dropping-particle" : "De", "parse-names" : false, "suffix" : "" }, { "dropping-particle" : "", "family" : "D\u00edaz", "given" : "Sandra", "non-dropping-particle" : "", "parse-names" : false, "suffix" : "" }, { "dropping-particle" : "", "family" : "Echeverria-Londo\u00f1o", "given" : "Susy", "non-dropping-particle" : "", "parse-names" : false, "suffix" : "" }, { "dropping-particle" : "", "family" : "Edgar", "given" : "Melanie J.", "non-dropping-particle" : "", "parse-names" : false, "suffix" : "" }, { "dropping-particle" : "", "family" : "Feldman", "given" : "Anat", "non-dropping-particle" : "", "parse-names" : false, "suffix" : "" }, { "dropping-particle" : "", "family" : "Garon", "given" : "Morgan", "non-dropping-particle" : "", "parse-names" : false, "suffix" : "" }, { "dropping-particle" : "", "family" : "Harrison", "given" : "Michelle L. K.", "non-dropping-particle" : "", "parse-names" : false, "suffix" : "" }, { "dropping-particle" : "", "family" : "Alhusseini", "given" : "Tamera", "non-dropping-particle" : "", "parse-names" : false, "suffix" : "" }, { "dropping-particle" : "", "family" : "Ingram", "given" : "Daniel J.", "non-dropping-particle" : "", "parse-names" : false, "suffix" : "" }, { "dropping-particle" : "", "family" : "Itescu", "given" : "Yuval", "non-dropping-particle" : "", "parse-names" : false, "suffix" : "" }, { "dropping-particle" : "", "family" : "Kattge", "given" : "Jens", "non-dropping-particle" : "", "parse-names" : false, "suffix" : "" }, { "dropping-particle" : "", "family" : "Kemp", "given" : "Victoria", "non-dropping-particle" : "", "parse-names" : false, "suffix" : "" }, { "dropping-particle" : "", "family" : "Kirkpatrick", "given" : "Lucinda", "non-dropping-particle" : "", "parse-names" : false, "suffix" : "" }, { "dropping-particle" : "", "family" : "Kleyer", "given" : "Michael", "non-dropping-particle" : "", "parse-names" : false, "suffix" : "" }, { "dropping-particle" : "", "family" : "Correia", "given" : "David Laginha Pinto", "non-dropping-particle" : "", "parse-names" : false, "suffix" : "" }, { "dropping-particle" : "", "family" : "Martin", "given" : "Callum D.", "non-dropping-particle" : "", "parse-names" : false, "suffix" : "" }, { "dropping-particle" : "", "family" : "Meiri", "given" : "Shai", "non-dropping-particle" : "", "parse-names" : false, "suffix" : "" }, { "dropping-particle" : "", "family" : "Novosolov", "given" : "Maria", "non-dropping-particle" : "", "parse-names" : false, "suffix" : "" }, { "dropping-particle" : "", "family" : "Pan", "given" : "Yuan", "non-dropping-particle" : "", "parse-names" : false, "suffix" : "" }, { "dropping-particle" : "", "family" : "Phillips", "given" : "Helen R. P.", "non-dropping-particle" : "", "parse-names" : false, "suffix" : "" }, { "dropping-particle" : "", "family" : "Purves", "given" : "Drew W.", "non-dropping-particle" : "", "parse-names" : false, "suffix" : "" }, { "dropping-particle" : "", "family" : "Robinson", "given" : "Alexandra", "non-dropping-particle" : "", "parse-names" : false, "suffix" : "" }, { "dropping-particle" : "", "family" : "Simpson", "given" : "Jake", "non-dropping-particle" : "", "parse-names" : false, "suffix" : "" }, { "dropping-particle" : "", "family" : "Tuck", "given" : "Sean L.", "non-dropping-particle" : "", "parse-names" : false, "suffix" : "" }, { "dropping-particle" : "", "family" : "Weiher", "given" : "Evan", "non-dropping-particle" : "", "parse-names" : false, "suffix" : "" }, { "dropping-particle" : "", "family" : "White", "given" : "Hannah J.", "non-dropping-particle" : "", "parse-names" : false, "suffix" : "" }, { "dropping-particle" : "", "family" : "Ewers", "given" : "Robert M.", "non-dropping-particle" : "", "parse-names" : false, "suffix" : "" }, { "dropping-particle" : "", "family" : "Mace", "given" : "Georgina M.", "non-dropping-particle" : "", "parse-names" : false, "suffix" : "" }, { "dropping-particle" : "", "family" : "Scharlemann", "given" : "J\u00f6rn P. W.", "non-dropping-particle" : "", "parse-names" : false, "suffix" : "" }, { "dropping-particle" : "", "family" : "Purvis", "given" : "Andy", "non-dropping-particle" : "", "parse-names" : false, "suffix" : "" } ], "container-title" : "Nature", "id" : "ITEM-1", "issue" : "7545", "issued" : { "date-parts" : [ [ "2015", "4" ] ] }, "page" : "45-50", "publisher" : "Nature Research", "title" : "Global effects of land use on local terrestrial biodiversity", "type" : "article-journal", "volume" : "520" }, "uris" : [ "http://www.mendeley.com/documents/?uuid=84533f74-b2aa-434c-917a-b3e1577b873c" ] } ], "mendeley" : { "formattedCitation" : "(Newbold et al., 2015b)", "manualFormatting" : "Newbold et al. (2015)", "plainTextFormattedCitation" : "(Newbold et al., 2015b)", "previouslyFormattedCitation" : "(Newbold et al., 2015b)" }, "properties" : {  }, "schema" : "https://github.com/citation-style-language/schema/raw/master/csl-citation.json" }</w:instrText>
      </w:r>
      <w:r>
        <w:rPr>
          <w:rFonts w:cs="Times New Roman"/>
          <w:bCs/>
          <w:szCs w:val="20"/>
        </w:rPr>
        <w:fldChar w:fldCharType="separate"/>
      </w:r>
      <w:r w:rsidRPr="00693765">
        <w:rPr>
          <w:rFonts w:cs="Times New Roman"/>
          <w:bCs/>
          <w:noProof/>
          <w:szCs w:val="20"/>
        </w:rPr>
        <w:t>New</w:t>
      </w:r>
      <w:r>
        <w:rPr>
          <w:rFonts w:cs="Times New Roman"/>
          <w:bCs/>
          <w:noProof/>
          <w:szCs w:val="20"/>
        </w:rPr>
        <w:t>bold et al. (2015</w:t>
      </w:r>
      <w:r w:rsidRPr="00693765">
        <w:rPr>
          <w:rFonts w:cs="Times New Roman"/>
          <w:bCs/>
          <w:noProof/>
          <w:szCs w:val="20"/>
        </w:rPr>
        <w:t>)</w:t>
      </w:r>
      <w:r>
        <w:rPr>
          <w:rFonts w:cs="Times New Roman"/>
          <w:bCs/>
          <w:szCs w:val="20"/>
        </w:rPr>
        <w:fldChar w:fldCharType="end"/>
      </w:r>
      <w:r w:rsidRPr="00955F0C">
        <w:rPr>
          <w:rFonts w:cs="Times New Roman"/>
          <w:bCs/>
          <w:szCs w:val="20"/>
        </w:rPr>
        <w:t xml:space="preserve"> study, they found that </w:t>
      </w:r>
      <w:r>
        <w:rPr>
          <w:rFonts w:cs="Times New Roman"/>
          <w:bCs/>
          <w:szCs w:val="20"/>
        </w:rPr>
        <w:t>relative to a high emissions scenario</w:t>
      </w:r>
      <w:r w:rsidRPr="008E53BD">
        <w:rPr>
          <w:rStyle w:val="FootnoteReference"/>
        </w:rPr>
        <w:footnoteReference w:id="24"/>
      </w:r>
      <w:r w:rsidRPr="00955F0C">
        <w:rPr>
          <w:rFonts w:cs="Times New Roman"/>
          <w:bCs/>
          <w:szCs w:val="20"/>
        </w:rPr>
        <w:t xml:space="preserve">, </w:t>
      </w:r>
      <w:r>
        <w:rPr>
          <w:rFonts w:cs="Times New Roman"/>
          <w:bCs/>
          <w:szCs w:val="20"/>
        </w:rPr>
        <w:t>low emissions</w:t>
      </w:r>
      <w:r w:rsidRPr="008E53BD">
        <w:rPr>
          <w:rStyle w:val="FootnoteReference"/>
        </w:rPr>
        <w:footnoteReference w:id="25"/>
      </w:r>
      <w:r>
        <w:rPr>
          <w:rFonts w:cs="Times New Roman"/>
          <w:bCs/>
          <w:szCs w:val="20"/>
        </w:rPr>
        <w:t xml:space="preserve"> resulted in</w:t>
      </w:r>
      <w:r w:rsidRPr="00955F0C">
        <w:rPr>
          <w:rFonts w:cs="Times New Roman"/>
          <w:bCs/>
          <w:szCs w:val="20"/>
        </w:rPr>
        <w:t xml:space="preserve"> the </w:t>
      </w:r>
      <w:r>
        <w:rPr>
          <w:rFonts w:cs="Times New Roman"/>
          <w:bCs/>
          <w:szCs w:val="20"/>
        </w:rPr>
        <w:t>next</w:t>
      </w:r>
      <w:r w:rsidRPr="00955F0C">
        <w:rPr>
          <w:rFonts w:cs="Times New Roman"/>
          <w:bCs/>
          <w:szCs w:val="20"/>
        </w:rPr>
        <w:t xml:space="preserve"> highest</w:t>
      </w:r>
      <w:r>
        <w:rPr>
          <w:rFonts w:cs="Times New Roman"/>
          <w:bCs/>
          <w:szCs w:val="20"/>
        </w:rPr>
        <w:t xml:space="preserve"> number of additional species extinctions</w:t>
      </w:r>
      <w:r w:rsidRPr="00955F0C">
        <w:rPr>
          <w:rFonts w:cs="Times New Roman"/>
          <w:bCs/>
          <w:szCs w:val="20"/>
        </w:rPr>
        <w:t xml:space="preserve"> (due to conversion of natural habitat </w:t>
      </w:r>
      <w:r>
        <w:rPr>
          <w:rFonts w:cs="Times New Roman"/>
          <w:bCs/>
          <w:szCs w:val="20"/>
        </w:rPr>
        <w:t xml:space="preserve">for biofuels and </w:t>
      </w:r>
      <w:r w:rsidRPr="00955F0C">
        <w:rPr>
          <w:rFonts w:cs="Times New Roman"/>
          <w:bCs/>
          <w:szCs w:val="20"/>
        </w:rPr>
        <w:t xml:space="preserve">to cropland), and </w:t>
      </w:r>
      <w:r>
        <w:rPr>
          <w:rFonts w:cs="Times New Roman"/>
          <w:bCs/>
          <w:szCs w:val="20"/>
        </w:rPr>
        <w:t>medium-low</w:t>
      </w:r>
      <w:r w:rsidRPr="008E53BD">
        <w:rPr>
          <w:rStyle w:val="FootnoteReference"/>
        </w:rPr>
        <w:footnoteReference w:id="26"/>
      </w:r>
      <w:r w:rsidRPr="00955F0C">
        <w:rPr>
          <w:rFonts w:cs="Times New Roman"/>
          <w:bCs/>
          <w:szCs w:val="20"/>
        </w:rPr>
        <w:t xml:space="preserve"> and </w:t>
      </w:r>
      <w:r>
        <w:rPr>
          <w:rFonts w:cs="Times New Roman"/>
          <w:bCs/>
          <w:szCs w:val="20"/>
        </w:rPr>
        <w:t>medium emissions</w:t>
      </w:r>
      <w:r w:rsidRPr="008E53BD">
        <w:rPr>
          <w:rStyle w:val="FootnoteReference"/>
        </w:rPr>
        <w:footnoteReference w:id="27"/>
      </w:r>
      <w:r w:rsidRPr="00955F0C">
        <w:rPr>
          <w:rFonts w:cs="Times New Roman"/>
          <w:bCs/>
          <w:szCs w:val="20"/>
        </w:rPr>
        <w:t xml:space="preserve"> the lowest.</w:t>
      </w:r>
    </w:p>
    <w:p w14:paraId="54E91F8D" w14:textId="77777777" w:rsidR="00F1283E" w:rsidRPr="00A4629F" w:rsidRDefault="00F1283E" w:rsidP="00F1283E">
      <w:pPr>
        <w:rPr>
          <w:b/>
        </w:rPr>
      </w:pPr>
      <w:r>
        <w:rPr>
          <w:b/>
        </w:rPr>
        <w:t>IIB</w:t>
      </w:r>
      <w:r w:rsidRPr="00A4629F">
        <w:rPr>
          <w:b/>
        </w:rPr>
        <w:t xml:space="preserve">. </w:t>
      </w:r>
      <w:r>
        <w:rPr>
          <w:b/>
        </w:rPr>
        <w:t>Marine</w:t>
      </w:r>
      <w:r w:rsidRPr="00A4629F">
        <w:rPr>
          <w:b/>
        </w:rPr>
        <w:t xml:space="preserve"> biod</w:t>
      </w:r>
      <w:r>
        <w:rPr>
          <w:b/>
        </w:rPr>
        <w:t>iversity status and trends</w:t>
      </w:r>
    </w:p>
    <w:p w14:paraId="0E6C4DCD" w14:textId="77777777" w:rsidR="00F1283E" w:rsidRPr="00232B50" w:rsidRDefault="00F1283E" w:rsidP="00F1283E">
      <w:pPr>
        <w:rPr>
          <w:rFonts w:eastAsia="Times New Roman" w:cs="Times New Roman"/>
          <w:i/>
          <w:szCs w:val="20"/>
          <w:lang w:eastAsia="en-GB"/>
        </w:rPr>
      </w:pPr>
      <w:r>
        <w:rPr>
          <w:rFonts w:eastAsia="Times New Roman" w:cs="Times New Roman"/>
          <w:i/>
          <w:szCs w:val="20"/>
          <w:lang w:eastAsia="en-GB"/>
        </w:rPr>
        <w:t>IIB.1. Current state of biodiversity and ecosystem services</w:t>
      </w:r>
    </w:p>
    <w:p w14:paraId="6BF16253" w14:textId="77777777" w:rsidR="00F1283E" w:rsidRPr="000D3908" w:rsidRDefault="00F1283E" w:rsidP="00F1283E">
      <w:pPr>
        <w:pStyle w:val="ListParagraph"/>
        <w:numPr>
          <w:ilvl w:val="0"/>
          <w:numId w:val="4"/>
        </w:numPr>
        <w:contextualSpacing w:val="0"/>
      </w:pPr>
      <w:r w:rsidRPr="000D3908">
        <w:t xml:space="preserve">The state of marine biodiversity as described in GBO4 can be briefly summarized as follows: An increasing proportion of fish stocks were overexploited, depleted or collapsed. However, there had been an increase in the proportion of fisheries certified as sustainable. Nutrient pollution remained a significant threat, though it had stabilized in some areas of Europe and North America. Other marine pollutants (such as chemicals and plastics) </w:t>
      </w:r>
      <w:r>
        <w:t>were</w:t>
      </w:r>
      <w:r w:rsidRPr="000D3908">
        <w:t xml:space="preserve"> increasing. The rate of species invasions was increasing. Pressures on coral reef</w:t>
      </w:r>
      <w:r>
        <w:t>s</w:t>
      </w:r>
      <w:r w:rsidRPr="000D3908">
        <w:t xml:space="preserve"> were increasing, and they remained at risk, though MPAs were covering a larger fraction of coral areas. </w:t>
      </w:r>
      <w:r>
        <w:t>More broadly, p</w:t>
      </w:r>
      <w:r w:rsidRPr="000D3908">
        <w:t>rotected areas were spanning an increasing fraction of the ocean, though networks remain</w:t>
      </w:r>
      <w:r>
        <w:t>ed</w:t>
      </w:r>
      <w:r w:rsidRPr="000D3908">
        <w:t xml:space="preserve"> unrepresentative and some critical sites for biodiversity were poorly conserved. Combinations of anthropogenic drivers could push regional social-ecological systems beyond tipping points and transition them to a new phase (e.g. reefs from coral dominated to macroalgae dominated) in which biodiversity and ecosystem ser</w:t>
      </w:r>
      <w:r>
        <w:t>vices become severely impacted.</w:t>
      </w:r>
    </w:p>
    <w:p w14:paraId="2655F47A" w14:textId="77777777" w:rsidR="00F1283E" w:rsidRPr="00A4629F" w:rsidRDefault="00F1283E" w:rsidP="00F1283E">
      <w:pPr>
        <w:pStyle w:val="ListParagraph"/>
        <w:numPr>
          <w:ilvl w:val="0"/>
          <w:numId w:val="4"/>
        </w:numPr>
        <w:contextualSpacing w:val="0"/>
        <w:rPr>
          <w:rFonts w:eastAsia="Times New Roman" w:cs="Times New Roman"/>
          <w:szCs w:val="20"/>
          <w:lang w:eastAsia="en-GB"/>
        </w:rPr>
      </w:pPr>
      <w:r w:rsidRPr="00A4629F">
        <w:rPr>
          <w:rFonts w:eastAsia="Times New Roman" w:cs="Times New Roman"/>
          <w:szCs w:val="20"/>
          <w:lang w:eastAsia="en-GB"/>
        </w:rPr>
        <w:t xml:space="preserve">Current estimates of the state of marine ecosystems post-GBO4 suggest a continuation of the trends therein, in a similar manner to terrestrial systems. </w:t>
      </w:r>
      <w:r>
        <w:rPr>
          <w:rFonts w:cs="Times New Roman"/>
        </w:rPr>
        <w:t>Protected area coverage continues to increase</w:t>
      </w:r>
      <w:r>
        <w:rPr>
          <w:rStyle w:val="FootnoteReference"/>
          <w:rFonts w:cs="Times New Roman"/>
        </w:rPr>
        <w:footnoteReference w:id="28"/>
      </w:r>
      <w:r>
        <w:rPr>
          <w:rFonts w:cs="Times New Roman"/>
        </w:rPr>
        <w:t xml:space="preserve">, with budget and staff being the strongest predictor of effectiveness in terms of conservation impact (Gill et al. 2017). </w:t>
      </w:r>
      <w:r>
        <w:rPr>
          <w:rFonts w:eastAsia="Times New Roman" w:cs="Times New Roman"/>
          <w:szCs w:val="20"/>
          <w:lang w:eastAsia="en-GB"/>
        </w:rPr>
        <w:t>A key ecosystem service –</w:t>
      </w:r>
      <w:r w:rsidRPr="00A4629F">
        <w:rPr>
          <w:rFonts w:eastAsia="Times New Roman" w:cs="Times New Roman"/>
          <w:szCs w:val="20"/>
          <w:lang w:eastAsia="en-GB"/>
        </w:rPr>
        <w:t xml:space="preserve">fisheries </w:t>
      </w:r>
      <w:r>
        <w:rPr>
          <w:rFonts w:eastAsia="Times New Roman" w:cs="Times New Roman"/>
          <w:szCs w:val="20"/>
          <w:lang w:eastAsia="en-GB"/>
        </w:rPr>
        <w:t xml:space="preserve">production </w:t>
      </w:r>
      <w:r w:rsidRPr="00A4629F">
        <w:rPr>
          <w:rFonts w:eastAsia="Times New Roman" w:cs="Times New Roman"/>
          <w:szCs w:val="20"/>
          <w:lang w:eastAsia="en-GB"/>
        </w:rPr>
        <w:t xml:space="preserve">– has received important new updates </w:t>
      </w:r>
      <w:r>
        <w:rPr>
          <w:rFonts w:eastAsia="Times New Roman" w:cs="Times New Roman"/>
          <w:szCs w:val="20"/>
          <w:lang w:eastAsia="en-GB"/>
        </w:rPr>
        <w:t>since GBO4 that suggest</w:t>
      </w:r>
      <w:r w:rsidRPr="00A4629F">
        <w:rPr>
          <w:rFonts w:eastAsia="Times New Roman" w:cs="Times New Roman"/>
          <w:szCs w:val="20"/>
          <w:lang w:eastAsia="en-GB"/>
        </w:rPr>
        <w:t xml:space="preserve"> no </w:t>
      </w:r>
      <w:r>
        <w:rPr>
          <w:rFonts w:eastAsia="Times New Roman" w:cs="Times New Roman"/>
          <w:szCs w:val="20"/>
          <w:lang w:eastAsia="en-GB"/>
        </w:rPr>
        <w:t xml:space="preserve">overall </w:t>
      </w:r>
      <w:r w:rsidRPr="00A4629F">
        <w:rPr>
          <w:rFonts w:eastAsia="Times New Roman" w:cs="Times New Roman"/>
          <w:szCs w:val="20"/>
          <w:lang w:eastAsia="en-GB"/>
        </w:rPr>
        <w:t>improvement in the state of global marine fish stocks</w:t>
      </w:r>
      <w:r>
        <w:rPr>
          <w:rFonts w:eastAsia="Times New Roman" w:cs="Times New Roman"/>
          <w:szCs w:val="20"/>
          <w:lang w:eastAsia="en-GB"/>
        </w:rPr>
        <w:t xml:space="preserve"> (FAO 2016)</w:t>
      </w:r>
      <w:r w:rsidRPr="00A4629F">
        <w:rPr>
          <w:rFonts w:eastAsia="Times New Roman" w:cs="Times New Roman"/>
          <w:szCs w:val="20"/>
          <w:lang w:eastAsia="en-GB"/>
        </w:rPr>
        <w:t xml:space="preserve">, and </w:t>
      </w:r>
      <w:r>
        <w:rPr>
          <w:rFonts w:eastAsia="Times New Roman" w:cs="Times New Roman"/>
          <w:szCs w:val="20"/>
          <w:lang w:eastAsia="en-GB"/>
        </w:rPr>
        <w:t>the global total production of wild capture fisheries has</w:t>
      </w:r>
      <w:r w:rsidRPr="00A4629F">
        <w:rPr>
          <w:rFonts w:eastAsia="Times New Roman" w:cs="Times New Roman"/>
          <w:szCs w:val="20"/>
          <w:lang w:eastAsia="en-GB"/>
        </w:rPr>
        <w:t xml:space="preserve"> either slightly or substantially declined, depending on the study.</w:t>
      </w:r>
      <w:r>
        <w:rPr>
          <w:rFonts w:eastAsia="Times New Roman" w:cs="Times New Roman"/>
          <w:szCs w:val="20"/>
          <w:lang w:eastAsia="en-GB"/>
        </w:rPr>
        <w:t xml:space="preserve"> Corals have endured an extremely lengthy global bleaching event. Details are below.</w:t>
      </w:r>
    </w:p>
    <w:p w14:paraId="4A90BC91" w14:textId="77777777" w:rsidR="00F1283E" w:rsidRPr="00A4629F" w:rsidRDefault="00F1283E" w:rsidP="00F1283E">
      <w:pPr>
        <w:pStyle w:val="ListParagraph"/>
        <w:numPr>
          <w:ilvl w:val="0"/>
          <w:numId w:val="4"/>
        </w:numPr>
        <w:contextualSpacing w:val="0"/>
        <w:rPr>
          <w:rFonts w:eastAsia="Times New Roman" w:cs="Times New Roman"/>
          <w:szCs w:val="20"/>
          <w:lang w:eastAsia="en-GB"/>
        </w:rPr>
      </w:pPr>
      <w:r>
        <w:rPr>
          <w:rFonts w:eastAsia="Times New Roman" w:cs="Times New Roman"/>
          <w:i/>
          <w:szCs w:val="20"/>
          <w:lang w:eastAsia="en-GB"/>
        </w:rPr>
        <w:t xml:space="preserve">Species richness and abundance: </w:t>
      </w:r>
      <w:r w:rsidRPr="00A4629F">
        <w:rPr>
          <w:rFonts w:eastAsia="Times New Roman" w:cs="Times New Roman"/>
          <w:szCs w:val="20"/>
          <w:lang w:eastAsia="en-GB"/>
        </w:rPr>
        <w:t>As in the terrestrial environment, trends in richn</w:t>
      </w:r>
      <w:r>
        <w:rPr>
          <w:rFonts w:eastAsia="Times New Roman" w:cs="Times New Roman"/>
          <w:szCs w:val="20"/>
          <w:lang w:eastAsia="en-GB"/>
        </w:rPr>
        <w:t>ess vary by scale and study. Local richness patterns showed considerable variation but no global mean trend over time</w:t>
      </w:r>
      <w:r w:rsidRPr="00A4629F">
        <w:rPr>
          <w:rFonts w:eastAsia="Times New Roman" w:cs="Times New Roman"/>
          <w:szCs w:val="20"/>
          <w:lang w:eastAsia="en-GB"/>
        </w:rPr>
        <w:t xml:space="preserve">, but </w:t>
      </w:r>
      <w:r>
        <w:rPr>
          <w:rFonts w:eastAsia="Times New Roman" w:cs="Times New Roman"/>
          <w:szCs w:val="20"/>
          <w:lang w:eastAsia="en-GB"/>
        </w:rPr>
        <w:t xml:space="preserve">there have been </w:t>
      </w:r>
      <w:r w:rsidRPr="00A4629F">
        <w:rPr>
          <w:rFonts w:eastAsia="Times New Roman" w:cs="Times New Roman"/>
          <w:szCs w:val="20"/>
          <w:lang w:eastAsia="en-GB"/>
        </w:rPr>
        <w:t xml:space="preserve">changes in community composition </w:t>
      </w:r>
      <w:r>
        <w:rPr>
          <w:rFonts w:eastAsia="Times New Roman" w:cs="Times New Roman"/>
          <w:szCs w:val="20"/>
          <w:lang w:eastAsia="en-GB"/>
        </w:rPr>
        <w:t>that may be</w:t>
      </w:r>
      <w:r w:rsidRPr="00A4629F">
        <w:rPr>
          <w:rFonts w:eastAsia="Times New Roman" w:cs="Times New Roman"/>
          <w:szCs w:val="20"/>
          <w:lang w:eastAsia="en-GB"/>
        </w:rPr>
        <w:t xml:space="preserve"> </w:t>
      </w:r>
      <w:r>
        <w:rPr>
          <w:rFonts w:eastAsia="Times New Roman" w:cs="Times New Roman"/>
          <w:szCs w:val="20"/>
          <w:lang w:eastAsia="en-GB"/>
        </w:rPr>
        <w:t>consequences of</w:t>
      </w:r>
      <w:r w:rsidRPr="00A4629F">
        <w:rPr>
          <w:rFonts w:eastAsia="Times New Roman" w:cs="Times New Roman"/>
          <w:szCs w:val="20"/>
          <w:lang w:eastAsia="en-GB"/>
        </w:rPr>
        <w:t xml:space="preserve"> climate </w:t>
      </w:r>
      <w:r w:rsidRPr="00A4629F">
        <w:rPr>
          <w:rFonts w:eastAsia="Times New Roman" w:cs="Times New Roman"/>
          <w:szCs w:val="20"/>
          <w:lang w:eastAsia="en-GB"/>
        </w:rPr>
        <w:lastRenderedPageBreak/>
        <w:t>change and biotic homogenization</w:t>
      </w:r>
      <w:r>
        <w:rPr>
          <w:rFonts w:eastAsia="Times New Roman" w:cs="Times New Roman"/>
          <w:szCs w:val="20"/>
          <w:lang w:eastAsia="en-GB"/>
        </w:rPr>
        <w:t xml:space="preserve"> (Dornelas et al. 2014)</w:t>
      </w:r>
      <w:r w:rsidRPr="00A4629F">
        <w:rPr>
          <w:rFonts w:eastAsia="Times New Roman" w:cs="Times New Roman"/>
          <w:szCs w:val="20"/>
          <w:lang w:eastAsia="en-GB"/>
        </w:rPr>
        <w:t>. The WWF Liv</w:t>
      </w:r>
      <w:r>
        <w:rPr>
          <w:rFonts w:eastAsia="Times New Roman" w:cs="Times New Roman"/>
          <w:szCs w:val="20"/>
          <w:lang w:eastAsia="en-GB"/>
        </w:rPr>
        <w:t>ing Planet Index indicated</w:t>
      </w:r>
      <w:r w:rsidRPr="00A4629F">
        <w:rPr>
          <w:rFonts w:eastAsia="Times New Roman" w:cs="Times New Roman"/>
          <w:szCs w:val="20"/>
          <w:lang w:eastAsia="en-GB"/>
        </w:rPr>
        <w:t xml:space="preserve"> a decline in the marine index</w:t>
      </w:r>
      <w:r w:rsidRPr="008E53BD">
        <w:rPr>
          <w:rStyle w:val="FootnoteReference"/>
        </w:rPr>
        <w:footnoteReference w:id="29"/>
      </w:r>
      <w:r w:rsidRPr="00A4629F">
        <w:rPr>
          <w:rFonts w:eastAsia="Times New Roman" w:cs="Times New Roman"/>
          <w:szCs w:val="20"/>
          <w:lang w:eastAsia="en-GB"/>
        </w:rPr>
        <w:t xml:space="preserve"> of 36% since 1970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"author" : [ { "dropping-particle" : "", "family" : "WWF", "given" : "", "non-dropping-particle" : "", "parse-names" : false, "suffix" : "" } ], "id" : "ITEM-1", "issued" : { "date-parts" : [ [ "2016" ] ] }, "publisher-place" : "Gland, Switzerland", "title" : "Living Planet Report 2016", "type" : "report" }, "uris" : [ "http://www.mendeley.com/documents/?uuid=195674a6-83b0-4beb-9296-0e587cfc0adf" ] } ], "mendeley" : { "formattedCitation" : "(WWF, 2016)", "manualFormatting" : "(WWF 2016)", "plainTextFormattedCitation" : "(WWF, 2016)", "previouslyFormattedCitation" : "(WWF, 2016)" }, "properties" : {  }, "schema" : "https://github.com/citation-style-language/schema/raw/master/csl-citation.json" }</w:instrText>
      </w:r>
      <w:r>
        <w:rPr>
          <w:rFonts w:eastAsia="Times New Roman" w:cs="Times New Roman"/>
          <w:szCs w:val="20"/>
          <w:lang w:eastAsia="en-GB"/>
        </w:rPr>
        <w:fldChar w:fldCharType="separate"/>
      </w:r>
      <w:r>
        <w:rPr>
          <w:rFonts w:eastAsia="Times New Roman" w:cs="Times New Roman"/>
          <w:noProof/>
          <w:szCs w:val="20"/>
          <w:lang w:eastAsia="en-GB"/>
        </w:rPr>
        <w:t>(WWF</w:t>
      </w:r>
      <w:r w:rsidRPr="00A4629F">
        <w:rPr>
          <w:rFonts w:eastAsia="Times New Roman" w:cs="Times New Roman"/>
          <w:noProof/>
          <w:szCs w:val="20"/>
          <w:lang w:eastAsia="en-GB"/>
        </w:rPr>
        <w:t xml:space="preserve"> 2016)</w:t>
      </w:r>
      <w:r>
        <w:rPr>
          <w:rFonts w:eastAsia="Times New Roman" w:cs="Times New Roman"/>
          <w:szCs w:val="20"/>
          <w:lang w:eastAsia="en-GB"/>
        </w:rPr>
        <w:fldChar w:fldCharType="end"/>
      </w:r>
      <w:r w:rsidRPr="00A4629F">
        <w:rPr>
          <w:rFonts w:eastAsia="Times New Roman" w:cs="Times New Roman"/>
          <w:szCs w:val="20"/>
          <w:lang w:eastAsia="en-GB"/>
        </w:rPr>
        <w:t>.</w:t>
      </w:r>
    </w:p>
    <w:p w14:paraId="2D9EF51F" w14:textId="77777777" w:rsidR="00F1283E" w:rsidRPr="00A4629F" w:rsidRDefault="00F1283E" w:rsidP="00F1283E">
      <w:pPr>
        <w:pStyle w:val="ListParagraph"/>
        <w:numPr>
          <w:ilvl w:val="0"/>
          <w:numId w:val="4"/>
        </w:numPr>
        <w:contextualSpacing w:val="0"/>
        <w:rPr>
          <w:rFonts w:eastAsia="Times New Roman" w:cs="Times New Roman"/>
          <w:szCs w:val="20"/>
          <w:lang w:eastAsia="en-GB"/>
        </w:rPr>
      </w:pPr>
      <w:r>
        <w:rPr>
          <w:rFonts w:eastAsia="Times New Roman" w:cs="Times New Roman"/>
          <w:i/>
          <w:szCs w:val="20"/>
          <w:lang w:eastAsia="en-GB"/>
        </w:rPr>
        <w:t xml:space="preserve">Global fisheries: </w:t>
      </w:r>
      <w:r w:rsidRPr="00A4629F">
        <w:rPr>
          <w:rFonts w:eastAsia="Times New Roman" w:cs="Times New Roman"/>
          <w:szCs w:val="20"/>
          <w:lang w:eastAsia="en-GB"/>
        </w:rPr>
        <w:t xml:space="preserve">The </w:t>
      </w:r>
      <w:r>
        <w:rPr>
          <w:rFonts w:eastAsia="Times New Roman" w:cs="Times New Roman"/>
          <w:szCs w:val="20"/>
          <w:lang w:eastAsia="en-GB"/>
        </w:rPr>
        <w:t>2016</w:t>
      </w:r>
      <w:r w:rsidRPr="00A4629F">
        <w:rPr>
          <w:rFonts w:eastAsia="Times New Roman" w:cs="Times New Roman"/>
          <w:szCs w:val="20"/>
          <w:lang w:eastAsia="en-GB"/>
        </w:rPr>
        <w:t xml:space="preserve"> State of Fisheries and Aquaculture (SOFIA) report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"ISBN" : "978-92-5-109185-2", "author" : [ { "dropping-particle" : "", "family" : "Fao", "given" : "", "non-dropping-particle" : "", "parse-names" : false, "suffix" : "" } ], "id" : "ITEM-1", "issued" : { "date-parts" : [ [ "0" ] ] }, "title" : "The State of World Fisheries and Aquaculture 2016", "type" : "article-journal" }, "uris" : [ "http://www.mendeley.com/documents/?uuid=0c051b11-96ce-32a0-9207-4ea4631696dd" ] } ], "mendeley" : { "formattedCitation" : "(Fao, n.d.)", "manualFormatting" : "(FAO 2016)", "plainTextFormattedCitation" : "(Fao, n.d.)", "previouslyFormattedCitation" : "(Fao, n.d.)" }, "properties" : {  }, "schema" : "https://github.com/citation-style-language/schema/raw/master/csl-citation.json" }</w:instrText>
      </w:r>
      <w:r>
        <w:rPr>
          <w:rFonts w:eastAsia="Times New Roman" w:cs="Times New Roman"/>
          <w:szCs w:val="20"/>
          <w:lang w:eastAsia="en-GB"/>
        </w:rPr>
        <w:fldChar w:fldCharType="separate"/>
      </w:r>
      <w:r w:rsidRPr="00C23086">
        <w:rPr>
          <w:rFonts w:eastAsia="Times New Roman" w:cs="Times New Roman"/>
          <w:noProof/>
          <w:szCs w:val="20"/>
          <w:lang w:eastAsia="en-GB"/>
        </w:rPr>
        <w:t>(</w:t>
      </w:r>
      <w:r>
        <w:rPr>
          <w:rFonts w:eastAsia="Times New Roman" w:cs="Times New Roman"/>
          <w:noProof/>
          <w:szCs w:val="20"/>
          <w:lang w:eastAsia="en-GB"/>
        </w:rPr>
        <w:t>FAO 2016</w:t>
      </w:r>
      <w:r w:rsidRPr="00C23086">
        <w:rPr>
          <w:rFonts w:eastAsia="Times New Roman" w:cs="Times New Roman"/>
          <w:noProof/>
          <w:szCs w:val="20"/>
          <w:lang w:eastAsia="en-GB"/>
        </w:rPr>
        <w:t>)</w:t>
      </w:r>
      <w:r>
        <w:rPr>
          <w:rFonts w:eastAsia="Times New Roman" w:cs="Times New Roman"/>
          <w:szCs w:val="20"/>
          <w:lang w:eastAsia="en-GB"/>
        </w:rPr>
        <w:fldChar w:fldCharType="end"/>
      </w:r>
      <w:r>
        <w:rPr>
          <w:rFonts w:eastAsia="Times New Roman" w:cs="Times New Roman"/>
          <w:szCs w:val="20"/>
          <w:lang w:eastAsia="en-GB"/>
        </w:rPr>
        <w:t xml:space="preserve"> suggested that in 2014 a</w:t>
      </w:r>
      <w:r w:rsidRPr="00A4629F">
        <w:rPr>
          <w:rFonts w:eastAsia="Times New Roman" w:cs="Times New Roman"/>
          <w:szCs w:val="20"/>
          <w:lang w:eastAsia="en-GB"/>
        </w:rPr>
        <w:t>quaculture passed wild-capture fisheries in terms of contributing fish</w:t>
      </w:r>
      <w:r>
        <w:rPr>
          <w:rFonts w:eastAsia="Times New Roman" w:cs="Times New Roman"/>
          <w:szCs w:val="20"/>
          <w:lang w:eastAsia="en-GB"/>
        </w:rPr>
        <w:t xml:space="preserve"> for human consumption for the first time. It noted</w:t>
      </w:r>
      <w:r w:rsidRPr="00A4629F">
        <w:rPr>
          <w:rFonts w:eastAsia="Times New Roman" w:cs="Times New Roman"/>
          <w:szCs w:val="20"/>
          <w:lang w:eastAsia="en-GB"/>
        </w:rPr>
        <w:t xml:space="preserve"> that 31.4% of fish stocks </w:t>
      </w:r>
      <w:r>
        <w:rPr>
          <w:rFonts w:eastAsia="Times New Roman" w:cs="Times New Roman"/>
          <w:szCs w:val="20"/>
          <w:lang w:eastAsia="en-GB"/>
        </w:rPr>
        <w:t>were</w:t>
      </w:r>
      <w:r w:rsidRPr="00A4629F">
        <w:rPr>
          <w:rFonts w:eastAsia="Times New Roman" w:cs="Times New Roman"/>
          <w:szCs w:val="20"/>
          <w:lang w:eastAsia="en-GB"/>
        </w:rPr>
        <w:t xml:space="preserve"> estimated to be overfished. The SOFIA report also</w:t>
      </w:r>
      <w:r>
        <w:rPr>
          <w:rFonts w:eastAsia="Times New Roman" w:cs="Times New Roman"/>
          <w:szCs w:val="20"/>
          <w:lang w:eastAsia="en-GB"/>
        </w:rPr>
        <w:t xml:space="preserve"> indicated</w:t>
      </w:r>
      <w:r w:rsidRPr="00A4629F">
        <w:rPr>
          <w:rFonts w:eastAsia="Times New Roman" w:cs="Times New Roman"/>
          <w:szCs w:val="20"/>
          <w:lang w:eastAsia="en-GB"/>
        </w:rPr>
        <w:t xml:space="preserve"> that production from wild capture fisheries has declined </w:t>
      </w:r>
      <w:r>
        <w:rPr>
          <w:rFonts w:eastAsia="Times New Roman" w:cs="Times New Roman"/>
          <w:szCs w:val="20"/>
          <w:lang w:eastAsia="en-GB"/>
        </w:rPr>
        <w:t>since the peak of 86 million tonnes in 1996</w:t>
      </w:r>
      <w:r w:rsidRPr="00A4629F">
        <w:rPr>
          <w:rFonts w:eastAsia="Times New Roman" w:cs="Times New Roman"/>
          <w:szCs w:val="20"/>
          <w:lang w:eastAsia="en-GB"/>
        </w:rPr>
        <w:t xml:space="preserve"> to around 80 million tonnes, while a catch r</w:t>
      </w:r>
      <w:r>
        <w:rPr>
          <w:rFonts w:eastAsia="Times New Roman" w:cs="Times New Roman"/>
          <w:szCs w:val="20"/>
          <w:lang w:eastAsia="en-GB"/>
        </w:rPr>
        <w:t>econstruction that also accounted</w:t>
      </w:r>
      <w:r w:rsidRPr="00A4629F">
        <w:rPr>
          <w:rFonts w:eastAsia="Times New Roman" w:cs="Times New Roman"/>
          <w:szCs w:val="20"/>
          <w:lang w:eastAsia="en-GB"/>
        </w:rPr>
        <w:t xml:space="preserve"> for </w:t>
      </w:r>
      <w:r>
        <w:rPr>
          <w:rFonts w:eastAsia="Times New Roman" w:cs="Times New Roman"/>
          <w:szCs w:val="20"/>
          <w:lang w:eastAsia="en-GB"/>
        </w:rPr>
        <w:t xml:space="preserve">discards and </w:t>
      </w:r>
      <w:r w:rsidRPr="00A4629F">
        <w:rPr>
          <w:rFonts w:eastAsia="Times New Roman" w:cs="Times New Roman"/>
          <w:szCs w:val="20"/>
          <w:lang w:eastAsia="en-GB"/>
        </w:rPr>
        <w:t>illegal, unreported and unregulated fisheries sugg</w:t>
      </w:r>
      <w:r>
        <w:rPr>
          <w:rFonts w:eastAsia="Times New Roman" w:cs="Times New Roman"/>
          <w:szCs w:val="20"/>
          <w:lang w:eastAsia="en-GB"/>
        </w:rPr>
        <w:t>ested</w:t>
      </w:r>
      <w:r w:rsidRPr="00A4629F">
        <w:rPr>
          <w:rFonts w:eastAsia="Times New Roman" w:cs="Times New Roman"/>
          <w:szCs w:val="20"/>
          <w:lang w:eastAsia="en-GB"/>
        </w:rPr>
        <w:t xml:space="preserve"> a much stronger decline </w:t>
      </w:r>
      <w:r>
        <w:rPr>
          <w:rFonts w:eastAsia="Times New Roman" w:cs="Times New Roman"/>
          <w:szCs w:val="20"/>
          <w:lang w:eastAsia="en-GB"/>
        </w:rPr>
        <w:t xml:space="preserve">but </w:t>
      </w:r>
      <w:r w:rsidRPr="00A4629F">
        <w:rPr>
          <w:rFonts w:eastAsia="Times New Roman" w:cs="Times New Roman"/>
          <w:szCs w:val="20"/>
          <w:lang w:eastAsia="en-GB"/>
        </w:rPr>
        <w:t>from a higher peak</w:t>
      </w:r>
      <w:r>
        <w:rPr>
          <w:rFonts w:eastAsia="Times New Roman" w:cs="Times New Roman"/>
          <w:szCs w:val="20"/>
          <w:lang w:eastAsia="en-GB"/>
        </w:rPr>
        <w:t xml:space="preserve"> of production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"10.1038/ncomms10244", "abstract" : "Fisheries data assembled by the Food and Agriculture Organization (FAO) suggest that global marine fisheries catches increased to 86 million tonnes in 1996, then slightly declined. Here, using a decade-long multinational 'catch reconstruction' project covering the Exclusive Economic Zones of the world's maritime countries and the High Seas from 1950 to 2010, and accounting for all fisheries, we identify catch trajectories differing considerably from the national data submitted to the FAO. We suggest that catch actually peaked at 130 million tonnes, and has been declining much more strongly since. This decline in reconstructed catches reflects declines in industrial catches and to a smaller extent declining discards, despite industrial fishing having expanded from industrialized countries to the waters of developing countries. The differing trajectories documented here suggest a need for improved monitoring of all fisheries, including often neglected small-scale fisheries, and illegal and other problematic fisheries, as well as discarded bycatch.", "author" : [ { "dropping-particle" : "", "family" : "Pauly", "given" : "Daniel", "non-dropping-particle" : "", "parse-names" : false, "suffix" : "" }, { "dropping-particle" : "", "family" : "Zeller", "given" : "Dirk", "non-dropping-particle" : "", "parse-names" : false, "suffix" : "" } ], "container-title" : "Nature Communications", "id" : "ITEM-1", "issued" : { "date-parts" : [ [ "2016" ] ] }, "title" : "ARTICLE Catch reconstructions reveal that global marine fisheries catches are higher than reported and declining", "type" : "article-journal", "volume" : "7" }, "uris" : [ "http://www.mendeley.com/documents/?uuid=267103c8-2dc3-325f-9109-7473ca08282f" ] } ], "mendeley" : { "formattedCitation" : "(Pauly and Zeller, 2016)", "plainTextFormattedCitation" : "(Pauly and Zeller, 2016)", "previouslyFormattedCitation" : "(Pauly and Zeller, 2016)" }, "properties" : {  }, "schema" : "https://github.com/citation-style-language/schema/raw/master/csl-citation.json" }</w:instrText>
      </w:r>
      <w:r>
        <w:rPr>
          <w:rFonts w:eastAsia="Times New Roman" w:cs="Times New Roman"/>
          <w:szCs w:val="20"/>
          <w:lang w:eastAsia="en-GB"/>
        </w:rPr>
        <w:fldChar w:fldCharType="separate"/>
      </w:r>
      <w:r w:rsidRPr="00933054">
        <w:rPr>
          <w:rFonts w:eastAsia="Times New Roman" w:cs="Times New Roman"/>
          <w:noProof/>
          <w:szCs w:val="20"/>
          <w:lang w:eastAsia="en-GB"/>
        </w:rPr>
        <w:t>(Pauly and Zeller, 2016)</w:t>
      </w:r>
      <w:r>
        <w:rPr>
          <w:rFonts w:eastAsia="Times New Roman" w:cs="Times New Roman"/>
          <w:szCs w:val="20"/>
          <w:lang w:eastAsia="en-GB"/>
        </w:rPr>
        <w:fldChar w:fldCharType="end"/>
      </w:r>
      <w:r>
        <w:rPr>
          <w:rFonts w:eastAsia="Times New Roman" w:cs="Times New Roman"/>
          <w:szCs w:val="20"/>
          <w:lang w:eastAsia="en-GB"/>
        </w:rPr>
        <w:t>.</w:t>
      </w:r>
    </w:p>
    <w:p w14:paraId="462E760F" w14:textId="77777777" w:rsidR="00F1283E" w:rsidRDefault="00F1283E" w:rsidP="00F1283E">
      <w:pPr>
        <w:pStyle w:val="ListParagraph"/>
        <w:numPr>
          <w:ilvl w:val="0"/>
          <w:numId w:val="4"/>
        </w:numPr>
        <w:contextualSpacing w:val="0"/>
        <w:rPr>
          <w:rFonts w:eastAsia="Times New Roman" w:cs="Times New Roman"/>
          <w:szCs w:val="20"/>
          <w:lang w:eastAsia="en-GB"/>
        </w:rPr>
      </w:pPr>
      <w:r>
        <w:rPr>
          <w:rFonts w:cs="Times New Roman"/>
          <w:i/>
          <w:szCs w:val="20"/>
        </w:rPr>
        <w:t xml:space="preserve">Coral reef status: </w:t>
      </w:r>
      <w:r>
        <w:rPr>
          <w:rFonts w:cs="Times New Roman"/>
          <w:szCs w:val="20"/>
        </w:rPr>
        <w:t>In addition to being amongst the most biodiverse habitats on the planet, c</w:t>
      </w:r>
      <w:r w:rsidRPr="00A4629F">
        <w:rPr>
          <w:rFonts w:cs="Times New Roman"/>
          <w:szCs w:val="20"/>
        </w:rPr>
        <w:t>oral reefs form important natural ecosystem</w:t>
      </w:r>
      <w:r>
        <w:rPr>
          <w:rFonts w:cs="Times New Roman"/>
          <w:szCs w:val="20"/>
        </w:rPr>
        <w:t>s</w:t>
      </w:r>
      <w:r w:rsidRPr="00A4629F">
        <w:rPr>
          <w:rFonts w:cs="Times New Roman"/>
          <w:szCs w:val="20"/>
        </w:rPr>
        <w:t xml:space="preserve"> providing many goods and services – including food</w:t>
      </w:r>
      <w:r>
        <w:rPr>
          <w:rFonts w:cs="Times New Roman"/>
          <w:szCs w:val="20"/>
        </w:rPr>
        <w:t xml:space="preserve"> (with reef fisheries estimated to be worth $6.8 billion)</w:t>
      </w:r>
      <w:r w:rsidRPr="00A4629F">
        <w:rPr>
          <w:rFonts w:cs="Times New Roman"/>
          <w:szCs w:val="20"/>
        </w:rPr>
        <w:t>, tourism</w:t>
      </w:r>
      <w:r>
        <w:rPr>
          <w:rFonts w:cs="Times New Roman"/>
          <w:szCs w:val="20"/>
        </w:rPr>
        <w:t xml:space="preserve"> (estimated at $11.5 billion)</w:t>
      </w:r>
      <w:r w:rsidRPr="00A4629F">
        <w:rPr>
          <w:rFonts w:cs="Times New Roman"/>
          <w:szCs w:val="20"/>
        </w:rPr>
        <w:t>, and buffering against storms and surges</w:t>
      </w:r>
      <w:r>
        <w:rPr>
          <w:rFonts w:cs="Times New Roman"/>
          <w:szCs w:val="20"/>
        </w:rPr>
        <w:t xml:space="preserve"> (Burke et al. 2011)</w:t>
      </w:r>
      <w:r w:rsidRPr="00A4629F">
        <w:rPr>
          <w:rFonts w:cs="Times New Roman"/>
          <w:szCs w:val="20"/>
        </w:rPr>
        <w:t>.</w:t>
      </w:r>
      <w:r w:rsidRPr="00A4629F">
        <w:rPr>
          <w:rFonts w:eastAsia="Times New Roman" w:cs="Times New Roman"/>
          <w:szCs w:val="20"/>
          <w:lang w:eastAsia="en-GB"/>
        </w:rPr>
        <w:t>However, they are a particularly vulnerable habitat showing significant signs of degradation</w:t>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"10.1038/nature22901", "ISSN" : "0028-0836", "author" : [ { "dropping-particle" : "", "family" : "Hughes", "given" : "Terry P.", "non-dropping-particle" : "", "parse-names" : false, "suffix" : "" }, { "dropping-particle" : "", "family" : "Barnes", "given" : "Michele L.", "non-dropping-particle" : "", "parse-names" : false, "suffix" : "" }, { "dropping-particle" : "", "family" : "Bellwood", "given" : "David R.", "non-dropping-particle" : "", "parse-names" : false, "suffix" : "" }, { "dropping-particle" : "", "family" : "Cinner", "given" : "Joshua E.", "non-dropping-particle" : "", "parse-names" : false, "suffix" : "" }, { "dropping-particle" : "", "family" : "Cumming", "given" : "Graeme S.", "non-dropping-particle" : "", "parse-names" : false, "suffix" : "" }, { "dropping-particle" : "", "family" : "Jackson", "given" : "Jeremy B. C.", "non-dropping-particle" : "", "parse-names" : false, "suffix" : "" }, { "dropping-particle" : "", "family" : "Kleypas", "given" : "Joanie", "non-dropping-particle" : "", "parse-names" : false, "suffix" : "" }, { "dropping-particle" : "", "family" : "Leemput", "given" : "Ingrid A.", "non-dropping-particle" : "van de", "parse-names" : false, "suffix" : "" }, { "dropping-particle" : "", "family" : "Lough", "given" : "Janice M.", "non-dropping-particle" : "", "parse-names" : false, "suffix" : "" }, { "dropping-particle" : "", "family" : "Morrison", "given" : "Tiffany H.", "non-dropping-particle" : "", "parse-names" : false, "suffix" : "" }, { "dropping-particle" : "", "family" : "Palumbi", "given" : "Stephen R.", "non-dropping-particle" : "", "parse-names" : false, "suffix" : "" }, { "dropping-particle" : "", "family" : "Nes", "given" : "Egbert H.", "non-dropping-particle" : "van", "parse-names" : false, "suffix" : "" }, { "dropping-particle" : "", "family" : "Scheffer", "given" : "Marten", "non-dropping-particle" : "", "parse-names" : false, "suffix" : "" } ], "container-title" : "Nature", "id" : "ITEM-1", "issue" : "7656", "issued" : { "date-parts" : [ [ "2017", "5", "31" ] ] }, "page" : "82-90", "publisher" : "Nature Publishing Group", "title" : "Coral reefs in the Anthropocene", "type" : "article-journal", "volume" : "546" }, "uris" : [ "http://www.mendeley.com/documents/?uuid=7becb699-9234-3131-88e4-f44d5fed4026" ] } ], "mendeley" : { "formattedCitation" : "(Hughes et al., 2017)", "plainTextFormattedCitation" : "(Hughes et al., 2017)", "previouslyFormattedCitation" : "(Hughes et al., 2017)" }, "properties" : {  }, "schema" : "https://github.com/citation-style-language/schema/raw/master/csl-citation.json" }</w:instrText>
      </w:r>
      <w:r>
        <w:rPr>
          <w:rFonts w:eastAsia="Times New Roman" w:cs="Times New Roman"/>
          <w:szCs w:val="20"/>
          <w:lang w:eastAsia="en-GB"/>
        </w:rPr>
        <w:fldChar w:fldCharType="separate"/>
      </w:r>
      <w:r w:rsidRPr="00887179">
        <w:rPr>
          <w:rFonts w:eastAsia="Times New Roman" w:cs="Times New Roman"/>
          <w:noProof/>
          <w:szCs w:val="20"/>
          <w:lang w:eastAsia="en-GB"/>
        </w:rPr>
        <w:t>(Hughes et al., 2017)</w:t>
      </w:r>
      <w:r>
        <w:rPr>
          <w:rFonts w:eastAsia="Times New Roman" w:cs="Times New Roman"/>
          <w:szCs w:val="20"/>
          <w:lang w:eastAsia="en-GB"/>
        </w:rPr>
        <w:fldChar w:fldCharType="end"/>
      </w:r>
      <w:r w:rsidRPr="00A4629F">
        <w:rPr>
          <w:rFonts w:eastAsia="Times New Roman" w:cs="Times New Roman"/>
          <w:szCs w:val="20"/>
          <w:lang w:eastAsia="en-GB"/>
        </w:rPr>
        <w:t xml:space="preserve">. Tipping points exist at which </w:t>
      </w:r>
      <w:r>
        <w:rPr>
          <w:rFonts w:eastAsia="Times New Roman" w:cs="Times New Roman"/>
          <w:szCs w:val="20"/>
          <w:lang w:eastAsia="en-GB"/>
        </w:rPr>
        <w:t>coral reef ecosystems</w:t>
      </w:r>
      <w:r w:rsidRPr="00A4629F">
        <w:rPr>
          <w:rFonts w:eastAsia="Times New Roman" w:cs="Times New Roman"/>
          <w:szCs w:val="20"/>
          <w:lang w:eastAsia="en-GB"/>
        </w:rPr>
        <w:t xml:space="preserve"> can shift </w:t>
      </w:r>
      <w:r>
        <w:rPr>
          <w:rFonts w:eastAsia="Times New Roman" w:cs="Times New Roman"/>
          <w:szCs w:val="20"/>
          <w:lang w:eastAsia="en-GB"/>
        </w:rPr>
        <w:t>to</w:t>
      </w:r>
      <w:r w:rsidRPr="00A4629F">
        <w:rPr>
          <w:rFonts w:eastAsia="Times New Roman" w:cs="Times New Roman"/>
          <w:szCs w:val="20"/>
          <w:lang w:eastAsia="en-GB"/>
        </w:rPr>
        <w:t xml:space="preserve"> being dominated by macroalgae, with </w:t>
      </w:r>
      <w:r>
        <w:rPr>
          <w:rFonts w:eastAsia="Times New Roman" w:cs="Times New Roman"/>
          <w:szCs w:val="20"/>
          <w:lang w:eastAsia="en-GB"/>
        </w:rPr>
        <w:t xml:space="preserve">low resilience and </w:t>
      </w:r>
      <w:r w:rsidRPr="00A4629F">
        <w:rPr>
          <w:rFonts w:eastAsia="Times New Roman" w:cs="Times New Roman"/>
          <w:szCs w:val="20"/>
          <w:lang w:eastAsia="en-GB"/>
        </w:rPr>
        <w:t>an associated change and reduction in biodiversity and many ecosystem services</w:t>
      </w:r>
      <w:r>
        <w:rPr>
          <w:rFonts w:eastAsia="Times New Roman" w:cs="Times New Roman"/>
          <w:szCs w:val="20"/>
          <w:lang w:eastAsia="en-GB"/>
        </w:rPr>
        <w:t xml:space="preserve"> they provide, such as reef-associated fisheries and tourism</w:t>
      </w:r>
      <w:r w:rsidRPr="00A4629F">
        <w:rPr>
          <w:rFonts w:eastAsia="Times New Roman" w:cs="Times New Roman"/>
          <w:szCs w:val="20"/>
          <w:lang w:eastAsia="en-GB"/>
        </w:rPr>
        <w:t>.</w:t>
      </w:r>
      <w:r>
        <w:rPr>
          <w:rFonts w:eastAsia="Times New Roman" w:cs="Times New Roman"/>
          <w:szCs w:val="20"/>
          <w:lang w:eastAsia="en-GB"/>
        </w:rPr>
        <w:t xml:space="preserve"> </w:t>
      </w:r>
      <w:r w:rsidRPr="00A4629F">
        <w:rPr>
          <w:rFonts w:eastAsia="Times New Roman" w:cs="Times New Roman"/>
          <w:szCs w:val="20"/>
          <w:lang w:eastAsia="en-GB"/>
        </w:rPr>
        <w:t>They face multiple and considerable challenges from warming waters, pollution, ocean acidification, overexploitation an</w:t>
      </w:r>
      <w:r>
        <w:rPr>
          <w:rFonts w:eastAsia="Times New Roman" w:cs="Times New Roman"/>
          <w:szCs w:val="20"/>
          <w:lang w:eastAsia="en-GB"/>
        </w:rPr>
        <w:t>d destructive fishing practices</w:t>
      </w:r>
      <w:r w:rsidRPr="00A4629F">
        <w:rPr>
          <w:rFonts w:eastAsia="Times New Roman" w:cs="Times New Roman"/>
          <w:szCs w:val="20"/>
          <w:lang w:eastAsia="en-GB"/>
        </w:rPr>
        <w:t xml:space="preserve">. </w:t>
      </w:r>
      <w:r>
        <w:rPr>
          <w:rFonts w:eastAsia="Times New Roman" w:cs="Times New Roman"/>
          <w:szCs w:val="20"/>
          <w:lang w:eastAsia="en-GB"/>
        </w:rPr>
        <w:t>A 2015-2017 global coral bleaching event has been called ‘the longest and most widespread […] on record’</w:t>
      </w:r>
      <w:r>
        <w:rPr>
          <w:rStyle w:val="FootnoteReference"/>
          <w:rFonts w:eastAsia="Times New Roman" w:cs="Times New Roman"/>
          <w:szCs w:val="20"/>
          <w:lang w:eastAsia="en-GB"/>
        </w:rPr>
        <w:footnoteReference w:id="30"/>
      </w:r>
      <w:r>
        <w:rPr>
          <w:rFonts w:eastAsia="Times New Roman" w:cs="Times New Roman"/>
          <w:szCs w:val="20"/>
          <w:lang w:eastAsia="en-GB"/>
        </w:rPr>
        <w:t>.</w:t>
      </w:r>
    </w:p>
    <w:p w14:paraId="7F740871" w14:textId="77777777" w:rsidR="00F1283E" w:rsidRPr="00232B50" w:rsidRDefault="00F1283E" w:rsidP="00F1283E">
      <w:pPr>
        <w:rPr>
          <w:rFonts w:eastAsia="Times New Roman" w:cs="Times New Roman"/>
          <w:i/>
          <w:szCs w:val="20"/>
          <w:lang w:eastAsia="en-GB"/>
        </w:rPr>
      </w:pPr>
      <w:r>
        <w:rPr>
          <w:rFonts w:eastAsia="Times New Roman" w:cs="Times New Roman"/>
          <w:i/>
          <w:szCs w:val="20"/>
          <w:lang w:eastAsia="en-GB"/>
        </w:rPr>
        <w:t>IIB.2 Biodiversity trends under business as usual scenarios</w:t>
      </w:r>
    </w:p>
    <w:p w14:paraId="2174E5F1" w14:textId="77777777" w:rsidR="00F1283E" w:rsidRPr="00A25D9A" w:rsidRDefault="00F1283E" w:rsidP="00F1283E">
      <w:pPr>
        <w:pStyle w:val="ListParagraph"/>
        <w:numPr>
          <w:ilvl w:val="0"/>
          <w:numId w:val="4"/>
        </w:numPr>
        <w:contextualSpacing w:val="0"/>
      </w:pPr>
      <w:r w:rsidRPr="00A25D9A">
        <w:t xml:space="preserve">The </w:t>
      </w:r>
      <w:r>
        <w:rPr>
          <w:rFonts w:eastAsia="Times New Roman" w:cs="Times New Roman"/>
          <w:szCs w:val="20"/>
          <w:lang w:eastAsia="en-GB"/>
        </w:rPr>
        <w:t>BAU</w:t>
      </w:r>
      <w:r w:rsidRPr="00A51F1E">
        <w:rPr>
          <w:rFonts w:eastAsia="Times New Roman" w:cs="Times New Roman"/>
          <w:szCs w:val="20"/>
          <w:lang w:eastAsia="en-GB"/>
        </w:rPr>
        <w:t xml:space="preserve"> </w:t>
      </w:r>
      <w:r>
        <w:rPr>
          <w:rFonts w:eastAsia="Times New Roman" w:cs="Times New Roman"/>
          <w:szCs w:val="20"/>
          <w:lang w:eastAsia="en-GB"/>
        </w:rPr>
        <w:t xml:space="preserve">scenario in </w:t>
      </w:r>
      <w:r w:rsidRPr="00A25D9A">
        <w:t>GBO</w:t>
      </w:r>
      <w:r>
        <w:t>-</w:t>
      </w:r>
      <w:r w:rsidRPr="00A25D9A">
        <w:t xml:space="preserve">4 indicated that climate change was projected to become a major driver of ecosystem and biodiversity impacts by 2050, with species impacted by global oceanic temperature increases, a decline of sea ice, ocean acidification, and rising sea levels. As in terrestrial regions, the movement of species to remain in favourable climates would impact ecosystem services and reduce the effectiveness of protected areas, as well as increase the risks of species extinction </w:t>
      </w:r>
      <w:r w:rsidRPr="00DA6BA3">
        <w:fldChar w:fldCharType="begin" w:fldLock="1"/>
      </w:r>
      <w:r>
        <w:instrText>ADDIN CSL_CITATION { "citationItems" : [ { "id" : "ITEM-1", "itemData" : { "ISBN" : "978-92-807-3414-0", "author" : [ { "dropping-particle" : "", "family" : "Leadley", "given" : "P W", "non-dropping-particle" : "", "parse-names" : false, "suffix" : "" }, { "dropping-particle" : "", "family" : "Krug", "given" : "C B", "non-dropping-particle" : "", "parse-names" : false, "suffix" : "" }, { "dropping-particle" : "", "family" : "Alkemade", "given" : "R", "non-dropping-particle" : "", "parse-names" : false, "suffix" : "" }, { "dropping-particle" : "", "family" : "Pereira", "given" : "H M", "non-dropping-particle" : "", "parse-names" : false, "suffix" : "" }, { "dropping-particle" : "", "family" : "Sumaila", "given" : "U R", "non-dropping-particle" : "", "parse-names" : false, "suffix" : "" }, { "dropping-particle" : "", "family" : "Walpole", "given" : "M", "non-dropping-particle" : "", "parse-names" : false, "suffix" : "" }, { "dropping-particle" : "", "family" : "Marques", "given" : "A", "non-dropping-particle" : "", "parse-names" : false, "suffix" : "" }, { "dropping-particle" : "", "family" : "Newbold", "given" : "T", "non-dropping-particle" : "", "parse-names" : false, "suffix" : "" }, { "dropping-particle" : "", "family" : "Teh", "given" : "L S L", "non-dropping-particle" : "", "parse-names" : false, "suffix" : "" }, { "dropping-particle" : "", "family" : "Kolck", "given" : "J", "non-dropping-particle" : "", "parse-names" : false, "suffix" : "" }, { "dropping-particle" : "", "family" : "Bellard", "given" : "C", "non-dropping-particle" : "", "parse-names" : false, "suffix" : "" }, { "dropping-particle" : "", "family" : "Januchowski-Hartley", "given" : "S R", "non-dropping-particle" : "", "parse-names" : false, "suffix" : "" }, { "dropping-particle" : "", "family" : "Mumby", "given" : "P J", "non-dropping-particle" : "", "parse-names" : false, "suffix" : "" } ], "id" : "ITEM-1", "issued" : { "date-parts" : [ [ "2014" ] ] }, "title" : "PROGRESS TOWARDS THE AICHI BIODIVERSITY TARGETS: AN ASSESSMENT OF BIODIVERSITY TRENDS, POLICY SCENARIOS AND KEY ACTIONS Global Biodiversity Outlook 4 (GBO-4) Technical Report ii PROGRESS TOWARDS THE AICHI BIODIVERSITY TARGETS", "type" : "article-journal" }, "uris" : [ "http://www.mendeley.com/documents/?uuid=6340f510-aa8e-39eb-bff5-d74c242babdf" ] } ], "mendeley" : { "formattedCitation" : "(Leadley et al., 2014)", "plainTextFormattedCitation" : "(Leadley et al., 2014)", "previouslyFormattedCitation" : "(Leadley et al., 2014)" }, "properties" : {  }, "schema" : "https://github.com/citation-style-language/schema/raw/master/csl-citation.json" }</w:instrText>
      </w:r>
      <w:r w:rsidRPr="00DA6BA3">
        <w:fldChar w:fldCharType="separate"/>
      </w:r>
      <w:r w:rsidRPr="00A25D9A">
        <w:rPr>
          <w:noProof/>
        </w:rPr>
        <w:t>(Leadley et al., 2014)</w:t>
      </w:r>
      <w:r w:rsidRPr="00DA6BA3">
        <w:fldChar w:fldCharType="end"/>
      </w:r>
      <w:r w:rsidRPr="00A25D9A">
        <w:t xml:space="preserve">. Pressures on wild-capture marine fisheries were projected to increase substantially in many regions, leading to the collapse of some exploited fish populations. However, an increase in fish production to meet global demand was projected to come about due to a rapid expansion in aquaculture, raising concerns about potential associated impacts including demand for high protein feed products, pollution, and further competition for space. </w:t>
      </w:r>
    </w:p>
    <w:p w14:paraId="1CA61104" w14:textId="77777777" w:rsidR="00F1283E" w:rsidRPr="000908BF" w:rsidRDefault="00F1283E" w:rsidP="00F1283E">
      <w:pPr>
        <w:pStyle w:val="ListParagraph"/>
        <w:numPr>
          <w:ilvl w:val="0"/>
          <w:numId w:val="4"/>
        </w:numPr>
        <w:contextualSpacing w:val="0"/>
        <w:rPr>
          <w:rFonts w:eastAsia="Times New Roman" w:cs="Times New Roman"/>
          <w:lang w:eastAsia="en-GB"/>
        </w:rPr>
      </w:pPr>
      <w:r w:rsidRPr="000908BF">
        <w:rPr>
          <w:rFonts w:eastAsia="Times New Roman" w:cs="Times New Roman"/>
          <w:lang w:eastAsia="en-GB"/>
        </w:rPr>
        <w:t xml:space="preserve">The recent literature </w:t>
      </w:r>
      <w:r>
        <w:rPr>
          <w:rFonts w:eastAsia="Times New Roman" w:cs="Times New Roman"/>
          <w:lang w:eastAsia="en-GB"/>
        </w:rPr>
        <w:t>relating to trends and projections of</w:t>
      </w:r>
      <w:r w:rsidRPr="000908BF">
        <w:rPr>
          <w:rFonts w:eastAsia="Times New Roman" w:cs="Times New Roman"/>
          <w:lang w:eastAsia="en-GB"/>
        </w:rPr>
        <w:t xml:space="preserve"> biodiversity, ecosystem services, and vulnerable habitats in the marine realm </w:t>
      </w:r>
      <w:r>
        <w:rPr>
          <w:rFonts w:eastAsia="Times New Roman" w:cs="Times New Roman"/>
          <w:lang w:eastAsia="en-GB"/>
        </w:rPr>
        <w:t xml:space="preserve">under high-emissions or BAU scenarios </w:t>
      </w:r>
      <w:r w:rsidRPr="000908BF">
        <w:rPr>
          <w:rFonts w:eastAsia="Times New Roman" w:cs="Times New Roman"/>
          <w:lang w:eastAsia="en-GB"/>
        </w:rPr>
        <w:t xml:space="preserve">suggests </w:t>
      </w:r>
      <w:r>
        <w:rPr>
          <w:rFonts w:eastAsia="Times New Roman" w:cs="Times New Roman"/>
          <w:lang w:eastAsia="en-GB"/>
        </w:rPr>
        <w:t>considerable</w:t>
      </w:r>
      <w:r w:rsidRPr="000908BF">
        <w:rPr>
          <w:rFonts w:eastAsia="Times New Roman" w:cs="Times New Roman"/>
          <w:lang w:eastAsia="en-GB"/>
        </w:rPr>
        <w:t xml:space="preserve"> changes in patterns of biodiversity by mid- to end-century. In particular, </w:t>
      </w:r>
      <w:r>
        <w:rPr>
          <w:rFonts w:eastAsia="Times New Roman" w:cs="Times New Roman"/>
          <w:lang w:eastAsia="en-GB"/>
        </w:rPr>
        <w:t xml:space="preserve">local </w:t>
      </w:r>
      <w:r w:rsidRPr="000908BF">
        <w:rPr>
          <w:rFonts w:eastAsia="Times New Roman" w:cs="Times New Roman"/>
          <w:lang w:eastAsia="en-GB"/>
        </w:rPr>
        <w:t xml:space="preserve">marine species richness </w:t>
      </w:r>
      <w:r>
        <w:rPr>
          <w:rFonts w:eastAsia="Times New Roman" w:cs="Times New Roman"/>
          <w:lang w:eastAsia="en-GB"/>
        </w:rPr>
        <w:t>has been</w:t>
      </w:r>
      <w:r w:rsidRPr="000908BF">
        <w:rPr>
          <w:rFonts w:eastAsia="Times New Roman" w:cs="Times New Roman"/>
          <w:lang w:eastAsia="en-GB"/>
        </w:rPr>
        <w:t xml:space="preserve"> projected to increase globally due to species range expansions and invasion</w:t>
      </w:r>
      <w:r>
        <w:rPr>
          <w:rFonts w:eastAsia="Times New Roman" w:cs="Times New Roman"/>
          <w:lang w:eastAsia="en-GB"/>
        </w:rPr>
        <w:t>s</w:t>
      </w:r>
      <w:r w:rsidRPr="000908BF">
        <w:rPr>
          <w:rFonts w:eastAsia="Times New Roman" w:cs="Times New Roman"/>
          <w:lang w:eastAsia="en-GB"/>
        </w:rPr>
        <w:t xml:space="preserve">, but with </w:t>
      </w:r>
      <w:r>
        <w:rPr>
          <w:rFonts w:eastAsia="Times New Roman" w:cs="Times New Roman"/>
          <w:lang w:eastAsia="en-GB"/>
        </w:rPr>
        <w:t xml:space="preserve">high </w:t>
      </w:r>
      <w:r w:rsidRPr="000908BF">
        <w:rPr>
          <w:rFonts w:eastAsia="Times New Roman" w:cs="Times New Roman"/>
          <w:lang w:eastAsia="en-GB"/>
        </w:rPr>
        <w:t>local extirpations, particularly in the tropics</w:t>
      </w:r>
      <w:r>
        <w:rPr>
          <w:rFonts w:eastAsia="Times New Roman" w:cs="Times New Roman"/>
          <w:lang w:eastAsia="en-GB"/>
        </w:rPr>
        <w:t xml:space="preserve"> </w:t>
      </w:r>
      <w:r w:rsidRPr="00CB2857">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"plainTextFormattedCitation" : "(Garc\u00eda\u00a0Molinos et al., 2015)", "previouslyFormattedCitation" : "(Garc\u00eda\u00a0Molinos et al., 2015)" }, "properties" : {  }, "schema" : "https://github.com/citation-style-language/schema/raw/master/csl-citation.json" }</w:instrText>
      </w:r>
      <w:r w:rsidRPr="00CB2857">
        <w:rPr>
          <w:rFonts w:eastAsia="Times New Roman" w:cs="Times New Roman"/>
          <w:lang w:eastAsia="en-GB"/>
        </w:rPr>
        <w:fldChar w:fldCharType="separate"/>
      </w:r>
      <w:r w:rsidRPr="00CB2857">
        <w:rPr>
          <w:rFonts w:eastAsia="Times New Roman" w:cs="Times New Roman"/>
          <w:noProof/>
          <w:lang w:eastAsia="en-GB"/>
        </w:rPr>
        <w:t>(García Molinos et al., 2015)</w:t>
      </w:r>
      <w:r w:rsidRPr="00CB2857">
        <w:rPr>
          <w:rFonts w:eastAsia="Times New Roman" w:cs="Times New Roman"/>
          <w:lang w:eastAsia="en-GB"/>
        </w:rPr>
        <w:fldChar w:fldCharType="end"/>
      </w:r>
      <w:r w:rsidRPr="000908BF">
        <w:rPr>
          <w:rFonts w:eastAsia="Times New Roman" w:cs="Times New Roman"/>
          <w:lang w:eastAsia="en-GB"/>
        </w:rPr>
        <w:t>, and a mean latitudinal range shift of over 25km per decade</w:t>
      </w:r>
      <w:r>
        <w:rPr>
          <w:rFonts w:eastAsia="Times New Roman" w:cs="Times New Roman"/>
          <w:lang w:eastAsia="en-GB"/>
        </w:rPr>
        <w:t xml:space="preserve"> </w:t>
      </w:r>
      <w:r w:rsidRPr="00CB2857">
        <w:rPr>
          <w:rFonts w:eastAsia="Times New Roman" w:cs="Times New Roman"/>
          <w:lang w:eastAsia="en-GB"/>
        </w:rPr>
        <w:fldChar w:fldCharType="begin" w:fldLock="1"/>
      </w:r>
      <w:r>
        <w:rPr>
          <w:rFonts w:eastAsia="Times New Roman" w:cs="Times New Roman"/>
          <w:lang w:eastAsia="en-GB"/>
        </w:rPr>
        <w:instrText>ADDIN CSL_CITATION { "citationItems" : [ { "id" : "ITEM-1", "itemData" : { "author" : [ { "dropping-particle" : "", "family" : "Jones", "given" : "M. C.", "non-dropping-particle" : "", "parse-names" : false, "suffix" : "" }, { "dropping-particle" : "", "family" : "Cheung", "given" : "W. W. L.", "non-dropping-particle" : "", "parse-names" : false, "suffix" : "" } ], "container-title" : "ICES J", "id" : "ITEM-1", "issue" : "3", "issued" : { "date-parts" : [ [ "2015" ] ] }, "page" : "741-752", "title" : "Multi-model ensemble projections of climat change effects on global marine biodiversity", "type" : "article-journal", "volume" : "72" }, "uris" : [ "http://www.mendeley.com/documents/?uuid=43165591-b0b7-4e0a-8c1b-3433e343d880" ] } ], "mendeley" : { "formattedCitation" : "(Jones and Cheung, 2015)", "manualFormatting" : "(Jones and Cheung, 2015)", "plainTextFormattedCitation" : "(Jones and Cheung, 2015)", "previouslyFormattedCitation" : "(Jones and Cheung, 2015)" }, "properties" : {  }, "schema" : "https://github.com/citation-style-language/schema/raw/master/csl-citation.json" }</w:instrText>
      </w:r>
      <w:r w:rsidRPr="00CB2857">
        <w:rPr>
          <w:rFonts w:eastAsia="Times New Roman" w:cs="Times New Roman"/>
          <w:lang w:eastAsia="en-GB"/>
        </w:rPr>
        <w:fldChar w:fldCharType="separate"/>
      </w:r>
      <w:r w:rsidRPr="00CB2857">
        <w:rPr>
          <w:rFonts w:eastAsia="Times New Roman" w:cs="Times New Roman"/>
          <w:noProof/>
          <w:lang w:eastAsia="en-GB"/>
        </w:rPr>
        <w:t>(Jones and Cheung, 2015)</w:t>
      </w:r>
      <w:r w:rsidRPr="00CB2857">
        <w:rPr>
          <w:rFonts w:eastAsia="Times New Roman" w:cs="Times New Roman"/>
          <w:lang w:eastAsia="en-GB"/>
        </w:rPr>
        <w:fldChar w:fldCharType="end"/>
      </w:r>
      <w:r w:rsidRPr="000908BF">
        <w:rPr>
          <w:rFonts w:eastAsia="Times New Roman" w:cs="Times New Roman"/>
          <w:lang w:eastAsia="en-GB"/>
        </w:rPr>
        <w:t xml:space="preserve">. By 2050, global fisheries are projected to decline in terms of the proportion </w:t>
      </w:r>
      <w:r>
        <w:rPr>
          <w:rFonts w:eastAsia="Times New Roman" w:cs="Times New Roman"/>
          <w:lang w:eastAsia="en-GB"/>
        </w:rPr>
        <w:t xml:space="preserve">of exploited species at or above </w:t>
      </w:r>
      <w:r w:rsidRPr="000908BF">
        <w:rPr>
          <w:rFonts w:eastAsia="Times New Roman" w:cs="Times New Roman"/>
          <w:lang w:eastAsia="en-GB"/>
        </w:rPr>
        <w:t xml:space="preserve">a </w:t>
      </w:r>
      <w:r>
        <w:rPr>
          <w:rFonts w:eastAsia="Times New Roman" w:cs="Times New Roman"/>
          <w:lang w:eastAsia="en-GB"/>
        </w:rPr>
        <w:t xml:space="preserve">recovery </w:t>
      </w:r>
      <w:r w:rsidRPr="000908BF">
        <w:rPr>
          <w:rFonts w:eastAsia="Times New Roman" w:cs="Times New Roman"/>
          <w:lang w:eastAsia="en-GB"/>
        </w:rPr>
        <w:t xml:space="preserve">target biomass, the catch potential, the revenue and the profit. </w:t>
      </w:r>
      <w:r>
        <w:rPr>
          <w:rFonts w:eastAsia="Times New Roman" w:cs="Times New Roman"/>
          <w:lang w:eastAsia="en-GB"/>
        </w:rPr>
        <w:t xml:space="preserve">Global marine primary productivity will likely decline by the end of the century, though there remains uncertainty about the magnitude of any decrease. </w:t>
      </w:r>
      <w:r w:rsidRPr="000908BF">
        <w:rPr>
          <w:rFonts w:eastAsia="Times New Roman" w:cs="Times New Roman"/>
          <w:lang w:eastAsia="en-GB"/>
        </w:rPr>
        <w:t xml:space="preserve">Coral reefs are projected to continue to rapidly deteriorate, with regions currently occupied by reefs showing a decline in suitable area, </w:t>
      </w:r>
      <w:r>
        <w:rPr>
          <w:rFonts w:eastAsia="Times New Roman" w:cs="Times New Roman"/>
          <w:lang w:eastAsia="en-GB"/>
        </w:rPr>
        <w:t>resulting in</w:t>
      </w:r>
      <w:r w:rsidRPr="000908BF">
        <w:rPr>
          <w:rFonts w:eastAsia="Times New Roman" w:cs="Times New Roman"/>
          <w:lang w:eastAsia="en-GB"/>
        </w:rPr>
        <w:t xml:space="preserve"> </w:t>
      </w:r>
      <w:r>
        <w:rPr>
          <w:rFonts w:eastAsia="Times New Roman" w:cs="Times New Roman"/>
          <w:lang w:eastAsia="en-GB"/>
        </w:rPr>
        <w:t>large-scale</w:t>
      </w:r>
      <w:r w:rsidRPr="000908BF">
        <w:rPr>
          <w:rFonts w:eastAsia="Times New Roman" w:cs="Times New Roman"/>
          <w:lang w:eastAsia="en-GB"/>
        </w:rPr>
        <w:t xml:space="preserve"> </w:t>
      </w:r>
      <w:r w:rsidRPr="000908BF">
        <w:rPr>
          <w:rFonts w:eastAsia="Times New Roman" w:cs="Times New Roman"/>
          <w:lang w:eastAsia="en-GB"/>
        </w:rPr>
        <w:lastRenderedPageBreak/>
        <w:t>consequences for ecosystem services such as tourism (in the billions of dollars) and fisheries.</w:t>
      </w:r>
      <w:r>
        <w:rPr>
          <w:rFonts w:eastAsia="Times New Roman" w:cs="Times New Roman"/>
          <w:lang w:eastAsia="en-GB"/>
        </w:rPr>
        <w:t xml:space="preserve"> For details, see below.</w:t>
      </w:r>
    </w:p>
    <w:p w14:paraId="29E77E5A" w14:textId="77777777" w:rsidR="00F1283E" w:rsidRPr="00CB2857" w:rsidRDefault="00F1283E" w:rsidP="00F1283E">
      <w:pPr>
        <w:pStyle w:val="ListParagraph"/>
        <w:numPr>
          <w:ilvl w:val="0"/>
          <w:numId w:val="4"/>
        </w:numPr>
        <w:spacing w:after="240"/>
        <w:contextualSpacing w:val="0"/>
        <w:rPr>
          <w:rFonts w:eastAsia="Times New Roman" w:cs="Times New Roman"/>
          <w:lang w:eastAsia="en-GB"/>
        </w:rPr>
      </w:pPr>
      <w:r w:rsidRPr="00CB2857">
        <w:rPr>
          <w:rFonts w:eastAsia="Times New Roman" w:cs="Times New Roman"/>
          <w:lang w:eastAsia="en-GB"/>
        </w:rPr>
        <w:t>Global patterns in marine richness forecasted under a high emissions scenario</w:t>
      </w:r>
      <w:r w:rsidRPr="008E53BD">
        <w:rPr>
          <w:rStyle w:val="FootnoteReference"/>
        </w:rPr>
        <w:footnoteReference w:id="31"/>
      </w:r>
      <w:r w:rsidRPr="00CB2857">
        <w:rPr>
          <w:rFonts w:eastAsia="Times New Roman" w:cs="Times New Roman"/>
          <w:lang w:eastAsia="en-GB"/>
        </w:rPr>
        <w:t>, which assumes that trends continue along current trajectories without strong mitigation efforts, suggest</w:t>
      </w:r>
      <w:r>
        <w:rPr>
          <w:rFonts w:eastAsia="Times New Roman" w:cs="Times New Roman"/>
          <w:lang w:eastAsia="en-GB"/>
        </w:rPr>
        <w:t>ed</w:t>
      </w:r>
      <w:r w:rsidRPr="00CB2857">
        <w:rPr>
          <w:rFonts w:eastAsia="Times New Roman" w:cs="Times New Roman"/>
          <w:lang w:eastAsia="en-GB"/>
        </w:rPr>
        <w:t xml:space="preserve"> that </w:t>
      </w:r>
      <w:r>
        <w:rPr>
          <w:rFonts w:eastAsia="Times New Roman" w:cs="Times New Roman"/>
          <w:lang w:eastAsia="en-GB"/>
        </w:rPr>
        <w:t>by</w:t>
      </w:r>
      <w:r w:rsidRPr="00CB2857">
        <w:rPr>
          <w:rFonts w:eastAsia="Times New Roman" w:cs="Times New Roman"/>
          <w:lang w:eastAsia="en-GB"/>
        </w:rPr>
        <w:t xml:space="preserve"> 2100 range expansions will exceed contractions </w:t>
      </w:r>
      <w:r w:rsidRPr="00CB2857">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"plainTextFormattedCitation" : "(Garc\u00eda\u00a0Molinos et al., 2015)", "previouslyFormattedCitation" : "(Garc\u00eda\u00a0Molinos et al., 2015)" }, "properties" : {  }, "schema" : "https://github.com/citation-style-language/schema/raw/master/csl-citation.json" }</w:instrText>
      </w:r>
      <w:r w:rsidRPr="00CB2857">
        <w:rPr>
          <w:rFonts w:eastAsia="Times New Roman" w:cs="Times New Roman"/>
          <w:lang w:eastAsia="en-GB"/>
        </w:rPr>
        <w:fldChar w:fldCharType="separate"/>
      </w:r>
      <w:r w:rsidRPr="00CB2857">
        <w:rPr>
          <w:rFonts w:eastAsia="Times New Roman" w:cs="Times New Roman"/>
          <w:noProof/>
          <w:lang w:eastAsia="en-GB"/>
        </w:rPr>
        <w:t>(García Molinos et al., 2015)</w:t>
      </w:r>
      <w:r w:rsidRPr="00CB2857">
        <w:rPr>
          <w:rFonts w:eastAsia="Times New Roman" w:cs="Times New Roman"/>
          <w:lang w:eastAsia="en-GB"/>
        </w:rPr>
        <w:fldChar w:fldCharType="end"/>
      </w:r>
      <w:r w:rsidRPr="00CB2857">
        <w:rPr>
          <w:rFonts w:eastAsia="Times New Roman" w:cs="Times New Roman"/>
          <w:lang w:eastAsia="en-GB"/>
        </w:rPr>
        <w:t xml:space="preserve">, resulting in an overall increase in mean local richness (Fig. 2). This </w:t>
      </w:r>
      <w:r>
        <w:rPr>
          <w:rFonts w:eastAsia="Times New Roman" w:cs="Times New Roman"/>
          <w:lang w:eastAsia="en-GB"/>
        </w:rPr>
        <w:t>was projected to</w:t>
      </w:r>
      <w:r w:rsidRPr="00CB2857">
        <w:rPr>
          <w:rFonts w:eastAsia="Times New Roman" w:cs="Times New Roman"/>
          <w:lang w:eastAsia="en-GB"/>
        </w:rPr>
        <w:t xml:space="preserve"> lead to changes in </w:t>
      </w:r>
      <w:r>
        <w:rPr>
          <w:rFonts w:eastAsia="Times New Roman" w:cs="Times New Roman"/>
          <w:lang w:eastAsia="en-GB"/>
        </w:rPr>
        <w:t xml:space="preserve">community </w:t>
      </w:r>
      <w:r w:rsidRPr="00CB2857">
        <w:rPr>
          <w:rFonts w:eastAsia="Times New Roman" w:cs="Times New Roman"/>
          <w:lang w:eastAsia="en-GB"/>
        </w:rPr>
        <w:t xml:space="preserve">composition, the homogenization of present-day ecological communities in some areas, and high extirpation rates, particularly at low latitudes. In general, there </w:t>
      </w:r>
      <w:r>
        <w:rPr>
          <w:rFonts w:eastAsia="Times New Roman" w:cs="Times New Roman"/>
          <w:lang w:eastAsia="en-GB"/>
        </w:rPr>
        <w:t>were</w:t>
      </w:r>
      <w:r w:rsidRPr="00CB2857">
        <w:rPr>
          <w:rFonts w:eastAsia="Times New Roman" w:cs="Times New Roman"/>
          <w:lang w:eastAsia="en-GB"/>
        </w:rPr>
        <w:t xml:space="preserve"> projected to be </w:t>
      </w:r>
      <w:r>
        <w:rPr>
          <w:rFonts w:eastAsia="Times New Roman" w:cs="Times New Roman"/>
          <w:lang w:eastAsia="en-GB"/>
        </w:rPr>
        <w:t xml:space="preserve">species </w:t>
      </w:r>
      <w:r w:rsidRPr="00CB2857">
        <w:rPr>
          <w:rFonts w:eastAsia="Times New Roman" w:cs="Times New Roman"/>
          <w:lang w:eastAsia="en-GB"/>
        </w:rPr>
        <w:t xml:space="preserve">richness gains at high latitudes, while richness </w:t>
      </w:r>
      <w:r>
        <w:rPr>
          <w:rFonts w:eastAsia="Times New Roman" w:cs="Times New Roman"/>
          <w:lang w:eastAsia="en-GB"/>
        </w:rPr>
        <w:t>was</w:t>
      </w:r>
      <w:r w:rsidRPr="00CB2857">
        <w:rPr>
          <w:rFonts w:eastAsia="Times New Roman" w:cs="Times New Roman"/>
          <w:lang w:eastAsia="en-GB"/>
        </w:rPr>
        <w:t xml:space="preserve"> lost near the equator. A separate assessment of changes in the global patterns of marine species richness under </w:t>
      </w:r>
      <w:r>
        <w:rPr>
          <w:rFonts w:eastAsia="Times New Roman" w:cs="Times New Roman"/>
          <w:lang w:eastAsia="en-GB"/>
        </w:rPr>
        <w:t>a</w:t>
      </w:r>
      <w:r w:rsidRPr="00CB2857">
        <w:rPr>
          <w:rFonts w:eastAsia="Times New Roman" w:cs="Times New Roman"/>
          <w:lang w:eastAsia="en-GB"/>
        </w:rPr>
        <w:t xml:space="preserve"> high emissions</w:t>
      </w:r>
      <w:r w:rsidRPr="008E53BD">
        <w:rPr>
          <w:rStyle w:val="FootnoteReference"/>
        </w:rPr>
        <w:footnoteReference w:id="32"/>
      </w:r>
      <w:r w:rsidRPr="00CB2857">
        <w:rPr>
          <w:rFonts w:eastAsia="Times New Roman" w:cs="Times New Roman"/>
          <w:lang w:eastAsia="en-GB"/>
        </w:rPr>
        <w:t xml:space="preserve"> pathway out to 2050 indicated a mean poleward latitudinal shift in species ranges of 25.6 km per decade, with local extinctions again predicted to be concentrated near the equator, </w:t>
      </w:r>
      <w:r>
        <w:rPr>
          <w:rFonts w:eastAsia="Times New Roman" w:cs="Times New Roman"/>
          <w:lang w:eastAsia="en-GB"/>
        </w:rPr>
        <w:t>and</w:t>
      </w:r>
      <w:r w:rsidRPr="00CB2857">
        <w:rPr>
          <w:rFonts w:eastAsia="Times New Roman" w:cs="Times New Roman"/>
          <w:lang w:eastAsia="en-GB"/>
        </w:rPr>
        <w:t xml:space="preserve"> invasions more concentrated at higher latitudes </w:t>
      </w:r>
      <w:r w:rsidRPr="00CB2857">
        <w:rPr>
          <w:rFonts w:eastAsia="Times New Roman" w:cs="Times New Roman"/>
          <w:lang w:eastAsia="en-GB"/>
        </w:rPr>
        <w:fldChar w:fldCharType="begin" w:fldLock="1"/>
      </w:r>
      <w:r>
        <w:rPr>
          <w:rFonts w:eastAsia="Times New Roman" w:cs="Times New Roman"/>
          <w:lang w:eastAsia="en-GB"/>
        </w:rPr>
        <w:instrText>ADDIN CSL_CITATION { "citationItems" : [ { "id" : "ITEM-1", "itemData" : { "author" : [ { "dropping-particle" : "", "family" : "Jones", "given" : "M. C.", "non-dropping-particle" : "", "parse-names" : false, "suffix" : "" }, { "dropping-particle" : "", "family" : "Cheung", "given" : "W. W. L.", "non-dropping-particle" : "", "parse-names" : false, "suffix" : "" } ], "container-title" : "ICES J", "id" : "ITEM-1", "issue" : "3", "issued" : { "date-parts" : [ [ "2015" ] ] }, "page" : "741-752", "title" : "Multi-model ensemble projections of climat change effects on global marine biodiversity", "type" : "article-journal", "volume" : "72" }, "uris" : [ "http://www.mendeley.com/documents/?uuid=43165591-b0b7-4e0a-8c1b-3433e343d880" ] } ], "mendeley" : { "formattedCitation" : "(Jones and Cheung, 2015)", "manualFormatting" : "(Jones and Cheung, 2015)", "plainTextFormattedCitation" : "(Jones and Cheung, 2015)", "previouslyFormattedCitation" : "(Jones and Cheung, 2015)" }, "properties" : {  }, "schema" : "https://github.com/citation-style-language/schema/raw/master/csl-citation.json" }</w:instrText>
      </w:r>
      <w:r w:rsidRPr="00CB2857">
        <w:rPr>
          <w:rFonts w:eastAsia="Times New Roman" w:cs="Times New Roman"/>
          <w:lang w:eastAsia="en-GB"/>
        </w:rPr>
        <w:fldChar w:fldCharType="separate"/>
      </w:r>
      <w:r w:rsidRPr="00CB2857">
        <w:rPr>
          <w:rFonts w:eastAsia="Times New Roman" w:cs="Times New Roman"/>
          <w:noProof/>
          <w:lang w:eastAsia="en-GB"/>
        </w:rPr>
        <w:t>(Jones and Cheung, 2015)</w:t>
      </w:r>
      <w:r w:rsidRPr="00CB2857">
        <w:rPr>
          <w:rFonts w:eastAsia="Times New Roman" w:cs="Times New Roman"/>
          <w:lang w:eastAsia="en-GB"/>
        </w:rPr>
        <w:fldChar w:fldCharType="end"/>
      </w:r>
      <w:r w:rsidRPr="00CB2857">
        <w:rPr>
          <w:rFonts w:eastAsia="Times New Roman" w:cs="Times New Roman"/>
          <w:lang w:eastAsia="en-GB"/>
        </w:rPr>
        <w:t xml:space="preserve">. Such changes resulting from shifts in species distribution will affect the distribution and availability of commercially targeted species for fisheries, and may result in large-scale redistributions of fishing effort. </w:t>
      </w:r>
    </w:p>
    <w:p w14:paraId="30E70981" w14:textId="77777777" w:rsidR="00F1283E" w:rsidRPr="00887179" w:rsidRDefault="00F1283E" w:rsidP="00F1283E">
      <w:pPr>
        <w:jc w:val="center"/>
        <w:rPr>
          <w:rFonts w:eastAsia="Times New Roman" w:cs="Times New Roman"/>
          <w:lang w:eastAsia="en-GB"/>
        </w:rPr>
      </w:pPr>
      <w:r w:rsidRPr="00887179">
        <w:rPr>
          <w:rFonts w:eastAsia="Times New Roman" w:cs="Times New Roman"/>
          <w:noProof/>
          <w:lang w:val="en-US"/>
        </w:rPr>
        <w:drawing>
          <wp:inline distT="0" distB="0" distL="0" distR="0" wp14:anchorId="78EF7964" wp14:editId="1610FB59">
            <wp:extent cx="5579719" cy="2225688"/>
            <wp:effectExtent l="0" t="0" r="254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86152" cy="2228254"/>
                    </a:xfrm>
                    <a:prstGeom prst="rect">
                      <a:avLst/>
                    </a:prstGeom>
                  </pic:spPr>
                </pic:pic>
              </a:graphicData>
            </a:graphic>
          </wp:inline>
        </w:drawing>
      </w:r>
    </w:p>
    <w:p w14:paraId="2A64664B" w14:textId="77777777" w:rsidR="00F1283E" w:rsidRPr="00887179" w:rsidRDefault="00F1283E" w:rsidP="00F1283E">
      <w:pPr>
        <w:rPr>
          <w:rFonts w:eastAsia="Times New Roman" w:cs="Times New Roman"/>
          <w:lang w:eastAsia="en-GB"/>
        </w:rPr>
      </w:pPr>
      <w:r w:rsidRPr="00887179">
        <w:rPr>
          <w:rFonts w:eastAsia="Times New Roman" w:cs="Times New Roman"/>
          <w:lang w:eastAsia="en-GB"/>
        </w:rPr>
        <w:t xml:space="preserve">Fig. 2. Difference between 2006 and 2100 </w:t>
      </w:r>
      <w:r>
        <w:rPr>
          <w:rFonts w:eastAsia="Times New Roman" w:cs="Times New Roman"/>
          <w:lang w:eastAsia="en-GB"/>
        </w:rPr>
        <w:t xml:space="preserve">in </w:t>
      </w:r>
      <w:r w:rsidRPr="00887179">
        <w:rPr>
          <w:rFonts w:eastAsia="Times New Roman" w:cs="Times New Roman"/>
          <w:lang w:eastAsia="en-GB"/>
        </w:rPr>
        <w:t xml:space="preserve">marine species richness under </w:t>
      </w:r>
      <w:r>
        <w:rPr>
          <w:rFonts w:eastAsia="Times New Roman" w:cs="Times New Roman"/>
          <w:lang w:eastAsia="en-GB"/>
        </w:rPr>
        <w:t>a high emissions scenario</w:t>
      </w:r>
      <w:r w:rsidRPr="008E53BD">
        <w:rPr>
          <w:rStyle w:val="FootnoteReference"/>
        </w:rPr>
        <w:footnoteReference w:id="33"/>
      </w:r>
      <w:r w:rsidRPr="00887179">
        <w:rPr>
          <w:rFonts w:eastAsia="Times New Roman" w:cs="Times New Roman"/>
          <w:lang w:eastAsia="en-GB"/>
        </w:rPr>
        <w:t>. From</w:t>
      </w:r>
      <w:r>
        <w:rPr>
          <w:rFonts w:eastAsia="Times New Roman" w:cs="Times New Roman"/>
          <w:lang w:eastAsia="en-GB"/>
        </w:rPr>
        <w:t xml:space="preserve"> </w:t>
      </w:r>
      <w:r>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"manualFormatting" : "Garc\u00eda\u00a0Molinos et al. (2015)", "plainTextFormattedCitation" : "(Garc\u00eda\u00a0Molinos et al., 2015)", "previouslyFormattedCitation" : "(Garc\u00eda\u00a0Molinos et al., 2015)" }, "properties" : {  }, "schema" : "https://github.com/citation-style-language/schema/raw/master/csl-citation.json" }</w:instrText>
      </w:r>
      <w:r>
        <w:rPr>
          <w:rFonts w:eastAsia="Times New Roman" w:cs="Times New Roman"/>
          <w:lang w:eastAsia="en-GB"/>
        </w:rPr>
        <w:fldChar w:fldCharType="separate"/>
      </w:r>
      <w:r>
        <w:rPr>
          <w:rFonts w:eastAsia="Times New Roman" w:cs="Times New Roman"/>
          <w:noProof/>
          <w:lang w:eastAsia="en-GB"/>
        </w:rPr>
        <w:t>García Molinos et al. (</w:t>
      </w:r>
      <w:r w:rsidRPr="00887179">
        <w:rPr>
          <w:rFonts w:eastAsia="Times New Roman" w:cs="Times New Roman"/>
          <w:noProof/>
          <w:lang w:eastAsia="en-GB"/>
        </w:rPr>
        <w:t>2015)</w:t>
      </w:r>
      <w:r>
        <w:rPr>
          <w:rFonts w:eastAsia="Times New Roman" w:cs="Times New Roman"/>
          <w:lang w:eastAsia="en-GB"/>
        </w:rPr>
        <w:fldChar w:fldCharType="end"/>
      </w:r>
      <w:r>
        <w:rPr>
          <w:rFonts w:eastAsia="Times New Roman" w:cs="Times New Roman"/>
          <w:lang w:eastAsia="en-GB"/>
        </w:rPr>
        <w:t>.</w:t>
      </w:r>
      <w:r w:rsidRPr="00887179">
        <w:rPr>
          <w:rFonts w:eastAsia="Times New Roman" w:cs="Times New Roman"/>
          <w:lang w:eastAsia="en-GB"/>
        </w:rPr>
        <w:t xml:space="preserve"> </w:t>
      </w:r>
    </w:p>
    <w:p w14:paraId="68B50936" w14:textId="0EDFB8C0" w:rsidR="00F1283E" w:rsidRDefault="00F1283E" w:rsidP="00F1283E">
      <w:pPr>
        <w:pStyle w:val="NormalWeb"/>
        <w:numPr>
          <w:ilvl w:val="0"/>
          <w:numId w:val="4"/>
        </w:numPr>
        <w:spacing w:before="0" w:beforeAutospacing="0" w:after="0" w:afterAutospacing="0" w:line="276" w:lineRule="auto"/>
        <w:rPr>
          <w:sz w:val="22"/>
          <w:szCs w:val="22"/>
        </w:rPr>
      </w:pPr>
      <w:r w:rsidRPr="00887179">
        <w:rPr>
          <w:sz w:val="22"/>
          <w:szCs w:val="22"/>
        </w:rPr>
        <w:t>A recent projection of global fisheries under a</w:t>
      </w:r>
      <w:r>
        <w:rPr>
          <w:sz w:val="22"/>
          <w:szCs w:val="22"/>
        </w:rPr>
        <w:t>n unchanged climate but</w:t>
      </w:r>
      <w:r w:rsidRPr="00887179">
        <w:rPr>
          <w:sz w:val="22"/>
          <w:szCs w:val="22"/>
        </w:rPr>
        <w:t xml:space="preserve"> BAU</w:t>
      </w:r>
      <w:r>
        <w:rPr>
          <w:sz w:val="22"/>
          <w:szCs w:val="22"/>
        </w:rPr>
        <w:t>-management</w:t>
      </w:r>
      <w:r w:rsidRPr="00887179">
        <w:rPr>
          <w:sz w:val="22"/>
          <w:szCs w:val="22"/>
        </w:rPr>
        <w:t xml:space="preserve"> scenario</w:t>
      </w:r>
      <w:r>
        <w:rPr>
          <w:sz w:val="22"/>
          <w:szCs w:val="22"/>
        </w:rPr>
        <w:t xml:space="preserve"> </w:t>
      </w:r>
      <w:r>
        <w:rPr>
          <w:sz w:val="22"/>
          <w:szCs w:val="22"/>
        </w:rPr>
        <w:fldChar w:fldCharType="begin" w:fldLock="1"/>
      </w:r>
      <w:r>
        <w:rPr>
          <w:sz w:val="22"/>
          <w:szCs w:val="22"/>
        </w:rPr>
        <w:instrText>ADDIN CSL_CITATION { "citationItems" : [ { "id" : "ITEM-1", "itemData" : { "DOI" : "10.1073/pnas.1520420113", "abstract" : "Data from 4,713 fisheries worldwide, representing 78% of global reported fish catch, are analyzed to estimate the status, trends, and benefits of alternative approaches to recovering depleted fisheries. For each fishery, we estimate current biological status and forecast the impacts of contrasting management regimes on catch, profit, and biomass of fish in the sea. We estimate unique recovery targets and trajectories for each fishery, calculate the year-by-year effects of alternative recovery approaches, and model how alternative institutional reforms affect recovery outcomes. Current status is highly heterogeneous\u2014the median fishery is in poor health (overfished, with further overfishing occurring), although 32% of fish-eries are in good biological, although not necessarily economic, con-dition. Our business-as-usual scenario projects further divergence and continued collapse for many of the world's fisheries. Applying sound management reforms to global fisheries in our dataset could gener-ate annual increases exceeding 16 million metric tons (MMT) in catch, $53 billion in profit, and 619 MMT in biomass relative to business as usual. We also find that, with appropriate reforms, recovery can hap-pen quickly, with the median fishery taking under 10 y to reach re-covery targets. Our results show that commonsense reforms to fishery management would dramatically improve overall fish abun-dance while increasing food security and profits. fishery recovery | fishery reform | rights-based fishery management | bioeconomic model R ecent advances in our understanding of global fishery status (1\u20134) provide a foundation for estimating the targets for, and potential benefits from, global fishery recovery. Although existing aggregate estimates make a compelling general case for reform (5, 6) new data, models, and methods allow for more detailed analysis of the benefits and trade-offs of contrasting management regimes. Indeed, emerging empirical evidence shows that effective reforms and scientific assessments taken by some countries have already placed their fisheries on a positive path (1, 7). Reforms span a range of approaches, from scientifically informed harvest policies to institutional reforms that restructure the incentives in a fishery to align profits with conservation. In many cases, these changes have successfully reduced fishing effort to sustainable levels and stabilized overfished stocks (7, 8). These cases of suc-cessful management contain lessons that c\u2026", "author" : [ { "dropping-particle" : "", "family" : "Costello", "given" : "Christopher", "non-dropping-particle" : "", "parse-names" : false, "suffix" : "" }, { "dropping-particle" : "", "family" : "Ovando", "given" : "Daniel", "non-dropping-particle" : "", "parse-names" : false, "suffix" : "" }, { "dropping-particle" : "", "family" : "Clavelle", "given" : "Tyler", "non-dropping-particle" : "", "parse-names" : false, "suffix" : "" }, { "dropping-particle" : "", "family" : "Strauss", "given" : "C Kent", "non-dropping-particle" : "", "parse-names" : false, "suffix" : "" }, { "dropping-particle" : "", "family" : "Hilborn", "given" : "Ray", "non-dropping-particle" : "", "parse-names" : false, "suffix" : "" }, { "dropping-particle" : "", "family" : "Melnychuk", "given" : "Michael C", "non-dropping-particle" : "", "parse-names" : false, "suffix" : "" }, { "dropping-particle" : "", "family" : "Branch", "given" : "Trevor A", "non-dropping-particle" : "", "parse-names" : false, "suffix" : "" }, { "dropping-particle" : "", "family" : "Gaines", "given" : "Steven D", "non-dropping-particle" : "", "parse-names" : false, "suffix" : "" }, { "dropping-particle" : "", "family" : "Szuwalski", "given" : "Cody S", "non-dropping-particle" : "", "parse-names" : false, "suffix" : "" }, { "dropping-particle" : "", "family" : "Cabral", "given" : "Reniel B", "non-dropping-particle" : "", "parse-names" : false, "suffix" : "" }, { "dropping-particle" : "", "family" : "Rader", "given" : "Douglas N", "non-dropping-particle" : "", "parse-names" : false, "suffix" : "" }, { "dropping-particle" : "", "family" : "Leland", "given" : "Amanda", "non-dropping-particle" : "", "parse-names" : false, "suffix" : "" } ], "id" : "ITEM-1", "issued" : { "date-parts" : [ [ "0" ] ] }, "title" : "Global fishery prospects under contrasting management regimes", "type" : "article-journal" }, "uris" : [ "http://www.mendeley.com/documents/?uuid=701f730a-a586-39c3-8b9c-2314d92bc84e" ] } ], "mendeley" : { "formattedCitation" : "(Costello et al., n.d.)", "manualFormatting" : "(Costello et al., 2016)", "plainTextFormattedCitation" : "(Costello et al., n.d.)", "previouslyFormattedCitation" : "(Costello et al., n.d.)" }, "properties" : {  }, "schema" : "https://github.com/citation-style-language/schema/raw/master/csl-citation.json" }</w:instrText>
      </w:r>
      <w:r>
        <w:rPr>
          <w:sz w:val="22"/>
          <w:szCs w:val="22"/>
        </w:rPr>
        <w:fldChar w:fldCharType="separate"/>
      </w:r>
      <w:r>
        <w:rPr>
          <w:noProof/>
          <w:sz w:val="22"/>
          <w:szCs w:val="22"/>
        </w:rPr>
        <w:t>(Costello et al., 2016</w:t>
      </w:r>
      <w:r w:rsidRPr="00463459">
        <w:rPr>
          <w:noProof/>
          <w:sz w:val="22"/>
          <w:szCs w:val="22"/>
        </w:rPr>
        <w:t>)</w:t>
      </w:r>
      <w:r>
        <w:rPr>
          <w:sz w:val="22"/>
          <w:szCs w:val="22"/>
        </w:rPr>
        <w:fldChar w:fldCharType="end"/>
      </w:r>
      <w:r>
        <w:rPr>
          <w:sz w:val="22"/>
          <w:szCs w:val="22"/>
        </w:rPr>
        <w:t xml:space="preserve"> suggested</w:t>
      </w:r>
      <w:r w:rsidRPr="00887179">
        <w:rPr>
          <w:sz w:val="22"/>
          <w:szCs w:val="22"/>
        </w:rPr>
        <w:t xml:space="preserve"> that by 2050 the proportion of </w:t>
      </w:r>
      <w:r>
        <w:rPr>
          <w:sz w:val="22"/>
          <w:szCs w:val="22"/>
        </w:rPr>
        <w:t>exploited fish stocks at or above a recovery</w:t>
      </w:r>
      <w:r w:rsidRPr="00887179">
        <w:rPr>
          <w:sz w:val="22"/>
          <w:szCs w:val="22"/>
        </w:rPr>
        <w:t xml:space="preserve"> target biomass will decline dramatically</w:t>
      </w:r>
      <w:r>
        <w:rPr>
          <w:sz w:val="22"/>
          <w:szCs w:val="22"/>
        </w:rPr>
        <w:t xml:space="preserve"> (from 47% today to 12% in 2050)</w:t>
      </w:r>
      <w:r w:rsidRPr="00887179">
        <w:rPr>
          <w:sz w:val="22"/>
          <w:szCs w:val="22"/>
        </w:rPr>
        <w:t>, as will the economic profit from the</w:t>
      </w:r>
      <w:r>
        <w:rPr>
          <w:sz w:val="22"/>
          <w:szCs w:val="22"/>
        </w:rPr>
        <w:t xml:space="preserve"> fisheries. A separate study by </w:t>
      </w:r>
      <w:r w:rsidRPr="00887179">
        <w:rPr>
          <w:sz w:val="22"/>
          <w:szCs w:val="22"/>
        </w:rPr>
        <w:t xml:space="preserve">Lam et al. </w:t>
      </w:r>
      <w:r>
        <w:rPr>
          <w:sz w:val="22"/>
          <w:szCs w:val="22"/>
        </w:rPr>
        <w:t>(</w:t>
      </w:r>
      <w:r w:rsidRPr="00887179">
        <w:rPr>
          <w:sz w:val="22"/>
          <w:szCs w:val="22"/>
        </w:rPr>
        <w:t>2016) came to similar conclusions, projecting that catch potential will decline by an average of 7.7%, while revenue will decline by 10.4% by 2050.</w:t>
      </w:r>
      <w:r>
        <w:rPr>
          <w:sz w:val="22"/>
          <w:szCs w:val="22"/>
        </w:rPr>
        <w:t xml:space="preserve"> Under a BAU-like scenario</w:t>
      </w:r>
      <w:r>
        <w:rPr>
          <w:rStyle w:val="FootnoteReference"/>
          <w:sz w:val="22"/>
          <w:szCs w:val="22"/>
        </w:rPr>
        <w:footnoteReference w:id="34"/>
      </w:r>
      <w:r>
        <w:rPr>
          <w:sz w:val="22"/>
          <w:szCs w:val="22"/>
        </w:rPr>
        <w:t xml:space="preserve">, </w:t>
      </w:r>
      <w:r>
        <w:rPr>
          <w:sz w:val="22"/>
          <w:szCs w:val="22"/>
        </w:rPr>
        <w:fldChar w:fldCharType="begin" w:fldLock="1"/>
      </w:r>
      <w:r>
        <w:rPr>
          <w:sz w:val="22"/>
          <w:szCs w:val="22"/>
        </w:rPr>
        <w:instrText>ADDIN CSL_CITATION { "citationItems" : [ { "id" : "ITEM-1", "itemData" : { "DOI" : "10.1038/NCLIMATE2119", "ISBN" : "1758-678X", "ISSN" : "1758-678X", "abstract" : "Growing human populations and changing dietary preferences are increasing global demands for fish1 , adding pressure to concerns over fisheries sustainability2 . Here we develop and link models of physical, biological and human responses to climate change in 67 marine national exclusive economic zones, which yield approximately 60% of global fish catches, to project climate change yield impacts in countries with differentdependenciesonmarinefisheries3 .Predictedchanges in fish production indicate increased productivity at high latitudes and decreased productivity at low/mid latitudes, with considerable regional variations. With few exceptions, increases and decreases in fish production potential by 2050 are estimated to be&lt;10% (mean+3.4%) frompresent yields. Among the nations showing a high dependency on fisheries3 , climate change is predicted to increase productive potential in West Africa and decrease it in South and Southeast Asia. Despite projected human population increases and assuming that per capita fish consumption rates will be maintained1 , ongoing technologicaldevelopmentin the aquacultureindustry suggests that projected global fish demands in 2050 could be met, thus challenging existing predictions of inevitable shortfalls in fish supply by the mid-twenty-first century4 . This conclusion, however, is contingent on successful im- plementation of strategies for sustainable harvesting and effective distribution of wild fish products from nations and regions with a surplus to those with a deficit. Changes in management effectiveness2 and trade practices5 will remain the main influence on realized gains or losses in global fish production. Marine", "author" : [ { "dropping-particle" : "", "family" : "Barange", "given" : "M", "non-dropping-particle" : "", "parse-names" : false, "suffix" : "" }, { "dropping-particle" : "", "family" : "Merino", "given" : "G", "non-dropping-particle" : "", "parse-names" : false, "suffix" : "" }, { "dropping-particle" : "", "family" : "Blanchard", "given" : "J L", "non-dropping-particle" : "", "parse-names" : false, "suffix" : "" }, { "dropping-particle" : "", "family" : "Scholtens", "given" : "J", "non-dropping-particle" : "", "parse-names" : false, "suffix" : "" }, { "dropping-particle" : "", "family" : "Harle", "given" : "J", "non-dropping-particle" : "", "parse-names" : false, "suffix" : "" }, { "dropping-particle" : "", "family" : "Allison", "given" : "E H", "non-dropping-particle" : "", "parse-names" : false, "suffix" : "" }, { "dropping-particle" : "", "family" : "Allen", "given" : "J I", "non-dropping-particle" : "", "parse-names" : false, "suffix" : "" }, { "dropping-particle" : "", "family" : "Holt", "given" : "J", "non-dropping-particle" : "", "parse-names" : false, "suffix" : "" }, { "dropping-particle" : "", "family" : "Jennings", "given" : "S", "non-dropping-particle" : "", "parse-names" : false, "suffix" : "" } ], "container-title" : "Nature Climate Change", "id" : "ITEM-1", "issue" : "3", "issued" : { "date-parts" : [ [ "2014" ] ] }, "page" : "211-216", "title" : "Impacts of climate change on marine ecosystem production in societies dependent on fisheries", "type" : "article-journal", "volume" : "4" }, "uris" : [ "http://www.mendeley.com/documents/?uuid=7da1702e-37df-4829-9988-6e11f4b333d0" ] } ], "mendeley" : { "formattedCitation" : "(Barange et al., 2014)", "manualFormatting" : "Barange et al. (2014)", "plainTextFormattedCitation" : "(Barange et al., 2014)", "previouslyFormattedCitation" : "(Barange et al., 2014)" }, "properties" : {  }, "schema" : "https://github.com/citation-style-language/schema/raw/master/csl-citation.json" }</w:instrText>
      </w:r>
      <w:r>
        <w:rPr>
          <w:sz w:val="22"/>
          <w:szCs w:val="22"/>
        </w:rPr>
        <w:fldChar w:fldCharType="separate"/>
      </w:r>
      <w:r>
        <w:rPr>
          <w:noProof/>
          <w:sz w:val="22"/>
          <w:szCs w:val="22"/>
        </w:rPr>
        <w:t>Barange et al.</w:t>
      </w:r>
      <w:r w:rsidRPr="001517B9">
        <w:rPr>
          <w:noProof/>
          <w:sz w:val="22"/>
          <w:szCs w:val="22"/>
        </w:rPr>
        <w:t xml:space="preserve"> </w:t>
      </w:r>
      <w:r>
        <w:rPr>
          <w:noProof/>
          <w:sz w:val="22"/>
          <w:szCs w:val="22"/>
        </w:rPr>
        <w:t>(</w:t>
      </w:r>
      <w:r w:rsidRPr="001517B9">
        <w:rPr>
          <w:noProof/>
          <w:sz w:val="22"/>
          <w:szCs w:val="22"/>
        </w:rPr>
        <w:t>2014)</w:t>
      </w:r>
      <w:r>
        <w:rPr>
          <w:sz w:val="22"/>
          <w:szCs w:val="22"/>
        </w:rPr>
        <w:fldChar w:fldCharType="end"/>
      </w:r>
      <w:r w:rsidRPr="00887179">
        <w:rPr>
          <w:sz w:val="22"/>
          <w:szCs w:val="22"/>
        </w:rPr>
        <w:t xml:space="preserve"> </w:t>
      </w:r>
      <w:r>
        <w:rPr>
          <w:sz w:val="22"/>
          <w:szCs w:val="22"/>
        </w:rPr>
        <w:t>predicted increased fish productivity</w:t>
      </w:r>
      <w:r w:rsidRPr="00887179">
        <w:rPr>
          <w:sz w:val="22"/>
          <w:szCs w:val="22"/>
        </w:rPr>
        <w:t xml:space="preserve"> at high </w:t>
      </w:r>
      <w:r w:rsidR="000F5B19" w:rsidRPr="00887179">
        <w:rPr>
          <w:sz w:val="22"/>
          <w:szCs w:val="22"/>
        </w:rPr>
        <w:t>la</w:t>
      </w:r>
      <w:r w:rsidR="000F5B19">
        <w:rPr>
          <w:sz w:val="22"/>
          <w:szCs w:val="22"/>
        </w:rPr>
        <w:t>titudes</w:t>
      </w:r>
      <w:r>
        <w:rPr>
          <w:sz w:val="22"/>
          <w:szCs w:val="22"/>
        </w:rPr>
        <w:t xml:space="preserve"> and decreased productivity</w:t>
      </w:r>
      <w:r w:rsidRPr="00887179">
        <w:rPr>
          <w:sz w:val="22"/>
          <w:szCs w:val="22"/>
        </w:rPr>
        <w:t xml:space="preserve"> at low/mid latitudes</w:t>
      </w:r>
      <w:r>
        <w:rPr>
          <w:sz w:val="22"/>
          <w:szCs w:val="22"/>
        </w:rPr>
        <w:t xml:space="preserve"> by 2050,</w:t>
      </w:r>
      <w:r w:rsidRPr="00887179">
        <w:rPr>
          <w:sz w:val="22"/>
          <w:szCs w:val="22"/>
        </w:rPr>
        <w:t xml:space="preserve"> with overall potential production increasing by 3.4% </w:t>
      </w:r>
      <w:r>
        <w:rPr>
          <w:sz w:val="22"/>
          <w:szCs w:val="22"/>
        </w:rPr>
        <w:fldChar w:fldCharType="begin" w:fldLock="1"/>
      </w:r>
      <w:r>
        <w:rPr>
          <w:sz w:val="22"/>
          <w:szCs w:val="22"/>
        </w:rPr>
        <w:instrText>ADDIN CSL_CITATION { "citationItems" : [ { "id" : "ITEM-1", "itemData" : { "DOI" : "10.1038/NCLIMATE2119", "ISBN" : "1758-678X", "ISSN" : "1758-678X", "abstract" : "Growing human populations and changing dietary preferences are increasing global demands for fish1 , adding pressure to concerns over fisheries sustainability2 . Here we develop and link models of physical, biological and human responses to climate change in 67 marine national exclusive economic zones, which yield approximately 60% of global fish catches, to project climate change yield impacts in countries with differentdependenciesonmarinefisheries3 .Predictedchanges in fish production indicate increased productivity at high latitudes and decreased productivity at low/mid latitudes, with considerable regional variations. With few exceptions, increases and decreases in fish production potential by 2050 are estimated to be&lt;10% (mean+3.4%) frompresent yields. Among the nations showing a high dependency on fisheries3 , climate change is predicted to increase productive potential in West Africa and decrease it in South and Southeast Asia. Despite projected human population increases and assuming that per capita fish consumption rates will be maintained1 , ongoing technologicaldevelopmentin the aquacultureindustry suggests that projected global fish demands in 2050 could be met, thus challenging existing predictions of inevitable shortfalls in fish supply by the mid-twenty-first century4 . This conclusion, however, is contingent on successful im- plementation of strategies for sustainable harvesting and effective distribution of wild fish products from nations and regions with a surplus to those with a deficit. Changes in management effectiveness2 and trade practices5 will remain the main influence on realized gains or losses in global fish production. Marine", "author" : [ { "dropping-particle" : "", "family" : "Barange", "given" : "M", "non-dropping-particle" : "", "parse-names" : false, "suffix" : "" }, { "dropping-particle" : "", "family" : "Merino", "given" : "G", "non-dropping-particle" : "", "parse-names" : false, "suffix" : "" }, { "dropping-particle" : "", "family" : "Blanchard", "given" : "J L", "non-dropping-particle" : "", "parse-names" : false, "suffix" : "" }, { "dropping-particle" : "", "family" : "Scholtens", "given" : "J", "non-dropping-particle" : "", "parse-names" : false, "suffix" : "" }, { "dropping-particle" : "", "family" : "Harle", "given" : "J", "non-dropping-particle" : "", "parse-names" : false, "suffix" : "" }, { "dropping-particle" : "", "family" : "Allison", "given" : "E H", "non-dropping-particle" : "", "parse-names" : false, "suffix" : "" }, { "dropping-particle" : "", "family" : "Allen", "given" : "J I", "non-dropping-particle" : "", "parse-names" : false, "suffix" : "" }, { "dropping-particle" : "", "family" : "Holt", "given" : "J", "non-dropping-particle" : "", "parse-names" : false, "suffix" : "" }, { "dropping-particle" : "", "family" : "Jennings", "given" : "S", "non-dropping-particle" : "", "parse-names" : false, "suffix" : "" } ], "container-title" : "Nature Climate Change", "id" : "ITEM-1", "issue" : "3", "issued" : { "date-parts" : [ [ "2014" ] ] }, "page" : "211-216", "title" : "Impacts of climate change on marine ecosystem production in societies dependent on fisheries", "type" : "article-journal", "volume" : "4" }, "uris" : [ "http://www.mendeley.com/documents/?uuid=7da1702e-37df-4829-9988-6e11f4b333d0" ] } ], "mendeley" : { "formattedCitation" : "(Barange et al., 2014)", "plainTextFormattedCitation" : "(Barange et al., 2014)", "previouslyFormattedCitation" : "(Barange et al., 2014)" }, "properties" : {  }, "schema" : "https://github.com/citation-style-language/schema/raw/master/csl-citation.json" }</w:instrText>
      </w:r>
      <w:r>
        <w:rPr>
          <w:sz w:val="22"/>
          <w:szCs w:val="22"/>
        </w:rPr>
        <w:fldChar w:fldCharType="separate"/>
      </w:r>
      <w:r w:rsidRPr="001517B9">
        <w:rPr>
          <w:noProof/>
          <w:sz w:val="22"/>
          <w:szCs w:val="22"/>
        </w:rPr>
        <w:t>(Barange et al., 2014)</w:t>
      </w:r>
      <w:r>
        <w:rPr>
          <w:sz w:val="22"/>
          <w:szCs w:val="22"/>
        </w:rPr>
        <w:fldChar w:fldCharType="end"/>
      </w:r>
      <w:r>
        <w:rPr>
          <w:sz w:val="22"/>
          <w:szCs w:val="22"/>
        </w:rPr>
        <w:t>. Marine primary productivity supports all fisheries, and ultimately all marine life, and the most recent multi-model projections of global marine primary productivity have suggested that there will be a decline to 2100 under a high-emissions</w:t>
      </w:r>
      <w:r>
        <w:rPr>
          <w:rStyle w:val="FootnoteReference"/>
          <w:sz w:val="22"/>
          <w:szCs w:val="22"/>
        </w:rPr>
        <w:footnoteReference w:id="35"/>
      </w:r>
      <w:r>
        <w:rPr>
          <w:sz w:val="22"/>
          <w:szCs w:val="22"/>
        </w:rPr>
        <w:t xml:space="preserve"> scenario (Bopp et al. 2013; Fu et al. 2016), though there remain large uncertainties (Laufkötter et al. 2015). </w:t>
      </w:r>
    </w:p>
    <w:p w14:paraId="042F3EC7" w14:textId="77777777" w:rsidR="00F1283E" w:rsidRPr="00887179" w:rsidRDefault="00F1283E" w:rsidP="00F1283E">
      <w:pPr>
        <w:pStyle w:val="NormalWeb"/>
        <w:spacing w:before="0" w:beforeAutospacing="0" w:after="0" w:afterAutospacing="0" w:line="276" w:lineRule="auto"/>
        <w:ind w:left="360"/>
        <w:rPr>
          <w:sz w:val="22"/>
          <w:szCs w:val="22"/>
        </w:rPr>
      </w:pPr>
    </w:p>
    <w:p w14:paraId="238809D3" w14:textId="77777777" w:rsidR="00F1283E" w:rsidRPr="00CB2857" w:rsidRDefault="00F1283E" w:rsidP="00F1283E">
      <w:pPr>
        <w:pStyle w:val="ListParagraph"/>
        <w:numPr>
          <w:ilvl w:val="0"/>
          <w:numId w:val="4"/>
        </w:numPr>
        <w:contextualSpacing w:val="0"/>
        <w:rPr>
          <w:rFonts w:cs="Times New Roman"/>
        </w:rPr>
      </w:pPr>
      <w:r w:rsidRPr="00887179">
        <w:rPr>
          <w:rFonts w:eastAsia="Times New Roman" w:cs="Times New Roman"/>
          <w:lang w:eastAsia="en-GB"/>
        </w:rPr>
        <w:lastRenderedPageBreak/>
        <w:t xml:space="preserve">Using niche-based modelling, </w:t>
      </w:r>
      <w:r w:rsidRPr="001517B9">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"10.1111/gcb.12868", "ISBN" : "1365-2486", "ISSN" : "13652486", "PMID" : "25611594", "abstract" : "Coral bleaching events threaten coral reef habitats globally and cause severe declines of local biodiversity and productivity. Related to high sea surface temperatures, bleaching events are expected to increase as a consequence of future global warming. However, response to climate change is still uncertain as future low latitude climatic conditions have no present-day analogue. Sea surface temperatures during the Eocene epoch were warmer than forecasted changes for the coming century, and distributions of corals during the Eocene may help to inform models forecasting the future of coral reefs. We coupled contemporary and Eocene coral occurrences with information on their respective climatic conditions to model the thermal niche of coral reefs and its potential response to projected climate change. We found that under the RCP8.5 climate change scenario, the global suitability for coral reefs may increase up to 16% by 2100, mostly due to improved suitability of higher latitudes. In contrast, in its current range, coral reef suitability may decrease up to 46% by 2100. Reduction in thermal suitability will be most severe in biodiversity hotspots, especially in the Indo-Australian Archipelago. Our results suggest that many contemporary hotspots for coral reefs, including those that have been refugia in the past, spatially mismatch with future shifts in coral reef habitat suitability, posing even more challenges to conservation actions under climate change. This article is protected by copyright. All rights reserved.", "author" : [ { "dropping-particle" : "", "family" : "Descombes", "given" : "Patrice", "non-dropping-particle" : "", "parse-names" : false, "suffix" : "" }, { "dropping-particle" : "", "family" : "Wisz", "given" : "Mary S.", "non-dropping-particle" : "", "parse-names" : false, "suffix" : "" }, { "dropping-particle" : "", "family" : "Leprieur", "given" : "Fabien", "non-dropping-particle" : "", "parse-names" : false, "suffix" : "" }, { "dropping-particle" : "", "family" : "Parravicini", "given" : "Valerianio", "non-dropping-particle" : "", "parse-names" : false, "suffix" : "" }, { "dropping-particle" : "", "family" : "Heine", "given" : "Christian", "non-dropping-particle" : "", "parse-names" : false, "suffix" : "" }, { "dropping-particle" : "", "family" : "Olsen", "given" : "Steffen M.", "non-dropping-particle" : "", "parse-names" : false, "suffix" : "" }, { "dropping-particle" : "", "family" : "Swingedouw", "given" : "Didier", "non-dropping-particle" : "", "parse-names" : false, "suffix" : "" }, { "dropping-particle" : "", "family" : "Kulbicki", "given" : "Michel", "non-dropping-particle" : "", "parse-names" : false, "suffix" : "" }, { "dropping-particle" : "", "family" : "Mouillot", "given" : "David", "non-dropping-particle" : "", "parse-names" : false, "suffix" : "" }, { "dropping-particle" : "", "family" : "Pellissier", "given" : "Lo\u00efc", "non-dropping-particle" : "", "parse-names" : false, "suffix" : "" } ], "container-title" : "Global Change Biology", "id" : "ITEM-1", "issue" : "7", "issued" : { "date-parts" : [ [ "2015" ] ] }, "page" : "2479-2487", "title" : "Forecasted coral reef decline in marine biodiversity hotspots under climate change", "type" : "article-journal", "volume" : "21" }, "uris" : [ "http://www.mendeley.com/documents/?uuid=5faf4671-29ff-4e24-8003-608329564ccc" ] } ], "mendeley" : { "formattedCitation" : "(Descombes et al., 2015)", "manualFormatting" : "Descombes et al. (2015)", "plainTextFormattedCitation" : "(Descombes et al., 2015)", "previouslyFormattedCitation" : "(Descombes et al., 2015)" }, "properties" : {  }, "schema" : "https://github.com/citation-style-language/schema/raw/master/csl-citation.json" }</w:instrText>
      </w:r>
      <w:r w:rsidRPr="001517B9">
        <w:rPr>
          <w:rFonts w:eastAsia="Times New Roman" w:cs="Times New Roman"/>
          <w:lang w:eastAsia="en-GB"/>
        </w:rPr>
        <w:fldChar w:fldCharType="separate"/>
      </w:r>
      <w:r>
        <w:rPr>
          <w:rFonts w:eastAsia="Times New Roman" w:cs="Times New Roman"/>
          <w:noProof/>
          <w:lang w:eastAsia="en-GB"/>
        </w:rPr>
        <w:t>Descombes et al. (</w:t>
      </w:r>
      <w:r w:rsidRPr="001517B9">
        <w:rPr>
          <w:rFonts w:eastAsia="Times New Roman" w:cs="Times New Roman"/>
          <w:noProof/>
          <w:lang w:eastAsia="en-GB"/>
        </w:rPr>
        <w:t>2015)</w:t>
      </w:r>
      <w:r w:rsidRPr="001517B9">
        <w:rPr>
          <w:rFonts w:eastAsia="Times New Roman" w:cs="Times New Roman"/>
          <w:lang w:eastAsia="en-GB"/>
        </w:rPr>
        <w:fldChar w:fldCharType="end"/>
      </w:r>
      <w:r>
        <w:rPr>
          <w:rFonts w:eastAsia="Times New Roman" w:cs="Times New Roman"/>
          <w:lang w:eastAsia="en-GB"/>
        </w:rPr>
        <w:t xml:space="preserve"> </w:t>
      </w:r>
      <w:r w:rsidRPr="00887179">
        <w:rPr>
          <w:rFonts w:eastAsia="Times New Roman" w:cs="Times New Roman"/>
          <w:lang w:eastAsia="en-GB"/>
        </w:rPr>
        <w:t>forecasted future coral reef thermal suitability and identified locations that may be most vulnerable to climate change</w:t>
      </w:r>
      <w:r>
        <w:rPr>
          <w:rFonts w:eastAsia="Times New Roman" w:cs="Times New Roman"/>
          <w:lang w:eastAsia="en-GB"/>
        </w:rPr>
        <w:t xml:space="preserve"> </w:t>
      </w:r>
      <w:r w:rsidRPr="00887179">
        <w:rPr>
          <w:rFonts w:eastAsia="Times New Roman" w:cs="Times New Roman"/>
          <w:lang w:eastAsia="en-GB"/>
        </w:rPr>
        <w:t xml:space="preserve">under </w:t>
      </w:r>
      <w:r>
        <w:rPr>
          <w:rFonts w:eastAsia="Times New Roman" w:cs="Times New Roman"/>
          <w:lang w:eastAsia="en-GB"/>
        </w:rPr>
        <w:t>a high-emissions</w:t>
      </w:r>
      <w:r>
        <w:rPr>
          <w:rStyle w:val="FootnoteReference"/>
          <w:rFonts w:eastAsia="Times New Roman" w:cs="Times New Roman"/>
          <w:lang w:eastAsia="en-GB"/>
        </w:rPr>
        <w:footnoteReference w:id="36"/>
      </w:r>
      <w:r w:rsidRPr="00887179">
        <w:rPr>
          <w:rFonts w:eastAsia="Times New Roman" w:cs="Times New Roman"/>
          <w:lang w:eastAsia="en-GB"/>
        </w:rPr>
        <w:t xml:space="preserve"> scenario. Projections indicated that relative to its current range</w:t>
      </w:r>
      <w:r>
        <w:rPr>
          <w:rFonts w:eastAsia="Times New Roman" w:cs="Times New Roman"/>
          <w:lang w:eastAsia="en-GB"/>
        </w:rPr>
        <w:t xml:space="preserve"> (2005-2014)</w:t>
      </w:r>
      <w:r w:rsidRPr="00887179">
        <w:rPr>
          <w:rFonts w:eastAsia="Times New Roman" w:cs="Times New Roman"/>
          <w:lang w:eastAsia="en-GB"/>
        </w:rPr>
        <w:t xml:space="preserve">, </w:t>
      </w:r>
      <w:r>
        <w:rPr>
          <w:rFonts w:eastAsia="Times New Roman" w:cs="Times New Roman"/>
          <w:lang w:eastAsia="en-GB"/>
        </w:rPr>
        <w:t>the total area</w:t>
      </w:r>
      <w:r w:rsidRPr="00887179">
        <w:rPr>
          <w:rFonts w:eastAsia="Times New Roman" w:cs="Times New Roman"/>
          <w:lang w:eastAsia="en-GB"/>
        </w:rPr>
        <w:t xml:space="preserve"> suitable for coral reefs may change by around -2% to +9% by 2050, and 0%-16% by 2</w:t>
      </w:r>
      <w:r>
        <w:rPr>
          <w:rFonts w:eastAsia="Times New Roman" w:cs="Times New Roman"/>
          <w:lang w:eastAsia="en-GB"/>
        </w:rPr>
        <w:t>100. This expansion</w:t>
      </w:r>
      <w:r w:rsidRPr="00887179">
        <w:rPr>
          <w:rFonts w:eastAsia="Times New Roman" w:cs="Times New Roman"/>
          <w:lang w:eastAsia="en-GB"/>
        </w:rPr>
        <w:t xml:space="preserve"> </w:t>
      </w:r>
      <w:r>
        <w:rPr>
          <w:rFonts w:eastAsia="Times New Roman" w:cs="Times New Roman"/>
          <w:lang w:eastAsia="en-GB"/>
        </w:rPr>
        <w:t>was</w:t>
      </w:r>
      <w:r w:rsidRPr="00887179">
        <w:rPr>
          <w:rFonts w:eastAsia="Times New Roman" w:cs="Times New Roman"/>
          <w:lang w:eastAsia="en-GB"/>
        </w:rPr>
        <w:t xml:space="preserve"> due to an increase in thermally suitable habitats at high latitudes, although there </w:t>
      </w:r>
      <w:r>
        <w:rPr>
          <w:rFonts w:eastAsia="Times New Roman" w:cs="Times New Roman"/>
          <w:lang w:eastAsia="en-GB"/>
        </w:rPr>
        <w:t>are likely to</w:t>
      </w:r>
      <w:r w:rsidRPr="00887179">
        <w:rPr>
          <w:rFonts w:eastAsia="Times New Roman" w:cs="Times New Roman"/>
          <w:lang w:eastAsia="en-GB"/>
        </w:rPr>
        <w:t xml:space="preserve"> be many factors limiting the abilities of coral to colonize such areas</w:t>
      </w:r>
      <w:r>
        <w:rPr>
          <w:rFonts w:eastAsia="Times New Roman" w:cs="Times New Roman"/>
          <w:lang w:eastAsia="en-GB"/>
        </w:rPr>
        <w:t>, particularly in rapid response to warming waters</w:t>
      </w:r>
      <w:r w:rsidRPr="00887179">
        <w:rPr>
          <w:rFonts w:eastAsia="Times New Roman" w:cs="Times New Roman"/>
          <w:lang w:eastAsia="en-GB"/>
        </w:rPr>
        <w:t xml:space="preserve">. </w:t>
      </w:r>
      <w:r>
        <w:rPr>
          <w:rFonts w:eastAsia="Times New Roman" w:cs="Times New Roman"/>
          <w:lang w:eastAsia="en-GB"/>
        </w:rPr>
        <w:t>Furthermore</w:t>
      </w:r>
      <w:r w:rsidRPr="00887179">
        <w:rPr>
          <w:rFonts w:eastAsia="Times New Roman" w:cs="Times New Roman"/>
          <w:lang w:eastAsia="en-GB"/>
        </w:rPr>
        <w:t xml:space="preserve">, when examining </w:t>
      </w:r>
      <w:r>
        <w:rPr>
          <w:rFonts w:eastAsia="Times New Roman" w:cs="Times New Roman"/>
          <w:lang w:eastAsia="en-GB"/>
        </w:rPr>
        <w:t>the range of</w:t>
      </w:r>
      <w:r w:rsidRPr="00887179">
        <w:rPr>
          <w:rFonts w:eastAsia="Times New Roman" w:cs="Times New Roman"/>
          <w:lang w:eastAsia="en-GB"/>
        </w:rPr>
        <w:t xml:space="preserve"> areas currently occupied by coral reefs, a decline of -28% to -38% </w:t>
      </w:r>
      <w:r>
        <w:rPr>
          <w:rFonts w:eastAsia="Times New Roman" w:cs="Times New Roman"/>
          <w:lang w:eastAsia="en-GB"/>
        </w:rPr>
        <w:t>was</w:t>
      </w:r>
      <w:r w:rsidRPr="00887179">
        <w:rPr>
          <w:rFonts w:eastAsia="Times New Roman" w:cs="Times New Roman"/>
          <w:lang w:eastAsia="en-GB"/>
        </w:rPr>
        <w:t xml:space="preserve"> forecasted by 2050, and -31% to –46% by 2100, suggesting that contemporary coral r</w:t>
      </w:r>
      <w:r>
        <w:rPr>
          <w:rFonts w:eastAsia="Times New Roman" w:cs="Times New Roman"/>
          <w:lang w:eastAsia="en-GB"/>
        </w:rPr>
        <w:t>eefs hotspots will mismatch</w:t>
      </w:r>
      <w:r w:rsidRPr="00887179">
        <w:rPr>
          <w:rFonts w:eastAsia="Times New Roman" w:cs="Times New Roman"/>
          <w:lang w:eastAsia="en-GB"/>
        </w:rPr>
        <w:t xml:space="preserve"> with areas of future suitability. Such a retreat of coral reefs from low latitudes would have serious consequences for the </w:t>
      </w:r>
      <w:r>
        <w:rPr>
          <w:rFonts w:eastAsia="Times New Roman" w:cs="Times New Roman"/>
          <w:lang w:eastAsia="en-GB"/>
        </w:rPr>
        <w:t xml:space="preserve">key </w:t>
      </w:r>
      <w:r w:rsidRPr="00887179">
        <w:rPr>
          <w:rFonts w:eastAsia="Times New Roman" w:cs="Times New Roman"/>
          <w:lang w:eastAsia="en-GB"/>
        </w:rPr>
        <w:t xml:space="preserve">ecosystem services that reefs provide, </w:t>
      </w:r>
      <w:r w:rsidRPr="002F0E13">
        <w:rPr>
          <w:rFonts w:eastAsia="Times New Roman" w:cs="Times New Roman"/>
          <w:lang w:eastAsia="en-GB"/>
        </w:rPr>
        <w:t>such as fisheries and tourism</w:t>
      </w:r>
      <w:r>
        <w:rPr>
          <w:rFonts w:eastAsia="Times New Roman" w:cs="Times New Roman"/>
          <w:lang w:eastAsia="en-GB"/>
        </w:rPr>
        <w:t xml:space="preserve"> </w:t>
      </w:r>
      <w:r w:rsidRPr="001517B9">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"10.1111/gcb.12868", "ISBN" : "1365-2486", "ISSN" : "13652486", "PMID" : "25611594", "abstract" : "Coral bleaching events threaten coral reef habitats globally and cause severe declines of local biodiversity and productivity. Related to high sea surface temperatures, bleaching events are expected to increase as a consequence of future global warming. However, response to climate change is still uncertain as future low latitude climatic conditions have no present-day analogue. Sea surface temperatures during the Eocene epoch were warmer than forecasted changes for the coming century, and distributions of corals during the Eocene may help to inform models forecasting the future of coral reefs. We coupled contemporary and Eocene coral occurrences with information on their respective climatic conditions to model the thermal niche of coral reefs and its potential response to projected climate change. We found that under the RCP8.5 climate change scenario, the global suitability for coral reefs may increase up to 16% by 2100, mostly due to improved suitability of higher latitudes. In contrast, in its current range, coral reef suitability may decrease up to 46% by 2100. Reduction in thermal suitability will be most severe in biodiversity hotspots, especially in the Indo-Australian Archipelago. Our results suggest that many contemporary hotspots for coral reefs, including those that have been refugia in the past, spatially mismatch with future shifts in coral reef habitat suitability, posing even more challenges to conservation actions under climate change. This article is protected by copyright. All rights reserved.", "author" : [ { "dropping-particle" : "", "family" : "Descombes", "given" : "Patrice", "non-dropping-particle" : "", "parse-names" : false, "suffix" : "" }, { "dropping-particle" : "", "family" : "Wisz", "given" : "Mary S.", "non-dropping-particle" : "", "parse-names" : false, "suffix" : "" }, { "dropping-particle" : "", "family" : "Leprieur", "given" : "Fabien", "non-dropping-particle" : "", "parse-names" : false, "suffix" : "" }, { "dropping-particle" : "", "family" : "Parravicini", "given" : "Valerianio", "non-dropping-particle" : "", "parse-names" : false, "suffix" : "" }, { "dropping-particle" : "", "family" : "Heine", "given" : "Christian", "non-dropping-particle" : "", "parse-names" : false, "suffix" : "" }, { "dropping-particle" : "", "family" : "Olsen", "given" : "Steffen M.", "non-dropping-particle" : "", "parse-names" : false, "suffix" : "" }, { "dropping-particle" : "", "family" : "Swingedouw", "given" : "Didier", "non-dropping-particle" : "", "parse-names" : false, "suffix" : "" }, { "dropping-particle" : "", "family" : "Kulbicki", "given" : "Michel", "non-dropping-particle" : "", "parse-names" : false, "suffix" : "" }, { "dropping-particle" : "", "family" : "Mouillot", "given" : "David", "non-dropping-particle" : "", "parse-names" : false, "suffix" : "" }, { "dropping-particle" : "", "family" : "Pellissier", "given" : "Lo\u00efc", "non-dropping-particle" : "", "parse-names" : false, "suffix" : "" } ], "container-title" : "Global Change Biology", "id" : "ITEM-1", "issue" : "7", "issued" : { "date-parts" : [ [ "2015" ] ] }, "page" : "2479-2487", "title" : "Forecasted coral reef decline in marine biodiversity hotspots under climate change", "type" : "article-journal", "volume" : "21" }, "uris" : [ "http://www.mendeley.com/documents/?uuid=5faf4671-29ff-4e24-8003-608329564ccc" ] } ], "mendeley" : { "formattedCitation" : "(Descombes et al., 2015)", "plainTextFormattedCitation" : "(Descombes et al., 2015)", "previouslyFormattedCitation" : "(Descombes et al., 2015)" }, "properties" : {  }, "schema" : "https://github.com/citation-style-language/schema/raw/master/csl-citation.json" }</w:instrText>
      </w:r>
      <w:r w:rsidRPr="001517B9">
        <w:rPr>
          <w:rFonts w:eastAsia="Times New Roman" w:cs="Times New Roman"/>
          <w:lang w:eastAsia="en-GB"/>
        </w:rPr>
        <w:fldChar w:fldCharType="separate"/>
      </w:r>
      <w:r w:rsidRPr="001517B9">
        <w:rPr>
          <w:rFonts w:eastAsia="Times New Roman" w:cs="Times New Roman"/>
          <w:noProof/>
          <w:lang w:eastAsia="en-GB"/>
        </w:rPr>
        <w:t>(Descombes et al., 2015)</w:t>
      </w:r>
      <w:r w:rsidRPr="001517B9">
        <w:rPr>
          <w:rFonts w:eastAsia="Times New Roman" w:cs="Times New Roman"/>
          <w:lang w:eastAsia="en-GB"/>
        </w:rPr>
        <w:fldChar w:fldCharType="end"/>
      </w:r>
      <w:r>
        <w:rPr>
          <w:rFonts w:eastAsia="Times New Roman" w:cs="Times New Roman"/>
          <w:lang w:eastAsia="en-GB"/>
        </w:rPr>
        <w:t xml:space="preserve">. Using statistical correlation analyses, </w:t>
      </w:r>
      <w:r>
        <w:rPr>
          <w:rFonts w:eastAsia="Times New Roman" w:cs="Times New Roman"/>
          <w:lang w:eastAsia="en-GB"/>
        </w:rPr>
        <w:fldChar w:fldCharType="begin" w:fldLock="1"/>
      </w:r>
      <w:r>
        <w:rPr>
          <w:rFonts w:eastAsia="Times New Roman" w:cs="Times New Roman"/>
          <w:lang w:eastAsia="en-GB"/>
        </w:rPr>
        <w:instrText>ADDIN CSL_CITATION { "citationItems" : [ { "id" : "ITEM-1", "itemData" : { "DOI" : "https://doi.org/10.1016/j.gloenvcha.2014.10.011", "ISSN" : "0959-3780", "author" : [ { "dropping-particle" : "", "family" : "Chen", "given" : "Ping-Yu", "non-dropping-particle" : "", "parse-names" : false, "suffix" : "" }, { "dropping-particle" : "", "family" : "Chen", "given" : "Chi-Chung", "non-dropping-particle" : "", "parse-names" : false, "suffix" : "" }, { "dropping-particle" : "", "family" : "Chu", "given" : "LanFen", "non-dropping-particle" : "", "parse-names" : false, "suffix" : "" }, { "dropping-particle" : "", "family" : "McCarl", "given" : "Bruce", "non-dropping-particle" : "", "parse-names" : false, "suffix" : "" } ], "container-title" : "Global Environmental Change", "id" : "ITEM-1", "issue" : "Supplement C", "issued" : { "date-parts" : [ [ "2015" ] ] }, "page" : "12-20", "title" : "Evaluating the economic damage of climate change on global coral reefs", "type" : "article-journal", "volume" : "30" }, "uris" : [ "http://www.mendeley.com/documents/?uuid=53f8bb82-18f4-42e2-8376-eae78f708c51" ] } ], "mendeley" : { "formattedCitation" : "(Chen et al., 2015)", "manualFormatting" : "Chen et al. (2015)", "plainTextFormattedCitation" : "(Chen et al., 2015)", "previouslyFormattedCitation" : "(Chen et al., 2015)" }, "properties" : {  }, "schema" : "https://github.com/citation-style-language/schema/raw/master/csl-citation.json" }</w:instrText>
      </w:r>
      <w:r>
        <w:rPr>
          <w:rFonts w:eastAsia="Times New Roman" w:cs="Times New Roman"/>
          <w:lang w:eastAsia="en-GB"/>
        </w:rPr>
        <w:fldChar w:fldCharType="separate"/>
      </w:r>
      <w:r>
        <w:rPr>
          <w:rFonts w:eastAsia="Times New Roman" w:cs="Times New Roman"/>
          <w:noProof/>
          <w:lang w:eastAsia="en-GB"/>
        </w:rPr>
        <w:t>Chen et al. (</w:t>
      </w:r>
      <w:r w:rsidRPr="00655B75">
        <w:rPr>
          <w:rFonts w:eastAsia="Times New Roman" w:cs="Times New Roman"/>
          <w:noProof/>
          <w:lang w:eastAsia="en-GB"/>
        </w:rPr>
        <w:t>2015)</w:t>
      </w:r>
      <w:r>
        <w:rPr>
          <w:rFonts w:eastAsia="Times New Roman" w:cs="Times New Roman"/>
          <w:lang w:eastAsia="en-GB"/>
        </w:rPr>
        <w:fldChar w:fldCharType="end"/>
      </w:r>
      <w:r w:rsidRPr="00887179">
        <w:rPr>
          <w:rFonts w:eastAsia="Times New Roman" w:cs="Times New Roman"/>
          <w:lang w:eastAsia="en-GB"/>
        </w:rPr>
        <w:t xml:space="preserve"> estimated </w:t>
      </w:r>
      <w:r>
        <w:rPr>
          <w:rFonts w:eastAsia="Times New Roman" w:cs="Times New Roman"/>
          <w:lang w:eastAsia="en-GB"/>
        </w:rPr>
        <w:t>that above 26.85</w:t>
      </w:r>
      <w:r>
        <w:rPr>
          <w:rFonts w:cs="Times New Roman"/>
        </w:rPr>
        <w:t>°</w:t>
      </w:r>
      <w:r>
        <w:t>C</w:t>
      </w:r>
      <w:r>
        <w:rPr>
          <w:rFonts w:eastAsia="Times New Roman" w:cs="Times New Roman"/>
          <w:lang w:eastAsia="en-GB"/>
        </w:rPr>
        <w:t xml:space="preserve"> sea surface temperature (SST), </w:t>
      </w:r>
      <w:r w:rsidRPr="00887179">
        <w:rPr>
          <w:rFonts w:eastAsia="Times New Roman" w:cs="Times New Roman"/>
          <w:lang w:eastAsia="en-GB"/>
        </w:rPr>
        <w:t xml:space="preserve">a reduction of </w:t>
      </w:r>
      <w:r>
        <w:rPr>
          <w:rFonts w:eastAsia="Times New Roman" w:cs="Times New Roman"/>
          <w:lang w:eastAsia="en-GB"/>
        </w:rPr>
        <w:t>global coral reef coverage by 2.3% could be expected with a 1% increase in SST</w:t>
      </w:r>
      <w:r w:rsidRPr="00887179">
        <w:rPr>
          <w:rFonts w:eastAsia="Times New Roman" w:cs="Times New Roman"/>
          <w:lang w:eastAsia="en-GB"/>
        </w:rPr>
        <w:t>. Furthermore, a 1% in</w:t>
      </w:r>
      <w:r>
        <w:rPr>
          <w:rFonts w:eastAsia="Times New Roman" w:cs="Times New Roman"/>
          <w:lang w:eastAsia="en-GB"/>
        </w:rPr>
        <w:t>crease in carbon dioxide would result</w:t>
      </w:r>
      <w:r w:rsidRPr="00887179">
        <w:rPr>
          <w:rFonts w:eastAsia="Times New Roman" w:cs="Times New Roman"/>
          <w:lang w:eastAsia="en-GB"/>
        </w:rPr>
        <w:t xml:space="preserve"> in a 0.6% reduction in coral coverage globally. </w:t>
      </w:r>
      <w:r>
        <w:rPr>
          <w:rFonts w:eastAsia="Times New Roman" w:cs="Times New Roman"/>
          <w:lang w:eastAsia="en-GB"/>
        </w:rPr>
        <w:t>Under a high-emissions scenario</w:t>
      </w:r>
      <w:r>
        <w:rPr>
          <w:rStyle w:val="FootnoteReference"/>
          <w:rFonts w:eastAsia="Times New Roman" w:cs="Times New Roman"/>
          <w:lang w:eastAsia="en-GB"/>
        </w:rPr>
        <w:footnoteReference w:id="37"/>
      </w:r>
      <w:r>
        <w:rPr>
          <w:rFonts w:eastAsia="Times New Roman" w:cs="Times New Roman"/>
          <w:lang w:eastAsia="en-GB"/>
        </w:rPr>
        <w:t xml:space="preserve">, this implied </w:t>
      </w:r>
      <w:r w:rsidRPr="00887179">
        <w:rPr>
          <w:rFonts w:eastAsia="Times New Roman" w:cs="Times New Roman"/>
          <w:lang w:eastAsia="en-GB"/>
        </w:rPr>
        <w:t>a substantial loss in coral coverage</w:t>
      </w:r>
      <w:r>
        <w:rPr>
          <w:rFonts w:eastAsia="Times New Roman" w:cs="Times New Roman"/>
          <w:lang w:eastAsia="en-GB"/>
        </w:rPr>
        <w:t>,</w:t>
      </w:r>
      <w:r w:rsidRPr="00887179">
        <w:rPr>
          <w:rFonts w:eastAsia="Times New Roman" w:cs="Times New Roman"/>
          <w:lang w:eastAsia="en-GB"/>
        </w:rPr>
        <w:t xml:space="preserve"> and a </w:t>
      </w:r>
      <w:r>
        <w:rPr>
          <w:rFonts w:eastAsia="Times New Roman" w:cs="Times New Roman"/>
          <w:lang w:eastAsia="en-GB"/>
        </w:rPr>
        <w:t xml:space="preserve">consequent </w:t>
      </w:r>
      <w:r w:rsidRPr="00887179">
        <w:rPr>
          <w:rFonts w:eastAsia="Times New Roman" w:cs="Times New Roman"/>
          <w:lang w:eastAsia="en-GB"/>
        </w:rPr>
        <w:t>loss in tourism and recreation value of $5.8 billion by 2050 and $12 billion by 2095.</w:t>
      </w:r>
    </w:p>
    <w:p w14:paraId="34ED999A" w14:textId="77777777" w:rsidR="00F1283E" w:rsidRPr="00C56411" w:rsidRDefault="00F1283E" w:rsidP="00F1283E">
      <w:pPr>
        <w:rPr>
          <w:rFonts w:eastAsia="Times New Roman" w:cs="Times New Roman"/>
          <w:i/>
          <w:szCs w:val="20"/>
          <w:lang w:eastAsia="en-GB"/>
        </w:rPr>
      </w:pPr>
      <w:r>
        <w:rPr>
          <w:rFonts w:eastAsia="Times New Roman" w:cs="Times New Roman"/>
          <w:i/>
          <w:szCs w:val="20"/>
          <w:lang w:eastAsia="en-GB"/>
        </w:rPr>
        <w:t>IIB</w:t>
      </w:r>
      <w:r w:rsidRPr="00A47C55">
        <w:rPr>
          <w:rFonts w:eastAsia="Times New Roman" w:cs="Times New Roman"/>
          <w:i/>
          <w:szCs w:val="20"/>
          <w:lang w:eastAsia="en-GB"/>
        </w:rPr>
        <w:t>.</w:t>
      </w:r>
      <w:r>
        <w:rPr>
          <w:rFonts w:eastAsia="Times New Roman" w:cs="Times New Roman"/>
          <w:i/>
          <w:szCs w:val="20"/>
          <w:lang w:eastAsia="en-GB"/>
        </w:rPr>
        <w:t>3</w:t>
      </w:r>
      <w:r w:rsidRPr="00A47C55">
        <w:rPr>
          <w:rFonts w:eastAsia="Times New Roman" w:cs="Times New Roman"/>
          <w:i/>
          <w:szCs w:val="20"/>
          <w:lang w:eastAsia="en-GB"/>
        </w:rPr>
        <w:t xml:space="preserve"> Biodiversity trends under </w:t>
      </w:r>
      <w:r>
        <w:rPr>
          <w:rFonts w:eastAsia="Times New Roman" w:cs="Times New Roman"/>
          <w:i/>
          <w:szCs w:val="20"/>
          <w:lang w:eastAsia="en-GB"/>
        </w:rPr>
        <w:t>alternative scenarios</w:t>
      </w:r>
    </w:p>
    <w:p w14:paraId="1A2A7A65" w14:textId="77777777" w:rsidR="00F1283E" w:rsidRPr="00867850" w:rsidRDefault="00F1283E" w:rsidP="00F1283E">
      <w:pPr>
        <w:pStyle w:val="ListParagraph"/>
        <w:numPr>
          <w:ilvl w:val="0"/>
          <w:numId w:val="4"/>
        </w:numPr>
        <w:spacing w:after="240"/>
        <w:contextualSpacing w:val="0"/>
        <w:rPr>
          <w:rFonts w:cs="Times New Roman"/>
          <w:szCs w:val="20"/>
        </w:rPr>
      </w:pPr>
      <w:r w:rsidRPr="00867850">
        <w:t xml:space="preserve">In all three GBO4 alternative scenarios, the proportion of marine capture fishery stocks that would be overfished was lower than </w:t>
      </w:r>
      <w:r>
        <w:t xml:space="preserve">for </w:t>
      </w:r>
      <w:r w:rsidRPr="00867850">
        <w:t>the BAU scenario, wi</w:t>
      </w:r>
      <w:r>
        <w:t xml:space="preserve">th stronger management limiting overfishing and </w:t>
      </w:r>
      <w:r w:rsidRPr="00867850">
        <w:t xml:space="preserve">enabling stocks to rebuild. Furthermore, with changes in </w:t>
      </w:r>
      <w:r>
        <w:t xml:space="preserve">human </w:t>
      </w:r>
      <w:r w:rsidRPr="00867850">
        <w:t>diet</w:t>
      </w:r>
      <w:r>
        <w:t>s</w:t>
      </w:r>
      <w:r w:rsidRPr="00867850">
        <w:t xml:space="preserve"> and reductions of losses in the food system, demands on marine fisheries and aquaculture would also be reduced; changes in agricultural management </w:t>
      </w:r>
      <w:r>
        <w:t>could</w:t>
      </w:r>
      <w:r w:rsidRPr="00867850">
        <w:t xml:space="preserve"> also reduce nutrient run-off and pollution into marine systems.</w:t>
      </w:r>
    </w:p>
    <w:p w14:paraId="6AA6392C" w14:textId="37BF4BD5" w:rsidR="00F1283E" w:rsidRPr="007052E5" w:rsidRDefault="00F1283E" w:rsidP="00F1283E">
      <w:pPr>
        <w:pStyle w:val="ListParagraph"/>
        <w:numPr>
          <w:ilvl w:val="0"/>
          <w:numId w:val="4"/>
        </w:numPr>
        <w:spacing w:after="240"/>
        <w:contextualSpacing w:val="0"/>
        <w:rPr>
          <w:rFonts w:cs="Times New Roman"/>
          <w:szCs w:val="20"/>
        </w:rPr>
      </w:pPr>
      <w:r w:rsidRPr="007052E5">
        <w:rPr>
          <w:rFonts w:cs="Times New Roman"/>
          <w:szCs w:val="20"/>
        </w:rPr>
        <w:t>Mitigation and altered management scenarios developed since GBO-4 demonstrate substantial positive effects on future biodiversity and marine ecosystem services relative to BAU scenarios. For</w:t>
      </w:r>
      <w:r>
        <w:rPr>
          <w:rFonts w:cs="Times New Roman"/>
          <w:szCs w:val="20"/>
        </w:rPr>
        <w:t xml:space="preserve"> climate-only </w:t>
      </w:r>
      <w:r w:rsidRPr="007052E5">
        <w:rPr>
          <w:rFonts w:cs="Times New Roman"/>
          <w:szCs w:val="20"/>
        </w:rPr>
        <w:t>mitigation, changes in the spatial patterns of species richness remained</w:t>
      </w:r>
      <w:r>
        <w:rPr>
          <w:rFonts w:cs="Times New Roman"/>
          <w:szCs w:val="20"/>
        </w:rPr>
        <w:t xml:space="preserve"> similar out to the mid-century. However, </w:t>
      </w:r>
      <w:r w:rsidRPr="007052E5">
        <w:rPr>
          <w:rFonts w:cs="Times New Roman"/>
          <w:szCs w:val="20"/>
        </w:rPr>
        <w:t>by the end of the century the</w:t>
      </w:r>
      <w:r w:rsidR="00DE6CB4">
        <w:rPr>
          <w:rFonts w:cs="Times New Roman"/>
          <w:szCs w:val="20"/>
        </w:rPr>
        <w:t>y</w:t>
      </w:r>
      <w:r w:rsidRPr="007052E5">
        <w:rPr>
          <w:rFonts w:cs="Times New Roman"/>
          <w:szCs w:val="20"/>
        </w:rPr>
        <w:t xml:space="preserve"> were projected to be lower net local losses and reduced </w:t>
      </w:r>
      <w:r>
        <w:rPr>
          <w:rFonts w:cs="Times New Roman"/>
          <w:szCs w:val="20"/>
        </w:rPr>
        <w:t>alteration</w:t>
      </w:r>
      <w:r w:rsidRPr="007052E5">
        <w:rPr>
          <w:rFonts w:cs="Times New Roman"/>
          <w:szCs w:val="20"/>
        </w:rPr>
        <w:t xml:space="preserve"> in the makeup of </w:t>
      </w:r>
      <w:r>
        <w:rPr>
          <w:rFonts w:cs="Times New Roman"/>
          <w:szCs w:val="20"/>
        </w:rPr>
        <w:t xml:space="preserve">biological </w:t>
      </w:r>
      <w:r w:rsidRPr="007052E5">
        <w:rPr>
          <w:rFonts w:cs="Times New Roman"/>
          <w:szCs w:val="20"/>
        </w:rPr>
        <w:t xml:space="preserve">communities </w:t>
      </w:r>
      <w:r w:rsidRPr="007052E5">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"plainTextFormattedCitation" : "(Garc\u00eda\u00a0Molinos et al., 2015)", "previouslyFormattedCitation" : "(Garc\u00eda\u00a0Molinos et al., 2015)" }, "properties" : {  }, "schema" : "https://github.com/citation-style-language/schema/raw/master/csl-citation.json" }</w:instrText>
      </w:r>
      <w:r w:rsidRPr="007052E5">
        <w:rPr>
          <w:rFonts w:eastAsia="Times New Roman" w:cs="Times New Roman"/>
          <w:szCs w:val="20"/>
          <w:lang w:eastAsia="en-GB"/>
        </w:rPr>
        <w:fldChar w:fldCharType="separate"/>
      </w:r>
      <w:r w:rsidRPr="007052E5">
        <w:rPr>
          <w:rFonts w:eastAsia="Times New Roman" w:cs="Times New Roman"/>
          <w:noProof/>
          <w:szCs w:val="20"/>
          <w:lang w:eastAsia="en-GB"/>
        </w:rPr>
        <w:t>(García Molinos et al., 2015)</w:t>
      </w:r>
      <w:r w:rsidRPr="007052E5">
        <w:rPr>
          <w:rFonts w:eastAsia="Times New Roman" w:cs="Times New Roman"/>
          <w:szCs w:val="20"/>
          <w:lang w:eastAsia="en-GB"/>
        </w:rPr>
        <w:fldChar w:fldCharType="end"/>
      </w:r>
      <w:r w:rsidRPr="007052E5">
        <w:rPr>
          <w:rFonts w:cs="Times New Roman"/>
          <w:szCs w:val="20"/>
        </w:rPr>
        <w:t xml:space="preserve">. By 2050, some scenarios of strong fisheries management produced an increase in the proportion of exploited fish stocks near a recovery target biomass, and in total global fisheries profit, relative to both BAU-management and even the present day </w:t>
      </w:r>
      <w:r w:rsidRPr="007052E5">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"10.1073/pnas.1520420113", "abstract" : "Data from 4,713 fisheries worldwide, representing 78% of global reported fish catch, are analyzed to estimate the status, trends, and benefits of alternative approaches to recovering depleted fisheries. For each fishery, we estimate current biological status and forecast the impacts of contrasting management regimes on catch, profit, and biomass of fish in the sea. We estimate unique recovery targets and trajectories for each fishery, calculate the year-by-year effects of alternative recovery approaches, and model how alternative institutional reforms affect recovery outcomes. Current status is highly heterogeneous\u2014the median fishery is in poor health (overfished, with further overfishing occurring), although 32% of fish-eries are in good biological, although not necessarily economic, con-dition. Our business-as-usual scenario projects further divergence and continued collapse for many of the world's fisheries. Applying sound management reforms to global fisheries in our dataset could gener-ate annual increases exceeding 16 million metric tons (MMT) in catch, $53 billion in profit, and 619 MMT in biomass relative to business as usual. We also find that, with appropriate reforms, recovery can hap-pen quickly, with the median fishery taking under 10 y to reach re-covery targets. Our results show that commonsense reforms to fishery management would dramatically improve overall fish abun-dance while increasing food security and profits. fishery recovery | fishery reform | rights-based fishery management | bioeconomic model R ecent advances in our understanding of global fishery status (1\u20134) provide a foundation for estimating the targets for, and potential benefits from, global fishery recovery. Although existing aggregate estimates make a compelling general case for reform (5, 6) new data, models, and methods allow for more detailed analysis of the benefits and trade-offs of contrasting management regimes. Indeed, emerging empirical evidence shows that effective reforms and scientific assessments taken by some countries have already placed their fisheries on a positive path (1, 7). Reforms span a range of approaches, from scientifically informed harvest policies to institutional reforms that restructure the incentives in a fishery to align profits with conservation. In many cases, these changes have successfully reduced fishing effort to sustainable levels and stabilized overfished stocks (7, 8). These cases of suc-cessful management contain lessons that c\u2026", "author" : [ { "dropping-particle" : "", "family" : "Costello", "given" : "Christopher", "non-dropping-particle" : "", "parse-names" : false, "suffix" : "" }, { "dropping-particle" : "", "family" : "Ovando", "given" : "Daniel", "non-dropping-particle" : "", "parse-names" : false, "suffix" : "" }, { "dropping-particle" : "", "family" : "Clavelle", "given" : "Tyler", "non-dropping-particle" : "", "parse-names" : false, "suffix" : "" }, { "dropping-particle" : "", "family" : "Strauss", "given" : "C Kent", "non-dropping-particle" : "", "parse-names" : false, "suffix" : "" }, { "dropping-particle" : "", "family" : "Hilborn", "given" : "Ray", "non-dropping-particle" : "", "parse-names" : false, "suffix" : "" }, { "dropping-particle" : "", "family" : "Melnychuk", "given" : "Michael C", "non-dropping-particle" : "", "parse-names" : false, "suffix" : "" }, { "dropping-particle" : "", "family" : "Branch", "given" : "Trevor A", "non-dropping-particle" : "", "parse-names" : false, "suffix" : "" }, { "dropping-particle" : "", "family" : "Gaines", "given" : "Steven D", "non-dropping-particle" : "", "parse-names" : false, "suffix" : "" }, { "dropping-particle" : "", "family" : "Szuwalski", "given" : "Cody S", "non-dropping-particle" : "", "parse-names" : false, "suffix" : "" }, { "dropping-particle" : "", "family" : "Cabral", "given" : "Reniel B", "non-dropping-particle" : "", "parse-names" : false, "suffix" : "" }, { "dropping-particle" : "", "family" : "Rader", "given" : "Douglas N", "non-dropping-particle" : "", "parse-names" : false, "suffix" : "" }, { "dropping-particle" : "", "family" : "Leland", "given" : "Amanda", "non-dropping-particle" : "", "parse-names" : false, "suffix" : "" } ], "id" : "ITEM-1", "issued" : { "date-parts" : [ [ "0" ] ] }, "title" : "Global fishery prospects under contrasting management regimes", "type" : "article-journal" }, "uris" : [ "http://www.mendeley.com/documents/?uuid=701f730a-a586-39c3-8b9c-2314d92bc84e" ] } ], "mendeley" : { "formattedCitation" : "(Costello et al., n.d.)", "manualFormatting" : "(Costello et al. 2016)", "plainTextFormattedCitation" : "(Costello et al., n.d.)", "previouslyFormattedCitation" : "(Costello et al., n.d.)" }, "properties" : {  }, "schema" : "https://github.com/citation-style-language/schema/raw/master/csl-citation.json" }</w:instrText>
      </w:r>
      <w:r w:rsidRPr="007052E5">
        <w:rPr>
          <w:rFonts w:eastAsia="Times New Roman" w:cs="Times New Roman"/>
          <w:szCs w:val="20"/>
          <w:lang w:eastAsia="en-GB"/>
        </w:rPr>
        <w:fldChar w:fldCharType="separate"/>
      </w:r>
      <w:r w:rsidRPr="007052E5">
        <w:rPr>
          <w:rFonts w:eastAsia="Times New Roman" w:cs="Times New Roman"/>
          <w:noProof/>
          <w:szCs w:val="20"/>
          <w:lang w:eastAsia="en-GB"/>
        </w:rPr>
        <w:t>(Costello et al. 2016)</w:t>
      </w:r>
      <w:r w:rsidRPr="007052E5">
        <w:rPr>
          <w:rFonts w:eastAsia="Times New Roman" w:cs="Times New Roman"/>
          <w:szCs w:val="20"/>
          <w:lang w:eastAsia="en-GB"/>
        </w:rPr>
        <w:fldChar w:fldCharType="end"/>
      </w:r>
      <w:r>
        <w:rPr>
          <w:rFonts w:cs="Times New Roman"/>
          <w:szCs w:val="20"/>
        </w:rPr>
        <w:t>. A</w:t>
      </w:r>
      <w:r w:rsidRPr="007052E5">
        <w:rPr>
          <w:rFonts w:cs="Times New Roman"/>
          <w:szCs w:val="20"/>
        </w:rPr>
        <w:t xml:space="preserve"> separate projection indicated a reduced (though still extant) decline in catch and revenue potential </w:t>
      </w:r>
      <w:r w:rsidRPr="007052E5">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"10.1038/srep32607", "ISSN" : "2045-2322", "author" : [ { "dropping-particle" : "", "family" : "Lam", "given" : "Vicky W. Y.", "non-dropping-particle" : "", "parse-names" : false, "suffix" : "" }, { "dropping-particle" : "", "family" : "Cheung", "given" : "William W. L.", "non-dropping-particle" : "", "parse-names" : false, "suffix" : "" }, { "dropping-particle" : "", "family" : "Reygondeau", "given" : "Gabriel", "non-dropping-particle" : "", "parse-names" : false, "suffix" : "" }, { "dropping-particle" : "", "family" : "Sumaila", "given" : "U. Rashid", "non-dropping-particle" : "", "parse-names" : false, "suffix" : "" } ], "container-title" : "Scientific Reports", "id" : "ITEM-1", "issue" : "1", "issued" : { "date-parts" : [ [ "2016", "12", "7" ] ] }, "page" : "32607", "publisher" : "Nature Publishing Group", "title" : "Projected change in global fisheries revenues under climate change", "type" : "article-journal", "volume" : "6" }, "uris" : [ "http://www.mendeley.com/documents/?uuid=6088c848-9752-3e77-a2d7-cbd8822d4bbc" ] } ], "mendeley" : { "formattedCitation" : "(Lam et al., 2016)", "plainTextFormattedCitation" : "(Lam et al., 2016)", "previouslyFormattedCitation" : "(Lam et al., 2016)" }, "properties" : {  }, "schema" : "https://github.com/citation-style-language/schema/raw/master/csl-citation.json" }</w:instrText>
      </w:r>
      <w:r w:rsidRPr="007052E5">
        <w:rPr>
          <w:rFonts w:eastAsia="Times New Roman" w:cs="Times New Roman"/>
          <w:szCs w:val="20"/>
          <w:lang w:eastAsia="en-GB"/>
        </w:rPr>
        <w:fldChar w:fldCharType="separate"/>
      </w:r>
      <w:r w:rsidRPr="007052E5">
        <w:rPr>
          <w:rFonts w:eastAsia="Times New Roman" w:cs="Times New Roman"/>
          <w:noProof/>
          <w:szCs w:val="20"/>
          <w:lang w:eastAsia="en-GB"/>
        </w:rPr>
        <w:t>(Lam et al., 2016)</w:t>
      </w:r>
      <w:r w:rsidRPr="007052E5">
        <w:rPr>
          <w:rFonts w:eastAsia="Times New Roman" w:cs="Times New Roman"/>
          <w:szCs w:val="20"/>
          <w:lang w:eastAsia="en-GB"/>
        </w:rPr>
        <w:fldChar w:fldCharType="end"/>
      </w:r>
      <w:r w:rsidRPr="007052E5">
        <w:rPr>
          <w:rFonts w:cs="Times New Roman"/>
          <w:szCs w:val="20"/>
        </w:rPr>
        <w:t xml:space="preserve">. Thus, strong mitigation can have a profound effect on both biodiversity and ecosystem services in the global ocean. Furthermore, changes in fisheries management regimes can lead to multiple benefits for both biodiversity and economic productivity. However, coral reef habitats </w:t>
      </w:r>
      <w:r>
        <w:rPr>
          <w:rFonts w:cs="Times New Roman"/>
          <w:szCs w:val="20"/>
        </w:rPr>
        <w:t>have been</w:t>
      </w:r>
      <w:r w:rsidRPr="007052E5">
        <w:rPr>
          <w:rFonts w:cs="Times New Roman"/>
          <w:szCs w:val="20"/>
        </w:rPr>
        <w:t xml:space="preserve"> projected to continue to decline, though at a reduced rate, even under mitigation scenarios. Details are provided in the paragraphs below.</w:t>
      </w:r>
    </w:p>
    <w:p w14:paraId="05EC4DF1" w14:textId="77777777" w:rsidR="00F1283E" w:rsidRPr="00C56411" w:rsidRDefault="00F1283E" w:rsidP="00F1283E">
      <w:pPr>
        <w:pStyle w:val="ListParagraph"/>
        <w:numPr>
          <w:ilvl w:val="0"/>
          <w:numId w:val="4"/>
        </w:numPr>
        <w:contextualSpacing w:val="0"/>
        <w:rPr>
          <w:rFonts w:eastAsia="Times New Roman" w:cs="Times New Roman"/>
          <w:szCs w:val="20"/>
          <w:lang w:eastAsia="en-GB"/>
        </w:rPr>
      </w:pPr>
      <w:r w:rsidRPr="00C56411">
        <w:rPr>
          <w:rFonts w:eastAsia="Times New Roman" w:cs="Times New Roman"/>
          <w:szCs w:val="20"/>
          <w:lang w:eastAsia="en-GB"/>
        </w:rPr>
        <w:t xml:space="preserve">As an alternative to the </w:t>
      </w:r>
      <w:r>
        <w:rPr>
          <w:rFonts w:eastAsia="Times New Roman" w:cs="Times New Roman"/>
          <w:szCs w:val="20"/>
          <w:lang w:eastAsia="en-GB"/>
        </w:rPr>
        <w:t>high emissions</w:t>
      </w:r>
      <w:r>
        <w:rPr>
          <w:rStyle w:val="FootnoteReference"/>
          <w:rFonts w:eastAsia="Times New Roman" w:cs="Times New Roman"/>
          <w:szCs w:val="20"/>
          <w:lang w:eastAsia="en-GB"/>
        </w:rPr>
        <w:footnoteReference w:id="38"/>
      </w:r>
      <w:r w:rsidRPr="00C56411">
        <w:rPr>
          <w:rFonts w:eastAsia="Times New Roman" w:cs="Times New Roman"/>
          <w:szCs w:val="20"/>
          <w:lang w:eastAsia="en-GB"/>
        </w:rPr>
        <w:t xml:space="preserve"> pathway,</w:t>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"manualFormatting" : "Garc\u00eda\u00a0Molinos et al. (2015)", "plainTextFormattedCitation" : "(Garc\u00eda\u00a0Molinos et al., 2015)", "previouslyFormattedCitation" : "(Garc\u00eda\u00a0Molinos et al., 2015)" }, "properties" : {  }, "schema" : "https://github.com/citation-style-language/schema/raw/master/csl-citation.json" }</w:instrText>
      </w:r>
      <w:r>
        <w:rPr>
          <w:rFonts w:eastAsia="Times New Roman" w:cs="Times New Roman"/>
          <w:szCs w:val="20"/>
          <w:lang w:eastAsia="en-GB"/>
        </w:rPr>
        <w:fldChar w:fldCharType="separate"/>
      </w:r>
      <w:r>
        <w:rPr>
          <w:rFonts w:eastAsia="Times New Roman" w:cs="Times New Roman"/>
          <w:noProof/>
          <w:szCs w:val="20"/>
          <w:lang w:eastAsia="en-GB"/>
        </w:rPr>
        <w:t>García Molinos et al. (</w:t>
      </w:r>
      <w:r w:rsidRPr="00C56411">
        <w:rPr>
          <w:rFonts w:eastAsia="Times New Roman" w:cs="Times New Roman"/>
          <w:noProof/>
          <w:szCs w:val="20"/>
          <w:lang w:eastAsia="en-GB"/>
        </w:rPr>
        <w:t>2015)</w:t>
      </w:r>
      <w:r>
        <w:rPr>
          <w:rFonts w:eastAsia="Times New Roman" w:cs="Times New Roman"/>
          <w:szCs w:val="20"/>
          <w:lang w:eastAsia="en-GB"/>
        </w:rPr>
        <w:fldChar w:fldCharType="end"/>
      </w:r>
      <w:r w:rsidRPr="00C56411">
        <w:rPr>
          <w:rFonts w:eastAsia="Times New Roman" w:cs="Times New Roman"/>
          <w:szCs w:val="20"/>
          <w:lang w:eastAsia="en-GB"/>
        </w:rPr>
        <w:t xml:space="preserve"> also projected changes in global marine richness under </w:t>
      </w:r>
      <w:r>
        <w:rPr>
          <w:rFonts w:eastAsia="Times New Roman" w:cs="Times New Roman"/>
          <w:szCs w:val="20"/>
          <w:lang w:eastAsia="en-GB"/>
        </w:rPr>
        <w:t>a medium-low emissions pathway</w:t>
      </w:r>
      <w:r>
        <w:rPr>
          <w:rStyle w:val="FootnoteReference"/>
          <w:rFonts w:eastAsia="Times New Roman" w:cs="Times New Roman"/>
          <w:szCs w:val="20"/>
          <w:lang w:eastAsia="en-GB"/>
        </w:rPr>
        <w:footnoteReference w:id="39"/>
      </w:r>
      <w:r w:rsidRPr="00C56411">
        <w:rPr>
          <w:rFonts w:eastAsia="Times New Roman" w:cs="Times New Roman"/>
          <w:szCs w:val="20"/>
          <w:lang w:eastAsia="en-GB"/>
        </w:rPr>
        <w:t>.</w:t>
      </w:r>
      <w:r>
        <w:rPr>
          <w:rFonts w:eastAsia="Times New Roman" w:cs="Times New Roman"/>
          <w:szCs w:val="20"/>
          <w:lang w:eastAsia="en-GB"/>
        </w:rPr>
        <w:t xml:space="preserve"> T</w:t>
      </w:r>
      <w:r w:rsidRPr="00C56411">
        <w:rPr>
          <w:rFonts w:eastAsia="Times New Roman" w:cs="Times New Roman"/>
          <w:szCs w:val="20"/>
          <w:lang w:eastAsia="en-GB"/>
        </w:rPr>
        <w:t xml:space="preserve">he distribution patterns of species invasions and extirpations </w:t>
      </w:r>
      <w:r>
        <w:rPr>
          <w:rFonts w:eastAsia="Times New Roman" w:cs="Times New Roman"/>
          <w:szCs w:val="20"/>
          <w:lang w:eastAsia="en-GB"/>
        </w:rPr>
        <w:t>started to diverge from the mid-century (2040-2065)</w:t>
      </w:r>
      <w:r w:rsidRPr="00C56411">
        <w:rPr>
          <w:rFonts w:eastAsia="Times New Roman" w:cs="Times New Roman"/>
          <w:szCs w:val="20"/>
          <w:lang w:eastAsia="en-GB"/>
        </w:rPr>
        <w:t xml:space="preserve">. By the end of the century, the general spatial pattern under </w:t>
      </w:r>
      <w:r>
        <w:rPr>
          <w:rFonts w:eastAsia="Times New Roman" w:cs="Times New Roman"/>
          <w:szCs w:val="20"/>
          <w:lang w:eastAsia="en-GB"/>
        </w:rPr>
        <w:t>medium-low emissions</w:t>
      </w:r>
      <w:r w:rsidRPr="00C56411">
        <w:rPr>
          <w:rFonts w:eastAsia="Times New Roman" w:cs="Times New Roman"/>
          <w:szCs w:val="20"/>
          <w:lang w:eastAsia="en-GB"/>
        </w:rPr>
        <w:t xml:space="preserve"> remained similar but with lower net local losses </w:t>
      </w:r>
      <w:r>
        <w:rPr>
          <w:rFonts w:eastAsia="Times New Roman" w:cs="Times New Roman"/>
          <w:szCs w:val="20"/>
          <w:lang w:eastAsia="en-GB"/>
        </w:rPr>
        <w:t xml:space="preserve">near the equator </w:t>
      </w:r>
      <w:r w:rsidRPr="00C56411">
        <w:rPr>
          <w:rFonts w:eastAsia="Times New Roman" w:cs="Times New Roman"/>
          <w:szCs w:val="20"/>
          <w:lang w:eastAsia="en-GB"/>
        </w:rPr>
        <w:t xml:space="preserve">and less widespread changes in community </w:t>
      </w:r>
      <w:r w:rsidRPr="00C56411">
        <w:rPr>
          <w:rFonts w:eastAsia="Times New Roman" w:cs="Times New Roman"/>
          <w:szCs w:val="20"/>
          <w:lang w:eastAsia="en-GB"/>
        </w:rPr>
        <w:lastRenderedPageBreak/>
        <w:t xml:space="preserve">composition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"10.1038/nclimate2769", "ISSN" : "1758-678X", "author" : [ { "dropping-particle" : "", "family" : "Garc\u00eda\u00a0Molinos", "given" : "Jorge", "non-dropping-particle" : "", "parse-names" : false, "suffix" : "" }, { "dropping-particle" : "", "family" : "Halpern", "given" : "Benjamin\u00a0S.", "non-dropping-particle" : "", "parse-names" : false, "suffix" : "" }, { "dropping-particle" : "", "family" : "Schoeman", "given" : "David\u00a0S.", "non-dropping-particle" : "", "parse-names" : false, "suffix" : "" }, { "dropping-particle" : "", "family" : "Brown", "given" : "Christopher\u00a0J.", "non-dropping-particle" : "", "parse-names" : false, "suffix" : "" }, { "dropping-particle" : "", "family" : "Kiessling", "given" : "Wolfgang", "non-dropping-particle" : "", "parse-names" : false, "suffix" : "" }, { "dropping-particle" : "", "family" : "Moore", "given" : "Pippa\u00a0J.", "non-dropping-particle" : "", "parse-names" : false, "suffix" : "" }, { "dropping-particle" : "", "family" : "Pandolfi", "given" : "John\u00a0M.", "non-dropping-particle" : "", "parse-names" : false, "suffix" : "" }, { "dropping-particle" : "", "family" : "Poloczanska", "given" : "Elvira\u00a0S.", "non-dropping-particle" : "", "parse-names" : false, "suffix" : "" }, { "dropping-particle" : "", "family" : "Richardson", "given" : "Anthony\u00a0J.", "non-dropping-particle" : "", "parse-names" : false, "suffix" : "" }, { "dropping-particle" : "", "family" : "Burrows", "given" : "Michael\u00a0T.", "non-dropping-particle" : "", "parse-names" : false, "suffix" : "" } ], "container-title" : "Nature Climate Change", "id" : "ITEM-1", "issue" : "1", "issued" : { "date-parts" : [ [ "2015", "8", "31" ] ] }, "page" : "83-88", "publisher" : "Nature Research", "title" : "Climate velocity and the future global redistribution of marine biodiversity", "type" : "article-journal", "volume" : "6" }, "uris" : [ "http://www.mendeley.com/documents/?uuid=08ecbbbc-ea98-36ae-9e43-e15e5a356282" ] } ], "mendeley" : { "formattedCitation" : "(Garc\u00eda\u00a0Molinos et al., 2015)", "plainTextFormattedCitation" : "(Garc\u00eda\u00a0Molinos et al., 2015)", "previouslyFormattedCitation" : "(Garc\u00eda\u00a0Molinos et al., 2015)" }, "properties" : {  }, "schema" : "https://github.com/citation-style-language/schema/raw/master/csl-citation.json" }</w:instrText>
      </w:r>
      <w:r>
        <w:rPr>
          <w:rFonts w:eastAsia="Times New Roman" w:cs="Times New Roman"/>
          <w:szCs w:val="20"/>
          <w:lang w:eastAsia="en-GB"/>
        </w:rPr>
        <w:fldChar w:fldCharType="separate"/>
      </w:r>
      <w:r w:rsidRPr="00C56411">
        <w:rPr>
          <w:rFonts w:eastAsia="Times New Roman" w:cs="Times New Roman"/>
          <w:noProof/>
          <w:szCs w:val="20"/>
          <w:lang w:eastAsia="en-GB"/>
        </w:rPr>
        <w:t>(García Molinos et al., 2015)</w:t>
      </w:r>
      <w:r>
        <w:rPr>
          <w:rFonts w:eastAsia="Times New Roman" w:cs="Times New Roman"/>
          <w:szCs w:val="20"/>
          <w:lang w:eastAsia="en-GB"/>
        </w:rPr>
        <w:fldChar w:fldCharType="end"/>
      </w:r>
      <w:r w:rsidRPr="00C56411">
        <w:rPr>
          <w:rFonts w:eastAsia="Times New Roman" w:cs="Times New Roman"/>
          <w:szCs w:val="20"/>
          <w:lang w:eastAsia="en-GB"/>
        </w:rPr>
        <w:t xml:space="preserve">. </w:t>
      </w:r>
      <w:r>
        <w:rPr>
          <w:rFonts w:eastAsia="Times New Roman" w:cs="Times New Roman"/>
          <w:szCs w:val="20"/>
          <w:lang w:eastAsia="en-GB"/>
        </w:rPr>
        <w:t>Jones and Cheung (2015) projected t</w:t>
      </w:r>
      <w:r w:rsidRPr="00C56411">
        <w:rPr>
          <w:rFonts w:eastAsia="Times New Roman" w:cs="Times New Roman"/>
          <w:szCs w:val="20"/>
          <w:lang w:eastAsia="en-GB"/>
        </w:rPr>
        <w:t xml:space="preserve">he mean rate of species </w:t>
      </w:r>
      <w:r>
        <w:rPr>
          <w:rFonts w:eastAsia="Times New Roman" w:cs="Times New Roman"/>
          <w:szCs w:val="20"/>
          <w:lang w:eastAsia="en-GB"/>
        </w:rPr>
        <w:t xml:space="preserve">range shifts </w:t>
      </w:r>
      <w:r w:rsidRPr="00C56411">
        <w:rPr>
          <w:rFonts w:eastAsia="Times New Roman" w:cs="Times New Roman"/>
          <w:szCs w:val="20"/>
          <w:lang w:eastAsia="en-GB"/>
        </w:rPr>
        <w:t xml:space="preserve">to 2050 to be reduced from 25.6 km/decade to 15.5 km/decade under </w:t>
      </w:r>
      <w:r>
        <w:rPr>
          <w:rFonts w:eastAsia="Times New Roman" w:cs="Times New Roman"/>
          <w:szCs w:val="20"/>
          <w:lang w:eastAsia="en-GB"/>
        </w:rPr>
        <w:t>a low</w:t>
      </w:r>
      <w:r>
        <w:rPr>
          <w:rStyle w:val="FootnoteReference"/>
          <w:rFonts w:eastAsia="Times New Roman" w:cs="Times New Roman"/>
          <w:szCs w:val="20"/>
          <w:lang w:eastAsia="en-GB"/>
        </w:rPr>
        <w:footnoteReference w:id="40"/>
      </w:r>
      <w:r>
        <w:rPr>
          <w:rFonts w:eastAsia="Times New Roman" w:cs="Times New Roman"/>
          <w:szCs w:val="20"/>
          <w:lang w:eastAsia="en-GB"/>
        </w:rPr>
        <w:t xml:space="preserve"> versus high</w:t>
      </w:r>
      <w:r>
        <w:rPr>
          <w:rStyle w:val="FootnoteReference"/>
          <w:rFonts w:eastAsia="Times New Roman" w:cs="Times New Roman"/>
          <w:szCs w:val="20"/>
          <w:lang w:eastAsia="en-GB"/>
        </w:rPr>
        <w:footnoteReference w:id="41"/>
      </w:r>
      <w:r>
        <w:rPr>
          <w:rFonts w:eastAsia="Times New Roman" w:cs="Times New Roman"/>
          <w:szCs w:val="20"/>
          <w:lang w:eastAsia="en-GB"/>
        </w:rPr>
        <w:t xml:space="preserve"> emissions pathway</w:t>
      </w:r>
      <w:r w:rsidRPr="00C56411">
        <w:rPr>
          <w:rFonts w:eastAsia="Times New Roman" w:cs="Times New Roman"/>
          <w:szCs w:val="20"/>
          <w:lang w:eastAsia="en-GB"/>
        </w:rPr>
        <w:t xml:space="preserve">, and furthermore reductions in invasions and local extirpations, </w:t>
      </w:r>
      <w:r>
        <w:rPr>
          <w:rFonts w:eastAsia="Times New Roman" w:cs="Times New Roman"/>
          <w:szCs w:val="20"/>
          <w:lang w:eastAsia="en-GB"/>
        </w:rPr>
        <w:t xml:space="preserve">though generally </w:t>
      </w:r>
      <w:r w:rsidRPr="00C56411">
        <w:rPr>
          <w:rFonts w:eastAsia="Times New Roman" w:cs="Times New Roman"/>
          <w:szCs w:val="20"/>
          <w:lang w:eastAsia="en-GB"/>
        </w:rPr>
        <w:t>similar spatial patterns.</w:t>
      </w:r>
      <w:r w:rsidRPr="00C56411">
        <w:rPr>
          <w:rFonts w:cs="Times New Roman"/>
          <w:szCs w:val="20"/>
        </w:rPr>
        <w:t xml:space="preserve"> Similarly, wh</w:t>
      </w:r>
      <w:r>
        <w:rPr>
          <w:rFonts w:cs="Times New Roman"/>
          <w:szCs w:val="20"/>
        </w:rPr>
        <w:t>en warming was reduced from 3.5</w:t>
      </w:r>
      <w:r>
        <w:rPr>
          <w:rFonts w:cs="Times New Roman"/>
        </w:rPr>
        <w:t>°</w:t>
      </w:r>
      <w:r>
        <w:t>C</w:t>
      </w:r>
      <w:r w:rsidRPr="00C56411">
        <w:rPr>
          <w:rFonts w:cs="Times New Roman"/>
          <w:szCs w:val="20"/>
        </w:rPr>
        <w:t xml:space="preserve"> </w:t>
      </w:r>
      <w:r>
        <w:rPr>
          <w:rFonts w:cs="Times New Roman"/>
          <w:szCs w:val="20"/>
        </w:rPr>
        <w:t xml:space="preserve"> to the 1.5</w:t>
      </w:r>
      <w:r>
        <w:rPr>
          <w:rFonts w:cs="Times New Roman"/>
        </w:rPr>
        <w:t>°</w:t>
      </w:r>
      <w:r>
        <w:t>C</w:t>
      </w:r>
      <w:r w:rsidRPr="00C56411">
        <w:rPr>
          <w:rFonts w:cs="Times New Roman"/>
          <w:szCs w:val="20"/>
        </w:rPr>
        <w:t xml:space="preserve"> target of the Paris Agreement</w:t>
      </w:r>
      <w:r>
        <w:rPr>
          <w:rFonts w:cs="Times New Roman"/>
          <w:szCs w:val="20"/>
        </w:rPr>
        <w:t xml:space="preserve"> </w:t>
      </w:r>
      <w:r>
        <w:rPr>
          <w:rFonts w:cs="Times New Roman"/>
          <w:szCs w:val="20"/>
        </w:rPr>
        <w:fldChar w:fldCharType="begin" w:fldLock="1"/>
      </w:r>
      <w:r>
        <w:rPr>
          <w:rFonts w:cs="Times New Roman"/>
          <w:szCs w:val="20"/>
        </w:rPr>
        <w:instrText>ADDIN CSL_CITATION { "citationItems" : [ { "id" : "ITEM-1", "itemData" : { "DOI" : "10.1126/science.aag2331", "ISSN" : "0036-8075", "abstract" : "Keeping recent global agreements to limit temperature increases to 1.5{\\textdegree} to 2{\\textdegree}C above preindustrial levels will have benefits across terrestrial ecosystems. But what about marine ecosystems? Cheung et al. modeled the influence of temperature increases on two key measures of fishery sustainability, catch and species turnover (see the Perspective by Fulton). Limiting temperature increases to 1.5{\\textdegree}C substantially improved catch potential and decreased turnover of harvested species. These results provide further support for meeting this important goal.Science, this issue p. 1591; see also p. 1530Translating the Paris Agreement to limit global warming to 1.5{\\textdegree}C above preindustrial level into impact-related targets facilitates communication of the benefits of mitigating climate change to policy-makers and stakeholders. Developing ecologically relevant impact-related targets for marine ecosystem services, such as fisheries, is an important step. Here, we use maximum catch potential and species turnover as climate-risk indicators for fisheries. We project that potential catches will decrease by more than 3 million metric tons per degree Celsius of warming. Species turnover is more than halved when warming is lowered from 3.5{\\textdegree} to 1.5{\\textdegree}C above the preindustrial level. Regionally, changes in maximum catch potential and species turnover vary across ecosystems, with the biggest risk reduction in the Indo-Pacific and Arctic regions when the Paris Agreement target is achieved.", "author" : [ { "dropping-particle" : "", "family" : "Cheung", "given" : "William W L", "non-dropping-particle" : "", "parse-names" : false, "suffix" : "" }, { "dropping-particle" : "", "family" : "Reygondeau", "given" : "Gabriel", "non-dropping-particle" : "", "parse-names" : false, "suffix" : "" }, { "dropping-particle" : "", "family" : "Fr\u00f6licher", "given" : "Thomas L", "non-dropping-particle" : "", "parse-names" : false, "suffix" : "" } ], "container-title" : "Science", "id" : "ITEM-1", "issue" : "6319", "issued" : { "date-parts" : [ [ "2016" ] ] }, "page" : "1591-1594", "publisher" : "American Association for the Advancement of Science", "title" : "Large benefits to marine fisheries of meeting the 1.5{\\textdegree}C global warming target", "type" : "article-journal", "volume" : "354" }, "uris" : [ "http://www.mendeley.com/documents/?uuid=46077d92-82a1-431e-b7ec-ea77e4bc4a41" ] } ], "mendeley" : { "formattedCitation" : "(Cheung et al., 2016)", "plainTextFormattedCitation" : "(Cheung et al., 2016)", "previouslyFormattedCitation" : "(Cheung et al., 2016)" }, "properties" : {  }, "schema" : "https://github.com/citation-style-language/schema/raw/master/csl-citation.json" }</w:instrText>
      </w:r>
      <w:r>
        <w:rPr>
          <w:rFonts w:cs="Times New Roman"/>
          <w:szCs w:val="20"/>
        </w:rPr>
        <w:fldChar w:fldCharType="separate"/>
      </w:r>
      <w:r w:rsidRPr="006908C7">
        <w:rPr>
          <w:rFonts w:cs="Times New Roman"/>
          <w:noProof/>
          <w:szCs w:val="20"/>
        </w:rPr>
        <w:t>(Cheung et al., 2016)</w:t>
      </w:r>
      <w:r>
        <w:rPr>
          <w:rFonts w:cs="Times New Roman"/>
          <w:szCs w:val="20"/>
        </w:rPr>
        <w:fldChar w:fldCharType="end"/>
      </w:r>
      <w:r w:rsidRPr="00C56411">
        <w:rPr>
          <w:rFonts w:cs="Times New Roman"/>
          <w:szCs w:val="20"/>
        </w:rPr>
        <w:t xml:space="preserve">, species turnover (rate of change in an area based on extinctions and immigrations) was reduced by more than </w:t>
      </w:r>
      <w:r>
        <w:rPr>
          <w:rFonts w:cs="Times New Roman"/>
          <w:szCs w:val="20"/>
        </w:rPr>
        <w:t>50%</w:t>
      </w:r>
      <w:r w:rsidRPr="00C56411">
        <w:rPr>
          <w:rFonts w:cs="Times New Roman"/>
          <w:szCs w:val="20"/>
        </w:rPr>
        <w:t>.</w:t>
      </w:r>
    </w:p>
    <w:p w14:paraId="5576BAD1" w14:textId="77777777" w:rsidR="00F1283E" w:rsidRPr="00C56411" w:rsidRDefault="00F1283E" w:rsidP="00F1283E">
      <w:pPr>
        <w:pStyle w:val="ListParagraph"/>
        <w:numPr>
          <w:ilvl w:val="0"/>
          <w:numId w:val="4"/>
        </w:numPr>
        <w:spacing w:after="240"/>
        <w:contextualSpacing w:val="0"/>
        <w:rPr>
          <w:rFonts w:eastAsia="Times New Roman" w:cs="Times New Roman"/>
          <w:szCs w:val="20"/>
          <w:lang w:eastAsia="en-GB"/>
        </w:rPr>
      </w:pPr>
      <w:r w:rsidRPr="00C56411">
        <w:rPr>
          <w:rFonts w:eastAsia="Times New Roman" w:cs="Times New Roman"/>
          <w:szCs w:val="20"/>
          <w:lang w:eastAsia="en-GB"/>
        </w:rPr>
        <w:t xml:space="preserve">In terms of fisheries, applying management </w:t>
      </w:r>
      <w:r>
        <w:rPr>
          <w:rFonts w:eastAsia="Times New Roman" w:cs="Times New Roman"/>
          <w:szCs w:val="20"/>
          <w:lang w:eastAsia="en-GB"/>
        </w:rPr>
        <w:t>policy for maximizing</w:t>
      </w:r>
      <w:r w:rsidRPr="00C56411">
        <w:rPr>
          <w:rFonts w:eastAsia="Times New Roman" w:cs="Times New Roman"/>
          <w:szCs w:val="20"/>
          <w:lang w:eastAsia="en-GB"/>
        </w:rPr>
        <w:t xml:space="preserve"> sustainable </w:t>
      </w:r>
      <w:r>
        <w:rPr>
          <w:rFonts w:eastAsia="Times New Roman" w:cs="Times New Roman"/>
          <w:szCs w:val="20"/>
          <w:lang w:eastAsia="en-GB"/>
        </w:rPr>
        <w:t xml:space="preserve">yield </w:t>
      </w:r>
      <w:r w:rsidRPr="00C56411">
        <w:rPr>
          <w:rFonts w:eastAsia="Times New Roman" w:cs="Times New Roman"/>
          <w:szCs w:val="20"/>
          <w:lang w:eastAsia="en-GB"/>
        </w:rPr>
        <w:t xml:space="preserve">(MSY) </w:t>
      </w:r>
      <w:r>
        <w:rPr>
          <w:rFonts w:eastAsia="Times New Roman" w:cs="Times New Roman"/>
          <w:szCs w:val="20"/>
          <w:lang w:eastAsia="en-GB"/>
        </w:rPr>
        <w:t>or</w:t>
      </w:r>
      <w:r w:rsidRPr="00C56411">
        <w:rPr>
          <w:rFonts w:eastAsia="Times New Roman" w:cs="Times New Roman"/>
          <w:szCs w:val="20"/>
          <w:lang w:eastAsia="en-GB"/>
        </w:rPr>
        <w:t xml:space="preserve"> maximising profit through rights-based fisheries management (RBFM) </w:t>
      </w:r>
      <w:r>
        <w:rPr>
          <w:rFonts w:eastAsia="Times New Roman" w:cs="Times New Roman"/>
          <w:szCs w:val="20"/>
          <w:lang w:eastAsia="en-GB"/>
        </w:rPr>
        <w:t>was</w:t>
      </w:r>
      <w:r w:rsidRPr="00C56411">
        <w:rPr>
          <w:rFonts w:eastAsia="Times New Roman" w:cs="Times New Roman"/>
          <w:szCs w:val="20"/>
          <w:lang w:eastAsia="en-GB"/>
        </w:rPr>
        <w:t xml:space="preserve"> projected to produce improvements </w:t>
      </w:r>
      <w:r>
        <w:rPr>
          <w:rFonts w:eastAsia="Times New Roman" w:cs="Times New Roman"/>
          <w:szCs w:val="20"/>
          <w:lang w:eastAsia="en-GB"/>
        </w:rPr>
        <w:t xml:space="preserve">in catch profit, and fish stock biomass </w:t>
      </w:r>
      <w:r w:rsidRPr="00C56411">
        <w:rPr>
          <w:rFonts w:eastAsia="Times New Roman" w:cs="Times New Roman"/>
          <w:szCs w:val="20"/>
          <w:lang w:eastAsia="en-GB"/>
        </w:rPr>
        <w:t>relative to the BAU</w:t>
      </w:r>
      <w:r>
        <w:rPr>
          <w:rFonts w:eastAsia="Times New Roman" w:cs="Times New Roman"/>
          <w:szCs w:val="20"/>
          <w:lang w:eastAsia="en-GB"/>
        </w:rPr>
        <w:t>-management</w:t>
      </w:r>
      <w:r w:rsidRPr="00C56411">
        <w:rPr>
          <w:rFonts w:eastAsia="Times New Roman" w:cs="Times New Roman"/>
          <w:szCs w:val="20"/>
          <w:lang w:eastAsia="en-GB"/>
        </w:rPr>
        <w:t xml:space="preserve"> scenario</w:t>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"10.1073/pnas.1520420113", "abstract" : "Data from 4,713 fisheries worldwide, representing 78% of global reported fish catch, are analyzed to estimate the status, trends, and benefits of alternative approaches to recovering depleted fisheries. For each fishery, we estimate current biological status and forecast the impacts of contrasting management regimes on catch, profit, and biomass of fish in the sea. We estimate unique recovery targets and trajectories for each fishery, calculate the year-by-year effects of alternative recovery approaches, and model how alternative institutional reforms affect recovery outcomes. Current status is highly heterogeneous\u2014the median fishery is in poor health (overfished, with further overfishing occurring), although 32% of fish-eries are in good biological, although not necessarily economic, con-dition. Our business-as-usual scenario projects further divergence and continued collapse for many of the world's fisheries. Applying sound management reforms to global fisheries in our dataset could gener-ate annual increases exceeding 16 million metric tons (MMT) in catch, $53 billion in profit, and 619 MMT in biomass relative to business as usual. We also find that, with appropriate reforms, recovery can hap-pen quickly, with the median fishery taking under 10 y to reach re-covery targets. Our results show that commonsense reforms to fishery management would dramatically improve overall fish abun-dance while increasing food security and profits. fishery recovery | fishery reform | rights-based fishery management | bioeconomic model R ecent advances in our understanding of global fishery status (1\u20134) provide a foundation for estimating the targets for, and potential benefits from, global fishery recovery. Although existing aggregate estimates make a compelling general case for reform (5, 6) new data, models, and methods allow for more detailed analysis of the benefits and trade-offs of contrasting management regimes. Indeed, emerging empirical evidence shows that effective reforms and scientific assessments taken by some countries have already placed their fisheries on a positive path (1, 7). Reforms span a range of approaches, from scientifically informed harvest policies to institutional reforms that restructure the incentives in a fishery to align profits with conservation. In many cases, these changes have successfully reduced fishing effort to sustainable levels and stabilized overfished stocks (7, 8). These cases of suc-cessful management contain lessons that c\u2026", "author" : [ { "dropping-particle" : "", "family" : "Costello", "given" : "Christopher", "non-dropping-particle" : "", "parse-names" : false, "suffix" : "" }, { "dropping-particle" : "", "family" : "Ovando", "given" : "Daniel", "non-dropping-particle" : "", "parse-names" : false, "suffix" : "" }, { "dropping-particle" : "", "family" : "Clavelle", "given" : "Tyler", "non-dropping-particle" : "", "parse-names" : false, "suffix" : "" }, { "dropping-particle" : "", "family" : "Strauss", "given" : "C Kent", "non-dropping-particle" : "", "parse-names" : false, "suffix" : "" }, { "dropping-particle" : "", "family" : "Hilborn", "given" : "Ray", "non-dropping-particle" : "", "parse-names" : false, "suffix" : "" }, { "dropping-particle" : "", "family" : "Melnychuk", "given" : "Michael C", "non-dropping-particle" : "", "parse-names" : false, "suffix" : "" }, { "dropping-particle" : "", "family" : "Branch", "given" : "Trevor A", "non-dropping-particle" : "", "parse-names" : false, "suffix" : "" }, { "dropping-particle" : "", "family" : "Gaines", "given" : "Steven D", "non-dropping-particle" : "", "parse-names" : false, "suffix" : "" }, { "dropping-particle" : "", "family" : "Szuwalski", "given" : "Cody S", "non-dropping-particle" : "", "parse-names" : false, "suffix" : "" }, { "dropping-particle" : "", "family" : "Cabral", "given" : "Reniel B", "non-dropping-particle" : "", "parse-names" : false, "suffix" : "" }, { "dropping-particle" : "", "family" : "Rader", "given" : "Douglas N", "non-dropping-particle" : "", "parse-names" : false, "suffix" : "" }, { "dropping-particle" : "", "family" : "Leland", "given" : "Amanda", "non-dropping-particle" : "", "parse-names" : false, "suffix" : "" } ], "id" : "ITEM-1", "issued" : { "date-parts" : [ [ "0" ] ] }, "title" : "Global fishery prospects under contrasting management regimes", "type" : "article-journal" }, "uris" : [ "http://www.mendeley.com/documents/?uuid=701f730a-a586-39c3-8b9c-2314d92bc84e" ] } ], "mendeley" : { "formattedCitation" : "(Costello et al., n.d.)", "manualFormatting" : "(Costello et al. 2016)", "plainTextFormattedCitation" : "(Costello et al., n.d.)", "previouslyFormattedCitation" : "(Costello et al., n.d.)" }, "properties" : {  }, "schema" : "https://github.com/citation-style-language/schema/raw/master/csl-citation.json" }</w:instrText>
      </w:r>
      <w:r>
        <w:rPr>
          <w:rFonts w:eastAsia="Times New Roman" w:cs="Times New Roman"/>
          <w:szCs w:val="20"/>
          <w:lang w:eastAsia="en-GB"/>
        </w:rPr>
        <w:fldChar w:fldCharType="separate"/>
      </w:r>
      <w:r w:rsidRPr="006908C7">
        <w:rPr>
          <w:rFonts w:eastAsia="Times New Roman" w:cs="Times New Roman"/>
          <w:noProof/>
          <w:szCs w:val="20"/>
          <w:lang w:eastAsia="en-GB"/>
        </w:rPr>
        <w:t>(C</w:t>
      </w:r>
      <w:r>
        <w:rPr>
          <w:rFonts w:eastAsia="Times New Roman" w:cs="Times New Roman"/>
          <w:noProof/>
          <w:szCs w:val="20"/>
          <w:lang w:eastAsia="en-GB"/>
        </w:rPr>
        <w:t>ostello et al. 2016</w:t>
      </w:r>
      <w:r w:rsidRPr="006908C7">
        <w:rPr>
          <w:rFonts w:eastAsia="Times New Roman" w:cs="Times New Roman"/>
          <w:noProof/>
          <w:szCs w:val="20"/>
          <w:lang w:eastAsia="en-GB"/>
        </w:rPr>
        <w:t>)</w:t>
      </w:r>
      <w:r>
        <w:rPr>
          <w:rFonts w:eastAsia="Times New Roman" w:cs="Times New Roman"/>
          <w:szCs w:val="20"/>
          <w:lang w:eastAsia="en-GB"/>
        </w:rPr>
        <w:fldChar w:fldCharType="end"/>
      </w:r>
      <w:r>
        <w:rPr>
          <w:rStyle w:val="FootnoteReference"/>
          <w:rFonts w:eastAsia="Times New Roman" w:cs="Times New Roman"/>
          <w:szCs w:val="20"/>
          <w:lang w:eastAsia="en-GB"/>
        </w:rPr>
        <w:footnoteReference w:id="42"/>
      </w:r>
      <w:r w:rsidRPr="00C56411">
        <w:rPr>
          <w:rFonts w:eastAsia="Times New Roman" w:cs="Times New Roman"/>
          <w:szCs w:val="20"/>
          <w:lang w:eastAsia="en-GB"/>
        </w:rPr>
        <w:t xml:space="preserve">. In particular, by 2050, the proportion of </w:t>
      </w:r>
      <w:r>
        <w:rPr>
          <w:rFonts w:eastAsia="Times New Roman" w:cs="Times New Roman"/>
          <w:szCs w:val="20"/>
          <w:lang w:eastAsia="en-GB"/>
        </w:rPr>
        <w:t>fish stocks</w:t>
      </w:r>
      <w:r w:rsidRPr="00C56411">
        <w:rPr>
          <w:rFonts w:eastAsia="Times New Roman" w:cs="Times New Roman"/>
          <w:szCs w:val="20"/>
          <w:lang w:eastAsia="en-GB"/>
        </w:rPr>
        <w:t xml:space="preserve"> </w:t>
      </w:r>
      <w:r>
        <w:rPr>
          <w:rFonts w:eastAsia="Times New Roman" w:cs="Times New Roman"/>
          <w:szCs w:val="20"/>
          <w:lang w:eastAsia="en-GB"/>
        </w:rPr>
        <w:t>above</w:t>
      </w:r>
      <w:r w:rsidRPr="00C56411">
        <w:rPr>
          <w:rFonts w:eastAsia="Times New Roman" w:cs="Times New Roman"/>
          <w:szCs w:val="20"/>
          <w:lang w:eastAsia="en-GB"/>
        </w:rPr>
        <w:t xml:space="preserve"> their target </w:t>
      </w:r>
      <w:r>
        <w:rPr>
          <w:rFonts w:eastAsia="Times New Roman" w:cs="Times New Roman"/>
          <w:szCs w:val="20"/>
          <w:lang w:eastAsia="en-GB"/>
        </w:rPr>
        <w:t xml:space="preserve">recovery </w:t>
      </w:r>
      <w:r w:rsidRPr="00C56411">
        <w:rPr>
          <w:rFonts w:eastAsia="Times New Roman" w:cs="Times New Roman"/>
          <w:szCs w:val="20"/>
          <w:lang w:eastAsia="en-GB"/>
        </w:rPr>
        <w:t>biomass and the to</w:t>
      </w:r>
      <w:r>
        <w:rPr>
          <w:rFonts w:eastAsia="Times New Roman" w:cs="Times New Roman"/>
          <w:szCs w:val="20"/>
          <w:lang w:eastAsia="en-GB"/>
        </w:rPr>
        <w:t xml:space="preserve">tal profit exceeded </w:t>
      </w:r>
      <w:r w:rsidRPr="00C56411">
        <w:rPr>
          <w:rFonts w:eastAsia="Times New Roman" w:cs="Times New Roman"/>
          <w:szCs w:val="20"/>
          <w:lang w:eastAsia="en-GB"/>
        </w:rPr>
        <w:t>that of the present day</w:t>
      </w:r>
      <w:r>
        <w:rPr>
          <w:rFonts w:eastAsia="Times New Roman" w:cs="Times New Roman"/>
          <w:szCs w:val="20"/>
          <w:lang w:eastAsia="en-GB"/>
        </w:rPr>
        <w:t xml:space="preserve"> under both policies</w:t>
      </w:r>
      <w:r w:rsidRPr="00C56411">
        <w:rPr>
          <w:rFonts w:eastAsia="Times New Roman" w:cs="Times New Roman"/>
          <w:szCs w:val="20"/>
          <w:lang w:eastAsia="en-GB"/>
        </w:rPr>
        <w:t>, and in fact greatly exceed</w:t>
      </w:r>
      <w:r>
        <w:rPr>
          <w:rFonts w:eastAsia="Times New Roman" w:cs="Times New Roman"/>
          <w:szCs w:val="20"/>
          <w:lang w:eastAsia="en-GB"/>
        </w:rPr>
        <w:t>ed that of the 2050 BAU scenario (</w:t>
      </w:r>
      <w:r w:rsidRPr="00C56411">
        <w:rPr>
          <w:rFonts w:eastAsia="Times New Roman" w:cs="Times New Roman"/>
          <w:szCs w:val="20"/>
          <w:lang w:eastAsia="en-GB"/>
        </w:rPr>
        <w:t>by $53 billion dollars annually in the case of fisheries profit</w:t>
      </w:r>
      <w:r>
        <w:rPr>
          <w:rFonts w:eastAsia="Times New Roman" w:cs="Times New Roman"/>
          <w:szCs w:val="20"/>
          <w:lang w:eastAsia="en-GB"/>
        </w:rPr>
        <w:t xml:space="preserve"> for the RBFM scenario)</w:t>
      </w:r>
      <w:r w:rsidRPr="00C56411">
        <w:rPr>
          <w:rFonts w:eastAsia="Times New Roman" w:cs="Times New Roman"/>
          <w:szCs w:val="20"/>
          <w:lang w:eastAsia="en-GB"/>
        </w:rPr>
        <w:t xml:space="preserve">. Similarly, under </w:t>
      </w:r>
      <w:r>
        <w:rPr>
          <w:rFonts w:eastAsia="Times New Roman" w:cs="Times New Roman"/>
          <w:szCs w:val="20"/>
          <w:lang w:eastAsia="en-GB"/>
        </w:rPr>
        <w:t>a low emissions scenario</w:t>
      </w:r>
      <w:r>
        <w:rPr>
          <w:rStyle w:val="FootnoteReference"/>
          <w:rFonts w:eastAsia="Times New Roman" w:cs="Times New Roman"/>
          <w:szCs w:val="20"/>
          <w:lang w:eastAsia="en-GB"/>
        </w:rPr>
        <w:footnoteReference w:id="43"/>
      </w:r>
      <w:r w:rsidRPr="00C56411">
        <w:rPr>
          <w:rFonts w:eastAsia="Times New Roman" w:cs="Times New Roman"/>
          <w:szCs w:val="20"/>
          <w:lang w:eastAsia="en-GB"/>
        </w:rPr>
        <w:t>,</w:t>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"10.1038/srep32607", "ISSN" : "2045-2322", "author" : [ { "dropping-particle" : "", "family" : "Lam", "given" : "Vicky W. Y.", "non-dropping-particle" : "", "parse-names" : false, "suffix" : "" }, { "dropping-particle" : "", "family" : "Cheung", "given" : "William W. L.", "non-dropping-particle" : "", "parse-names" : false, "suffix" : "" }, { "dropping-particle" : "", "family" : "Reygondeau", "given" : "Gabriel", "non-dropping-particle" : "", "parse-names" : false, "suffix" : "" }, { "dropping-particle" : "", "family" : "Sumaila", "given" : "U. Rashid", "non-dropping-particle" : "", "parse-names" : false, "suffix" : "" } ], "container-title" : "Scientific Reports", "id" : "ITEM-1", "issue" : "1", "issued" : { "date-parts" : [ [ "2016", "12", "7" ] ] }, "page" : "32607", "publisher" : "Nature Publishing Group", "title" : "Projected change in global fisheries revenues under climate change", "type" : "article-journal", "volume" : "6" }, "uris" : [ "http://www.mendeley.com/documents/?uuid=6088c848-9752-3e77-a2d7-cbd8822d4bbc" ] } ], "mendeley" : { "formattedCitation" : "(Lam et al., 2016)", "manualFormatting" : "Lam et al. (2016)", "plainTextFormattedCitation" : "(Lam et al., 2016)", "previouslyFormattedCitation" : "(Lam et al., 2016)" }, "properties" : {  }, "schema" : "https://github.com/citation-style-language/schema/raw/master/csl-citation.json" }</w:instrText>
      </w:r>
      <w:r>
        <w:rPr>
          <w:rFonts w:eastAsia="Times New Roman" w:cs="Times New Roman"/>
          <w:szCs w:val="20"/>
          <w:lang w:eastAsia="en-GB"/>
        </w:rPr>
        <w:fldChar w:fldCharType="separate"/>
      </w:r>
      <w:r>
        <w:rPr>
          <w:rFonts w:eastAsia="Times New Roman" w:cs="Times New Roman"/>
          <w:noProof/>
          <w:szCs w:val="20"/>
          <w:lang w:eastAsia="en-GB"/>
        </w:rPr>
        <w:t>Lam et al. (</w:t>
      </w:r>
      <w:r w:rsidRPr="006908C7">
        <w:rPr>
          <w:rFonts w:eastAsia="Times New Roman" w:cs="Times New Roman"/>
          <w:noProof/>
          <w:szCs w:val="20"/>
          <w:lang w:eastAsia="en-GB"/>
        </w:rPr>
        <w:t>2016)</w:t>
      </w:r>
      <w:r>
        <w:rPr>
          <w:rFonts w:eastAsia="Times New Roman" w:cs="Times New Roman"/>
          <w:szCs w:val="20"/>
          <w:lang w:eastAsia="en-GB"/>
        </w:rPr>
        <w:fldChar w:fldCharType="end"/>
      </w:r>
      <w:r w:rsidRPr="00C56411">
        <w:rPr>
          <w:rFonts w:eastAsia="Times New Roman" w:cs="Times New Roman"/>
          <w:szCs w:val="20"/>
          <w:lang w:eastAsia="en-GB"/>
        </w:rPr>
        <w:t xml:space="preserve"> project</w:t>
      </w:r>
      <w:r>
        <w:rPr>
          <w:rFonts w:eastAsia="Times New Roman" w:cs="Times New Roman"/>
          <w:szCs w:val="20"/>
          <w:lang w:eastAsia="en-GB"/>
        </w:rPr>
        <w:t>ed</w:t>
      </w:r>
      <w:r w:rsidRPr="00C56411">
        <w:rPr>
          <w:rFonts w:eastAsia="Times New Roman" w:cs="Times New Roman"/>
          <w:szCs w:val="20"/>
          <w:lang w:eastAsia="en-GB"/>
        </w:rPr>
        <w:t xml:space="preserve"> a 4% decline (versus 7.7% under </w:t>
      </w:r>
      <w:r>
        <w:rPr>
          <w:rFonts w:eastAsia="Times New Roman" w:cs="Times New Roman"/>
          <w:szCs w:val="20"/>
          <w:lang w:eastAsia="en-GB"/>
        </w:rPr>
        <w:t>high-emissions</w:t>
      </w:r>
      <w:r>
        <w:rPr>
          <w:rStyle w:val="FootnoteReference"/>
          <w:rFonts w:eastAsia="Times New Roman" w:cs="Times New Roman"/>
          <w:szCs w:val="20"/>
          <w:lang w:eastAsia="en-GB"/>
        </w:rPr>
        <w:footnoteReference w:id="44"/>
      </w:r>
      <w:r w:rsidRPr="00C56411">
        <w:rPr>
          <w:rFonts w:eastAsia="Times New Roman" w:cs="Times New Roman"/>
          <w:szCs w:val="20"/>
          <w:lang w:eastAsia="en-GB"/>
        </w:rPr>
        <w:t xml:space="preserve">) in catch potential and a 7.7% decline (versus 10.4%) in revenue potential by 2050, suggesting that mitigation policies can limit impacts. </w:t>
      </w:r>
      <w:r w:rsidRPr="00C56411">
        <w:rPr>
          <w:rFonts w:cs="Times New Roman"/>
          <w:szCs w:val="20"/>
        </w:rPr>
        <w:t>Cheung et al. (2016) estimated the benefits to global fisheries from meeting the 1.5</w:t>
      </w:r>
      <w:r>
        <w:rPr>
          <w:rFonts w:cs="Times New Roman"/>
        </w:rPr>
        <w:t>°</w:t>
      </w:r>
      <w:r>
        <w:t>C</w:t>
      </w:r>
      <w:r w:rsidRPr="00C56411">
        <w:rPr>
          <w:rFonts w:cs="Times New Roman"/>
          <w:szCs w:val="20"/>
        </w:rPr>
        <w:t xml:space="preserve"> warming target in the Paris Agreement</w:t>
      </w:r>
      <w:r>
        <w:rPr>
          <w:rFonts w:cs="Times New Roman"/>
          <w:szCs w:val="20"/>
        </w:rPr>
        <w:t xml:space="preserve"> were that every</w:t>
      </w:r>
      <w:r w:rsidRPr="00C56411">
        <w:rPr>
          <w:rFonts w:cs="Times New Roman"/>
          <w:szCs w:val="20"/>
        </w:rPr>
        <w:t xml:space="preserve"> degree of warming</w:t>
      </w:r>
      <w:r>
        <w:rPr>
          <w:rFonts w:cs="Times New Roman"/>
          <w:szCs w:val="20"/>
        </w:rPr>
        <w:t xml:space="preserve"> above this target</w:t>
      </w:r>
      <w:r w:rsidRPr="00C56411">
        <w:rPr>
          <w:rFonts w:cs="Times New Roman"/>
          <w:szCs w:val="20"/>
        </w:rPr>
        <w:t xml:space="preserve"> resulted in a projected 3 million metric ton</w:t>
      </w:r>
      <w:r>
        <w:rPr>
          <w:rFonts w:cs="Times New Roman"/>
          <w:szCs w:val="20"/>
        </w:rPr>
        <w:t>s</w:t>
      </w:r>
      <w:r w:rsidRPr="00C56411">
        <w:rPr>
          <w:rFonts w:cs="Times New Roman"/>
          <w:szCs w:val="20"/>
        </w:rPr>
        <w:t xml:space="preserve"> reduction in potential catch. </w:t>
      </w:r>
      <w:r>
        <w:rPr>
          <w:rFonts w:cs="Times New Roman"/>
          <w:szCs w:val="20"/>
        </w:rPr>
        <w:t xml:space="preserve"> Strong climate mitigation</w:t>
      </w:r>
      <w:r>
        <w:rPr>
          <w:rStyle w:val="FootnoteReference"/>
          <w:rFonts w:cs="Times New Roman"/>
          <w:szCs w:val="20"/>
        </w:rPr>
        <w:footnoteReference w:id="45"/>
      </w:r>
      <w:r>
        <w:rPr>
          <w:rFonts w:cs="Times New Roman"/>
          <w:szCs w:val="20"/>
        </w:rPr>
        <w:t xml:space="preserve"> was projected to limit the decline in global net primary productivity relative to a high-emissions</w:t>
      </w:r>
      <w:r>
        <w:rPr>
          <w:rStyle w:val="FootnoteReference"/>
          <w:rFonts w:cs="Times New Roman"/>
          <w:szCs w:val="20"/>
        </w:rPr>
        <w:footnoteReference w:id="46"/>
      </w:r>
      <w:r>
        <w:rPr>
          <w:rFonts w:cs="Times New Roman"/>
          <w:szCs w:val="20"/>
        </w:rPr>
        <w:t xml:space="preserve"> scenario (Bopp et al. 2013).</w:t>
      </w:r>
    </w:p>
    <w:p w14:paraId="46E9BA78" w14:textId="77777777" w:rsidR="00F1283E" w:rsidRPr="00873D7E" w:rsidRDefault="00F1283E" w:rsidP="00F1283E">
      <w:pPr>
        <w:pStyle w:val="ListParagraph"/>
        <w:numPr>
          <w:ilvl w:val="0"/>
          <w:numId w:val="4"/>
        </w:numPr>
        <w:contextualSpacing w:val="0"/>
        <w:rPr>
          <w:rFonts w:cs="Times New Roman"/>
        </w:rPr>
      </w:pPr>
      <w:r w:rsidRPr="00C56411">
        <w:rPr>
          <w:rFonts w:eastAsia="Times New Roman" w:cs="Times New Roman"/>
          <w:szCs w:val="20"/>
          <w:lang w:eastAsia="en-GB"/>
        </w:rPr>
        <w:t xml:space="preserve">Under the </w:t>
      </w:r>
      <w:r>
        <w:rPr>
          <w:rFonts w:eastAsia="Times New Roman" w:cs="Times New Roman"/>
          <w:szCs w:val="20"/>
          <w:lang w:eastAsia="en-GB"/>
        </w:rPr>
        <w:t>medium-low emissions</w:t>
      </w:r>
      <w:r>
        <w:rPr>
          <w:rStyle w:val="FootnoteReference"/>
          <w:rFonts w:eastAsia="Times New Roman" w:cs="Times New Roman"/>
          <w:szCs w:val="20"/>
          <w:lang w:eastAsia="en-GB"/>
        </w:rPr>
        <w:footnoteReference w:id="47"/>
      </w:r>
      <w:r w:rsidRPr="00C56411">
        <w:rPr>
          <w:rFonts w:eastAsia="Times New Roman" w:cs="Times New Roman"/>
          <w:szCs w:val="20"/>
          <w:lang w:eastAsia="en-GB"/>
        </w:rPr>
        <w:t xml:space="preserve"> pathway, by 2050 the </w:t>
      </w:r>
      <w:r>
        <w:rPr>
          <w:rFonts w:eastAsia="Times New Roman" w:cs="Times New Roman"/>
          <w:szCs w:val="20"/>
          <w:lang w:eastAsia="en-GB"/>
        </w:rPr>
        <w:t xml:space="preserve">overall </w:t>
      </w:r>
      <w:r w:rsidRPr="00C56411">
        <w:rPr>
          <w:rFonts w:eastAsia="Times New Roman" w:cs="Times New Roman"/>
          <w:szCs w:val="20"/>
          <w:lang w:eastAsia="en-GB"/>
        </w:rPr>
        <w:t xml:space="preserve">global </w:t>
      </w:r>
      <w:r>
        <w:rPr>
          <w:rFonts w:eastAsia="Times New Roman" w:cs="Times New Roman"/>
          <w:szCs w:val="20"/>
          <w:lang w:eastAsia="en-GB"/>
        </w:rPr>
        <w:t>area of suitable</w:t>
      </w:r>
      <w:r w:rsidRPr="00C56411">
        <w:rPr>
          <w:rFonts w:eastAsia="Times New Roman" w:cs="Times New Roman"/>
          <w:szCs w:val="20"/>
          <w:lang w:eastAsia="en-GB"/>
        </w:rPr>
        <w:t xml:space="preserve"> habitat for coral reefs </w:t>
      </w:r>
      <w:r>
        <w:rPr>
          <w:rFonts w:eastAsia="Times New Roman" w:cs="Times New Roman"/>
          <w:szCs w:val="20"/>
          <w:lang w:eastAsia="en-GB"/>
        </w:rPr>
        <w:t>was</w:t>
      </w:r>
      <w:r w:rsidRPr="00C56411">
        <w:rPr>
          <w:rFonts w:eastAsia="Times New Roman" w:cs="Times New Roman"/>
          <w:szCs w:val="20"/>
          <w:lang w:eastAsia="en-GB"/>
        </w:rPr>
        <w:t xml:space="preserve"> reduced relative to the </w:t>
      </w:r>
      <w:r>
        <w:rPr>
          <w:rFonts w:eastAsia="Times New Roman" w:cs="Times New Roman"/>
          <w:szCs w:val="20"/>
          <w:lang w:eastAsia="en-GB"/>
        </w:rPr>
        <w:t>high emissions</w:t>
      </w:r>
      <w:r>
        <w:rPr>
          <w:rStyle w:val="FootnoteReference"/>
          <w:rFonts w:eastAsia="Times New Roman" w:cs="Times New Roman"/>
          <w:szCs w:val="20"/>
          <w:lang w:eastAsia="en-GB"/>
        </w:rPr>
        <w:footnoteReference w:id="48"/>
      </w:r>
      <w:r w:rsidRPr="00C56411">
        <w:rPr>
          <w:rFonts w:eastAsia="Times New Roman" w:cs="Times New Roman"/>
          <w:szCs w:val="20"/>
          <w:lang w:eastAsia="en-GB"/>
        </w:rPr>
        <w:t xml:space="preserve"> scenario, due to a relatively cool</w:t>
      </w:r>
      <w:r>
        <w:rPr>
          <w:rFonts w:eastAsia="Times New Roman" w:cs="Times New Roman"/>
          <w:szCs w:val="20"/>
          <w:lang w:eastAsia="en-GB"/>
        </w:rPr>
        <w:t>er global ocean. T</w:t>
      </w:r>
      <w:r w:rsidRPr="00C56411">
        <w:rPr>
          <w:rFonts w:eastAsia="Times New Roman" w:cs="Times New Roman"/>
          <w:szCs w:val="20"/>
          <w:lang w:eastAsia="en-GB"/>
        </w:rPr>
        <w:t xml:space="preserve">he decline </w:t>
      </w:r>
      <w:r>
        <w:rPr>
          <w:rFonts w:eastAsia="Times New Roman" w:cs="Times New Roman"/>
          <w:szCs w:val="20"/>
          <w:lang w:eastAsia="en-GB"/>
        </w:rPr>
        <w:t>in</w:t>
      </w:r>
      <w:r w:rsidRPr="00C56411">
        <w:rPr>
          <w:rFonts w:eastAsia="Times New Roman" w:cs="Times New Roman"/>
          <w:szCs w:val="20"/>
          <w:lang w:eastAsia="en-GB"/>
        </w:rPr>
        <w:t xml:space="preserve"> current areas of </w:t>
      </w:r>
      <w:r>
        <w:rPr>
          <w:rFonts w:eastAsia="Times New Roman" w:cs="Times New Roman"/>
          <w:szCs w:val="20"/>
          <w:lang w:eastAsia="en-GB"/>
        </w:rPr>
        <w:t xml:space="preserve">suitable habitat for </w:t>
      </w:r>
      <w:r w:rsidRPr="00C56411">
        <w:rPr>
          <w:rFonts w:eastAsia="Times New Roman" w:cs="Times New Roman"/>
          <w:szCs w:val="20"/>
          <w:lang w:eastAsia="en-GB"/>
        </w:rPr>
        <w:t xml:space="preserve">coral occupancy </w:t>
      </w:r>
      <w:r>
        <w:rPr>
          <w:rFonts w:eastAsia="Times New Roman" w:cs="Times New Roman"/>
          <w:szCs w:val="20"/>
          <w:lang w:eastAsia="en-GB"/>
        </w:rPr>
        <w:t xml:space="preserve">was also </w:t>
      </w:r>
      <w:r w:rsidRPr="00C56411">
        <w:rPr>
          <w:rFonts w:eastAsia="Times New Roman" w:cs="Times New Roman"/>
          <w:szCs w:val="20"/>
          <w:lang w:eastAsia="en-GB"/>
        </w:rPr>
        <w:t xml:space="preserve">reduced, indicating a </w:t>
      </w:r>
      <w:r>
        <w:rPr>
          <w:rFonts w:eastAsia="Times New Roman" w:cs="Times New Roman"/>
          <w:szCs w:val="20"/>
          <w:lang w:eastAsia="en-GB"/>
        </w:rPr>
        <w:t>still</w:t>
      </w:r>
      <w:r w:rsidRPr="00C56411">
        <w:rPr>
          <w:rFonts w:eastAsia="Times New Roman" w:cs="Times New Roman"/>
          <w:szCs w:val="20"/>
          <w:lang w:eastAsia="en-GB"/>
        </w:rPr>
        <w:t xml:space="preserve"> negative but relatively smaller impact on reefs and associated ecosystem services relative to </w:t>
      </w:r>
      <w:r>
        <w:rPr>
          <w:rFonts w:eastAsia="Times New Roman" w:cs="Times New Roman"/>
          <w:szCs w:val="20"/>
          <w:lang w:eastAsia="en-GB"/>
        </w:rPr>
        <w:t>the high-emissions pathway</w:t>
      </w:r>
      <w:r>
        <w:rPr>
          <w:rStyle w:val="FootnoteReference"/>
          <w:rFonts w:eastAsia="Times New Roman" w:cs="Times New Roman"/>
          <w:szCs w:val="20"/>
          <w:lang w:eastAsia="en-GB"/>
        </w:rPr>
        <w:footnoteReference w:id="49"/>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"10.1111/gcb.12868", "ISBN" : "1365-2486", "ISSN" : "13652486", "PMID" : "25611594", "abstract" : "Coral bleaching events threaten coral reef habitats globally and cause severe declines of local biodiversity and productivity. Related to high sea surface temperatures, bleaching events are expected to increase as a consequence of future global warming. However, response to climate change is still uncertain as future low latitude climatic conditions have no present-day analogue. Sea surface temperatures during the Eocene epoch were warmer than forecasted changes for the coming century, and distributions of corals during the Eocene may help to inform models forecasting the future of coral reefs. We coupled contemporary and Eocene coral occurrences with information on their respective climatic conditions to model the thermal niche of coral reefs and its potential response to projected climate change. We found that under the RCP8.5 climate change scenario, the global suitability for coral reefs may increase up to 16% by 2100, mostly due to improved suitability of higher latitudes. In contrast, in its current range, coral reef suitability may decrease up to 46% by 2100. Reduction in thermal suitability will be most severe in biodiversity hotspots, especially in the Indo-Australian Archipelago. Our results suggest that many contemporary hotspots for coral reefs, including those that have been refugia in the past, spatially mismatch with future shifts in coral reef habitat suitability, posing even more challenges to conservation actions under climate change. This article is protected by copyright. All rights reserved.", "author" : [ { "dropping-particle" : "", "family" : "Descombes", "given" : "Patrice", "non-dropping-particle" : "", "parse-names" : false, "suffix" : "" }, { "dropping-particle" : "", "family" : "Wisz", "given" : "Mary S.", "non-dropping-particle" : "", "parse-names" : false, "suffix" : "" }, { "dropping-particle" : "", "family" : "Leprieur", "given" : "Fabien", "non-dropping-particle" : "", "parse-names" : false, "suffix" : "" }, { "dropping-particle" : "", "family" : "Parravicini", "given" : "Valerianio", "non-dropping-particle" : "", "parse-names" : false, "suffix" : "" }, { "dropping-particle" : "", "family" : "Heine", "given" : "Christian", "non-dropping-particle" : "", "parse-names" : false, "suffix" : "" }, { "dropping-particle" : "", "family" : "Olsen", "given" : "Steffen M.", "non-dropping-particle" : "", "parse-names" : false, "suffix" : "" }, { "dropping-particle" : "", "family" : "Swingedouw", "given" : "Didier", "non-dropping-particle" : "", "parse-names" : false, "suffix" : "" }, { "dropping-particle" : "", "family" : "Kulbicki", "given" : "Michel", "non-dropping-particle" : "", "parse-names" : false, "suffix" : "" }, { "dropping-particle" : "", "family" : "Mouillot", "given" : "David", "non-dropping-particle" : "", "parse-names" : false, "suffix" : "" }, { "dropping-particle" : "", "family" : "Pellissier", "given" : "Lo\u00efc", "non-dropping-particle" : "", "parse-names" : false, "suffix" : "" } ], "container-title" : "Global Change Biology", "id" : "ITEM-1", "issue" : "7", "issued" : { "date-parts" : [ [ "2015" ] ] }, "page" : "2479-2487", "title" : "Forecasted coral reef decline in marine biodiversity hotspots under climate change", "type" : "article-journal", "volume" : "21" }, "uris" : [ "http://www.mendeley.com/documents/?uuid=5faf4671-29ff-4e24-8003-608329564ccc" ] } ], "mendeley" : { "formattedCitation" : "(Descombes et al., 2015)", "plainTextFormattedCitation" : "(Descombes et al., 2015)", "previouslyFormattedCitation" : "(Descombes et al., 2015)" }, "properties" : {  }, "schema" : "https://github.com/citation-style-language/schema/raw/master/csl-citation.json" }</w:instrText>
      </w:r>
      <w:r>
        <w:rPr>
          <w:rFonts w:eastAsia="Times New Roman" w:cs="Times New Roman"/>
          <w:szCs w:val="20"/>
          <w:lang w:eastAsia="en-GB"/>
        </w:rPr>
        <w:fldChar w:fldCharType="separate"/>
      </w:r>
      <w:r w:rsidRPr="006908C7">
        <w:rPr>
          <w:rFonts w:eastAsia="Times New Roman" w:cs="Times New Roman"/>
          <w:noProof/>
          <w:szCs w:val="20"/>
          <w:lang w:eastAsia="en-GB"/>
        </w:rPr>
        <w:t>(Descombes et al., 2015)</w:t>
      </w:r>
      <w:r>
        <w:rPr>
          <w:rFonts w:eastAsia="Times New Roman" w:cs="Times New Roman"/>
          <w:szCs w:val="20"/>
          <w:lang w:eastAsia="en-GB"/>
        </w:rPr>
        <w:fldChar w:fldCharType="end"/>
      </w:r>
      <w:r w:rsidRPr="00C56411">
        <w:rPr>
          <w:rFonts w:eastAsia="Times New Roman" w:cs="Times New Roman"/>
          <w:szCs w:val="20"/>
          <w:lang w:eastAsia="en-GB"/>
        </w:rPr>
        <w:t xml:space="preserve">. The differential </w:t>
      </w:r>
      <w:r>
        <w:rPr>
          <w:rFonts w:eastAsia="Times New Roman" w:cs="Times New Roman"/>
          <w:szCs w:val="20"/>
          <w:lang w:eastAsia="en-GB"/>
        </w:rPr>
        <w:t xml:space="preserve">reduction </w:t>
      </w:r>
      <w:r w:rsidRPr="00C56411">
        <w:rPr>
          <w:rFonts w:eastAsia="Times New Roman" w:cs="Times New Roman"/>
          <w:szCs w:val="20"/>
          <w:lang w:eastAsia="en-GB"/>
        </w:rPr>
        <w:t>in economic value associated with coral reefs under mitigation pathways (</w:t>
      </w:r>
      <w:r>
        <w:rPr>
          <w:rFonts w:eastAsia="Times New Roman" w:cs="Times New Roman"/>
          <w:szCs w:val="20"/>
          <w:lang w:eastAsia="en-GB"/>
        </w:rPr>
        <w:t>low, medium-low, and medium emissions</w:t>
      </w:r>
      <w:r>
        <w:rPr>
          <w:rStyle w:val="FootnoteReference"/>
          <w:rFonts w:eastAsia="Times New Roman" w:cs="Times New Roman"/>
          <w:szCs w:val="20"/>
          <w:lang w:eastAsia="en-GB"/>
        </w:rPr>
        <w:footnoteReference w:id="50"/>
      </w:r>
      <w:r w:rsidRPr="00C56411">
        <w:rPr>
          <w:rFonts w:eastAsia="Times New Roman" w:cs="Times New Roman"/>
          <w:szCs w:val="20"/>
          <w:lang w:eastAsia="en-GB"/>
        </w:rPr>
        <w:t xml:space="preserve">) </w:t>
      </w:r>
      <w:r>
        <w:rPr>
          <w:rFonts w:eastAsia="Times New Roman" w:cs="Times New Roman"/>
          <w:szCs w:val="20"/>
          <w:lang w:eastAsia="en-GB"/>
        </w:rPr>
        <w:t>has been forecasted to be</w:t>
      </w:r>
      <w:r w:rsidRPr="00C56411">
        <w:rPr>
          <w:rFonts w:eastAsia="Times New Roman" w:cs="Times New Roman"/>
          <w:szCs w:val="20"/>
          <w:lang w:eastAsia="en-GB"/>
        </w:rPr>
        <w:t xml:space="preserve"> substantial</w:t>
      </w:r>
      <w:r>
        <w:rPr>
          <w:rFonts w:eastAsia="Times New Roman" w:cs="Times New Roman"/>
          <w:szCs w:val="20"/>
          <w:lang w:eastAsia="en-GB"/>
        </w:rPr>
        <w:t xml:space="preserve"> </w:t>
      </w:r>
      <w:r>
        <w:rPr>
          <w:rFonts w:eastAsia="Times New Roman" w:cs="Times New Roman"/>
          <w:szCs w:val="20"/>
          <w:lang w:eastAsia="en-GB"/>
        </w:rPr>
        <w:fldChar w:fldCharType="begin" w:fldLock="1"/>
      </w:r>
      <w:r>
        <w:rPr>
          <w:rFonts w:eastAsia="Times New Roman" w:cs="Times New Roman"/>
          <w:szCs w:val="20"/>
          <w:lang w:eastAsia="en-GB"/>
        </w:rPr>
        <w:instrText>ADDIN CSL_CITATION { "citationItems" : [ { "id" : "ITEM-1", "itemData" : { "DOI" : "https://doi.org/10.1016/j.gloenvcha.2014.10.011", "ISSN" : "0959-3780", "author" : [ { "dropping-particle" : "", "family" : "Chen", "given" : "Ping-Yu", "non-dropping-particle" : "", "parse-names" : false, "suffix" : "" }, { "dropping-particle" : "", "family" : "Chen", "given" : "Chi-Chung", "non-dropping-particle" : "", "parse-names" : false, "suffix" : "" }, { "dropping-particle" : "", "family" : "Chu", "given" : "LanFen", "non-dropping-particle" : "", "parse-names" : false, "suffix" : "" }, { "dropping-particle" : "", "family" : "McCarl", "given" : "Bruce", "non-dropping-particle" : "", "parse-names" : false, "suffix" : "" } ], "container-title" : "Global Environmental Change", "id" : "ITEM-1", "issue" : "Supplement C", "issued" : { "date-parts" : [ [ "2015" ] ] }, "page" : "12-20", "title" : "Evaluating the economic damage of climate change on global coral reefs", "type" : "article-journal", "volume" : "30" }, "uris" : [ "http://www.mendeley.com/documents/?uuid=53f8bb82-18f4-42e2-8376-eae78f708c51" ] } ], "mendeley" : { "formattedCitation" : "(Chen et al., 2015)", "plainTextFormattedCitation" : "(Chen et al., 2015)", "previouslyFormattedCitation" : "(Chen et al., 2015)" }, "properties" : {  }, "schema" : "https://github.com/citation-style-language/schema/raw/master/csl-citation.json" }</w:instrText>
      </w:r>
      <w:r>
        <w:rPr>
          <w:rFonts w:eastAsia="Times New Roman" w:cs="Times New Roman"/>
          <w:szCs w:val="20"/>
          <w:lang w:eastAsia="en-GB"/>
        </w:rPr>
        <w:fldChar w:fldCharType="separate"/>
      </w:r>
      <w:r w:rsidRPr="006908C7">
        <w:rPr>
          <w:rFonts w:eastAsia="Times New Roman" w:cs="Times New Roman"/>
          <w:noProof/>
          <w:szCs w:val="20"/>
          <w:lang w:eastAsia="en-GB"/>
        </w:rPr>
        <w:t>(Chen et al., 2015)</w:t>
      </w:r>
      <w:r>
        <w:rPr>
          <w:rFonts w:eastAsia="Times New Roman" w:cs="Times New Roman"/>
          <w:szCs w:val="20"/>
          <w:lang w:eastAsia="en-GB"/>
        </w:rPr>
        <w:fldChar w:fldCharType="end"/>
      </w:r>
      <w:r w:rsidRPr="00C56411">
        <w:rPr>
          <w:rFonts w:eastAsia="Times New Roman" w:cs="Times New Roman"/>
          <w:szCs w:val="20"/>
          <w:lang w:eastAsia="en-GB"/>
        </w:rPr>
        <w:t>, re</w:t>
      </w:r>
      <w:r>
        <w:rPr>
          <w:rFonts w:eastAsia="Times New Roman" w:cs="Times New Roman"/>
          <w:szCs w:val="20"/>
          <w:lang w:eastAsia="en-GB"/>
        </w:rPr>
        <w:t>presenting a loss of between $3-</w:t>
      </w:r>
      <w:r w:rsidRPr="00C56411">
        <w:rPr>
          <w:rFonts w:eastAsia="Times New Roman" w:cs="Times New Roman"/>
          <w:szCs w:val="20"/>
          <w:lang w:eastAsia="en-GB"/>
        </w:rPr>
        <w:t>$4.3 billion by 2050 (</w:t>
      </w:r>
      <w:r>
        <w:rPr>
          <w:rFonts w:eastAsia="Times New Roman" w:cs="Times New Roman"/>
          <w:szCs w:val="20"/>
          <w:lang w:eastAsia="en-GB"/>
        </w:rPr>
        <w:t>versus</w:t>
      </w:r>
      <w:r w:rsidRPr="00C56411">
        <w:rPr>
          <w:rFonts w:eastAsia="Times New Roman" w:cs="Times New Roman"/>
          <w:szCs w:val="20"/>
          <w:lang w:eastAsia="en-GB"/>
        </w:rPr>
        <w:t xml:space="preserve"> $5.8 billion under </w:t>
      </w:r>
      <w:r>
        <w:rPr>
          <w:rFonts w:eastAsia="Times New Roman" w:cs="Times New Roman"/>
          <w:szCs w:val="20"/>
          <w:lang w:eastAsia="en-GB"/>
        </w:rPr>
        <w:t>high-emissions</w:t>
      </w:r>
      <w:r>
        <w:rPr>
          <w:rStyle w:val="FootnoteReference"/>
          <w:rFonts w:eastAsia="Times New Roman" w:cs="Times New Roman"/>
          <w:szCs w:val="20"/>
          <w:lang w:eastAsia="en-GB"/>
        </w:rPr>
        <w:footnoteReference w:id="51"/>
      </w:r>
      <w:r>
        <w:rPr>
          <w:rFonts w:eastAsia="Times New Roman" w:cs="Times New Roman"/>
          <w:szCs w:val="20"/>
          <w:lang w:eastAsia="en-GB"/>
        </w:rPr>
        <w:t>), and $2-</w:t>
      </w:r>
      <w:r w:rsidRPr="00C56411">
        <w:rPr>
          <w:rFonts w:eastAsia="Times New Roman" w:cs="Times New Roman"/>
          <w:szCs w:val="20"/>
          <w:lang w:eastAsia="en-GB"/>
        </w:rPr>
        <w:t>$8.1 billion by 2050 (</w:t>
      </w:r>
      <w:r>
        <w:rPr>
          <w:rFonts w:eastAsia="Times New Roman" w:cs="Times New Roman"/>
          <w:szCs w:val="20"/>
          <w:lang w:eastAsia="en-GB"/>
        </w:rPr>
        <w:t>versus</w:t>
      </w:r>
      <w:r w:rsidRPr="00C56411">
        <w:rPr>
          <w:rFonts w:eastAsia="Times New Roman" w:cs="Times New Roman"/>
          <w:szCs w:val="20"/>
          <w:lang w:eastAsia="en-GB"/>
        </w:rPr>
        <w:t xml:space="preserve"> $12 billion</w:t>
      </w:r>
      <w:r>
        <w:rPr>
          <w:rFonts w:eastAsia="Times New Roman" w:cs="Times New Roman"/>
          <w:szCs w:val="20"/>
          <w:lang w:eastAsia="en-GB"/>
        </w:rPr>
        <w:t>)</w:t>
      </w:r>
      <w:r w:rsidRPr="00C56411">
        <w:rPr>
          <w:rFonts w:eastAsia="Times New Roman" w:cs="Times New Roman"/>
          <w:szCs w:val="20"/>
          <w:lang w:eastAsia="en-GB"/>
        </w:rPr>
        <w:t>.</w:t>
      </w:r>
    </w:p>
    <w:p w14:paraId="0FA35F92" w14:textId="77777777" w:rsidR="00F1283E" w:rsidRDefault="00F1283E" w:rsidP="00F1283E">
      <w:pPr>
        <w:rPr>
          <w:rFonts w:cs="Times New Roman"/>
        </w:rPr>
      </w:pPr>
    </w:p>
    <w:p w14:paraId="09960C94" w14:textId="77777777" w:rsidR="00F1283E" w:rsidRPr="00873D7E" w:rsidRDefault="00F1283E" w:rsidP="00F1283E">
      <w:pPr>
        <w:rPr>
          <w:b/>
        </w:rPr>
      </w:pPr>
      <w:r w:rsidRPr="00A4629F">
        <w:rPr>
          <w:b/>
        </w:rPr>
        <w:t>II</w:t>
      </w:r>
      <w:r>
        <w:rPr>
          <w:b/>
        </w:rPr>
        <w:t>C</w:t>
      </w:r>
      <w:r w:rsidRPr="00A4629F">
        <w:rPr>
          <w:b/>
        </w:rPr>
        <w:t xml:space="preserve">. </w:t>
      </w:r>
      <w:r>
        <w:rPr>
          <w:b/>
        </w:rPr>
        <w:t>Freshwater</w:t>
      </w:r>
      <w:r w:rsidRPr="00A4629F">
        <w:rPr>
          <w:b/>
        </w:rPr>
        <w:t xml:space="preserve"> biod</w:t>
      </w:r>
      <w:r>
        <w:rPr>
          <w:b/>
        </w:rPr>
        <w:t>iversity status and trends</w:t>
      </w:r>
    </w:p>
    <w:p w14:paraId="5C6D4781" w14:textId="5D3D5BB0" w:rsidR="00F1283E" w:rsidRDefault="00F1283E" w:rsidP="00F1283E">
      <w:pPr>
        <w:pStyle w:val="ListParagraph"/>
        <w:numPr>
          <w:ilvl w:val="0"/>
          <w:numId w:val="4"/>
        </w:numPr>
        <w:contextualSpacing w:val="0"/>
      </w:pPr>
      <w:r>
        <w:t xml:space="preserve">GBO4 found relatively little material exists on status and trends in freshwater biodiversity at a global scale. Nutrient pollution remains a significant threat to freshwater ecosystems, though </w:t>
      </w:r>
      <w:r w:rsidR="00A55A1A">
        <w:t xml:space="preserve">it </w:t>
      </w:r>
      <w:r>
        <w:t>has stabilized in some areas of Europe and North America. Other pollutants such as pesticides and chemicals are increasing.</w:t>
      </w:r>
    </w:p>
    <w:p w14:paraId="675D137A" w14:textId="77777777" w:rsidR="00F1283E" w:rsidRDefault="00F1283E" w:rsidP="00F1283E">
      <w:pPr>
        <w:pStyle w:val="ListParagraph"/>
        <w:numPr>
          <w:ilvl w:val="0"/>
          <w:numId w:val="4"/>
        </w:numPr>
        <w:contextualSpacing w:val="0"/>
      </w:pPr>
      <w:r>
        <w:lastRenderedPageBreak/>
        <w:t xml:space="preserve">The BAU scenario in GBO4 indicated global water withdrawals from freshwater systems were projected to almost double, the majority going towards food production, reducing the flow of water for freshwater ecosystems </w:t>
      </w:r>
      <w:r>
        <w:fldChar w:fldCharType="begin" w:fldLock="1"/>
      </w:r>
      <w:r>
        <w:instrText>ADDIN CSL_CITATION { "citationItems" : [ { "id" : "ITEM-1", "itemData" : { "ISBN" : "978-92-807-3414-0", "author" : [ { "dropping-particle" : "", "family" : "Leadley", "given" : "P W", "non-dropping-particle" : "", "parse-names" : false, "suffix" : "" }, { "dropping-particle" : "", "family" : "Krug", "given" : "C B", "non-dropping-particle" : "", "parse-names" : false, "suffix" : "" }, { "dropping-particle" : "", "family" : "Alkemade", "given" : "R", "non-dropping-particle" : "", "parse-names" : false, "suffix" : "" }, { "dropping-particle" : "", "family" : "Pereira", "given" : "H M", "non-dropping-particle" : "", "parse-names" : false, "suffix" : "" }, { "dropping-particle" : "", "family" : "Sumaila", "given" : "U R", "non-dropping-particle" : "", "parse-names" : false, "suffix" : "" }, { "dropping-particle" : "", "family" : "Walpole", "given" : "M", "non-dropping-particle" : "", "parse-names" : false, "suffix" : "" }, { "dropping-particle" : "", "family" : "Marques", "given" : "A", "non-dropping-particle" : "", "parse-names" : false, "suffix" : "" }, { "dropping-particle" : "", "family" : "Newbold", "given" : "T", "non-dropping-particle" : "", "parse-names" : false, "suffix" : "" }, { "dropping-particle" : "", "family" : "Teh", "given" : "L S L", "non-dropping-particle" : "", "parse-names" : false, "suffix" : "" }, { "dropping-particle" : "", "family" : "Kolck", "given" : "J", "non-dropping-particle" : "", "parse-names" : false, "suffix" : "" }, { "dropping-particle" : "", "family" : "Bellard", "given" : "C", "non-dropping-particle" : "", "parse-names" : false, "suffix" : "" }, { "dropping-particle" : "", "family" : "Januchowski-Hartley", "given" : "S R", "non-dropping-particle" : "", "parse-names" : false, "suffix" : "" }, { "dropping-particle" : "", "family" : "Mumby", "given" : "P J", "non-dropping-particle" : "", "parse-names" : false, "suffix" : "" } ], "id" : "ITEM-1", "issued" : { "date-parts" : [ [ "2014" ] ] }, "title" : "PROGRESS TOWARDS THE AICHI BIODIVERSITY TARGETS: AN ASSESSMENT OF BIODIVERSITY TRENDS, POLICY SCENARIOS AND KEY ACTIONS Global Biodiversity Outlook 4 (GBO-4) Technical Report ii PROGRESS TOWARDS THE AICHI BIODIVERSITY TARGETS", "type" : "article-journal" }, "uris" : [ "http://www.mendeley.com/documents/?uuid=6340f510-aa8e-39eb-bff5-d74c242babdf" ] } ], "mendeley" : { "formattedCitation" : "(Leadley et al., 2014)", "plainTextFormattedCitation" : "(Leadley et al., 2014)", "previouslyFormattedCitation" : "(Leadley et al., 2014)" }, "properties" : {  }, "schema" : "https://github.com/citation-style-language/schema/raw/master/csl-citation.json" }</w:instrText>
      </w:r>
      <w:r>
        <w:fldChar w:fldCharType="separate"/>
      </w:r>
      <w:r w:rsidRPr="00893F4C">
        <w:rPr>
          <w:noProof/>
        </w:rPr>
        <w:t>(Leadley et al., 2014)</w:t>
      </w:r>
      <w:r>
        <w:fldChar w:fldCharType="end"/>
      </w:r>
      <w:r>
        <w:t>.</w:t>
      </w:r>
    </w:p>
    <w:p w14:paraId="78C11392" w14:textId="77777777" w:rsidR="00F1283E" w:rsidRPr="00873D7E" w:rsidRDefault="00F1283E" w:rsidP="00F1283E">
      <w:pPr>
        <w:pStyle w:val="ListParagraph"/>
        <w:numPr>
          <w:ilvl w:val="0"/>
          <w:numId w:val="4"/>
        </w:numPr>
        <w:spacing w:after="240"/>
        <w:contextualSpacing w:val="0"/>
        <w:rPr>
          <w:rFonts w:cs="Times New Roman"/>
        </w:rPr>
      </w:pPr>
      <w:r w:rsidRPr="00873D7E">
        <w:rPr>
          <w:rFonts w:cs="Times New Roman"/>
        </w:rPr>
        <w:t>Relatively few post-GBO4 studies of global patterns in freshwater biodiversity exist. The freshwater LPI (</w:t>
      </w:r>
      <w:r w:rsidRPr="00446074">
        <w:rPr>
          <w:rFonts w:cs="Times New Roman"/>
        </w:rPr>
        <w:t>WWF 2016</w:t>
      </w:r>
      <w:r>
        <w:rPr>
          <w:rFonts w:cs="Times New Roman"/>
        </w:rPr>
        <w:t>) showed</w:t>
      </w:r>
      <w:r w:rsidRPr="00873D7E">
        <w:rPr>
          <w:rFonts w:cs="Times New Roman"/>
        </w:rPr>
        <w:t xml:space="preserve"> a greater reduction in index value</w:t>
      </w:r>
      <w:r>
        <w:rPr>
          <w:rStyle w:val="FootnoteReference"/>
          <w:rFonts w:cs="Times New Roman"/>
        </w:rPr>
        <w:footnoteReference w:id="52"/>
      </w:r>
      <w:r w:rsidRPr="00873D7E">
        <w:rPr>
          <w:rFonts w:cs="Times New Roman"/>
        </w:rPr>
        <w:t xml:space="preserve"> in the present day (down by 81% relative to 1970) </w:t>
      </w:r>
      <w:r>
        <w:rPr>
          <w:rFonts w:cs="Times New Roman"/>
        </w:rPr>
        <w:t>relative</w:t>
      </w:r>
      <w:r w:rsidRPr="00873D7E">
        <w:rPr>
          <w:rFonts w:cs="Times New Roman"/>
        </w:rPr>
        <w:t xml:space="preserve"> to marine and terrestrial habitats. Changes in </w:t>
      </w:r>
      <w:r>
        <w:rPr>
          <w:rFonts w:cs="Times New Roman"/>
        </w:rPr>
        <w:t xml:space="preserve">air </w:t>
      </w:r>
      <w:r w:rsidRPr="00873D7E">
        <w:rPr>
          <w:rFonts w:cs="Times New Roman"/>
        </w:rPr>
        <w:t xml:space="preserve">temperature and precipitation, primarily due to increases in </w:t>
      </w:r>
      <w:r>
        <w:rPr>
          <w:rFonts w:cs="Times New Roman"/>
        </w:rPr>
        <w:t>GHGs,</w:t>
      </w:r>
      <w:r w:rsidRPr="00873D7E">
        <w:rPr>
          <w:rFonts w:cs="Times New Roman"/>
        </w:rPr>
        <w:t xml:space="preserve"> </w:t>
      </w:r>
      <w:r>
        <w:rPr>
          <w:rFonts w:cs="Times New Roman"/>
        </w:rPr>
        <w:t>have been</w:t>
      </w:r>
      <w:r w:rsidRPr="00873D7E">
        <w:rPr>
          <w:rFonts w:cs="Times New Roman"/>
        </w:rPr>
        <w:t xml:space="preserve"> predicted to have a significant impact on the temperature and hydrology of freshwater systems, and most species are narrowly adapted to </w:t>
      </w:r>
      <w:r>
        <w:rPr>
          <w:rFonts w:cs="Times New Roman"/>
        </w:rPr>
        <w:t xml:space="preserve">the </w:t>
      </w:r>
      <w:r w:rsidRPr="00873D7E">
        <w:rPr>
          <w:rFonts w:cs="Times New Roman"/>
        </w:rPr>
        <w:t>physical conditions of the</w:t>
      </w:r>
      <w:r>
        <w:rPr>
          <w:rFonts w:cs="Times New Roman"/>
        </w:rPr>
        <w:t>ir freshwater</w:t>
      </w:r>
      <w:r w:rsidRPr="00873D7E">
        <w:rPr>
          <w:rFonts w:cs="Times New Roman"/>
        </w:rPr>
        <w:t xml:space="preserve"> environment </w:t>
      </w:r>
      <w:r>
        <w:rPr>
          <w:rFonts w:cs="Times New Roman"/>
        </w:rPr>
        <w:fldChar w:fldCharType="begin" w:fldLock="1"/>
      </w:r>
      <w:r>
        <w:rPr>
          <w:rFonts w:cs="Times New Roman"/>
        </w:rPr>
        <w:instrText>ADDIN CSL_CITATION { "citationItems" : [ { "id" : "ITEM-1", "itemData" : { "DOI" : "10.1146/annurev-ecolsys-110316-022803", "ISSN" : "1543-592X", "author" : [ { "dropping-particle" : "", "family" : "Knouft", "given" : "Jason H.", "non-dropping-particle" : "", "parse-names" : false, "suffix" : "" }, { "dropping-particle" : "", "family" : "Ficklin", "given" : "Darren L.", "non-dropping-particle" : "", "parse-names" : false, "suffix" : "" } ], "container-title" : "Annual Review of Ecology, Evolution, and Systematics", "id" : "ITEM-1", "issue" : "1", "issued" : { "date-parts" : [ [ "2017", "12" ] ] }, "page" : "annurev-ecolsys-110316-022803", "title" : "The Potential Impacts of Climate Change on Biodiversity in Flowing Freshwater Systems", "type" : "article-journal", "volume" : "48" }, "uris" : [ "http://www.mendeley.com/documents/?uuid=b49bcdfb-02d8-403b-ae57-b7abc1c60b5b" ] } ], "mendeley" : { "formattedCitation" : "(Knouft and Ficklin, 2017)", "plainTextFormattedCitation" : "(Knouft and Ficklin, 2017)", "previouslyFormattedCitation" : "(Knouft and Ficklin, 2017)" }, "properties" : {  }, "schema" : "https://github.com/citation-style-language/schema/raw/master/csl-citation.json" }</w:instrText>
      </w:r>
      <w:r>
        <w:rPr>
          <w:rFonts w:cs="Times New Roman"/>
        </w:rPr>
        <w:fldChar w:fldCharType="separate"/>
      </w:r>
      <w:r w:rsidRPr="00873D7E">
        <w:rPr>
          <w:rFonts w:cs="Times New Roman"/>
          <w:noProof/>
        </w:rPr>
        <w:t>(Knouft and Ficklin, 2017)</w:t>
      </w:r>
      <w:r>
        <w:rPr>
          <w:rFonts w:cs="Times New Roman"/>
        </w:rPr>
        <w:fldChar w:fldCharType="end"/>
      </w:r>
      <w:r>
        <w:rPr>
          <w:rFonts w:cs="Times New Roman"/>
        </w:rPr>
        <w:t>.</w:t>
      </w:r>
      <w:r w:rsidRPr="00873D7E">
        <w:rPr>
          <w:rFonts w:cs="Times New Roman"/>
        </w:rPr>
        <w:t xml:space="preserve"> While there are few global studies of trends in freshwater biodiversity, in the United States land use intensity</w:t>
      </w:r>
      <w:r>
        <w:rPr>
          <w:rFonts w:cs="Times New Roman"/>
        </w:rPr>
        <w:t xml:space="preserve"> </w:t>
      </w:r>
      <w:r w:rsidRPr="00873D7E">
        <w:rPr>
          <w:rFonts w:cs="Times New Roman"/>
        </w:rPr>
        <w:t>within the distribution range of range-restricted freshwater fish species has bee</w:t>
      </w:r>
      <w:r>
        <w:rPr>
          <w:rFonts w:cs="Times New Roman"/>
        </w:rPr>
        <w:t>n projected to increase by 3%-</w:t>
      </w:r>
      <w:r w:rsidRPr="00873D7E">
        <w:rPr>
          <w:rFonts w:cs="Times New Roman"/>
        </w:rPr>
        <w:t>44% by 2051</w:t>
      </w:r>
      <w:r>
        <w:rPr>
          <w:rFonts w:cs="Times New Roman"/>
        </w:rPr>
        <w:t>, depending on the land use scenario</w:t>
      </w:r>
      <w:r w:rsidRPr="00873D7E">
        <w:rPr>
          <w:rFonts w:cs="Times New Roman"/>
        </w:rPr>
        <w:t xml:space="preserve"> </w:t>
      </w:r>
      <w:r>
        <w:rPr>
          <w:rFonts w:cs="Times New Roman"/>
        </w:rPr>
        <w:fldChar w:fldCharType="begin" w:fldLock="1"/>
      </w:r>
      <w:r>
        <w:rPr>
          <w:rFonts w:cs="Times New Roman"/>
        </w:rPr>
        <w:instrText>ADDIN CSL_CITATION { "citationItems" : [ { "id" : "ITEM-1", "itemData" : { "DOI" : "10.1111/ddi.12431", "ISSN" : "1472-4642", "author" : [ { "dropping-particle" : "", "family" : "Januchowski-Hartley", "given" : "Stephanie R", "non-dropping-particle" : "", "parse-names" : false, "suffix" : "" }, { "dropping-particle" : "", "family" : "Holtz", "given" : "Lauren A", "non-dropping-particle" : "", "parse-names" : false, "suffix" : "" }, { "dropping-particle" : "", "family" : "Martinuzzi", "given" : "Sebastian", "non-dropping-particle" : "", "parse-names" : false, "suffix" : "" }, { "dropping-particle" : "", "family" : "McIntyre", "given" : "Peter B", "non-dropping-particle" : "", "parse-names" : false, "suffix" : "" }, { "dropping-particle" : "", "family" : "Radeloff", "given" : "Volker C", "non-dropping-particle" : "", "parse-names" : false, "suffix" : "" }, { "dropping-particle" : "", "family" : "Pracheil", "given" : "Brenda M", "non-dropping-particle" : "", "parse-names" : false, "suffix" : "" } ], "container-title" : "Diversity and Distributions", "id" : "ITEM-1", "issue" : "6", "issued" : { "date-parts" : [ [ "2016" ] ] }, "page" : "663-671", "title" : "Future land use threats to range-restricted fish species in the United States", "type" : "article-journal", "volume" : "22" }, "uris" : [ "http://www.mendeley.com/documents/?uuid=0c6513f5-ed15-4b68-ab51-42783c70c2b9" ] } ], "mendeley" : { "formattedCitation" : "(Januchowski-Hartley et al., 2016)", "plainTextFormattedCitation" : "(Januchowski-Hartley et al., 2016)", "previouslyFormattedCitation" : "(Januchowski-Hartley et al., 2016)" }, "properties" : {  }, "schema" : "https://github.com/citation-style-language/schema/raw/master/csl-citation.json" }</w:instrText>
      </w:r>
      <w:r>
        <w:rPr>
          <w:rFonts w:cs="Times New Roman"/>
        </w:rPr>
        <w:fldChar w:fldCharType="separate"/>
      </w:r>
      <w:r w:rsidRPr="00873D7E">
        <w:rPr>
          <w:rFonts w:cs="Times New Roman"/>
          <w:noProof/>
        </w:rPr>
        <w:t>(Januchowski-Hartley et al., 2016)</w:t>
      </w:r>
      <w:r>
        <w:rPr>
          <w:rFonts w:cs="Times New Roman"/>
        </w:rPr>
        <w:fldChar w:fldCharType="end"/>
      </w:r>
      <w:r>
        <w:rPr>
          <w:rFonts w:cs="Times New Roman"/>
        </w:rPr>
        <w:t>.</w:t>
      </w:r>
      <w:r w:rsidRPr="00873D7E">
        <w:rPr>
          <w:rFonts w:cs="Times New Roman"/>
        </w:rPr>
        <w:t xml:space="preserve"> The number of range-restricted species with &gt;30% of their distribution area occupied by intensive </w:t>
      </w:r>
      <w:r>
        <w:rPr>
          <w:rFonts w:cs="Times New Roman"/>
        </w:rPr>
        <w:t>land use</w:t>
      </w:r>
      <w:r w:rsidRPr="00873D7E">
        <w:rPr>
          <w:rFonts w:cs="Times New Roman"/>
        </w:rPr>
        <w:t xml:space="preserve"> was projected to climb from 14% to</w:t>
      </w:r>
      <w:r>
        <w:rPr>
          <w:rFonts w:cs="Times New Roman"/>
        </w:rPr>
        <w:t xml:space="preserve"> 27%-58% between 2001 and 2051. </w:t>
      </w:r>
      <w:r w:rsidRPr="00873D7E">
        <w:rPr>
          <w:rFonts w:cs="Times New Roman"/>
        </w:rPr>
        <w:t>A</w:t>
      </w:r>
      <w:r>
        <w:rPr>
          <w:rFonts w:cs="Times New Roman"/>
        </w:rPr>
        <w:t xml:space="preserve"> </w:t>
      </w:r>
      <w:r w:rsidRPr="00873D7E">
        <w:rPr>
          <w:rFonts w:cs="Times New Roman"/>
        </w:rPr>
        <w:t>study of European catchments assessing climate change threat</w:t>
      </w:r>
      <w:r>
        <w:rPr>
          <w:rFonts w:cs="Times New Roman"/>
        </w:rPr>
        <w:t>s</w:t>
      </w:r>
      <w:r w:rsidRPr="00873D7E">
        <w:rPr>
          <w:rFonts w:cs="Times New Roman"/>
        </w:rPr>
        <w:t xml:space="preserve"> for multiple species of freshwater plants and animals projected that by 2050 habitat suitability would decrease significantly throughout the range for most freshwater species, with 59% of species predicted to lose more than ha</w:t>
      </w:r>
      <w:r>
        <w:rPr>
          <w:rFonts w:cs="Times New Roman"/>
        </w:rPr>
        <w:t xml:space="preserve">lf of their habitat suitability </w:t>
      </w:r>
      <w:r>
        <w:rPr>
          <w:rFonts w:cs="Times New Roman"/>
        </w:rPr>
        <w:fldChar w:fldCharType="begin" w:fldLock="1"/>
      </w:r>
      <w:r>
        <w:rPr>
          <w:rFonts w:cs="Times New Roman"/>
        </w:rPr>
        <w:instrText>ADDIN CSL_CITATION { "citationItems" : [ { "id" : "ITEM-1", "itemData" : { "DOI" : "10.1111/ddi.12232", "ISSN" : "13669516", "author" : [ { "dropping-particle" : "", "family" : "Markovic", "given" : "Danijela", "non-dropping-particle" : "", "parse-names" : false, "suffix" : "" }, { "dropping-particle" : "", "family" : "Carrizo", "given" : "Savrina", "non-dropping-particle" : "", "parse-names" : false, "suffix" : "" }, { "dropping-particle" : "", "family" : "Freyhof", "given" : "J\u00f6rg", "non-dropping-particle" : "", "parse-names" : false, "suffix" : "" }, { "dropping-particle" : "", "family" : "Cid", "given" : "Nuria", "non-dropping-particle" : "", "parse-names" : false, "suffix" : "" }, { "dropping-particle" : "", "family" : "Lengyel", "given" : "Szabolcs", "non-dropping-particle" : "", "parse-names" : false, "suffix" : "" }, { "dropping-particle" : "", "family" : "Scholz", "given" : "Mathias", "non-dropping-particle" : "", "parse-names" : false, "suffix" : "" }, { "dropping-particle" : "", "family" : "Kasperdius", "given" : "Hans", "non-dropping-particle" : "", "parse-names" : false, "suffix" : "" }, { "dropping-particle" : "", "family" : "Darwall", "given" : "William", "non-dropping-particle" : "", "parse-names" : false, "suffix" : "" } ], "container-title" : "Diversity and Distributions", "editor" : [ { "dropping-particle" : "", "family" : "Richardson", "given" : "David", "non-dropping-particle" : "", "parse-names" : false, "suffix" : "" } ], "id" : "ITEM-1", "issue" : "9", "issued" : { "date-parts" : [ [ "2014", "9" ] ] }, "page" : "1097-1107", "title" : "Europe's freshwater biodiversity under climate change: distribution shifts and conservation needs", "type" : "article-journal", "volume" : "20" }, "uris" : [ "http://www.mendeley.com/documents/?uuid=b27e294f-b536-4370-9a4c-fdde9293e061" ] } ], "mendeley" : { "formattedCitation" : "(Markovic et al., 2014)", "plainTextFormattedCitation" : "(Markovic et al., 2014)", "previouslyFormattedCitation" : "(Markovic et al., 2014)" }, "properties" : {  }, "schema" : "https://github.com/citation-style-language/schema/raw/master/csl-citation.json" }</w:instrText>
      </w:r>
      <w:r>
        <w:rPr>
          <w:rFonts w:cs="Times New Roman"/>
        </w:rPr>
        <w:fldChar w:fldCharType="separate"/>
      </w:r>
      <w:r w:rsidRPr="00873D7E">
        <w:rPr>
          <w:rFonts w:cs="Times New Roman"/>
          <w:noProof/>
        </w:rPr>
        <w:t>(Markovic et al., 2014)</w:t>
      </w:r>
      <w:r>
        <w:rPr>
          <w:rFonts w:cs="Times New Roman"/>
        </w:rPr>
        <w:fldChar w:fldCharType="end"/>
      </w:r>
      <w:r w:rsidRPr="00873D7E">
        <w:rPr>
          <w:rFonts w:cs="Times New Roman"/>
          <w:color w:val="4BACC6" w:themeColor="accent5"/>
        </w:rPr>
        <w:t xml:space="preserve">.    </w:t>
      </w:r>
    </w:p>
    <w:p w14:paraId="2BFA81F2" w14:textId="77777777" w:rsidR="00F1283E" w:rsidRDefault="00F1283E" w:rsidP="00F1283E">
      <w:pPr>
        <w:tabs>
          <w:tab w:val="center" w:pos="4535"/>
          <w:tab w:val="left" w:pos="6040"/>
        </w:tabs>
        <w:jc w:val="center"/>
        <w:rPr>
          <w:b/>
        </w:rPr>
      </w:pPr>
      <w:r w:rsidRPr="00C73BE5">
        <w:rPr>
          <w:b/>
        </w:rPr>
        <w:t>II</w:t>
      </w:r>
      <w:r>
        <w:rPr>
          <w:b/>
        </w:rPr>
        <w:t>I</w:t>
      </w:r>
      <w:r w:rsidRPr="00C73BE5">
        <w:rPr>
          <w:b/>
        </w:rPr>
        <w:t xml:space="preserve">. </w:t>
      </w:r>
      <w:r>
        <w:rPr>
          <w:b/>
        </w:rPr>
        <w:t>GAPS AND UNCERTAINTIES</w:t>
      </w:r>
    </w:p>
    <w:p w14:paraId="79D7A259" w14:textId="127B5D4A" w:rsidR="00F1283E" w:rsidRPr="00037071" w:rsidRDefault="00F1283E">
      <w:pPr>
        <w:pStyle w:val="ListParagraph"/>
        <w:numPr>
          <w:ilvl w:val="0"/>
          <w:numId w:val="4"/>
        </w:numPr>
        <w:contextualSpacing w:val="0"/>
        <w:rPr>
          <w:rFonts w:cs="Times New Roman"/>
        </w:rPr>
      </w:pPr>
      <w:r>
        <w:rPr>
          <w:rFonts w:cs="Times New Roman"/>
        </w:rPr>
        <w:t>This</w:t>
      </w:r>
      <w:r w:rsidRPr="00037071">
        <w:rPr>
          <w:rFonts w:cs="Times New Roman"/>
        </w:rPr>
        <w:t xml:space="preserve"> review of </w:t>
      </w:r>
      <w:r>
        <w:rPr>
          <w:rFonts w:cs="Times New Roman"/>
        </w:rPr>
        <w:t xml:space="preserve">status, </w:t>
      </w:r>
      <w:r w:rsidRPr="00037071">
        <w:rPr>
          <w:rFonts w:cs="Times New Roman"/>
        </w:rPr>
        <w:t xml:space="preserve">trends, and projections subsequent to </w:t>
      </w:r>
      <w:r w:rsidR="00A55A1A">
        <w:rPr>
          <w:rFonts w:cs="Times New Roman"/>
        </w:rPr>
        <w:t xml:space="preserve">the publication of </w:t>
      </w:r>
      <w:r w:rsidRPr="00037071">
        <w:rPr>
          <w:rFonts w:cs="Times New Roman"/>
        </w:rPr>
        <w:t xml:space="preserve">GBO4 has highlighted a number of gaps in projections and scenarios as well as specific areas of uncertainty. </w:t>
      </w:r>
      <w:r>
        <w:rPr>
          <w:rFonts w:cs="Times New Roman"/>
        </w:rPr>
        <w:t>These are relevant to the 2050 Vision, and w</w:t>
      </w:r>
      <w:r w:rsidRPr="00037071">
        <w:rPr>
          <w:rFonts w:cs="Times New Roman"/>
        </w:rPr>
        <w:t xml:space="preserve">e </w:t>
      </w:r>
      <w:r>
        <w:rPr>
          <w:rFonts w:cs="Times New Roman"/>
        </w:rPr>
        <w:t>describe</w:t>
      </w:r>
      <w:r w:rsidRPr="00037071">
        <w:rPr>
          <w:rFonts w:cs="Times New Roman"/>
        </w:rPr>
        <w:t xml:space="preserve"> these here.</w:t>
      </w:r>
    </w:p>
    <w:p w14:paraId="607C3028" w14:textId="77777777" w:rsidR="00F1283E" w:rsidRDefault="00F1283E" w:rsidP="00F1283E">
      <w:pPr>
        <w:pStyle w:val="ListParagraph"/>
        <w:numPr>
          <w:ilvl w:val="0"/>
          <w:numId w:val="4"/>
        </w:numPr>
        <w:spacing w:after="240"/>
        <w:contextualSpacing w:val="0"/>
        <w:rPr>
          <w:rFonts w:cs="Times New Roman"/>
        </w:rPr>
      </w:pPr>
      <w:r w:rsidRPr="00037071">
        <w:rPr>
          <w:rFonts w:cs="Times New Roman"/>
        </w:rPr>
        <w:t xml:space="preserve">Clear gaps exist in terms of projections of </w:t>
      </w:r>
      <w:r>
        <w:rPr>
          <w:rFonts w:cs="Times New Roman"/>
        </w:rPr>
        <w:t xml:space="preserve">some aspects of </w:t>
      </w:r>
      <w:r w:rsidRPr="00037071">
        <w:rPr>
          <w:rFonts w:cs="Times New Roman"/>
        </w:rPr>
        <w:t>global-scale biodiversity out to 2050 or beyond. In terms of habitats, freshwater biodiversity projections are sorely lacking</w:t>
      </w:r>
      <w:r>
        <w:rPr>
          <w:rFonts w:cs="Times New Roman"/>
        </w:rPr>
        <w:t xml:space="preserve"> </w:t>
      </w:r>
      <w:r>
        <w:rPr>
          <w:rFonts w:cs="Times New Roman"/>
        </w:rPr>
        <w:fldChar w:fldCharType="begin" w:fldLock="1"/>
      </w:r>
      <w:r>
        <w:rPr>
          <w:rFonts w:cs="Times New Roman"/>
        </w:rPr>
        <w:instrText>ADDIN CSL_CITATION { "citationItems" : [ { "id" : "ITEM-1", "itemData" : { "author" : [ { "dropping-particle" : "", "family" : "IPBES", "given" : "", "non-dropping-particle" : "", "parse-names" : false, "suffix" : "" } ], "id" : "ITEM-1", "issued" : { "date-parts" : [ [ "2016" ] ] }, "number-of-pages" : "348pp", "publisher-place" : "Bonn, Germany", "title" : "The Methodological assessment report on scenarios and models of biodiversity and ecosystem services.", "type" : "report" }, "uris" : [ "http://www.mendeley.com/documents/?uuid=ecf8bd9c-f101-43db-87fa-30d3686ef7aa" ] } ], "mendeley" : { "formattedCitation" : "(IPBES, 2016)", "plainTextFormattedCitation" : "(IPBES, 2016)", "previouslyFormattedCitation" : "(IPBES, 2016)" }, "properties" : {  }, "schema" : "https://github.com/citation-style-language/schema/raw/master/csl-citation.json" }</w:instrText>
      </w:r>
      <w:r>
        <w:rPr>
          <w:rFonts w:cs="Times New Roman"/>
        </w:rPr>
        <w:fldChar w:fldCharType="separate"/>
      </w:r>
      <w:r w:rsidRPr="00037071">
        <w:rPr>
          <w:rFonts w:cs="Times New Roman"/>
          <w:noProof/>
        </w:rPr>
        <w:t>(IPBES, 2016)</w:t>
      </w:r>
      <w:r>
        <w:rPr>
          <w:rFonts w:cs="Times New Roman"/>
        </w:rPr>
        <w:fldChar w:fldCharType="end"/>
      </w:r>
      <w:r w:rsidRPr="00037071">
        <w:rPr>
          <w:rFonts w:cs="Times New Roman"/>
        </w:rPr>
        <w:t xml:space="preserve"> and currently appear only to be available at regional or continental scales. Projections of trends in genetic biodiversity are lacking in all environments, with </w:t>
      </w:r>
      <w:r>
        <w:rPr>
          <w:rFonts w:cs="Times New Roman"/>
        </w:rPr>
        <w:t xml:space="preserve">global </w:t>
      </w:r>
      <w:r w:rsidRPr="00037071">
        <w:rPr>
          <w:rFonts w:cs="Times New Roman"/>
        </w:rPr>
        <w:t xml:space="preserve">spatially explicit maps only recently appearing for present-day biodiversity. </w:t>
      </w:r>
      <w:r>
        <w:rPr>
          <w:rFonts w:cs="Times New Roman"/>
        </w:rPr>
        <w:t>P</w:t>
      </w:r>
      <w:r w:rsidRPr="00037071">
        <w:rPr>
          <w:rFonts w:cs="Times New Roman"/>
        </w:rPr>
        <w:t>rojections of changes in functional richness and of under-represented taxa (generally invertebrates) are also lacking.</w:t>
      </w:r>
      <w:r>
        <w:rPr>
          <w:rFonts w:cs="Times New Roman"/>
        </w:rPr>
        <w:t xml:space="preserve"> </w:t>
      </w:r>
      <w:r w:rsidRPr="00037071">
        <w:rPr>
          <w:rFonts w:cs="Times New Roman"/>
        </w:rPr>
        <w:t xml:space="preserve">Quantification of </w:t>
      </w:r>
      <w:r>
        <w:rPr>
          <w:rFonts w:cs="Times New Roman"/>
        </w:rPr>
        <w:t xml:space="preserve">anthropogenically-driven </w:t>
      </w:r>
      <w:r w:rsidRPr="00037071">
        <w:rPr>
          <w:rFonts w:cs="Times New Roman"/>
        </w:rPr>
        <w:t xml:space="preserve">extinction rates </w:t>
      </w:r>
      <w:r>
        <w:rPr>
          <w:rFonts w:cs="Times New Roman"/>
        </w:rPr>
        <w:t xml:space="preserve">relative to background rates </w:t>
      </w:r>
      <w:r w:rsidRPr="00037071">
        <w:rPr>
          <w:rFonts w:cs="Times New Roman"/>
        </w:rPr>
        <w:t xml:space="preserve">also remains challenging, with the Red List Index or other approaches </w:t>
      </w:r>
      <w:r>
        <w:rPr>
          <w:rFonts w:cs="Times New Roman"/>
        </w:rPr>
        <w:t>frequently</w:t>
      </w:r>
      <w:r w:rsidRPr="00037071">
        <w:rPr>
          <w:rFonts w:cs="Times New Roman"/>
        </w:rPr>
        <w:t xml:space="preserve"> being used as proxies. In terms of ecosystem services, the marine environment contains numerous recent projections for fisheries and services including coral reef tourism. However, terrestrially, recent projec</w:t>
      </w:r>
      <w:r>
        <w:rPr>
          <w:rFonts w:cs="Times New Roman"/>
        </w:rPr>
        <w:t>tions of pollinators exist but explicit f</w:t>
      </w:r>
      <w:r w:rsidRPr="00037071">
        <w:rPr>
          <w:rFonts w:cs="Times New Roman"/>
        </w:rPr>
        <w:t xml:space="preserve">orecasts for other ecosystem services and functions at global scales remain limited, </w:t>
      </w:r>
      <w:r>
        <w:rPr>
          <w:rFonts w:cs="Times New Roman"/>
        </w:rPr>
        <w:t xml:space="preserve">though links between biodiversity and ecosystem services have been demonstrated experimentally. </w:t>
      </w:r>
      <w:r w:rsidRPr="00037071">
        <w:rPr>
          <w:rFonts w:cs="Times New Roman"/>
        </w:rPr>
        <w:t>Projections of ecosystem stability and regime shifts are also generally lacking, potentially due to the challenges inherent in forecasting these non-linear phase transitions</w:t>
      </w:r>
      <w:r>
        <w:rPr>
          <w:rFonts w:cs="Times New Roman"/>
        </w:rPr>
        <w:t>, although there has been more work on this in marine systems and particularly coral reefs</w:t>
      </w:r>
      <w:r w:rsidRPr="00037071">
        <w:rPr>
          <w:rFonts w:cs="Times New Roman"/>
        </w:rPr>
        <w:t xml:space="preserve">. </w:t>
      </w:r>
    </w:p>
    <w:p w14:paraId="17506A3E" w14:textId="77777777" w:rsidR="00F1283E" w:rsidRDefault="00F1283E" w:rsidP="00F1283E">
      <w:pPr>
        <w:pStyle w:val="ListParagraph"/>
        <w:numPr>
          <w:ilvl w:val="0"/>
          <w:numId w:val="4"/>
        </w:numPr>
        <w:spacing w:after="240"/>
        <w:contextualSpacing w:val="0"/>
        <w:rPr>
          <w:rFonts w:cs="Times New Roman"/>
        </w:rPr>
      </w:pPr>
      <w:r w:rsidRPr="00C60DC0">
        <w:rPr>
          <w:rFonts w:cs="Times New Roman"/>
        </w:rPr>
        <w:t>Of key relevance to the 2050 Vision is that, in a post-Paris-agreement world, current trends suggest</w:t>
      </w:r>
      <w:r>
        <w:rPr>
          <w:rFonts w:cs="Times New Roman"/>
        </w:rPr>
        <w:t xml:space="preserve"> a warming of about 3°C by 2100</w:t>
      </w:r>
      <w:r w:rsidRPr="00C60DC0">
        <w:rPr>
          <w:rFonts w:cs="Times New Roman"/>
        </w:rPr>
        <w:t xml:space="preserve"> (corresponding </w:t>
      </w:r>
      <w:r>
        <w:rPr>
          <w:rFonts w:cs="Times New Roman"/>
        </w:rPr>
        <w:t>more</w:t>
      </w:r>
      <w:r w:rsidRPr="00C60DC0">
        <w:rPr>
          <w:rFonts w:cs="Times New Roman"/>
        </w:rPr>
        <w:t xml:space="preserve"> closely </w:t>
      </w:r>
      <w:r>
        <w:rPr>
          <w:rFonts w:cs="Times New Roman"/>
        </w:rPr>
        <w:t>to</w:t>
      </w:r>
      <w:r w:rsidRPr="00C60DC0">
        <w:rPr>
          <w:rFonts w:cs="Times New Roman"/>
        </w:rPr>
        <w:t xml:space="preserve"> the medium-low</w:t>
      </w:r>
      <w:r w:rsidRPr="00C60DC0">
        <w:rPr>
          <w:rStyle w:val="FootnoteReference"/>
          <w:rFonts w:cs="Times New Roman"/>
        </w:rPr>
        <w:footnoteReference w:id="53"/>
      </w:r>
      <w:r w:rsidRPr="00C60DC0">
        <w:rPr>
          <w:rFonts w:cs="Times New Roman"/>
        </w:rPr>
        <w:t xml:space="preserve"> or medium</w:t>
      </w:r>
      <w:r w:rsidRPr="00C60DC0">
        <w:rPr>
          <w:rStyle w:val="FootnoteReference"/>
          <w:rFonts w:cs="Times New Roman"/>
        </w:rPr>
        <w:footnoteReference w:id="54"/>
      </w:r>
      <w:r w:rsidRPr="00C60DC0">
        <w:rPr>
          <w:rFonts w:cs="Times New Roman"/>
        </w:rPr>
        <w:t xml:space="preserve"> emissions scenarios)</w:t>
      </w:r>
      <w:r>
        <w:rPr>
          <w:rFonts w:cs="Times New Roman"/>
        </w:rPr>
        <w:t>,</w:t>
      </w:r>
      <w:r w:rsidRPr="00C60DC0">
        <w:rPr>
          <w:rFonts w:cs="Times New Roman"/>
        </w:rPr>
        <w:t xml:space="preserve"> rather than the</w:t>
      </w:r>
      <w:r>
        <w:rPr>
          <w:rFonts w:cs="Times New Roman"/>
        </w:rPr>
        <w:t xml:space="preserve"> 4°C or more expected from the high emissions</w:t>
      </w:r>
      <w:r w:rsidRPr="00C60DC0">
        <w:rPr>
          <w:rFonts w:cs="Times New Roman"/>
        </w:rPr>
        <w:t xml:space="preserve"> scenarios that are often cha</w:t>
      </w:r>
      <w:r>
        <w:rPr>
          <w:rFonts w:cs="Times New Roman"/>
        </w:rPr>
        <w:t>racterised as BAU.</w:t>
      </w:r>
      <w:r w:rsidRPr="00C60DC0">
        <w:rPr>
          <w:rFonts w:cs="Times New Roman"/>
        </w:rPr>
        <w:t xml:space="preserve">  Unfortu</w:t>
      </w:r>
      <w:r>
        <w:rPr>
          <w:rFonts w:cs="Times New Roman"/>
        </w:rPr>
        <w:t xml:space="preserve">nately, not all studies included </w:t>
      </w:r>
      <w:r w:rsidRPr="00C60DC0">
        <w:rPr>
          <w:rFonts w:cs="Times New Roman"/>
        </w:rPr>
        <w:t>medium-low and medium emission scenarios, and often prefer</w:t>
      </w:r>
      <w:r>
        <w:rPr>
          <w:rFonts w:cs="Times New Roman"/>
        </w:rPr>
        <w:t>red</w:t>
      </w:r>
      <w:r w:rsidRPr="00C60DC0">
        <w:rPr>
          <w:rFonts w:cs="Times New Roman"/>
        </w:rPr>
        <w:t xml:space="preserve"> to focus on low</w:t>
      </w:r>
      <w:r w:rsidRPr="00C60DC0">
        <w:rPr>
          <w:rStyle w:val="FootnoteReference"/>
          <w:rFonts w:cs="Times New Roman"/>
        </w:rPr>
        <w:footnoteReference w:id="55"/>
      </w:r>
      <w:r w:rsidRPr="00C60DC0">
        <w:rPr>
          <w:rFonts w:cs="Times New Roman"/>
        </w:rPr>
        <w:t xml:space="preserve"> and high</w:t>
      </w:r>
      <w:r w:rsidRPr="00C60DC0">
        <w:rPr>
          <w:rStyle w:val="FootnoteReference"/>
          <w:rFonts w:cs="Times New Roman"/>
        </w:rPr>
        <w:footnoteReference w:id="56"/>
      </w:r>
      <w:r w:rsidRPr="00C60DC0">
        <w:rPr>
          <w:rFonts w:cs="Times New Roman"/>
        </w:rPr>
        <w:t xml:space="preserve"> emissions </w:t>
      </w:r>
      <w:r w:rsidRPr="00C60DC0">
        <w:rPr>
          <w:rFonts w:cs="Times New Roman"/>
        </w:rPr>
        <w:lastRenderedPageBreak/>
        <w:t xml:space="preserve">scenarios as bracketing a broad range of potential futures. We recommend that global biodiversity and ecosystem studies of land use and/or climate change impacts include all emissions scenarios, rather than just the highest and the lowest, as this will enhance their relevance for both the 2050 Vision and beyond. Further, </w:t>
      </w:r>
      <w:r>
        <w:rPr>
          <w:rFonts w:cs="Times New Roman"/>
        </w:rPr>
        <w:t xml:space="preserve">at present </w:t>
      </w:r>
      <w:r w:rsidRPr="00C60DC0">
        <w:rPr>
          <w:rFonts w:cs="Times New Roman"/>
        </w:rPr>
        <w:t xml:space="preserve">there are very few studies that </w:t>
      </w:r>
      <w:r>
        <w:rPr>
          <w:rFonts w:cs="Times New Roman"/>
        </w:rPr>
        <w:t>specifically examine 1.5°C climate scenarios (though see Cheung et al. 2016).</w:t>
      </w:r>
      <w:r w:rsidRPr="00C60DC0">
        <w:rPr>
          <w:rFonts w:cs="Times New Roman"/>
        </w:rPr>
        <w:t xml:space="preserve"> </w:t>
      </w:r>
    </w:p>
    <w:p w14:paraId="03087BBB" w14:textId="21B69323" w:rsidR="00F1283E" w:rsidRPr="00C60DC0" w:rsidRDefault="00F1283E" w:rsidP="00F1283E">
      <w:pPr>
        <w:pStyle w:val="ListParagraph"/>
        <w:numPr>
          <w:ilvl w:val="0"/>
          <w:numId w:val="4"/>
        </w:numPr>
        <w:spacing w:after="240"/>
        <w:contextualSpacing w:val="0"/>
        <w:rPr>
          <w:rFonts w:cs="Times New Roman"/>
        </w:rPr>
      </w:pPr>
      <w:r>
        <w:rPr>
          <w:rFonts w:cs="Times New Roman"/>
        </w:rPr>
        <w:t xml:space="preserve">Also of relevance to the 2050 Vision is that the trajectory (e.g. at decadal intervals) to meeting a goal is important, given the socio-economic and environmental changes that may occur. However, many scenario and projection studies are not explicitly temporal in nature but rather simply project for a single or several future dates (e.g. 2080 or 2100). The development of additional fully temporal projection analyses, in addition to studies that back-cast from a specific goal at a specific point in time to identify necessary conditions </w:t>
      </w:r>
      <w:r w:rsidR="007325DA">
        <w:rPr>
          <w:rFonts w:cs="Times New Roman"/>
        </w:rPr>
        <w:t>in</w:t>
      </w:r>
      <w:r>
        <w:rPr>
          <w:rFonts w:cs="Times New Roman"/>
        </w:rPr>
        <w:t xml:space="preserve"> route to that goal, will be helpful in this regard.</w:t>
      </w:r>
    </w:p>
    <w:p w14:paraId="777F790A" w14:textId="0BC9EE71" w:rsidR="00F1283E" w:rsidRPr="00037071" w:rsidRDefault="00F1283E">
      <w:pPr>
        <w:pStyle w:val="ListParagraph"/>
        <w:numPr>
          <w:ilvl w:val="0"/>
          <w:numId w:val="4"/>
        </w:numPr>
        <w:spacing w:after="240"/>
        <w:contextualSpacing w:val="0"/>
        <w:rPr>
          <w:rFonts w:cs="Times New Roman"/>
        </w:rPr>
      </w:pPr>
      <w:r w:rsidRPr="00037071">
        <w:rPr>
          <w:rFonts w:cs="Times New Roman"/>
        </w:rPr>
        <w:t xml:space="preserve">One key challenge for marine ecosystem projections </w:t>
      </w:r>
      <w:r>
        <w:rPr>
          <w:rFonts w:cs="Times New Roman"/>
        </w:rPr>
        <w:t>is that narratives</w:t>
      </w:r>
      <w:r w:rsidR="007325DA">
        <w:rPr>
          <w:rFonts w:cs="Times New Roman"/>
        </w:rPr>
        <w:t>,</w:t>
      </w:r>
      <w:r>
        <w:rPr>
          <w:rFonts w:cs="Times New Roman"/>
        </w:rPr>
        <w:t xml:space="preserve"> such as the </w:t>
      </w:r>
      <w:r w:rsidRPr="00037071">
        <w:rPr>
          <w:rFonts w:cs="Times New Roman"/>
        </w:rPr>
        <w:t>Oceanic System Pathways (OSPs)</w:t>
      </w:r>
      <w:r>
        <w:rPr>
          <w:rFonts w:cs="Times New Roman"/>
        </w:rPr>
        <w:t xml:space="preserve"> </w:t>
      </w:r>
      <w:r>
        <w:rPr>
          <w:rFonts w:cs="Times New Roman"/>
        </w:rPr>
        <w:fldChar w:fldCharType="begin" w:fldLock="1"/>
      </w:r>
      <w:r>
        <w:rPr>
          <w:rFonts w:cs="Times New Roman"/>
        </w:rPr>
        <w:instrText>ADDIN CSL_CITATION { "citationItems" : [ { "id" : "ITEM-1", "itemData" : { "DOI" : "10.1016/J.GLOENVCHA.2017.06.007", "ISSN" : "0959-3780", "author" : [ { "dropping-particle" : "", "family" : "Maury", "given" : "O.", "non-dropping-particle" : "", "parse-names" : false, "suffix" : "" }, { "dropping-particle" : "", "family" : "Campling", "given" : "L.", "non-dropping-particle" : "", "parse-names" : false, "suffix" : "" }, { "dropping-particle" : "", "family" : "Arrizabalaga", "given" : "H.", "non-dropping-particle" : "", "parse-names" : false, "suffix" : "" }, { "dropping-particle" : "", "family" : "Aumont", "given" : "O.", "non-dropping-particle" : "", "parse-names" : false, "suffix" : "" }, { "dropping-particle" : "", "family" : "Bopp", "given" : "L.", "non-dropping-particle" : "", "parse-names" : false, "suffix" : "" }, { "dropping-particle" : "", "family" : "Merino", "given" : "G.", "non-dropping-particle" : "", "parse-names" : false, "suffix" : "" }, { "dropping-particle" : "", "family" : "Squire", "given" : "D.", "non-dropping-particle" : "", "parse-names" : false, "suffix" : "" }, { "dropping-particle" : "", "family" : "Cheung", "given" : "W.", "non-dropping-particle" : "", "parse-names" : false, "suffix" : "" }, { "dropping-particle" : "", "family" : "Goujon", "given" : "M.", "non-dropping-particle" : "", "parse-names" : false, "suffix" : "" }, { "dropping-particle" : "", "family" : "Guivarch", "given" : "C.", "non-dropping-particle" : "", "parse-names" : false, "suffix" : "" }, { "dropping-particle" : "", "family" : "Lefort", "given" : "S.", "non-dropping-particle" : "", "parse-names" : false, "suffix" : "" }, { "dropping-particle" : "", "family" : "Marsac", "given" : "F.", "non-dropping-particle" : "", "parse-names" : false, "suffix" : "" }, { "dropping-particle" : "", "family" : "Monteagudo", "given" : "P.", "non-dropping-particle" : "", "parse-names" : false, "suffix" : "" }, { "dropping-particle" : "", "family" : "Murtugudde", "given" : "R.", "non-dropping-particle" : "", "parse-names" : false, "suffix" : "" }, { "dropping-particle" : "", "family" : "\u0150sterblom", "given" : "H.", "non-dropping-particle" : "", "parse-names" : false, "suffix" : "" }, { "dropping-particle" : "", "family" : "Pulvenis", "given" : "J. F.", "non-dropping-particle" : "", "parse-names" : false, "suffix" : "" }, { "dropping-particle" : "", "family" : "Ye", "given" : "Y.", "non-dropping-particle" : "", "parse-names" : false, "suffix" : "" }, { "dropping-particle" : "", "family" : "Ruijven", "given" : "B. J.", "non-dropping-particle" : "van", "parse-names" : false, "suffix" : "" } ], "container-title" : "Global Environmental Change", "id" : "ITEM-1", "issued" : { "date-parts" : [ [ "2017" ] ] }, "page" : "203-216", "title" : "From shared socio-economic pathways (SSPs) to oceanic system pathways (OSPs): Building policy-relevant scenarios for global oceanic ecosystems and fisheries", "type" : "article-journal", "volume" : "45" }, "uris" : [ "http://www.mendeley.com/documents/?uuid=e95dc8aa-7c4f-3be0-a0f5-c14194b6feee" ] } ], "mendeley" : { "formattedCitation" : "(Maury et al., 2017)", "plainTextFormattedCitation" : "(Maury et al., 2017)", "previouslyFormattedCitation" : "(Maury et al., 2017)" }, "properties" : {  }, "schema" : "https://github.com/citation-style-language/schema/raw/master/csl-citation.json" }</w:instrText>
      </w:r>
      <w:r>
        <w:rPr>
          <w:rFonts w:cs="Times New Roman"/>
        </w:rPr>
        <w:fldChar w:fldCharType="separate"/>
      </w:r>
      <w:r w:rsidRPr="007C6784">
        <w:rPr>
          <w:rFonts w:cs="Times New Roman"/>
          <w:noProof/>
        </w:rPr>
        <w:t>(Maury et al., 2017)</w:t>
      </w:r>
      <w:r>
        <w:rPr>
          <w:rFonts w:cs="Times New Roman"/>
        </w:rPr>
        <w:fldChar w:fldCharType="end"/>
      </w:r>
      <w:r>
        <w:rPr>
          <w:rFonts w:cs="Times New Roman"/>
        </w:rPr>
        <w:t>, where they exist, are not at present</w:t>
      </w:r>
      <w:r w:rsidRPr="00037071">
        <w:rPr>
          <w:rFonts w:cs="Times New Roman"/>
        </w:rPr>
        <w:t xml:space="preserve"> linked via </w:t>
      </w:r>
      <w:r>
        <w:rPr>
          <w:rFonts w:cs="Times New Roman"/>
        </w:rPr>
        <w:t xml:space="preserve">explicit </w:t>
      </w:r>
      <w:r w:rsidRPr="00037071">
        <w:rPr>
          <w:rFonts w:cs="Times New Roman"/>
        </w:rPr>
        <w:t xml:space="preserve">scenarios to </w:t>
      </w:r>
      <w:r>
        <w:rPr>
          <w:rFonts w:cs="Times New Roman"/>
        </w:rPr>
        <w:t xml:space="preserve">feed into </w:t>
      </w:r>
      <w:r w:rsidRPr="00037071">
        <w:rPr>
          <w:rFonts w:cs="Times New Roman"/>
        </w:rPr>
        <w:t xml:space="preserve">modelling efforts </w:t>
      </w:r>
      <w:r>
        <w:rPr>
          <w:rFonts w:cs="Times New Roman"/>
        </w:rPr>
        <w:t>that</w:t>
      </w:r>
      <w:r w:rsidRPr="00037071">
        <w:rPr>
          <w:rFonts w:cs="Times New Roman"/>
        </w:rPr>
        <w:t xml:space="preserve"> produce quantitative projections</w:t>
      </w:r>
      <w:r>
        <w:rPr>
          <w:rFonts w:cs="Times New Roman"/>
        </w:rPr>
        <w:t xml:space="preserve"> </w:t>
      </w:r>
      <w:r>
        <w:rPr>
          <w:rFonts w:cs="Times New Roman"/>
        </w:rPr>
        <w:fldChar w:fldCharType="begin" w:fldLock="1"/>
      </w:r>
      <w:r>
        <w:rPr>
          <w:rFonts w:cs="Times New Roman"/>
        </w:rPr>
        <w:instrText>ADDIN CSL_CITATION { "citationItems" : [ { "id" : "ITEM-1", "itemData" : { "DOI" : "10.5194/gmd-2017-209", "author" : [ { "dropping-particle" : "", "family" : "Tittensor", "given" : "D P", "non-dropping-particle" : "", "parse-names" : false, "suffix" : "" }, { "dropping-particle" : "", "family" : "Eddy", "given" : "T D", "non-dropping-particle" : "", "parse-names" : false, "suffix" : "" }, { "dropping-particle" : "", "family" : "Lotze", "given" : "H K", "non-dropping-particle" : "", "parse-names" : false, "suffix" : "" }, { "dropping-particle" : "", "family" : "Galbraith", "given" : "E D", "non-dropping-particle" : "", "parse-names" : false, "suffix" : "" }, { "dropping-particle" : "", "family" : "Cheung", "given" : "W", "non-dropping-particle" : "", "parse-names" : false, "suffix" : "" }, { "dropping-particle" : "", "family" : "Barange", "given" : "M", "non-dropping-particle" : "", "parse-names" : false, "suffix" : "" }, { "dropping-particle" : "", "family" : "Blanchard", "given" : "J L", "non-dropping-particle" : "", "parse-names" : false, "suffix" : "" }, { "dropping-particle" : "", "family" : "Bopp", "given" : "L", "non-dropping-particle" : "", "parse-names" : false, "suffix" : "" }, { "dropping-particle" : "", "family" : "Bryndum-Buchholz", "given" : "A", "non-dropping-particle" : "", "parse-names" : false, "suffix" : "" }, { "dropping-particle" : "", "family" : "B\u00fcchner", "given" : "M", "non-dropping-particle" : "", "parse-names" : false, "suffix" : "" }, { "dropping-particle" : "", "family" : "Bulman", "given" : "C", "non-dropping-particle" : "", "parse-names" : false, "suffix" : "" }, { "dropping-particle" : "", "family" : "Carozza", "given" : "D A", "non-dropping-particle" : "", "parse-names" : false, "suffix" : "" }, { "dropping-particle" : "", "family" : "Christensen", "given" : "V", "non-dropping-particle" : "", "parse-names" : false, "suffix" : "" }, { "dropping-particle" : "", "family" : "Coll", "given" : "M", "non-dropping-particle" : "", "parse-names" : false, "suffix" : "" }, { "dropping-particle" : "", "family" : "Dunne", "given" : "J P", "non-dropping-particle" : "", "parse-names" : false, "suffix" : "" }, { "dropping-particle" : "", "family" : "Fernandes", "given" : "J A", "non-dropping-particle" : "", "parse-names" : false, "suffix" : "" }, { "dropping-particle" : "", "family" : "Fulton", "given" : "E A", "non-dropping-particle" : "", "parse-names" : false, "suffix" : "" }, { "dropping-particle" : "", "family" : "Hobday", "given" : "A J", "non-dropping-particle" : "", "parse-names" : false, "suffix" : "" }, { "dropping-particle" : "", "family" : "Huber", "given" : "V", "non-dropping-particle" : "", "parse-names" : false, "suffix" : "" }, { "dropping-particle" : "", "family" : "Jennings", "given" : "S", "non-dropping-particle" : "", "parse-names" : false, "suffix" : "" }, { "dropping-particle" : "", "family" : "Jones", "given" : "M", "non-dropping-particle" : "", "parse-names" : false, "suffix" : "" }, { "dropping-particle" : "", "family" : "Lehodey", "given" : "P", "non-dropping-particle" : "", "parse-names" : false, "suffix" : "" }, { "dropping-particle" : "", "family" : "Link", "given" : "J S", "non-dropping-particle" : "", "parse-names" : false, "suffix" : "" }, { "dropping-particle" : "", "family" : "Mackinson", "given" : "S", "non-dropping-particle" : "", "parse-names" : false, "suffix" : "" }, { "dropping-particle" : "", "family" : "Maury", "given" : "O", "non-dropping-particle" : "", "parse-names" : false, "suffix" : "" }, { "dropping-particle" : "", "family" : "Niiranen", "given" : "S", "non-dropping-particle" : "", "parse-names" : false, "suffix" : "" }, { "dropping-particle" : "", "family" : "Oliveros-Ramos", "given" : "R", "non-dropping-particle" : "", "parse-names" : false, "suffix" : "" }, { "dropping-particle" : "", "family" : "Roy", "given" : "T", "non-dropping-particle" : "", "parse-names" : false, "suffix" : "" }, { "dropping-particle" : "", "family" : "Schewe", "given" : "J", "non-dropping-particle" : "", "parse-names" : false, "suffix" : "" }, { "dropping-particle" : "", "family" : "Shin", "given" : "Y.-J.", "non-dropping-particle" : "", "parse-names" : false, "suffix" : "" }, { "dropping-particle" : "", "family" : "Stock", "given" : "C A", "non-dropping-particle" : "", "parse-names" : false, "suffix" : "" }, { "dropping-particle" : "", "family" : "Underwood", "given" : "P J", "non-dropping-particle" : "", "parse-names" : false, "suffix" : "" }, { "dropping-particle" : "", "family" : "Volkholz", "given" : "J", "non-dropping-particle" : "", "parse-names" : false, "suffix" : "" }, { "dropping-particle" : "", "family" : "Watson", "given" : "J R", "non-dropping-particle" : "", "parse-names" : false, "suffix" : "" }, { "dropping-particle" : "", "family" : "Walker", "given" : "N D", "non-dropping-particle" : "", "parse-names" : false, "suffix" : "" } ], "container-title" : "Geoscientific Model Development Discussions", "id" : "ITEM-1", "issued" : { "date-parts" : [ [ "2017" ] ] }, "page" : "1-39", "title" : "A protocol for the intercomparison of marine fishery and ecosystem models: Fish-MIP v1.0", "type" : "article-journal", "volume" : "2017" }, "uris" : [ "http://www.mendeley.com/documents/?uuid=d4e12ead-6432-4273-9ef9-9fc6934256cb" ] } ], "mendeley" : { "formattedCitation" : "(Tittensor et al., 2017)", "plainTextFormattedCitation" : "(Tittensor et al., 2017)", "previouslyFormattedCitation" : "(Tittensor et al., 2017)" }, "properties" : {  }, "schema" : "https://github.com/citation-style-language/schema/raw/master/csl-citation.json" }</w:instrText>
      </w:r>
      <w:r>
        <w:rPr>
          <w:rFonts w:cs="Times New Roman"/>
        </w:rPr>
        <w:fldChar w:fldCharType="separate"/>
      </w:r>
      <w:r w:rsidRPr="00C34181">
        <w:rPr>
          <w:rFonts w:cs="Times New Roman"/>
          <w:noProof/>
        </w:rPr>
        <w:t>(Tittensor et al., 2017)</w:t>
      </w:r>
      <w:r>
        <w:rPr>
          <w:rFonts w:cs="Times New Roman"/>
        </w:rPr>
        <w:fldChar w:fldCharType="end"/>
      </w:r>
      <w:r>
        <w:rPr>
          <w:rFonts w:cs="Times New Roman"/>
        </w:rPr>
        <w:t xml:space="preserve">. </w:t>
      </w:r>
      <w:r w:rsidR="007325DA">
        <w:rPr>
          <w:rFonts w:cs="Times New Roman"/>
        </w:rPr>
        <w:t>(</w:t>
      </w:r>
      <w:r>
        <w:rPr>
          <w:rFonts w:cs="Times New Roman"/>
        </w:rPr>
        <w:t xml:space="preserve">Note that the global </w:t>
      </w:r>
      <w:r w:rsidRPr="00037071">
        <w:rPr>
          <w:rFonts w:cs="Times New Roman"/>
        </w:rPr>
        <w:t>SSP scenarios do not have direct ‘narrative’ outcomes for marine ecosystems</w:t>
      </w:r>
      <w:r>
        <w:rPr>
          <w:rFonts w:cs="Times New Roman"/>
        </w:rPr>
        <w:t xml:space="preserve"> such as specific </w:t>
      </w:r>
      <w:r w:rsidRPr="00037071">
        <w:rPr>
          <w:rFonts w:cs="Times New Roman"/>
        </w:rPr>
        <w:t>representation of processes such as marine fisheries, demand for fishes, market changes for marine goods, governance or representation of marine management policy alternatives</w:t>
      </w:r>
      <w:r>
        <w:rPr>
          <w:rFonts w:cs="Times New Roman"/>
        </w:rPr>
        <w:t>, though downscaled narratives may be available for some regions</w:t>
      </w:r>
      <w:r w:rsidR="007325DA">
        <w:rPr>
          <w:rFonts w:cs="Times New Roman"/>
        </w:rPr>
        <w:t xml:space="preserve">). </w:t>
      </w:r>
      <w:r>
        <w:rPr>
          <w:rFonts w:cs="Times New Roman"/>
        </w:rPr>
        <w:t xml:space="preserve">Furthermore, the need for local and regional scale operationalizable scenarios, either developed from the ground-up or downscaled from global scenarios, is critical, as this is the level at which many marine management decisions are made. </w:t>
      </w:r>
    </w:p>
    <w:p w14:paraId="7053791B" w14:textId="77777777" w:rsidR="00F1283E" w:rsidRDefault="00F1283E" w:rsidP="00F1283E">
      <w:pPr>
        <w:pStyle w:val="ListParagraph"/>
        <w:numPr>
          <w:ilvl w:val="0"/>
          <w:numId w:val="4"/>
        </w:numPr>
        <w:spacing w:after="240"/>
        <w:contextualSpacing w:val="0"/>
        <w:rPr>
          <w:rFonts w:cs="Times New Roman"/>
        </w:rPr>
      </w:pPr>
      <w:r w:rsidRPr="00037071">
        <w:rPr>
          <w:rFonts w:cs="Times New Roman"/>
        </w:rPr>
        <w:t xml:space="preserve">Furthermore, there is a need to harmonize terrestrial scenarios at global scales (to ensure compatibility between trajectories of </w:t>
      </w:r>
      <w:r>
        <w:rPr>
          <w:rFonts w:cs="Times New Roman"/>
        </w:rPr>
        <w:t>land use</w:t>
      </w:r>
      <w:r w:rsidRPr="00037071">
        <w:rPr>
          <w:rFonts w:cs="Times New Roman"/>
        </w:rPr>
        <w:t xml:space="preserve"> change and climate across m</w:t>
      </w:r>
      <w:r>
        <w:rPr>
          <w:rFonts w:cs="Times New Roman"/>
        </w:rPr>
        <w:t xml:space="preserve">ultiple sets of </w:t>
      </w:r>
      <w:r w:rsidRPr="00037071">
        <w:rPr>
          <w:rFonts w:cs="Times New Roman"/>
        </w:rPr>
        <w:t xml:space="preserve">scenarios), and to harmonize marine and terrestrial scenarios to ensure consistency of developmental pathways. This will be especially critical for questions of food security, and it is notable how few studies simultaneously consider ecosystem services </w:t>
      </w:r>
      <w:r>
        <w:rPr>
          <w:rFonts w:cs="Times New Roman"/>
        </w:rPr>
        <w:t xml:space="preserve">such as food supply </w:t>
      </w:r>
      <w:r w:rsidRPr="00037071">
        <w:rPr>
          <w:rFonts w:cs="Times New Roman"/>
        </w:rPr>
        <w:t>across both marine and terrestrial systems (but see</w:t>
      </w:r>
      <w:r>
        <w:rPr>
          <w:rFonts w:cs="Times New Roman"/>
        </w:rPr>
        <w:t xml:space="preserve"> </w:t>
      </w:r>
      <w:r>
        <w:rPr>
          <w:rFonts w:cs="Times New Roman"/>
        </w:rPr>
        <w:fldChar w:fldCharType="begin" w:fldLock="1"/>
      </w:r>
      <w:r>
        <w:rPr>
          <w:rFonts w:cs="Times New Roman"/>
        </w:rPr>
        <w:instrText>ADDIN CSL_CITATION { "citationItems" : [ { "id" : "ITEM-1", "itemData" : { "DOI" : "10.1038/s41559-017-0258-8", "ISSN" : "2397-334X", "abstract" : "Fisheries and aquaculture make a crucial contribution to global food security, nutrition and livelihoods. However, the UN Sustainable Development Goals separate marine and terrestrial food production sectors and ecosystems. To sustainably meet increasing global demands for fish, the interlinkages among goals within and across fisheries, aquaculture and agriculture sectors must be recognized and addressed along with their changing nature. Here, we assess and highlight development challenges for fisheries-dependent countries based on analyses of interactions and trade-offs between goals focusing on food, biodiversity and climate change. We demonstrate that some countries are likely to face double jeopardies in both fisheries and agriculture sectors under climate change. The strategies to mitigate these risks will be context-dependent, and will need to directly address the trade-offs among Sustainable Development Goals, such as halting biodiversity loss and reducing poverty. Countries with low adaptive capacity but increasing demand for food require greater support and capacity building to transition towards reconciling trade-offs. Necessary actions are context-dependent and include effective governance, improved management and conservation, maximizing societal and environmental benefits from trade, increased equitability of distribution and innovation in food production, including continued development of low input and low impact aquaculture.", "author" : [ { "dropping-particle" : "", "family" : "Blanchard", "given" : "Julia L", "non-dropping-particle" : "", "parse-names" : false, "suffix" : "" }, { "dropping-particle" : "", "family" : "Watson", "given" : "Reg A", "non-dropping-particle" : "", "parse-names" : false, "suffix" : "" }, { "dropping-particle" : "", "family" : "Fulton", "given" : "Elizabeth A", "non-dropping-particle" : "", "parse-names" : false, "suffix" : "" }, { "dropping-particle" : "", "family" : "Cottrell", "given" : "Richard S", "non-dropping-particle" : "", "parse-names" : false, "suffix" : "" }, { "dropping-particle" : "", "family" : "Nash", "given" : "Kirsty L", "non-dropping-particle" : "", "parse-names" : false, "suffix" : "" }, { "dropping-particle" : "", "family" : "Bryndum-Buchholz", "given" : "Andrea", "non-dropping-particle" : "", "parse-names" : false, "suffix" : "" }, { "dropping-particle" : "", "family" : "B\u00fcchner", "given" : "Matthias", "non-dropping-particle" : "", "parse-names" : false, "suffix" : "" }, { "dropping-particle" : "", "family" : "Carozza", "given" : "David A", "non-dropping-particle" : "", "parse-names" : false, "suffix" : "" }, { "dropping-particle" : "", "family" : "Cheung", "given" : "William W L", "non-dropping-particle" : "", "parse-names" : false, "suffix" : "" }, { "dropping-particle" : "", "family" : "Elliott", "given" : "Joshua", "non-dropping-particle" : "", "parse-names" : false, "suffix" : "" }, { "dropping-particle" : "", "family" : "Davidson", "given" : "Lindsay N K", "non-dropping-particle" : "", "parse-names" : false, "suffix" : "" }, { "dropping-particle" : "", "family" : "Dulvy", "given" : "Nicholas K", "non-dropping-particle" : "", "parse-names" : false, "suffix" : "" }, { "dropping-particle" : "", "family" : "Dunne", "given" : "John P", "non-dropping-particle" : "", "parse-names" : false, "suffix" : "" }, { "dropping-particle" : "", "family" : "Eddy", "given" : "Tyler D", "non-dropping-particle" : "", "parse-names" : false, "suffix" : "" }, { "dropping-particle" : "", "family" : "Galbraith", "given" : "Eric", "non-dropping-particle" : "", "parse-names" : false, "suffix" : "" }, { "dropping-particle" : "", "family" : "Lotze", "given" : "Heike K", "non-dropping-particle" : "", "parse-names" : false, "suffix" : "" }, { "dropping-particle" : "", "family" : "Maury", "given" : "Olivier", "non-dropping-particle" : "", "parse-names" : false, "suffix" : "" }, { "dropping-particle" : "", "family" : "M\u00fcller", "given" : "Christoph", "non-dropping-particle" : "", "parse-names" : false, "suffix" : "" }, { "dropping-particle" : "", "family" : "Tittensor", "given" : "Derek P", "non-dropping-particle" : "", "parse-names" : false, "suffix" : "" }, { "dropping-particle" : "", "family" : "Jennings", "given" : "Simon", "non-dropping-particle" : "", "parse-names" : false, "suffix" : "" } ], "container-title" : "Nature Ecology &amp; Evolution", "id" : "ITEM-1", "issue" : "9", "issued" : { "date-parts" : [ [ "2017" ] ] }, "page" : "1240-1249", "title" : "Linked sustainability challenges and trade-offs among fisheries, aquaculture and agriculture", "type" : "article-journal", "volume" : "1" }, "uris" : [ "http://www.mendeley.com/documents/?uuid=86b5be01-924f-4130-be89-ac86a0a6f3d4" ] } ], "mendeley" : { "formattedCitation" : "(Blanchard et al., 2017)", "manualFormatting" : "Blanchard et al., 2017)", "plainTextFormattedCitation" : "(Blanchard et al., 2017)", "previouslyFormattedCitation" : "(Blanchard et al., 2017)" }, "properties" : {  }, "schema" : "https://github.com/citation-style-language/schema/raw/master/csl-citation.json" }</w:instrText>
      </w:r>
      <w:r>
        <w:rPr>
          <w:rFonts w:cs="Times New Roman"/>
        </w:rPr>
        <w:fldChar w:fldCharType="separate"/>
      </w:r>
      <w:r w:rsidRPr="004B24CE">
        <w:rPr>
          <w:rFonts w:cs="Times New Roman"/>
          <w:noProof/>
        </w:rPr>
        <w:t>Blanchard et al., 2017)</w:t>
      </w:r>
      <w:r>
        <w:rPr>
          <w:rFonts w:cs="Times New Roman"/>
        </w:rPr>
        <w:fldChar w:fldCharType="end"/>
      </w:r>
      <w:r w:rsidRPr="00037071">
        <w:rPr>
          <w:rFonts w:cs="Times New Roman"/>
        </w:rPr>
        <w:t xml:space="preserve">. </w:t>
      </w:r>
      <w:r>
        <w:rPr>
          <w:rFonts w:cs="Times New Roman"/>
        </w:rPr>
        <w:t>There have also been recent criticisms that terrestrial scenarios have primarily focussed on climate change and generally neglected land-use and land-cover change, which are key threats to biodiversity (Titeux et al. 2016).</w:t>
      </w:r>
    </w:p>
    <w:p w14:paraId="4D59F71F" w14:textId="77777777" w:rsidR="00F1283E" w:rsidRPr="00037071" w:rsidRDefault="00F1283E" w:rsidP="00F1283E">
      <w:pPr>
        <w:pStyle w:val="ListParagraph"/>
        <w:numPr>
          <w:ilvl w:val="0"/>
          <w:numId w:val="4"/>
        </w:numPr>
        <w:spacing w:after="240"/>
        <w:contextualSpacing w:val="0"/>
        <w:rPr>
          <w:rFonts w:cs="Times New Roman"/>
        </w:rPr>
      </w:pPr>
      <w:r>
        <w:rPr>
          <w:rFonts w:cs="Times New Roman"/>
        </w:rPr>
        <w:t xml:space="preserve">There is also a need for further integration of governance practices at multiple scales and for multiple actors into future scenarios work to enable a more complete integration of biodiversity and socio-economic feedbacks. We note that scenarios and projections are typically developed without the integration of indigenous people’s and local communities (IPLC) knowledge, practices, and epistemologies (though see paragraph </w:t>
      </w:r>
      <w:r w:rsidRPr="00561075">
        <w:rPr>
          <w:rFonts w:cs="Times New Roman"/>
        </w:rPr>
        <w:t>67 fo</w:t>
      </w:r>
      <w:r>
        <w:rPr>
          <w:rFonts w:cs="Times New Roman"/>
        </w:rPr>
        <w:t>r forthcoming IPBES scenarios), and future work on scenarios for the 2050 Vision should consider closing this gap. This is also manifest in the lack of feedbacks between biodiversity and IPLC cultures and livelihoods, and governance considerations such as participatory decision-making and access to information in future scenarios. Greater incorporation of IPLC perspectives would also help to align and increase the complementarity between the CBD Vision and the SDGs (particularly SDG 16). An additional contribution could be made through further integrating community-based monitoring and information systems into models and scenarios, such as through providing baseline data.</w:t>
      </w:r>
    </w:p>
    <w:p w14:paraId="0F6A32E9" w14:textId="77777777" w:rsidR="00F1283E" w:rsidRPr="00037071" w:rsidRDefault="00F1283E" w:rsidP="00F1283E">
      <w:pPr>
        <w:pStyle w:val="ListParagraph"/>
        <w:numPr>
          <w:ilvl w:val="0"/>
          <w:numId w:val="4"/>
        </w:numPr>
        <w:spacing w:after="240"/>
        <w:contextualSpacing w:val="0"/>
        <w:rPr>
          <w:rFonts w:cs="Times New Roman"/>
        </w:rPr>
      </w:pPr>
      <w:r>
        <w:rPr>
          <w:rFonts w:cs="Times New Roman"/>
        </w:rPr>
        <w:t xml:space="preserve">For </w:t>
      </w:r>
      <w:r w:rsidRPr="00037071">
        <w:rPr>
          <w:rFonts w:cs="Times New Roman"/>
        </w:rPr>
        <w:t xml:space="preserve">some aspects of biodiversity, there remains considerable variation between studies and models in terms of projections. </w:t>
      </w:r>
      <w:r>
        <w:rPr>
          <w:rFonts w:cs="Times New Roman"/>
        </w:rPr>
        <w:t xml:space="preserve">Whilst some of this might come down to differences in models, it may also </w:t>
      </w:r>
      <w:r>
        <w:rPr>
          <w:rFonts w:cs="Times New Roman"/>
        </w:rPr>
        <w:lastRenderedPageBreak/>
        <w:t>be due to variation in forcing scenarios, data inputs and model outputs. This hi</w:t>
      </w:r>
      <w:r w:rsidRPr="00037071">
        <w:rPr>
          <w:rFonts w:cs="Times New Roman"/>
        </w:rPr>
        <w:t>ghlights a gap in biodiversity and ecosystem forecasts that in the climate science community has been filled through ‘ensemble projections’, which force multiple models with</w:t>
      </w:r>
      <w:r>
        <w:rPr>
          <w:rFonts w:cs="Times New Roman"/>
        </w:rPr>
        <w:t xml:space="preserve"> the same pathways, scenarios, and model inputs, and has the models produce common outputs, which can then</w:t>
      </w:r>
      <w:r w:rsidRPr="00037071">
        <w:rPr>
          <w:rFonts w:cs="Times New Roman"/>
        </w:rPr>
        <w:t xml:space="preserve"> provide </w:t>
      </w:r>
      <w:r>
        <w:rPr>
          <w:rFonts w:cs="Times New Roman"/>
        </w:rPr>
        <w:t>a mean across a suite of models</w:t>
      </w:r>
      <w:r w:rsidRPr="00037071">
        <w:rPr>
          <w:rFonts w:cs="Times New Roman"/>
        </w:rPr>
        <w:t xml:space="preserve"> and a more informative assessment of uncertainty around projections, as forcings </w:t>
      </w:r>
      <w:r>
        <w:rPr>
          <w:rFonts w:cs="Times New Roman"/>
        </w:rPr>
        <w:t xml:space="preserve">and outputs </w:t>
      </w:r>
      <w:r w:rsidRPr="00037071">
        <w:rPr>
          <w:rFonts w:cs="Times New Roman"/>
        </w:rPr>
        <w:t xml:space="preserve">are consistent. Such </w:t>
      </w:r>
      <w:bookmarkStart w:id="4" w:name="_Hlk497954462"/>
      <w:r w:rsidRPr="00037071">
        <w:rPr>
          <w:rFonts w:cs="Times New Roman"/>
        </w:rPr>
        <w:t>initiatives are beginning to appear for biodiversity and ecosystem service projections (e.g. the Fisheries and Marine Ecosyste</w:t>
      </w:r>
      <w:r>
        <w:rPr>
          <w:rFonts w:cs="Times New Roman"/>
        </w:rPr>
        <w:t>m Model Intercomparison Project</w:t>
      </w:r>
      <w:r w:rsidRPr="00037071">
        <w:rPr>
          <w:rFonts w:cs="Times New Roman"/>
        </w:rPr>
        <w:t xml:space="preserve"> </w:t>
      </w:r>
      <w:r>
        <w:rPr>
          <w:rFonts w:cs="Times New Roman"/>
        </w:rPr>
        <w:fldChar w:fldCharType="begin" w:fldLock="1"/>
      </w:r>
      <w:r>
        <w:rPr>
          <w:rFonts w:cs="Times New Roman"/>
        </w:rPr>
        <w:instrText>ADDIN CSL_CITATION { "citationItems" : [ { "id" : "ITEM-1", "itemData" : { "DOI" : "10.5194/gmd-2017-209", "author" : [ { "dropping-particle" : "", "family" : "Tittensor", "given" : "D P", "non-dropping-particle" : "", "parse-names" : false, "suffix" : "" }, { "dropping-particle" : "", "family" : "Eddy", "given" : "T D", "non-dropping-particle" : "", "parse-names" : false, "suffix" : "" }, { "dropping-particle" : "", "family" : "Lotze", "given" : "H K", "non-dropping-particle" : "", "parse-names" : false, "suffix" : "" }, { "dropping-particle" : "", "family" : "Galbraith", "given" : "E D", "non-dropping-particle" : "", "parse-names" : false, "suffix" : "" }, { "dropping-particle" : "", "family" : "Cheung", "given" : "W", "non-dropping-particle" : "", "parse-names" : false, "suffix" : "" }, { "dropping-particle" : "", "family" : "Barange", "given" : "M", "non-dropping-particle" : "", "parse-names" : false, "suffix" : "" }, { "dropping-particle" : "", "family" : "Blanchard", "given" : "J L", "non-dropping-particle" : "", "parse-names" : false, "suffix" : "" }, { "dropping-particle" : "", "family" : "Bopp", "given" : "L", "non-dropping-particle" : "", "parse-names" : false, "suffix" : "" }, { "dropping-particle" : "", "family" : "Bryndum-Buchholz", "given" : "A", "non-dropping-particle" : "", "parse-names" : false, "suffix" : "" }, { "dropping-particle" : "", "family" : "B\u00fcchner", "given" : "M", "non-dropping-particle" : "", "parse-names" : false, "suffix" : "" }, { "dropping-particle" : "", "family" : "Bulman", "given" : "C", "non-dropping-particle" : "", "parse-names" : false, "suffix" : "" }, { "dropping-particle" : "", "family" : "Carozza", "given" : "D A", "non-dropping-particle" : "", "parse-names" : false, "suffix" : "" }, { "dropping-particle" : "", "family" : "Christensen", "given" : "V", "non-dropping-particle" : "", "parse-names" : false, "suffix" : "" }, { "dropping-particle" : "", "family" : "Coll", "given" : "M", "non-dropping-particle" : "", "parse-names" : false, "suffix" : "" }, { "dropping-particle" : "", "family" : "Dunne", "given" : "J P", "non-dropping-particle" : "", "parse-names" : false, "suffix" : "" }, { "dropping-particle" : "", "family" : "Fernandes", "given" : "J A", "non-dropping-particle" : "", "parse-names" : false, "suffix" : "" }, { "dropping-particle" : "", "family" : "Fulton", "given" : "E A", "non-dropping-particle" : "", "parse-names" : false, "suffix" : "" }, { "dropping-particle" : "", "family" : "Hobday", "given" : "A J", "non-dropping-particle" : "", "parse-names" : false, "suffix" : "" }, { "dropping-particle" : "", "family" : "Huber", "given" : "V", "non-dropping-particle" : "", "parse-names" : false, "suffix" : "" }, { "dropping-particle" : "", "family" : "Jennings", "given" : "S", "non-dropping-particle" : "", "parse-names" : false, "suffix" : "" }, { "dropping-particle" : "", "family" : "Jones", "given" : "M", "non-dropping-particle" : "", "parse-names" : false, "suffix" : "" }, { "dropping-particle" : "", "family" : "Lehodey", "given" : "P", "non-dropping-particle" : "", "parse-names" : false, "suffix" : "" }, { "dropping-particle" : "", "family" : "Link", "given" : "J S", "non-dropping-particle" : "", "parse-names" : false, "suffix" : "" }, { "dropping-particle" : "", "family" : "Mackinson", "given" : "S", "non-dropping-particle" : "", "parse-names" : false, "suffix" : "" }, { "dropping-particle" : "", "family" : "Maury", "given" : "O", "non-dropping-particle" : "", "parse-names" : false, "suffix" : "" }, { "dropping-particle" : "", "family" : "Niiranen", "given" : "S", "non-dropping-particle" : "", "parse-names" : false, "suffix" : "" }, { "dropping-particle" : "", "family" : "Oliveros-Ramos", "given" : "R", "non-dropping-particle" : "", "parse-names" : false, "suffix" : "" }, { "dropping-particle" : "", "family" : "Roy", "given" : "T", "non-dropping-particle" : "", "parse-names" : false, "suffix" : "" }, { "dropping-particle" : "", "family" : "Schewe", "given" : "J", "non-dropping-particle" : "", "parse-names" : false, "suffix" : "" }, { "dropping-particle" : "", "family" : "Shin", "given" : "Y.-J.", "non-dropping-particle" : "", "parse-names" : false, "suffix" : "" }, { "dropping-particle" : "", "family" : "Stock", "given" : "C A", "non-dropping-particle" : "", "parse-names" : false, "suffix" : "" }, { "dropping-particle" : "", "family" : "Underwood", "given" : "P J", "non-dropping-particle" : "", "parse-names" : false, "suffix" : "" }, { "dropping-particle" : "", "family" : "Volkholz", "given" : "J", "non-dropping-particle" : "", "parse-names" : false, "suffix" : "" }, { "dropping-particle" : "", "family" : "Watson", "given" : "J R", "non-dropping-particle" : "", "parse-names" : false, "suffix" : "" }, { "dropping-particle" : "", "family" : "Walker", "given" : "N D", "non-dropping-particle" : "", "parse-names" : false, "suffix" : "" } ], "container-title" : "Geoscientific Model Development Discussions", "id" : "ITEM-1", "issued" : { "date-parts" : [ [ "2017" ] ] }, "page" : "1-39", "title" : "A protocol for the intercomparison of marine fishery and ecosystem models: Fish-MIP v1.0", "type" : "article-journal", "volume" : "2017" }, "uris" : [ "http://www.mendeley.com/documents/?uuid=d4e12ead-6432-4273-9ef9-9fc6934256cb" ] } ], "mendeley" : { "formattedCitation" : "(Tittensor et al., 2017)", "plainTextFormattedCitation" : "(Tittensor et al., 2017)", "previouslyFormattedCitation" : "(Tittensor et al., 2017)" }, "properties" : {  }, "schema" : "https://github.com/citation-style-language/schema/raw/master/csl-citation.json" }</w:instrText>
      </w:r>
      <w:r>
        <w:rPr>
          <w:rFonts w:cs="Times New Roman"/>
        </w:rPr>
        <w:fldChar w:fldCharType="separate"/>
      </w:r>
      <w:r w:rsidRPr="00C34181">
        <w:rPr>
          <w:rFonts w:cs="Times New Roman"/>
          <w:noProof/>
        </w:rPr>
        <w:t>(Tittensor et al., 2017)</w:t>
      </w:r>
      <w:r>
        <w:rPr>
          <w:rFonts w:cs="Times New Roman"/>
        </w:rPr>
        <w:fldChar w:fldCharType="end"/>
      </w:r>
      <w:r w:rsidRPr="00037071">
        <w:rPr>
          <w:rFonts w:cs="Times New Roman"/>
        </w:rPr>
        <w:t xml:space="preserve">), but are in their </w:t>
      </w:r>
      <w:r>
        <w:rPr>
          <w:rFonts w:cs="Times New Roman"/>
        </w:rPr>
        <w:t xml:space="preserve">relative </w:t>
      </w:r>
      <w:r w:rsidRPr="00037071">
        <w:rPr>
          <w:rFonts w:cs="Times New Roman"/>
        </w:rPr>
        <w:t>infancy.</w:t>
      </w:r>
    </w:p>
    <w:p w14:paraId="782FD588" w14:textId="77777777" w:rsidR="00F1283E" w:rsidRPr="00037071" w:rsidRDefault="00F1283E" w:rsidP="00F1283E">
      <w:pPr>
        <w:pStyle w:val="ListParagraph"/>
        <w:numPr>
          <w:ilvl w:val="0"/>
          <w:numId w:val="4"/>
        </w:numPr>
        <w:spacing w:after="240"/>
        <w:contextualSpacing w:val="0"/>
        <w:rPr>
          <w:rFonts w:cs="Times New Roman"/>
        </w:rPr>
      </w:pPr>
      <w:r w:rsidRPr="00037071">
        <w:rPr>
          <w:rFonts w:cs="Times New Roman"/>
        </w:rPr>
        <w:t>In part, the need for feedbacks between biodiversity and other sectors, including socio-ecological feedbacks, may be met through the work of the IPBES Scenarios and Models Expert Group</w:t>
      </w:r>
      <w:bookmarkEnd w:id="4"/>
      <w:r w:rsidRPr="00037071">
        <w:rPr>
          <w:rFonts w:cs="Times New Roman"/>
        </w:rPr>
        <w:t>, which are developing a new suite of biodiversity scenarios</w:t>
      </w:r>
      <w:r>
        <w:rPr>
          <w:rFonts w:cs="Times New Roman"/>
        </w:rPr>
        <w:t xml:space="preserve"> </w:t>
      </w:r>
      <w:r>
        <w:rPr>
          <w:rFonts w:cs="Times New Roman"/>
        </w:rPr>
        <w:fldChar w:fldCharType="begin" w:fldLock="1"/>
      </w:r>
      <w:r>
        <w:rPr>
          <w:rFonts w:cs="Times New Roman"/>
        </w:rPr>
        <w:instrText>ADDIN CSL_CITATION { "citationItems" : [ { "id" : "ITEM-1", "itemData" : { "DOI" : "10.1038/s41559-017-0273-9", "ISSN" : "2397-334X", "abstract" : "Targets for human development are increasingly connected with targets for nature, however, existing scenarios do not explicitly address this relationship. Here, we outline a strategy to generate scenarios centred on our relationship with nature to inform decision-making at multiple scales.", "author" : [ { "dropping-particle" : "", "family" : "Rosa", "given" : "Isabel M. D.", "non-dropping-particle" : "", "parse-names" : false, "suffix" : "" }, { "dropping-particle" : "", "family" : "Pereira", "given" : "Henrique M.", "non-dropping-particle" : "", "parse-names" : false, "suffix" : "" }, { "dropping-particle" : "", "family" : "Ferrier", "given" : "Simon", "non-dropping-particle" : "", "parse-names" : false, "suffix" : "" }, { "dropping-particle" : "", "family" : "Alkemade", "given" : "Rob", "non-dropping-particle" : "", "parse-names" : false, "suffix" : "" }, { "dropping-particle" : "", "family" : "Acosta", "given" : "Lilibeth A.", "non-dropping-particle" : "", "parse-names" : false, "suffix" : "" }, { "dropping-particle" : "", "family" : "Akcakaya", "given" : "H. Resit", "non-dropping-particle" : "", "parse-names" : false, "suffix" : "" }, { "dropping-particle" : "", "family" : "Belder", "given" : "Eefje", "non-dropping-particle" : "den", "parse-names" : false, "suffix" : "" }, { "dropping-particle" : "", "family" : "Fazel", "given" : "Asghar M.", "non-dropping-particle" : "", "parse-names" : false, "suffix" : "" }, { "dropping-particle" : "", "family" : "Fujimori", "given" : "Shinichiro", "non-dropping-particle" : "", "parse-names" : false, "suffix" : "" }, { "dropping-particle" : "", "family" : "Harfoot", "given" : "Mike", "non-dropping-particle" : "", "parse-names" : false, "suffix" : "" }, { "dropping-particle" : "", "family" : "Harhash", "given" : "Khaled A.", "non-dropping-particle" : "", "parse-names" : false, "suffix" : "" }, { "dropping-particle" : "", "family" : "Harrison", "given" : "Paula A.", "non-dropping-particle" : "", "parse-names" : false, "suffix" : "" }, { "dropping-particle" : "", "family" : "Hauck", "given" : "Jennifer", "non-dropping-particle" : "", "parse-names" : false, "suffix" : "" }, { "dropping-particle" : "", "family" : "Hendriks", "given" : "Rob J. J.", "non-dropping-particle" : "", "parse-names" : false, "suffix" : "" }, { "dropping-particle" : "", "family" : "Hern\u00e1ndez", "given" : "Gladys", "non-dropping-particle" : "", "parse-names" : false, "suffix" : "" }, { "dropping-particle" : "", "family" : "Jetz", "given" : "Walter", "non-dropping-particle" : "", "parse-names" : false, "suffix" : "" }, { "dropping-particle" : "", "family" : "Karlsson-Vinkhuyzen", "given" : "Sylvia I.", "non-dropping-particle" : "", "parse-names" : false, "suffix" : "" }, { "dropping-particle" : "", "family" : "Kim", "given" : "HyeJin", "non-dropping-particle" : "", "parse-names" : false, "suffix" : "" }, { "dropping-particle" : "", "family" : "King", "given" : "Nicholas", "non-dropping-particle" : "", "parse-names" : false, "suffix" : "" }, { "dropping-particle" : "", "family" : "Kok", "given" : "Marcel T. J.", "non-dropping-particle" : "", "parse-names" : false, "suffix" : "" }, { "dropping-particle" : "", "family" : "Kolomytsev", "given" : "Grygoriy O.", "non-dropping-particle" : "", "parse-names" : false, "suffix" : "" }, { "dropping-particle" : "", "family" : "Lazarova", "given" : "Tanya", "non-dropping-particle" : "", "parse-names" : false, "suffix" : "" }, { "dropping-particle" : "", "family" : "Leadley", "given" : "Paul", "non-dropping-particle" : "", "parse-names" : false, "suffix" : "" }, { "dropping-particle" : "", "family" : "Lundquist", "given" : "Carolyn J.", "non-dropping-particle" : "", "parse-names" : false, "suffix" : "" }, { "dropping-particle" : "", "family" : "Garc\u00eda M\u00e1rquez", "given" : "Jaime", "non-dropping-particle" : "", "parse-names" : false, "suffix" : "" }, { "dropping-particle" : "", "family" : "Meyer", "given" : "Carsten", "non-dropping-particle" : "", "parse-names" : false, "suffix" : "" }, { "dropping-particle" : "", "family" : "Navarro", "given" : "Laetitia M.", "non-dropping-particle" : "", "parse-names" : false, "suffix" : "" }, { "dropping-particle" : "", "family" : "Nessh\u00f6ver", "given" : "Carsten", "non-dropping-particle" : "", "parse-names" : false, "suffix" : "" }, { "dropping-particle" : "", "family" : "Ngo", "given" : "Hien T.", "non-dropping-particle" : "", "parse-names" : false, "suffix" : "" }, { "dropping-particle" : "", "family" : "Ninan", "given" : "Karachepone N.", "non-dropping-particle" : "", "parse-names" : false, "suffix" : "" }, { "dropping-particle" : "", "family" : "Palomo", "given" : "Maria G.", "non-dropping-particle" : "", "parse-names" : false, "suffix" : "" }, { "dropping-particle" : "", "family" : "Pereira", "given" : "Laura M.", "non-dropping-particle" : "", "parse-names" : false, "suffix" : "" }, { "dropping-particle" : "", "family" : "Peterson", "given" : "Garry D.", "non-dropping-particle" : "", "parse-names" : false, "suffix" : "" }, { "dropping-particle" : "", "family" : "Pichs", "given" : "Ramon", "non-dropping-particle" : "", "parse-names" : false, "suffix" : "" }, { "dropping-particle" : "", "family" : "Popp", "given" : "Alexander", "non-dropping-particle" : "", "parse-names" : false, "suffix" : "" }, { "dropping-particle" : "", "family" : "Purvis", "given" : "Andy", "non-dropping-particle" : "", "parse-names" : false, "suffix" : "" }, { "dropping-particle" : "", "family" : "Ravera", "given" : "Federica", "non-dropping-particle" : "", "parse-names" : false, "suffix" : "" }, { "dropping-particle" : "", "family" : "Rondinini", "given" : "Carlo", "non-dropping-particle" : "", "parse-names" : false, "suffix" : "" }, { "dropping-particle" : "", "family" : "Sathyapalan", "given" : "Jyothis", "non-dropping-particle" : "", "parse-names" : false, "suffix" : "" }, { "dropping-particle" : "", "family" : "Schipper", "given" : "Aafke M.", "non-dropping-particle" : "", "parse-names" : false, "suffix" : "" }, { "dropping-particle" : "", "family" : "Seppelt", "given" : "Ralf", "non-dropping-particle" : "", "parse-names" : false, "suffix" : "" }, { "dropping-particle" : "", "family" : "Settele", "given" : "Josef", "non-dropping-particle" : "", "parse-names" : false, "suffix" : "" }, { "dropping-particle" : "", "family" : "Sitas", "given" : "Nadia", "non-dropping-particle" : "", "parse-names" : false, "suffix" : "" }, { "dropping-particle" : "", "family" : "Vuuren", "given" : "Detlef", "non-dropping-particle" : "van", "parse-names" : false, "suffix" : "" } ], "container-title" : "Nature Ecology &amp; Evolution", "id" : "ITEM-1", "issue" : "10", "issued" : { "date-parts" : [ [ "2017", "10", "21" ] ] }, "page" : "1416-1419", "publisher" : "Nature Publishing Group", "title" : "Multiscale scenarios for nature futures", "type" : "article-journal", "volume" : "1" }, "uris" : [ "http://www.mendeley.com/documents/?uuid=d8433312-1eca-3824-9dc8-88ef4360970b" ] } ], "mendeley" : { "formattedCitation" : "(Rosa et al., 2017)", "plainTextFormattedCitation" : "(Rosa et al., 2017)", "previouslyFormattedCitation" : "(Rosa et al., 2017)" }, "properties" : {  }, "schema" : "https://github.com/citation-style-language/schema/raw/master/csl-citation.json" }</w:instrText>
      </w:r>
      <w:r>
        <w:rPr>
          <w:rFonts w:cs="Times New Roman"/>
        </w:rPr>
        <w:fldChar w:fldCharType="separate"/>
      </w:r>
      <w:r w:rsidRPr="00946F85">
        <w:rPr>
          <w:rFonts w:cs="Times New Roman"/>
          <w:noProof/>
        </w:rPr>
        <w:t>(Rosa et al., 2017)</w:t>
      </w:r>
      <w:r>
        <w:rPr>
          <w:rFonts w:cs="Times New Roman"/>
        </w:rPr>
        <w:fldChar w:fldCharType="end"/>
      </w:r>
      <w:r w:rsidRPr="00037071">
        <w:rPr>
          <w:rFonts w:cs="Times New Roman"/>
        </w:rPr>
        <w:t xml:space="preserve">. These scenarios will link multiple spatial scales, from the local to the global, and describe narratives </w:t>
      </w:r>
      <w:r>
        <w:rPr>
          <w:rFonts w:cs="Times New Roman"/>
        </w:rPr>
        <w:t>that</w:t>
      </w:r>
      <w:r w:rsidRPr="00037071">
        <w:rPr>
          <w:rFonts w:cs="Times New Roman"/>
        </w:rPr>
        <w:t xml:space="preserve"> link biodiversity, ecosystem services, and society in a circular (rather than linear) manner. These ‘visions for nature futures’ will be constructed in consultation with stakeholders from multiple sectors, including civil society, the private sector, policy and decision makers, indigenous knowledge groups, and others. They will use a range of approaches to identify pathways to achieve outcomes across multiple sectors (urban, agricultural, forestry, fisheries, and other), and consider actions and responses at both the individual and institutional scale. </w:t>
      </w:r>
      <w:r>
        <w:rPr>
          <w:rFonts w:cs="Times New Roman"/>
        </w:rPr>
        <w:t xml:space="preserve">Furthermore, there is also a collaborative effort coordinated by the IPBES expert group on applying various models to a common subset of RCP/SSP combinations, in support of the IPBES Global Assessment. There has also been an international Belmont Forum / Biodiversa funding call on similar issues and relevant to the recommendations from the IPBES Methodological Assessment of Scenarios and Models. </w:t>
      </w:r>
      <w:r w:rsidRPr="00037071">
        <w:rPr>
          <w:rFonts w:cs="Times New Roman"/>
        </w:rPr>
        <w:t>Such futures could be relevant to exploring pathways to the 2050 Vision, as well as other biodiversity-relevant targets.</w:t>
      </w:r>
      <w:r>
        <w:rPr>
          <w:rFonts w:cs="Times New Roman"/>
        </w:rPr>
        <w:t xml:space="preserve"> </w:t>
      </w:r>
    </w:p>
    <w:p w14:paraId="7F749AB7" w14:textId="77777777" w:rsidR="00F1283E" w:rsidRDefault="00F1283E" w:rsidP="00F1283E">
      <w:pPr>
        <w:tabs>
          <w:tab w:val="center" w:pos="4535"/>
          <w:tab w:val="left" w:pos="6040"/>
        </w:tabs>
        <w:jc w:val="center"/>
        <w:rPr>
          <w:b/>
        </w:rPr>
      </w:pPr>
      <w:r>
        <w:rPr>
          <w:b/>
        </w:rPr>
        <w:t>IV</w:t>
      </w:r>
      <w:r w:rsidRPr="00C73BE5">
        <w:rPr>
          <w:b/>
        </w:rPr>
        <w:t xml:space="preserve">. </w:t>
      </w:r>
      <w:r>
        <w:rPr>
          <w:b/>
        </w:rPr>
        <w:t>RELEVANCE OF RECENT PROJECTIONS FOR THE 2050 VISION</w:t>
      </w:r>
    </w:p>
    <w:p w14:paraId="04F829F4" w14:textId="38AB2905" w:rsidR="00F1283E" w:rsidRPr="00330098" w:rsidRDefault="00F1283E" w:rsidP="00F1283E">
      <w:pPr>
        <w:pStyle w:val="ListParagraph"/>
        <w:numPr>
          <w:ilvl w:val="0"/>
          <w:numId w:val="4"/>
        </w:numPr>
        <w:contextualSpacing w:val="0"/>
        <w:rPr>
          <w:rFonts w:cs="Times New Roman"/>
        </w:rPr>
      </w:pPr>
      <w:r w:rsidRPr="00330098">
        <w:rPr>
          <w:rFonts w:cs="Times New Roman"/>
        </w:rPr>
        <w:t xml:space="preserve">Notwithstanding the gaps identified above, many of the </w:t>
      </w:r>
      <w:r>
        <w:rPr>
          <w:rFonts w:cs="Times New Roman"/>
        </w:rPr>
        <w:t>post-GBO4</w:t>
      </w:r>
      <w:r w:rsidRPr="00330098">
        <w:rPr>
          <w:rFonts w:cs="Times New Roman"/>
        </w:rPr>
        <w:t xml:space="preserve"> projections and scenario </w:t>
      </w:r>
      <w:r>
        <w:rPr>
          <w:rFonts w:cs="Times New Roman"/>
        </w:rPr>
        <w:t>explorations</w:t>
      </w:r>
      <w:r w:rsidRPr="00330098">
        <w:rPr>
          <w:rFonts w:cs="Times New Roman"/>
        </w:rPr>
        <w:t xml:space="preserve"> can be used in support of the </w:t>
      </w:r>
      <w:r w:rsidR="00B34982">
        <w:rPr>
          <w:rFonts w:cs="Times New Roman"/>
        </w:rPr>
        <w:t xml:space="preserve">development and implementation of a </w:t>
      </w:r>
      <w:r w:rsidRPr="00330098">
        <w:rPr>
          <w:rFonts w:cs="Times New Roman"/>
        </w:rPr>
        <w:t xml:space="preserve">post-2020 global biodiversity framework, and in particular the 2050 Vision. Many projections explicitly include 2050 or the mid-century as a specific time at which to examine </w:t>
      </w:r>
      <w:r>
        <w:rPr>
          <w:rFonts w:cs="Times New Roman"/>
        </w:rPr>
        <w:t>changes across scenarios</w:t>
      </w:r>
      <w:r w:rsidRPr="00330098">
        <w:rPr>
          <w:rFonts w:cs="Times New Roman"/>
        </w:rPr>
        <w:t xml:space="preserve">. While identifying what BAU </w:t>
      </w:r>
      <w:r>
        <w:rPr>
          <w:rFonts w:cs="Times New Roman"/>
        </w:rPr>
        <w:t>corresponds to</w:t>
      </w:r>
      <w:r w:rsidRPr="00330098">
        <w:rPr>
          <w:rFonts w:cs="Times New Roman"/>
        </w:rPr>
        <w:t xml:space="preserve"> in the post-Paris Agreement context represents an ongoing effort</w:t>
      </w:r>
      <w:r>
        <w:rPr>
          <w:rFonts w:cs="Times New Roman"/>
        </w:rPr>
        <w:t xml:space="preserve"> (</w:t>
      </w:r>
      <w:r w:rsidRPr="00EF0806">
        <w:rPr>
          <w:rFonts w:cs="Times New Roman"/>
        </w:rPr>
        <w:t xml:space="preserve">see paragraph </w:t>
      </w:r>
      <w:r>
        <w:rPr>
          <w:rFonts w:cs="Times New Roman"/>
        </w:rPr>
        <w:t>61)</w:t>
      </w:r>
      <w:r w:rsidRPr="00330098">
        <w:rPr>
          <w:rFonts w:cs="Times New Roman"/>
        </w:rPr>
        <w:t xml:space="preserve">, </w:t>
      </w:r>
      <w:r>
        <w:rPr>
          <w:rFonts w:cs="Times New Roman"/>
        </w:rPr>
        <w:t>a few studies</w:t>
      </w:r>
      <w:r w:rsidRPr="00330098">
        <w:rPr>
          <w:rFonts w:cs="Times New Roman"/>
        </w:rPr>
        <w:t xml:space="preserve"> explicitly examine a world</w:t>
      </w:r>
      <w:r>
        <w:rPr>
          <w:rFonts w:cs="Times New Roman"/>
        </w:rPr>
        <w:t xml:space="preserve"> of 1.5°</w:t>
      </w:r>
      <w:r>
        <w:t>C warming relative to pre-industrial</w:t>
      </w:r>
      <w:r w:rsidRPr="00330098">
        <w:rPr>
          <w:rFonts w:cs="Times New Roman"/>
        </w:rPr>
        <w:t xml:space="preserve">, and </w:t>
      </w:r>
      <w:r>
        <w:rPr>
          <w:rFonts w:cs="Times New Roman"/>
        </w:rPr>
        <w:t xml:space="preserve">the </w:t>
      </w:r>
      <w:r w:rsidRPr="00330098">
        <w:rPr>
          <w:rFonts w:cs="Times New Roman"/>
        </w:rPr>
        <w:t xml:space="preserve">RCPs and SSPs </w:t>
      </w:r>
      <w:r>
        <w:rPr>
          <w:rFonts w:cs="Times New Roman"/>
        </w:rPr>
        <w:t>provide a range of potential futures from high mitigation to high emissions</w:t>
      </w:r>
      <w:r w:rsidRPr="00330098">
        <w:rPr>
          <w:rFonts w:cs="Times New Roman"/>
        </w:rPr>
        <w:t xml:space="preserve">. </w:t>
      </w:r>
      <w:r>
        <w:rPr>
          <w:rFonts w:cs="Times New Roman"/>
        </w:rPr>
        <w:t>M</w:t>
      </w:r>
      <w:r w:rsidRPr="00330098">
        <w:rPr>
          <w:rFonts w:cs="Times New Roman"/>
        </w:rPr>
        <w:t>ost studies compare multiple pathways</w:t>
      </w:r>
      <w:r>
        <w:rPr>
          <w:rFonts w:cs="Times New Roman"/>
        </w:rPr>
        <w:t xml:space="preserve"> and project</w:t>
      </w:r>
      <w:r w:rsidRPr="00330098">
        <w:rPr>
          <w:rFonts w:cs="Times New Roman"/>
        </w:rPr>
        <w:t xml:space="preserve"> the differences between them, </w:t>
      </w:r>
      <w:r>
        <w:rPr>
          <w:rFonts w:cs="Times New Roman"/>
        </w:rPr>
        <w:t xml:space="preserve">typically </w:t>
      </w:r>
      <w:r w:rsidRPr="00330098">
        <w:rPr>
          <w:rFonts w:cs="Times New Roman"/>
        </w:rPr>
        <w:t xml:space="preserve">including </w:t>
      </w:r>
      <w:r>
        <w:rPr>
          <w:rFonts w:cs="Times New Roman"/>
        </w:rPr>
        <w:t>a pathway</w:t>
      </w:r>
      <w:r w:rsidRPr="00330098">
        <w:rPr>
          <w:rFonts w:cs="Times New Roman"/>
        </w:rPr>
        <w:t xml:space="preserve"> that can at least approximate BAU, thus demonstrating </w:t>
      </w:r>
      <w:r>
        <w:rPr>
          <w:rFonts w:cs="Times New Roman"/>
        </w:rPr>
        <w:t>the existence</w:t>
      </w:r>
      <w:r w:rsidRPr="00330098">
        <w:rPr>
          <w:rFonts w:cs="Times New Roman"/>
        </w:rPr>
        <w:t xml:space="preserve"> </w:t>
      </w:r>
      <w:r>
        <w:rPr>
          <w:rFonts w:cs="Times New Roman"/>
        </w:rPr>
        <w:t xml:space="preserve">of </w:t>
      </w:r>
      <w:r w:rsidRPr="00330098">
        <w:rPr>
          <w:rFonts w:cs="Times New Roman"/>
        </w:rPr>
        <w:t>a range of pl</w:t>
      </w:r>
      <w:r>
        <w:rPr>
          <w:rFonts w:cs="Times New Roman"/>
        </w:rPr>
        <w:t>ausible societal futures</w:t>
      </w:r>
      <w:r w:rsidRPr="00330098">
        <w:rPr>
          <w:rFonts w:cs="Times New Roman"/>
        </w:rPr>
        <w:t>. Furthermore, some studies identify the relative importance of specific policy or management decisions</w:t>
      </w:r>
      <w:r>
        <w:rPr>
          <w:rFonts w:cs="Times New Roman"/>
        </w:rPr>
        <w:t xml:space="preserve"> (e.g. fisheries, land use, or climate mitigation)</w:t>
      </w:r>
      <w:r w:rsidRPr="00330098">
        <w:rPr>
          <w:rFonts w:cs="Times New Roman"/>
        </w:rPr>
        <w:t xml:space="preserve">, and can thus be particularly useful in informing potential pathways to the 2050 Vision. Although scenario gaps exist, </w:t>
      </w:r>
      <w:r>
        <w:rPr>
          <w:rFonts w:cs="Times New Roman"/>
        </w:rPr>
        <w:t xml:space="preserve">such as </w:t>
      </w:r>
      <w:r w:rsidRPr="00330098">
        <w:rPr>
          <w:rFonts w:cs="Times New Roman"/>
        </w:rPr>
        <w:t>feedbacks between biodiversity and socio-ecological systems, initiatives are in place to fill these gaps and thus the situation should ease in the not-too-distant future.</w:t>
      </w:r>
    </w:p>
    <w:p w14:paraId="3F6E1629" w14:textId="77777777" w:rsidR="00F1283E" w:rsidRPr="00047204" w:rsidRDefault="00F1283E" w:rsidP="00F1283E">
      <w:pPr>
        <w:pStyle w:val="ListParagraph"/>
        <w:numPr>
          <w:ilvl w:val="0"/>
          <w:numId w:val="4"/>
        </w:numPr>
        <w:ind w:left="357" w:hanging="357"/>
        <w:contextualSpacing w:val="0"/>
        <w:rPr>
          <w:rFonts w:cs="Times New Roman"/>
        </w:rPr>
      </w:pPr>
      <w:r w:rsidRPr="00047204">
        <w:rPr>
          <w:rFonts w:cs="Times New Roman"/>
        </w:rPr>
        <w:t>The projections summarized above suggest that under BAU scenarios that approximate high-emissions and/or high land use change and continued overfishing, biodiversity and ecosystem services will in general remain a considerable distance from the ideal encapsulated in the 2050 Vision. Current trends suggest a broad-scale loss of biodiversity</w:t>
      </w:r>
      <w:r>
        <w:rPr>
          <w:rFonts w:cs="Times New Roman"/>
        </w:rPr>
        <w:t xml:space="preserve"> in terms of population abundances and extinctions</w:t>
      </w:r>
      <w:r w:rsidRPr="00047204">
        <w:rPr>
          <w:rFonts w:cs="Times New Roman"/>
        </w:rPr>
        <w:t xml:space="preserve">, though local species richness may actually increase in some places due to range expansions and species invasions. However, the composition of communities is likely to change substantially, and novel and unpredictable ecological assemblages will become more </w:t>
      </w:r>
      <w:r w:rsidRPr="00047204">
        <w:rPr>
          <w:rFonts w:cs="Times New Roman"/>
        </w:rPr>
        <w:lastRenderedPageBreak/>
        <w:t xml:space="preserve">common. Significant declines in the abundance of many species are likely. Global fisheries are likely to decline in terms of potential catches, revenues, and profits. Coral reefs are likely to continue to steeply degrade, with concomitant impacts on services such as reef-associated fisheries and tourism. Insufficient information on freshwater biodiversity exists to assess trends at a global scale. Thus, under a high emissions pathway, we will </w:t>
      </w:r>
      <w:r>
        <w:rPr>
          <w:rFonts w:cs="Times New Roman"/>
        </w:rPr>
        <w:t>remain</w:t>
      </w:r>
      <w:r w:rsidRPr="00047204">
        <w:rPr>
          <w:rFonts w:cs="Times New Roman"/>
        </w:rPr>
        <w:t xml:space="preserve"> a long way from the 2050 Vision of restoring, conserving, valuing, and wisely-using biodiversity, and maintaining ecosystem services and benefits.</w:t>
      </w:r>
    </w:p>
    <w:p w14:paraId="7D54F649" w14:textId="77777777" w:rsidR="00F1283E" w:rsidRPr="00330098" w:rsidRDefault="00F1283E" w:rsidP="00F1283E">
      <w:pPr>
        <w:pStyle w:val="ListParagraph"/>
        <w:numPr>
          <w:ilvl w:val="0"/>
          <w:numId w:val="4"/>
        </w:numPr>
        <w:ind w:left="357" w:hanging="357"/>
        <w:contextualSpacing w:val="0"/>
        <w:rPr>
          <w:rFonts w:cs="Times New Roman"/>
        </w:rPr>
      </w:pPr>
      <w:r w:rsidRPr="00330098">
        <w:rPr>
          <w:rFonts w:cs="Times New Roman"/>
        </w:rPr>
        <w:t xml:space="preserve">Alternative scenarios and pathways suggest that meeting the 2050 Vision is at least generally plausible, but will require transformational change in terms of society </w:t>
      </w:r>
      <w:r>
        <w:rPr>
          <w:rFonts w:cs="Times New Roman"/>
        </w:rPr>
        <w:t>or</w:t>
      </w:r>
      <w:r w:rsidRPr="00330098">
        <w:rPr>
          <w:rFonts w:cs="Times New Roman"/>
        </w:rPr>
        <w:t xml:space="preserve"> societal policies. Reductions in extinction risk and stabilizing declines in biodiversity and ecosystem services may be met through a combination of societal and individual</w:t>
      </w:r>
      <w:r>
        <w:rPr>
          <w:rFonts w:cs="Times New Roman"/>
        </w:rPr>
        <w:t xml:space="preserve"> changes</w:t>
      </w:r>
      <w:r w:rsidRPr="00330098">
        <w:rPr>
          <w:rFonts w:cs="Times New Roman"/>
        </w:rPr>
        <w:t xml:space="preserve"> and policy choices, including mitigating climate change, increasing agricultural productivity, reducing consumption and waste, expanding protected areas, changing fisheries management approaches. </w:t>
      </w:r>
      <w:r>
        <w:rPr>
          <w:rFonts w:cs="Times New Roman"/>
          <w:bCs/>
        </w:rPr>
        <w:t>S</w:t>
      </w:r>
      <w:r w:rsidRPr="00330098">
        <w:rPr>
          <w:rFonts w:cs="Times New Roman"/>
          <w:bCs/>
        </w:rPr>
        <w:t xml:space="preserve">ome scenarios (e.g. changes in fisheries management) may result in substantial improvements </w:t>
      </w:r>
      <w:r>
        <w:rPr>
          <w:rFonts w:cs="Times New Roman"/>
          <w:bCs/>
        </w:rPr>
        <w:t>in a specific ecosystem service and associated economic output</w:t>
      </w:r>
      <w:r w:rsidRPr="00330098">
        <w:rPr>
          <w:rFonts w:cs="Times New Roman"/>
          <w:bCs/>
        </w:rPr>
        <w:t xml:space="preserve">. No single scenario </w:t>
      </w:r>
      <w:r>
        <w:rPr>
          <w:rFonts w:cs="Times New Roman"/>
          <w:bCs/>
        </w:rPr>
        <w:t xml:space="preserve">or projection </w:t>
      </w:r>
      <w:r w:rsidRPr="00330098">
        <w:rPr>
          <w:rFonts w:cs="Times New Roman"/>
          <w:bCs/>
        </w:rPr>
        <w:t>examined changes across marine and terrestrial systems, and all facets of biodiversity</w:t>
      </w:r>
      <w:r>
        <w:rPr>
          <w:rFonts w:cs="Times New Roman"/>
          <w:bCs/>
        </w:rPr>
        <w:t xml:space="preserve"> and ecosystem services</w:t>
      </w:r>
      <w:r w:rsidRPr="00330098">
        <w:rPr>
          <w:rFonts w:cs="Times New Roman"/>
          <w:bCs/>
        </w:rPr>
        <w:t xml:space="preserve">, so efforts to meet the 2050 Vision will require a mix of policies and institutional and societal changes derived from multiple existing scenarios, and will need to ensure their mutual coherence and that </w:t>
      </w:r>
      <w:r>
        <w:rPr>
          <w:rFonts w:cs="Times New Roman"/>
          <w:bCs/>
        </w:rPr>
        <w:t xml:space="preserve">the </w:t>
      </w:r>
      <w:r w:rsidRPr="00330098">
        <w:rPr>
          <w:rFonts w:cs="Times New Roman"/>
          <w:bCs/>
        </w:rPr>
        <w:t xml:space="preserve">benefits to biodiversity and ecosystems remain under </w:t>
      </w:r>
      <w:r>
        <w:rPr>
          <w:rFonts w:cs="Times New Roman"/>
          <w:bCs/>
        </w:rPr>
        <w:t>any given mix</w:t>
      </w:r>
      <w:r w:rsidRPr="00330098">
        <w:rPr>
          <w:rFonts w:cs="Times New Roman"/>
          <w:bCs/>
        </w:rPr>
        <w:t xml:space="preserve">. One aspect that </w:t>
      </w:r>
      <w:r>
        <w:rPr>
          <w:rFonts w:cs="Times New Roman"/>
          <w:bCs/>
        </w:rPr>
        <w:t>appears</w:t>
      </w:r>
      <w:r w:rsidRPr="00330098">
        <w:rPr>
          <w:rFonts w:cs="Times New Roman"/>
          <w:bCs/>
        </w:rPr>
        <w:t xml:space="preserve"> necessary to avoid is a rapid expansion of land for growing biofuels, which while potentially mitigating climate impacts has deleterious consequences for terrestrial biodiversity and the total area of natural land. It also </w:t>
      </w:r>
      <w:r>
        <w:rPr>
          <w:rFonts w:cs="Times New Roman"/>
          <w:bCs/>
        </w:rPr>
        <w:t>appears</w:t>
      </w:r>
      <w:r w:rsidRPr="00330098">
        <w:rPr>
          <w:rFonts w:cs="Times New Roman"/>
          <w:bCs/>
        </w:rPr>
        <w:t xml:space="preserve"> unlikely that coral reefs will reverse a trend of degradation under most plausible scenarios. </w:t>
      </w:r>
      <w:r>
        <w:rPr>
          <w:rFonts w:cs="Times New Roman"/>
          <w:bCs/>
        </w:rPr>
        <w:t>Thus,</w:t>
      </w:r>
      <w:r w:rsidRPr="00330098">
        <w:rPr>
          <w:rFonts w:cs="Times New Roman"/>
          <w:bCs/>
        </w:rPr>
        <w:t xml:space="preserve"> in general it appears that the 2050 Vision may potentially be met for most, though </w:t>
      </w:r>
      <w:r>
        <w:rPr>
          <w:rFonts w:cs="Times New Roman"/>
          <w:bCs/>
        </w:rPr>
        <w:t xml:space="preserve">perhaps </w:t>
      </w:r>
      <w:r w:rsidRPr="00330098">
        <w:rPr>
          <w:rFonts w:cs="Times New Roman"/>
          <w:bCs/>
        </w:rPr>
        <w:t>not all, aspects of biodiversity</w:t>
      </w:r>
      <w:r>
        <w:rPr>
          <w:rFonts w:cs="Times New Roman"/>
          <w:bCs/>
        </w:rPr>
        <w:t>,</w:t>
      </w:r>
      <w:r w:rsidRPr="00330098">
        <w:rPr>
          <w:rFonts w:cs="Times New Roman"/>
          <w:bCs/>
        </w:rPr>
        <w:t xml:space="preserve"> through a combination of the societal transformations </w:t>
      </w:r>
      <w:r>
        <w:rPr>
          <w:rFonts w:cs="Times New Roman"/>
          <w:bCs/>
        </w:rPr>
        <w:t>described in this document</w:t>
      </w:r>
      <w:r w:rsidRPr="00330098">
        <w:rPr>
          <w:rFonts w:cs="Times New Roman"/>
          <w:bCs/>
        </w:rPr>
        <w:t>.</w:t>
      </w:r>
    </w:p>
    <w:p w14:paraId="3F795517" w14:textId="77777777" w:rsidR="00F1283E" w:rsidRPr="00DE79CE" w:rsidRDefault="00F1283E" w:rsidP="00F1283E">
      <w:pPr>
        <w:pStyle w:val="ListParagraph"/>
        <w:numPr>
          <w:ilvl w:val="0"/>
          <w:numId w:val="4"/>
        </w:numPr>
        <w:contextualSpacing w:val="0"/>
        <w:rPr>
          <w:rFonts w:cs="Times New Roman"/>
        </w:rPr>
      </w:pPr>
      <w:r w:rsidRPr="00DE79CE">
        <w:rPr>
          <w:rFonts w:cs="Times New Roman"/>
        </w:rPr>
        <w:t xml:space="preserve">Many of the recent studies </w:t>
      </w:r>
      <w:r>
        <w:rPr>
          <w:rFonts w:cs="Times New Roman"/>
        </w:rPr>
        <w:t>assembled</w:t>
      </w:r>
      <w:r w:rsidRPr="00DE79CE">
        <w:rPr>
          <w:rFonts w:cs="Times New Roman"/>
        </w:rPr>
        <w:t xml:space="preserve"> above </w:t>
      </w:r>
      <w:r>
        <w:rPr>
          <w:rFonts w:cs="Times New Roman"/>
        </w:rPr>
        <w:t>could</w:t>
      </w:r>
      <w:r w:rsidRPr="00DE79CE">
        <w:rPr>
          <w:rFonts w:cs="Times New Roman"/>
        </w:rPr>
        <w:t xml:space="preserve"> be of use when assessing how to meet </w:t>
      </w:r>
      <w:r>
        <w:rPr>
          <w:rFonts w:cs="Times New Roman"/>
        </w:rPr>
        <w:t>multiple international targets of both</w:t>
      </w:r>
      <w:r w:rsidRPr="00DE79CE">
        <w:rPr>
          <w:rFonts w:cs="Times New Roman"/>
        </w:rPr>
        <w:t xml:space="preserve"> societal development and biodiversity. Some studies explicitly highlight the Sustainable Development Goals</w:t>
      </w:r>
      <w:r>
        <w:rPr>
          <w:rFonts w:cs="Times New Roman"/>
        </w:rPr>
        <w:t xml:space="preserve"> (SDGs)</w:t>
      </w:r>
      <w:r w:rsidRPr="00DE79CE">
        <w:rPr>
          <w:rFonts w:cs="Times New Roman"/>
        </w:rPr>
        <w:t xml:space="preserve">, </w:t>
      </w:r>
      <w:r>
        <w:rPr>
          <w:rFonts w:cs="Times New Roman"/>
        </w:rPr>
        <w:t>and in particular</w:t>
      </w:r>
      <w:r w:rsidRPr="00DE79CE">
        <w:rPr>
          <w:rFonts w:cs="Times New Roman"/>
        </w:rPr>
        <w:t xml:space="preserve"> the biodiversity aspects. Many, though not all, studies provide a continuous timeline of change under multiple scenarios, so relevant dates such as 2030 and 2050 can be extracted and compared. The 2050 Vision is focussed on biodiversity, and hence of most relevance to Sustainable Development Goals 13 and 14, though as biodiversity underpins sustainable development, many other goals are indirectly </w:t>
      </w:r>
      <w:r>
        <w:rPr>
          <w:rFonts w:cs="Times New Roman"/>
        </w:rPr>
        <w:t>linked</w:t>
      </w:r>
      <w:r w:rsidRPr="00DE79CE">
        <w:rPr>
          <w:rFonts w:cs="Times New Roman"/>
        </w:rPr>
        <w:t>. The 2050 Vision appears consistent with meeting SDGs 13 and 14, though trade-offs between biodiversity and other SDGs have not been broadly explored. Initiatives such as The World in 2050</w:t>
      </w:r>
      <w:r>
        <w:rPr>
          <w:rFonts w:cs="Times New Roman"/>
        </w:rPr>
        <w:t xml:space="preserve"> (TWI2050)</w:t>
      </w:r>
      <w:r w:rsidRPr="00DE79CE">
        <w:rPr>
          <w:rFonts w:cs="Times New Roman"/>
        </w:rPr>
        <w:t xml:space="preserve">, which aims to ‘provide fact-based knowledge to support the policy process and implementation of the 2030 Agenda’ are also relevant </w:t>
      </w:r>
      <w:r>
        <w:rPr>
          <w:rFonts w:cs="Times New Roman"/>
        </w:rPr>
        <w:t>for</w:t>
      </w:r>
      <w:r w:rsidRPr="00DE79CE">
        <w:rPr>
          <w:rFonts w:cs="Times New Roman"/>
        </w:rPr>
        <w:t xml:space="preserve"> assessing the best pathways to achieve all SDGs with the minimum of trade-offs, and </w:t>
      </w:r>
      <w:r>
        <w:rPr>
          <w:rFonts w:cs="Times New Roman"/>
        </w:rPr>
        <w:t xml:space="preserve">when </w:t>
      </w:r>
      <w:r w:rsidRPr="00DE79CE">
        <w:rPr>
          <w:rFonts w:cs="Times New Roman"/>
        </w:rPr>
        <w:t xml:space="preserve">moving from the 2030 SDGs to the 2050 Vision and beyond. The goal for 2050 and beyond </w:t>
      </w:r>
      <w:r>
        <w:rPr>
          <w:rFonts w:cs="Times New Roman"/>
        </w:rPr>
        <w:t xml:space="preserve">in TWI2050 </w:t>
      </w:r>
      <w:r w:rsidRPr="00DE79CE">
        <w:rPr>
          <w:rFonts w:cs="Times New Roman"/>
        </w:rPr>
        <w:t>is social and economic sustainability within a stable earth system through a ‘sustainability transformation’ that maintains the human enterprise within planetary boundaries. The pathways identified through TWI2050 may be useful in achieving the 2050 Vision within a broad human-development context.</w:t>
      </w:r>
      <w:r>
        <w:rPr>
          <w:rFonts w:cs="Times New Roman"/>
        </w:rPr>
        <w:t xml:space="preserve"> </w:t>
      </w:r>
      <w:r w:rsidRPr="00DE79CE">
        <w:rPr>
          <w:rFonts w:cs="Times New Roman"/>
        </w:rPr>
        <w:t xml:space="preserve">Similarly, the biodiversity-centric scenarios under development by IPBES will be of relevance in terms of positioning ecosystems as a central feature of scenarios (rather than an outcome), and thus likely to be of use for </w:t>
      </w:r>
      <w:r>
        <w:rPr>
          <w:rFonts w:cs="Times New Roman"/>
        </w:rPr>
        <w:t>examining</w:t>
      </w:r>
      <w:r w:rsidRPr="00DE79CE">
        <w:rPr>
          <w:rFonts w:cs="Times New Roman"/>
        </w:rPr>
        <w:t xml:space="preserve"> pathways towards the 2050 Vision. </w:t>
      </w:r>
    </w:p>
    <w:p w14:paraId="319A19D6" w14:textId="2F7BFC3D" w:rsidR="00F1283E" w:rsidRPr="007D4F66" w:rsidRDefault="00F1283E" w:rsidP="00724052">
      <w:pPr>
        <w:pStyle w:val="ListParagraph"/>
        <w:numPr>
          <w:ilvl w:val="0"/>
          <w:numId w:val="4"/>
        </w:numPr>
        <w:spacing w:after="240"/>
        <w:contextualSpacing w:val="0"/>
        <w:rPr>
          <w:rFonts w:cs="Times New Roman"/>
        </w:rPr>
      </w:pPr>
      <w:r w:rsidRPr="007D4F66">
        <w:rPr>
          <w:rFonts w:cs="Times New Roman"/>
        </w:rPr>
        <w:t xml:space="preserve">From the scientific studies surveyed in this document, the 2050 Vision may act as a longer-term ‘context’ for the 2030 SDGs, particularly those focussed around biodiversity, and could be considered part of an even longer-term strategy for biodiversity by providing a stepping-stone towards 2100 and beyond. </w:t>
      </w:r>
    </w:p>
    <w:p w14:paraId="7FDDEE72" w14:textId="77777777" w:rsidR="00F1283E" w:rsidRDefault="00F1283E" w:rsidP="00F1283E">
      <w:pPr>
        <w:pStyle w:val="ListParagraph"/>
        <w:ind w:left="360"/>
        <w:jc w:val="center"/>
        <w:rPr>
          <w:rFonts w:ascii="Times New Roman Bold" w:hAnsi="Times New Roman Bold" w:cs="Times New Roman"/>
          <w:b/>
          <w:caps/>
        </w:rPr>
      </w:pPr>
      <w:r>
        <w:rPr>
          <w:rFonts w:ascii="Times New Roman Bold" w:hAnsi="Times New Roman Bold" w:cs="Times New Roman"/>
          <w:b/>
          <w:caps/>
        </w:rPr>
        <w:br w:type="column"/>
      </w:r>
      <w:r>
        <w:rPr>
          <w:rFonts w:ascii="Times New Roman Bold" w:hAnsi="Times New Roman Bold" w:cs="Times New Roman"/>
          <w:b/>
          <w:caps/>
        </w:rPr>
        <w:lastRenderedPageBreak/>
        <w:t>V</w:t>
      </w:r>
      <w:r w:rsidRPr="0093487F">
        <w:rPr>
          <w:rFonts w:ascii="Times New Roman Bold" w:hAnsi="Times New Roman Bold" w:cs="Times New Roman"/>
          <w:b/>
          <w:caps/>
        </w:rPr>
        <w:t xml:space="preserve">. </w:t>
      </w:r>
      <w:r>
        <w:rPr>
          <w:rFonts w:ascii="Times New Roman Bold" w:hAnsi="Times New Roman Bold" w:cs="Times New Roman"/>
          <w:b/>
          <w:caps/>
        </w:rPr>
        <w:t>REFERENCES</w:t>
      </w:r>
    </w:p>
    <w:p w14:paraId="0011851A" w14:textId="77777777" w:rsidR="00F1283E" w:rsidRDefault="00F1283E" w:rsidP="00F1283E">
      <w:pPr>
        <w:widowControl w:val="0"/>
        <w:autoSpaceDE w:val="0"/>
        <w:autoSpaceDN w:val="0"/>
        <w:adjustRightInd w:val="0"/>
        <w:spacing w:after="240"/>
        <w:rPr>
          <w:rFonts w:cs="Times New Roman"/>
        </w:rPr>
      </w:pPr>
      <w:r w:rsidRPr="0000759A">
        <w:rPr>
          <w:rFonts w:cs="Times New Roman"/>
        </w:rPr>
        <w:t>Barange, M., Merino, G., Blanchard, J. L., Scholtens, J., Harle, J., Allison, E. H., Allen, J. I., Holt, J. and Jennings, S.: Impacts of climate change on marine ecosystem production in societies dependent on fisheries, Nat. Clim. Chang., 4(3), 211–216, doi:10.1038/NCLIMATE2119, 2014.</w:t>
      </w:r>
    </w:p>
    <w:p w14:paraId="3B2BE952" w14:textId="77777777" w:rsidR="00F1283E" w:rsidRPr="0000759A" w:rsidRDefault="00F1283E" w:rsidP="00F1283E">
      <w:pPr>
        <w:widowControl w:val="0"/>
        <w:autoSpaceDE w:val="0"/>
        <w:autoSpaceDN w:val="0"/>
        <w:adjustRightInd w:val="0"/>
        <w:spacing w:after="240"/>
        <w:rPr>
          <w:rFonts w:cs="Times New Roman"/>
        </w:rPr>
      </w:pPr>
      <w:r>
        <w:rPr>
          <w:rFonts w:cs="Times New Roman"/>
        </w:rPr>
        <w:t>Bellard, C., Leclerc, C., Leroy, B., Bakkenes, M. Veloz, S., Thuiller, W. &amp; Courchamp, F.: Vulnerability of biodiversity hotspots to global change. Glob. Ecol. Biogeog., 23, 1376-1387, 2014.</w:t>
      </w:r>
    </w:p>
    <w:p w14:paraId="1EA2D572" w14:textId="77777777" w:rsidR="00F1283E" w:rsidRDefault="00F1283E" w:rsidP="00F1283E">
      <w:pPr>
        <w:widowControl w:val="0"/>
        <w:autoSpaceDE w:val="0"/>
        <w:autoSpaceDN w:val="0"/>
        <w:adjustRightInd w:val="0"/>
        <w:spacing w:after="240"/>
        <w:rPr>
          <w:rFonts w:cs="Times New Roman"/>
        </w:rPr>
      </w:pPr>
      <w:r w:rsidRPr="0000759A">
        <w:rPr>
          <w:rFonts w:cs="Times New Roman"/>
        </w:rPr>
        <w:t>Blanchard, J. L., Watson, R. A., Fulton, E. A., Cottrell, R. S., Nash, K. L., Bryndum-Buchholz, A., Büchner, M., Carozza, D. A., Cheung, W. W. L., Elliott, J., Davidson, L. N. K., Dulvy, N. K., Dunne, J. P., Eddy, T. D., Galbraith, E., Lotze, H. K., Maury, O., Müller, C., Tittensor, D. P. and Jennings, S.: Linked sustainability challenges and trade-offs among fisheries, aquaculture and agriculture, Nat. Ecol. Evol., 1(9), 1240–1249, doi:10.1038/s41559-017-0258-8, 2017.</w:t>
      </w:r>
    </w:p>
    <w:p w14:paraId="67E331AE" w14:textId="77777777" w:rsidR="00F1283E" w:rsidRDefault="00F1283E" w:rsidP="00F1283E">
      <w:pPr>
        <w:widowControl w:val="0"/>
        <w:autoSpaceDE w:val="0"/>
        <w:autoSpaceDN w:val="0"/>
        <w:adjustRightInd w:val="0"/>
        <w:spacing w:after="240"/>
        <w:rPr>
          <w:rFonts w:cs="Times New Roman"/>
        </w:rPr>
      </w:pPr>
      <w:r>
        <w:rPr>
          <w:rFonts w:cs="Times New Roman"/>
        </w:rPr>
        <w:t>Bopp, L., Resplandy L., Orr, J. C., Doney, S. C., Dunne, J. P., Gehlen, M., Halloran, P., Heinze, C., Ilyina, T., Sefreian, R., Tjiputra, J. and Vichu, M.: Multiple stressors of ocean ecosystems in the 21</w:t>
      </w:r>
      <w:r w:rsidRPr="00EC27D0">
        <w:rPr>
          <w:rFonts w:cs="Times New Roman"/>
          <w:vertAlign w:val="superscript"/>
        </w:rPr>
        <w:t>st</w:t>
      </w:r>
      <w:r>
        <w:rPr>
          <w:rFonts w:cs="Times New Roman"/>
        </w:rPr>
        <w:t xml:space="preserve"> century: projections with CMIP5 models, Biogeosci., 10, 6225-6245, 2013.</w:t>
      </w:r>
    </w:p>
    <w:p w14:paraId="11F5D40E" w14:textId="77777777" w:rsidR="00F1283E" w:rsidRDefault="00F1283E" w:rsidP="00F1283E">
      <w:pPr>
        <w:widowControl w:val="0"/>
        <w:autoSpaceDE w:val="0"/>
        <w:autoSpaceDN w:val="0"/>
        <w:adjustRightInd w:val="0"/>
        <w:spacing w:after="240"/>
        <w:rPr>
          <w:rFonts w:cs="Times New Roman"/>
        </w:rPr>
      </w:pPr>
      <w:r>
        <w:rPr>
          <w:rFonts w:cs="Times New Roman"/>
        </w:rPr>
        <w:t>Burke, L., Reytar, K., Spalding, M. and Perry, A.: Reefs at risk revisited, World Resources Institute, Washington D. C., 2011.</w:t>
      </w:r>
    </w:p>
    <w:p w14:paraId="1ED4C985" w14:textId="77777777" w:rsidR="00F1283E" w:rsidRDefault="00F1283E" w:rsidP="00F1283E">
      <w:pPr>
        <w:widowControl w:val="0"/>
        <w:autoSpaceDE w:val="0"/>
        <w:autoSpaceDN w:val="0"/>
        <w:adjustRightInd w:val="0"/>
        <w:spacing w:after="240"/>
        <w:rPr>
          <w:rFonts w:cs="Times New Roman"/>
        </w:rPr>
      </w:pPr>
      <w:r>
        <w:rPr>
          <w:rFonts w:cs="Times New Roman"/>
        </w:rPr>
        <w:t>Cardinale, B. J., Duffy, J. E., Gonzalez, A., Hooper, D. U., Perrings, C., Venail, P., Narwani, A., Mace, G. M., Tilman, D., Wardle, D. A., Kinzig, A. P., Daily, G. C., Loreau, M., Grace, J. B., Larigauderie, A., Srivastava, D. S. and Naeem, S.: Biodiversity loss and its impact on humanity, Nature, 486: 59-67, 2012.</w:t>
      </w:r>
    </w:p>
    <w:p w14:paraId="6443C224" w14:textId="77777777" w:rsidR="00F1283E" w:rsidRPr="0000759A" w:rsidRDefault="00F1283E" w:rsidP="00F1283E">
      <w:pPr>
        <w:widowControl w:val="0"/>
        <w:autoSpaceDE w:val="0"/>
        <w:autoSpaceDN w:val="0"/>
        <w:adjustRightInd w:val="0"/>
        <w:spacing w:after="240"/>
        <w:rPr>
          <w:rFonts w:cs="Times New Roman"/>
        </w:rPr>
      </w:pPr>
      <w:r>
        <w:rPr>
          <w:rFonts w:cs="Times New Roman"/>
        </w:rPr>
        <w:t xml:space="preserve">Chaudhary, A. and Brooks, T. M.: National consumption and global trade impacts on biodiversity, World Dev., </w:t>
      </w:r>
      <w:r w:rsidRPr="00267525">
        <w:rPr>
          <w:rFonts w:cs="Times New Roman"/>
          <w:i/>
        </w:rPr>
        <w:t>in press</w:t>
      </w:r>
      <w:r>
        <w:rPr>
          <w:rFonts w:cs="Times New Roman"/>
        </w:rPr>
        <w:t>.</w:t>
      </w:r>
    </w:p>
    <w:p w14:paraId="167BBC38" w14:textId="77777777" w:rsidR="00F1283E" w:rsidRPr="00F1283E" w:rsidRDefault="00F1283E" w:rsidP="00F1283E">
      <w:pPr>
        <w:widowControl w:val="0"/>
        <w:autoSpaceDE w:val="0"/>
        <w:autoSpaceDN w:val="0"/>
        <w:adjustRightInd w:val="0"/>
        <w:spacing w:after="240"/>
        <w:rPr>
          <w:rFonts w:cs="Times New Roman"/>
          <w:lang w:val="fr-BE"/>
        </w:rPr>
      </w:pPr>
      <w:r w:rsidRPr="0000759A">
        <w:rPr>
          <w:rFonts w:cs="Times New Roman"/>
        </w:rPr>
        <w:t xml:space="preserve">Chen, P.-Y., Chen, C.-C., Chu, L. and McCarl, B.: Evaluating the economic damage of climate change on global coral reefs, Glob. </w:t>
      </w:r>
      <w:r w:rsidRPr="00F1283E">
        <w:rPr>
          <w:rFonts w:cs="Times New Roman"/>
          <w:lang w:val="fr-BE"/>
        </w:rPr>
        <w:t>Environ. Chang., 30(Supplement C), 12–20, doi:https://doi.org/10.1016/j.gloenvcha.2014.10.011, 2015.</w:t>
      </w:r>
    </w:p>
    <w:p w14:paraId="23F05B5B"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Cheung, W. W. L., Reygondeau, G. and Frölicher, T. L.: Large benefits to marine fisheries of meeting the 1.5</w:t>
      </w:r>
      <w:r>
        <w:rPr>
          <w:rFonts w:cs="Times New Roman"/>
        </w:rPr>
        <w:t>°</w:t>
      </w:r>
      <w:r w:rsidRPr="0000759A">
        <w:rPr>
          <w:rFonts w:cs="Times New Roman"/>
        </w:rPr>
        <w:t>C global warming target, Science (80-. )., 354(6319), 1591–1594, doi:10.1126/science.aag2331, 2016.</w:t>
      </w:r>
    </w:p>
    <w:p w14:paraId="56ED6F93" w14:textId="77777777" w:rsidR="00F1283E" w:rsidRDefault="00F1283E" w:rsidP="00F1283E">
      <w:pPr>
        <w:widowControl w:val="0"/>
        <w:autoSpaceDE w:val="0"/>
        <w:autoSpaceDN w:val="0"/>
        <w:adjustRightInd w:val="0"/>
        <w:spacing w:after="240"/>
        <w:rPr>
          <w:rFonts w:cs="Times New Roman"/>
        </w:rPr>
      </w:pPr>
      <w:r w:rsidRPr="0000759A">
        <w:rPr>
          <w:rFonts w:cs="Times New Roman"/>
        </w:rPr>
        <w:t>Costello, C., Ovando, D., Clavelle, T., Strauss, C. K., Hilborn, R., Melnychuk, M. C., Branch, T. A., Gaines, S. D., Szuwalski, C. S., Cabral, R. B., Rader, D. N. and Leland, A.: Global fishery prospects under contrasting management regimes, , d</w:t>
      </w:r>
      <w:r>
        <w:rPr>
          <w:rFonts w:cs="Times New Roman"/>
        </w:rPr>
        <w:t>oi:10.1073/pnas.1520420113, 2016.</w:t>
      </w:r>
    </w:p>
    <w:p w14:paraId="6DDE391C" w14:textId="77777777" w:rsidR="00F1283E" w:rsidRPr="0000759A" w:rsidRDefault="00F1283E" w:rsidP="00F1283E">
      <w:pPr>
        <w:widowControl w:val="0"/>
        <w:autoSpaceDE w:val="0"/>
        <w:autoSpaceDN w:val="0"/>
        <w:adjustRightInd w:val="0"/>
        <w:spacing w:after="240"/>
        <w:rPr>
          <w:rFonts w:cs="Times New Roman"/>
        </w:rPr>
      </w:pPr>
      <w:r>
        <w:rPr>
          <w:rFonts w:cs="Times New Roman"/>
        </w:rPr>
        <w:t>Davies-Barnard, T., Valdes, P. J., Singarayer, J. S., Pacifico, F. M. and Jones, C. D.: Full effects of land use change in the representative concentration pathways. Env. Res. Lett., 9, 114014, 2014.</w:t>
      </w:r>
    </w:p>
    <w:p w14:paraId="0141D7CB"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De Vos, J. M., Joppa, L. N., Gittleman, J. L., Stephens, P. R. and Pimm, S. L.: Estimating the normal background rate of species extinction, Conserv. Biol., 29(2), 452–462, doi:10.1111/cobi.12380, 2015.</w:t>
      </w:r>
    </w:p>
    <w:p w14:paraId="56003A85"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Descombes, P., Wisz, M. S., Leprieur, F., Parravicini, V., Heine, C., Olsen, S. M., Swingedouw, D., Kulbicki, M., Mouillot, D. and Pellissier, L.: Forecasted coral reef decline in marine biodiversity hotspots under climate change, Glob. Chang. Biol., 21(7), 2479–2487, doi:10.1111/gcb.12868, 2015.</w:t>
      </w:r>
    </w:p>
    <w:p w14:paraId="61D1EDDC"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Diversity, S. of the C. on B.: Global Biodiversity Outlook 4, Montreal., n.d.</w:t>
      </w:r>
    </w:p>
    <w:p w14:paraId="4D9F0BA7" w14:textId="77777777" w:rsidR="00F1283E" w:rsidRDefault="00F1283E" w:rsidP="00F1283E">
      <w:pPr>
        <w:widowControl w:val="0"/>
        <w:autoSpaceDE w:val="0"/>
        <w:autoSpaceDN w:val="0"/>
        <w:adjustRightInd w:val="0"/>
        <w:spacing w:after="240"/>
        <w:rPr>
          <w:rFonts w:cs="Times New Roman"/>
        </w:rPr>
      </w:pPr>
      <w:r w:rsidRPr="0000759A">
        <w:rPr>
          <w:rFonts w:cs="Times New Roman"/>
        </w:rPr>
        <w:lastRenderedPageBreak/>
        <w:t>Dornelas, M., Gotelli, N. J., McGill, B., Shimadzu, H., Moyes, F., Sievers, C. and Magurran, A. E.: Assemblage time series reveal biodiversity change but not systematic loss, Science (80-. )., 344(6181), 296–299, 2014.</w:t>
      </w:r>
    </w:p>
    <w:p w14:paraId="698EF3BC" w14:textId="77777777" w:rsidR="00F1283E" w:rsidRPr="0000759A" w:rsidRDefault="00F1283E" w:rsidP="00F1283E">
      <w:pPr>
        <w:widowControl w:val="0"/>
        <w:autoSpaceDE w:val="0"/>
        <w:autoSpaceDN w:val="0"/>
        <w:adjustRightInd w:val="0"/>
        <w:spacing w:after="240"/>
        <w:rPr>
          <w:rFonts w:cs="Times New Roman"/>
        </w:rPr>
      </w:pPr>
      <w:r>
        <w:rPr>
          <w:rFonts w:cs="Times New Roman"/>
        </w:rPr>
        <w:t>Duffy, J. E., Godwin, C. M. and Cardinale, B. J.: Biodiversity effects in the wild are common and as strong as key drivers of productivity, Nature, 549, 261-264, 2017.</w:t>
      </w:r>
    </w:p>
    <w:p w14:paraId="2C296CFB" w14:textId="77777777" w:rsidR="00F1283E" w:rsidRDefault="00F1283E" w:rsidP="00F1283E">
      <w:pPr>
        <w:widowControl w:val="0"/>
        <w:autoSpaceDE w:val="0"/>
        <w:autoSpaceDN w:val="0"/>
        <w:adjustRightInd w:val="0"/>
        <w:spacing w:after="240"/>
        <w:rPr>
          <w:rFonts w:cs="Times New Roman"/>
        </w:rPr>
      </w:pPr>
      <w:r>
        <w:rPr>
          <w:rFonts w:cs="Times New Roman"/>
        </w:rPr>
        <w:t>FAO</w:t>
      </w:r>
      <w:r w:rsidRPr="0000759A">
        <w:rPr>
          <w:rFonts w:cs="Times New Roman"/>
        </w:rPr>
        <w:t xml:space="preserve">: The State of World Fisheries and Aquaculture 2016, [online] Available from: http://www.fao.org/3/a-i5555e.pdf </w:t>
      </w:r>
      <w:r>
        <w:rPr>
          <w:rFonts w:cs="Times New Roman"/>
        </w:rPr>
        <w:t>(Accessed 8 November 2017), 2016.</w:t>
      </w:r>
    </w:p>
    <w:p w14:paraId="4C46B26C" w14:textId="77777777" w:rsidR="00F1283E" w:rsidRPr="0000759A" w:rsidRDefault="00F1283E" w:rsidP="00F1283E">
      <w:pPr>
        <w:widowControl w:val="0"/>
        <w:autoSpaceDE w:val="0"/>
        <w:autoSpaceDN w:val="0"/>
        <w:adjustRightInd w:val="0"/>
        <w:spacing w:after="240"/>
        <w:rPr>
          <w:rFonts w:cs="Times New Roman"/>
        </w:rPr>
      </w:pPr>
      <w:r>
        <w:rPr>
          <w:rFonts w:cs="Times New Roman"/>
        </w:rPr>
        <w:t>Fu, W., Randerson, J. T. and Moore, J. K.: Climate change impacts on net primary production (NPP) and export production (EP) regulated by increasing stratification and phytoplankton community structure in the CMIP5 models, Biogeosci., 13, 5151-5170, 2016.</w:t>
      </w:r>
    </w:p>
    <w:p w14:paraId="4F37BFE3" w14:textId="77777777" w:rsidR="00F1283E" w:rsidRDefault="00F1283E" w:rsidP="00F1283E">
      <w:pPr>
        <w:widowControl w:val="0"/>
        <w:autoSpaceDE w:val="0"/>
        <w:autoSpaceDN w:val="0"/>
        <w:adjustRightInd w:val="0"/>
        <w:spacing w:after="240"/>
        <w:rPr>
          <w:rFonts w:cs="Times New Roman"/>
        </w:rPr>
      </w:pPr>
      <w:r w:rsidRPr="0000759A">
        <w:rPr>
          <w:rFonts w:cs="Times New Roman"/>
        </w:rPr>
        <w:t>García Molinos, J., Halpern, B. S., Schoeman, D. S., Brown, C. J., Kiessling, W., Moore, P. J., Pandolfi, J. M., Poloczanska, E. S., Richardson, A. J. and Burrows, M. T.: Climate velocity and the future global redistribution of marine biodiversity, Nat. Clim. Chang., 6(1), 83–88, doi:10.1038/nclimate2769, 2015.</w:t>
      </w:r>
    </w:p>
    <w:p w14:paraId="28C93B76" w14:textId="77777777" w:rsidR="00F1283E" w:rsidRDefault="00F1283E" w:rsidP="00F1283E">
      <w:pPr>
        <w:widowControl w:val="0"/>
        <w:autoSpaceDE w:val="0"/>
        <w:autoSpaceDN w:val="0"/>
        <w:adjustRightInd w:val="0"/>
        <w:spacing w:after="240"/>
        <w:rPr>
          <w:rFonts w:cs="Times New Roman"/>
        </w:rPr>
      </w:pPr>
      <w:r>
        <w:rPr>
          <w:rFonts w:cs="Times New Roman"/>
        </w:rPr>
        <w:t>Geldmann, J., Coad, L., Barnes, M. D., Craigie, I. D., Woodley, S., Balmford, A., Brooks, T. M., Hockings, M., Knights K., Mascia, M. B., McRae, L. &amp; Burgess, N. D.: A global analysis of management capacity and ecological outcomes in terrestrial protected areas, Cons. Lett., doi: 10.1111/conl.12434, 2018.</w:t>
      </w:r>
    </w:p>
    <w:p w14:paraId="4AFAE918" w14:textId="77777777" w:rsidR="00F1283E" w:rsidRPr="0000759A" w:rsidRDefault="00F1283E" w:rsidP="00F1283E">
      <w:pPr>
        <w:widowControl w:val="0"/>
        <w:autoSpaceDE w:val="0"/>
        <w:autoSpaceDN w:val="0"/>
        <w:adjustRightInd w:val="0"/>
        <w:spacing w:after="240"/>
        <w:rPr>
          <w:rFonts w:cs="Times New Roman"/>
        </w:rPr>
      </w:pPr>
      <w:r>
        <w:rPr>
          <w:rFonts w:cs="Times New Roman"/>
        </w:rPr>
        <w:t>Gill, D. A. Mascia, M. B., Ahmadia, G. N., Glew, L., Lester, S. E., Barnes, M., Craigie, I., Darling, E. S., Free, C. M., Geldmann, J., Holst, S., Jensen, O. P., White, A. T., Basurto, X., Coad, L., Gates, R. D., Guannel, G., Mumby, P. J., Thomas, H., Whitmee, S., Woodley, S. &amp; Fox, H. E.: Capacity shortfalls hinder the performance of marine protected areas globally, Nature, 543: 665-669, 2017.</w:t>
      </w:r>
    </w:p>
    <w:p w14:paraId="16CD25A6" w14:textId="77777777" w:rsidR="00F1283E" w:rsidRDefault="00F1283E" w:rsidP="00F1283E">
      <w:pPr>
        <w:widowControl w:val="0"/>
        <w:autoSpaceDE w:val="0"/>
        <w:autoSpaceDN w:val="0"/>
        <w:adjustRightInd w:val="0"/>
        <w:spacing w:after="240"/>
        <w:rPr>
          <w:rFonts w:cs="Times New Roman"/>
        </w:rPr>
      </w:pPr>
      <w:r w:rsidRPr="0000759A">
        <w:rPr>
          <w:rFonts w:cs="Times New Roman"/>
        </w:rPr>
        <w:t>Hallmann, C. A., Sorg, M., Jongejans, E., Siepel, H., Hofland, N., Schwan, H., Stenmans, W., Müller, A., Sumser, H., Hörren, T., Goulson, D. and de Kroon, H.: More than 75 percent decline over 27 years in total flying insect biomass in protected areas, edited by E. G. Lamb, PLoS One, 12(10), e0185809, doi:10.1371/journal.pone.0185809, 2017.</w:t>
      </w:r>
    </w:p>
    <w:p w14:paraId="572A024F" w14:textId="77777777" w:rsidR="00F1283E" w:rsidRPr="0000759A" w:rsidRDefault="00F1283E" w:rsidP="00F1283E">
      <w:pPr>
        <w:widowControl w:val="0"/>
        <w:autoSpaceDE w:val="0"/>
        <w:autoSpaceDN w:val="0"/>
        <w:adjustRightInd w:val="0"/>
        <w:spacing w:after="240"/>
        <w:rPr>
          <w:rFonts w:cs="Times New Roman"/>
        </w:rPr>
      </w:pPr>
      <w:r>
        <w:rPr>
          <w:rFonts w:cs="Times New Roman"/>
        </w:rPr>
        <w:t>Harrison, P. A., Berry, P. M., Simpson, G., Haslett, J. R., Blicharska, M., Bucur, M., Dunford, R., Egoh, B., Garcia-Llorente, M., Geamana, N., Geertsema, W., Lommelen, E. Meiresonne, L. and Turkelboom, F.: Linkages between biodiversity attributes and ecosystem services: a systematic review, Ecosys. Serv., 9, 191-203: 2014.</w:t>
      </w:r>
    </w:p>
    <w:p w14:paraId="01A7629A"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Hughes, T. P., Barnes, M. L., Bellwood, D. R., Cinner, J. E., Cumming, G. S., Jackson, J. B. C., Kleypas, J., van de Leemput, I. A., Lough, J. M., Morrison, T. H., Palumbi, S. R., van Nes, E. H. and Scheffer, M.: Coral reefs in the Anthropocene, Nature, 546(7656), 82–90, doi:10.1038/nature22901, 2017.</w:t>
      </w:r>
    </w:p>
    <w:p w14:paraId="0D7E4F84" w14:textId="77777777" w:rsidR="00F1283E" w:rsidRDefault="00F1283E" w:rsidP="00F1283E">
      <w:pPr>
        <w:widowControl w:val="0"/>
        <w:autoSpaceDE w:val="0"/>
        <w:autoSpaceDN w:val="0"/>
        <w:adjustRightInd w:val="0"/>
        <w:spacing w:after="240"/>
        <w:rPr>
          <w:rFonts w:cs="Times New Roman"/>
        </w:rPr>
      </w:pPr>
      <w:r w:rsidRPr="0000759A">
        <w:rPr>
          <w:rFonts w:cs="Times New Roman"/>
        </w:rPr>
        <w:t>IPBES: The Methodological assessment report on scenarios and models of biodiversity and ecosystem services., Bonn, Germany., 2016.</w:t>
      </w:r>
    </w:p>
    <w:p w14:paraId="41BD3CD1" w14:textId="77777777" w:rsidR="00F1283E" w:rsidRPr="003D49C6" w:rsidRDefault="00F1283E" w:rsidP="00F1283E">
      <w:pPr>
        <w:widowControl w:val="0"/>
        <w:autoSpaceDE w:val="0"/>
        <w:autoSpaceDN w:val="0"/>
        <w:adjustRightInd w:val="0"/>
        <w:spacing w:after="240"/>
        <w:rPr>
          <w:rFonts w:cs="Times New Roman"/>
        </w:rPr>
      </w:pPr>
      <w:r>
        <w:rPr>
          <w:rFonts w:cs="Times New Roman"/>
        </w:rPr>
        <w:t>IPCC: Climate change 2013: T</w:t>
      </w:r>
      <w:r w:rsidRPr="003D49C6">
        <w:rPr>
          <w:rFonts w:cs="Times New Roman"/>
        </w:rPr>
        <w:t>he physical science basis. Contribution of working group I to the fifth assessment report of the Intergovernmental Panel on Climate Change</w:t>
      </w:r>
      <w:r>
        <w:rPr>
          <w:rFonts w:cs="Times New Roman"/>
        </w:rPr>
        <w:t>, Cambridge University Press, Cambridge, 2013.</w:t>
      </w:r>
    </w:p>
    <w:p w14:paraId="13D2F64F"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 xml:space="preserve">IUCN: The IUCN Red List of Threatened Species. Version 2017-2. [online] Available from: </w:t>
      </w:r>
      <w:r w:rsidRPr="0000759A">
        <w:rPr>
          <w:rFonts w:cs="Times New Roman"/>
        </w:rPr>
        <w:lastRenderedPageBreak/>
        <w:t>www.iucnredlist.org, 2017.</w:t>
      </w:r>
    </w:p>
    <w:p w14:paraId="1F3FDE5D"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 xml:space="preserve">Jantz, S. M., Barker, B., Brooks, T. M., Chini, L. P., Huang, Q., Moore, R. M., Noel, J. and Hurtt, G. C.: Future habitat loss and extinctions driven by </w:t>
      </w:r>
      <w:r>
        <w:rPr>
          <w:rFonts w:cs="Times New Roman"/>
        </w:rPr>
        <w:t>land use</w:t>
      </w:r>
      <w:r w:rsidRPr="0000759A">
        <w:rPr>
          <w:rFonts w:cs="Times New Roman"/>
        </w:rPr>
        <w:t xml:space="preserve"> change in biodiversity hotspots under four scenarios of climate-change mitigation, Conserv. Biol., 29(4), 1122–1131, doi:10.1111/cobi.12549, 2015.</w:t>
      </w:r>
    </w:p>
    <w:p w14:paraId="704248F5"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Januchowski-Hartley, S. R., Holtz, L. A., Martinuzzi, S., McIntyre, P. B., Radeloff, V. C. and Pracheil, B. M.: Future land use threats to range-restricted fish species in the United States, Divers. Distrib., 22(6), 663–671, doi:10.1111/ddi.12431, 2016.</w:t>
      </w:r>
    </w:p>
    <w:p w14:paraId="39F5E188"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Jones, M. C. and Cheung, W. W. L.: Multi-model ensemble projections of climat change effects on global marine biodiversity, ICES J, 72(3), 741–752, 2015.</w:t>
      </w:r>
    </w:p>
    <w:p w14:paraId="28D9E211"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Knouft, J. H. and Ficklin, D. L.: The Potential Impacts of Climate Change on Biodiversity in Flowing Freshwater Systems, Annu. Rev. Ecol. Evol. Syst., 48(1), annurev-ecolsys-110316-022803, doi:10.1146/annurev-ecolsys-110316-022803, 2017.</w:t>
      </w:r>
    </w:p>
    <w:p w14:paraId="49C280D7"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Lam, V. W. Y., Cheung, W. W. L., Reygondeau, G. and Sumaila, U. R.: Projected change in global fisheries revenues under climate change, Sci. Rep., 6(1), 32607, doi:10.1038/srep32607, 2016.</w:t>
      </w:r>
    </w:p>
    <w:p w14:paraId="45D589B4" w14:textId="77777777" w:rsidR="00F1283E" w:rsidRDefault="00F1283E" w:rsidP="00F1283E">
      <w:pPr>
        <w:widowControl w:val="0"/>
        <w:autoSpaceDE w:val="0"/>
        <w:autoSpaceDN w:val="0"/>
        <w:adjustRightInd w:val="0"/>
        <w:spacing w:after="240"/>
        <w:rPr>
          <w:rFonts w:cs="Times New Roman"/>
        </w:rPr>
      </w:pPr>
      <w:r>
        <w:rPr>
          <w:rFonts w:cs="Times New Roman"/>
        </w:rPr>
        <w:t>Laufkötter, C., Vogt, M., Gruber, N., Aita-Noguchi, M., Aumont, O., Bopp, L., Buitenhuis, E., Doney, S. C., Dunne, J., Hashioka, T., Hauck, K., Hirata, T., John, J., Le Quéré, C., Lima, I. D., Nakano, H., Seferian R., Totterdell, I., Vichi, M., and Völker, C.: Drivers and uncertainties of future global marine primary production in marine ecosystem models, Biogeosci., 12, 6955-6984, 2015.</w:t>
      </w:r>
    </w:p>
    <w:p w14:paraId="2C1090D0"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 xml:space="preserve">Leadley, P. W., Krug, C. B., Alkemade, R., Pereira, H. M., Sumaila, U. R., Walpole, M., Marques, A., Newbold, T., Teh, L. S. L., Kolck, J., Bellard, C., Januchowski-Hartley, S. R. and Mumby, P. J.: </w:t>
      </w:r>
      <w:r>
        <w:rPr>
          <w:rFonts w:cs="Times New Roman"/>
        </w:rPr>
        <w:t xml:space="preserve">Progress towards the Aichi biodiversity targets: an assessment of biodiversity trends, policy scenarios and key actions, </w:t>
      </w:r>
      <w:r w:rsidRPr="0000759A">
        <w:rPr>
          <w:rFonts w:cs="Times New Roman"/>
        </w:rPr>
        <w:t>Global Biodiversity Outlook 4 (GBO-4) Technical Report, [online] Available from: http://www.cbd.int/ (Accessed 9 November 2017), 2014.</w:t>
      </w:r>
    </w:p>
    <w:p w14:paraId="12904DE9" w14:textId="77777777" w:rsidR="00F1283E" w:rsidRPr="0000759A" w:rsidRDefault="00F1283E" w:rsidP="00F1283E">
      <w:pPr>
        <w:widowControl w:val="0"/>
        <w:autoSpaceDE w:val="0"/>
        <w:autoSpaceDN w:val="0"/>
        <w:adjustRightInd w:val="0"/>
        <w:spacing w:after="240"/>
        <w:rPr>
          <w:rFonts w:cs="Times New Roman"/>
        </w:rPr>
      </w:pPr>
      <w:r>
        <w:rPr>
          <w:rFonts w:cs="Times New Roman"/>
        </w:rPr>
        <w:t>Mantyka-Pringle, C. S. Visconti, P., Di Marco, M., Martin, T. G., Rondinini, C. and Rhodes, J. R.</w:t>
      </w:r>
      <w:r w:rsidRPr="0000759A">
        <w:rPr>
          <w:rFonts w:cs="Times New Roman"/>
        </w:rPr>
        <w:t>: Climate change modifies risk of global biodiversity loss due to land-cover change, Biol. Conserv., 187, 103–111, doi:10.</w:t>
      </w:r>
      <w:r>
        <w:rPr>
          <w:rFonts w:cs="Times New Roman"/>
        </w:rPr>
        <w:t>1016/J.BIOCON.2015.04.016, 2015</w:t>
      </w:r>
      <w:r w:rsidRPr="0000759A">
        <w:rPr>
          <w:rFonts w:cs="Times New Roman"/>
        </w:rPr>
        <w:t>.</w:t>
      </w:r>
    </w:p>
    <w:p w14:paraId="4509AF06"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Markovic, D., Carrizo, S., Freyhof, J., Cid, N., Lengyel, S., Scholz, M., Kasperdius, H. and Darwall, W.: Europe’s freshwater biodiversity under climate change: distribution shifts and conservation needs, edited by D. Richardson, Divers. Distrib., 20(9), 1097–1107, doi:10.1111/ddi.12232, 2014.</w:t>
      </w:r>
    </w:p>
    <w:p w14:paraId="1F8C48AE"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Maury, O., Campling, L., Arrizabalaga, H., Aumont, O., Bopp, L., Merino, G., Squire, D., Cheung, W., Goujon, M., Guivarch, C., Lefort, S., Marsac, F., Monteagudo, P., Murtugudde, R., Ősterblom, H., Pulvenis, J. F., Ye, Y. and van Ruijven, B. J.: From shared socio-economic pathways (SSPs) to oceanic system pathways (OSPs): Building policy-relevant scenarios for global oceanic ecosystems and fisheries, Glob. Environ. Chang., 45, 203–216, doi:10.1016/J.GLOENVCHA.2017.06.007, 2017.</w:t>
      </w:r>
    </w:p>
    <w:p w14:paraId="63CD0A55"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Miraldo, A., Li, S., Borregaard, M. K., Flórez-Rodríguez, A., Gopalakrishnan, S., Rizvanovic, M., Wang, Z., Rahbek, C., Marske, K. A. and Nogués-Bravo, D.: An Anthropocene map of genetic diversity., Science, 353(6307), 1532–1535, doi:10.1126/science.aaf4381, 2016.</w:t>
      </w:r>
    </w:p>
    <w:p w14:paraId="4C1257E3"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 xml:space="preserve">Newbold, T., Hudson, L. N., Hill, S. L. L., Contu, S., Lysenko, I., Senior, R. A., Börger, L., Bennett, D. J., Choimes, A., Collen, B., Day, J., De Palma, A., Díaz, S., Echeverria-Londoño, S., Edgar, M. J., </w:t>
      </w:r>
      <w:r w:rsidRPr="0000759A">
        <w:rPr>
          <w:rFonts w:cs="Times New Roman"/>
        </w:rPr>
        <w:lastRenderedPageBreak/>
        <w:t>Feldman, A., Garon, M., Harrison, M. L. K., Alhusseini, T., Ingram, D. J., Itescu, Y., Kattge, J., Kemp, V., Kirkpatrick, L., Kleyer, M., Correia, D. L. P., Martin, C. D., Meiri, S., Novosolov, M., Pan, Y., Phillips, H. R. P., Purves, D. W., Robinson, A., Simpson, J., Tuck, S. L., Weiher, E., White, H. J., Ewers, R. M., Mace, G. M., Scharlemann, J. P. W. and Purvis, A.: Global effects of land use on local terrestrial biodiversity, Nature, 520(7545), 45–50</w:t>
      </w:r>
      <w:r>
        <w:rPr>
          <w:rFonts w:cs="Times New Roman"/>
        </w:rPr>
        <w:t>, doi:10.1038/nature14324, 2015</w:t>
      </w:r>
      <w:r w:rsidRPr="0000759A">
        <w:rPr>
          <w:rFonts w:cs="Times New Roman"/>
        </w:rPr>
        <w:t>.</w:t>
      </w:r>
    </w:p>
    <w:p w14:paraId="76C286B7"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Newbold, T., Hudson, L. N., Arnell, A. P., Contu, S., De Palma, A., Ferrier, S., Hill, S. L. L., Hoskins, A. J., Lysenko, I., Phillips, H. R. P., Burton, V. J., Chng, C. W. T., Emerson, S., Gao, D., Pask-Hale, G., Hutton, J., Jung, M., Sanchez-Ortiz, K., Simmons, B. I., Whitmee, S., Zhang, H., Scharlemann, J. P. W. and Purvis, A.: Has land use pushed terrestrial biodiversity beyond the planetary boundary? A global assessment., Science, 353(6296), 288–91, doi:10.1126/science.aaf2201, 2016.</w:t>
      </w:r>
    </w:p>
    <w:p w14:paraId="1FB6FFDC"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O’Neill, B. C., Kriegler, E., Riahi, K., Ebi, K. L., Hallegatte, S., Carter, T. R., Mathur, R. and Vuuren, D. P.: A new scenario framework for climate change research: the concept of shared socioeconomic pathways, Clim. Change, 122(3), 387–400, doi:10.1007/s10584-013-0905-2, 2013.</w:t>
      </w:r>
    </w:p>
    <w:p w14:paraId="4A826B9F"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Pauly, D. and Zeller, D.: Catch reconstructions reveal that global marine fisheries catches are higher than reported and declining, Nat. Commun., 7, doi:10.1038/ncomms10244, 2016.</w:t>
      </w:r>
    </w:p>
    <w:p w14:paraId="08677E4B"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Pecl, G. T., Araújo, M. B., Bell, J. D., Blanchard, J., Bonebrake, T. C., Chen, I.-C., Clark, T. D., Colwell, R. K., Danielsen, F., Evengård, B., Falconi, L., Ferrier, S., Frusher, S., Garcia, R. A., Griffis, R. B., Hobday, A. J., Janion-Scheepers, C., Jarzyna, M. A., Jennings, S., Lenoir, J., Linnetved, H. I., Martin, V. Y., McCormack, P. C., McDonald, J., Mitchell, N. J., Mustonen, T., Pandolfi, J. M., Pettorelli, N., Popova, E., Robinson, S. A., Scheffers, B. R., Shaw, J. D., Sorte, C. J. B., Strugnell, J. M., Sunday, J. M., Tuanmu, M.-N., Vergés, A., Villanueva, C., Wernberg, T., Wapstra, E. and Williams, S. E.: Biodiversity redistribution under climate change: Impacts on ecosystems and human well-being., Science, 355(6332), eaai9214, doi:10.1126/science.aai9214, 2017.</w:t>
      </w:r>
    </w:p>
    <w:p w14:paraId="0564BA53"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Regan, E. C., Santini, L., Ingwall-King, L., Hoffmann, M., Rondinini, C., Symes, A., Taylor, J. and Butchart, S. H. M.: Global Trends in the Status of Bird and Mammal Pollinators, Conserv. Lett., 8(6), 397–403, doi:10.1111/conl.12162, 2015.</w:t>
      </w:r>
    </w:p>
    <w:p w14:paraId="044CA2AD"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Rosa, I. M. D., Pereira, H. M., Ferrier, S., Alkemade, R., Acosta, L. A., Akcakaya, H. R., den Belder, E., Fazel, A. M., Fujimori, S., Harfoot, M., Harhash, K. A., Harrison, P. A., Hauck, J., Hendriks, R. J. J., Hernández, G., Jetz, W., Karlsson-Vinkhuyzen, S. I., Kim, H., King, N., Kok, M. T. J., Kolomytsev, G. O., Lazarova, T., Leadley, P., Lundquist, C. J., García Márquez, J., Meyer, C., Navarro, L. M., Nesshöver, C., Ngo, H. T., Ninan, K. N., Palomo, M. G., Pereira, L. M., Peterson, G. D., Pichs, R., Popp, A., Purvis, A., Ravera, F., Rondinini, C., Sathyapalan, J., Schipper, A. M., Seppelt, R., Settele, J., Sitas, N. and van Vuuren, D.: Multiscale scenarios for nature futures, Nat. Ecol. Evol., 1(10), 1416–1419, doi:10.1038/s41559-017-0273-9, 2017.</w:t>
      </w:r>
    </w:p>
    <w:p w14:paraId="0B0973E2" w14:textId="77777777" w:rsidR="00F1283E" w:rsidRDefault="00F1283E" w:rsidP="00F1283E">
      <w:pPr>
        <w:widowControl w:val="0"/>
        <w:autoSpaceDE w:val="0"/>
        <w:autoSpaceDN w:val="0"/>
        <w:adjustRightInd w:val="0"/>
        <w:spacing w:after="240"/>
        <w:rPr>
          <w:rFonts w:cs="Times New Roman"/>
        </w:rPr>
      </w:pPr>
      <w:r>
        <w:rPr>
          <w:rFonts w:cs="Times New Roman"/>
        </w:rPr>
        <w:t>Secretariat of the Convention on Biological Diversity: Global biodiversity outlook 4. Montréal, Canada, 155 pages, 2014.</w:t>
      </w:r>
    </w:p>
    <w:p w14:paraId="04AF5EF3" w14:textId="77777777" w:rsidR="00F1283E" w:rsidRDefault="00F1283E" w:rsidP="00F1283E">
      <w:pPr>
        <w:widowControl w:val="0"/>
        <w:autoSpaceDE w:val="0"/>
        <w:autoSpaceDN w:val="0"/>
        <w:adjustRightInd w:val="0"/>
        <w:spacing w:after="240"/>
        <w:rPr>
          <w:rFonts w:cs="Times New Roman"/>
        </w:rPr>
      </w:pPr>
      <w:r w:rsidRPr="0000759A">
        <w:rPr>
          <w:rFonts w:cs="Times New Roman"/>
        </w:rPr>
        <w:t>Steffen, W., Richardson, K., Rockström, J., Cornell, S. E., Fetzer, I., Bennett, E. M., Biggs, R., Carpenter, S. R., de Vries, W., de Wit, C. A., Folke, C., Gerten, D., Heinke, J., Mace, G. M., Persson, L. M., Ramanathan, V., Reyers, B. and Sörlin, S.: Planetary boundaries: Guiding human development on a changing planet, Science (80-. )., 347(6223) [online] Available from: http://science.sciencemag.org/content/347/6223/1259855.abstract, 2015.</w:t>
      </w:r>
    </w:p>
    <w:p w14:paraId="56DA4C72" w14:textId="77777777" w:rsidR="00F1283E" w:rsidRDefault="00F1283E" w:rsidP="00F1283E">
      <w:pPr>
        <w:widowControl w:val="0"/>
        <w:autoSpaceDE w:val="0"/>
        <w:autoSpaceDN w:val="0"/>
        <w:adjustRightInd w:val="0"/>
        <w:spacing w:after="240"/>
        <w:rPr>
          <w:rFonts w:cs="Times New Roman"/>
        </w:rPr>
      </w:pPr>
      <w:r>
        <w:rPr>
          <w:rFonts w:cs="Times New Roman"/>
        </w:rPr>
        <w:t>Tilman, D., Clark, M., Williams, D. R., Kimmel, K., Polasky S. and Packer, C.: Future threats to biodiversity and pathways to their prevention, Nature, 546, 73-81, 2017.</w:t>
      </w:r>
    </w:p>
    <w:p w14:paraId="0FB385C9" w14:textId="77777777" w:rsidR="00F1283E" w:rsidRDefault="00F1283E" w:rsidP="00F1283E">
      <w:pPr>
        <w:widowControl w:val="0"/>
        <w:autoSpaceDE w:val="0"/>
        <w:autoSpaceDN w:val="0"/>
        <w:adjustRightInd w:val="0"/>
        <w:spacing w:after="240"/>
        <w:rPr>
          <w:rFonts w:cs="Times New Roman"/>
        </w:rPr>
      </w:pPr>
      <w:r>
        <w:rPr>
          <w:rFonts w:cs="Times New Roman"/>
        </w:rPr>
        <w:lastRenderedPageBreak/>
        <w:t>Titeux, N., Henle, K., Mihoub, J.-B., Regos, A., Geijzendorffer, I. R., Cramer, W., Verburg, P. H., and Brotons, L.: Biodiversity scenarios neglect future land-use changes, Glob. Chang. Biol., 22, 2505-2515, 2016.</w:t>
      </w:r>
    </w:p>
    <w:p w14:paraId="752037B9"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Tittensor, D. P., Eddy, T. D., Lotze, H. K., Galbraith, E. D., Cheung, W., Barange, M., Blanchard, J. L., Bopp, L., Bryndum-Buchholz, A., Büchner, M., Bulman, C., Carozza, D. A., Christensen, V., Coll, M., Dunne, J. P., Fernandes, J. A., Fulton, E. A., Hobday, A. J., Huber, V., Jennings, S., Jones, M., Lehodey, P., Link, J. S., Mackinson, S., Maury, O., Niiranen, S., Oliveros-Ramos, R., Roy, T., Schewe, J., Shin, Y.-J., Stock, C. A., Underwood, P. J., Volkholz, J., Watson, J. R. and Walker, N. D.: A protocol for the intercomparison of marine fishery and ecosystem models: Fish-MIP v1.0, Geosci. Model Dev. Discuss., 2017, 1–39, doi:10.5194/gmd-2017-209, 2017.</w:t>
      </w:r>
    </w:p>
    <w:p w14:paraId="7006ADE3" w14:textId="77777777" w:rsidR="00F1283E" w:rsidRDefault="00F1283E" w:rsidP="00F1283E">
      <w:pPr>
        <w:widowControl w:val="0"/>
        <w:autoSpaceDE w:val="0"/>
        <w:autoSpaceDN w:val="0"/>
        <w:adjustRightInd w:val="0"/>
        <w:spacing w:after="240"/>
        <w:rPr>
          <w:rFonts w:cs="Times New Roman"/>
        </w:rPr>
      </w:pPr>
      <w:r w:rsidRPr="0000759A">
        <w:rPr>
          <w:rFonts w:cs="Times New Roman"/>
        </w:rPr>
        <w:t>Vellend, M., Baeten, L., Myers-Smith, I. H., Elmendorf, S. C., Beauséjour, R., Brown, C. D., De Frenne, P., Verheyen, K. and Wipf, S.: Global meta-analysis reveals no net change in local-scale plant biodiversity over time., Proc. Natl. Acad. Sci. U. S. A., 110(48), 19456–9, doi:10.1073/pnas.1312779110, 2013.</w:t>
      </w:r>
    </w:p>
    <w:p w14:paraId="4B49DD11" w14:textId="77777777" w:rsidR="00F1283E" w:rsidRPr="0000759A" w:rsidRDefault="00F1283E" w:rsidP="00F1283E">
      <w:pPr>
        <w:widowControl w:val="0"/>
        <w:autoSpaceDE w:val="0"/>
        <w:autoSpaceDN w:val="0"/>
        <w:adjustRightInd w:val="0"/>
        <w:spacing w:after="240"/>
        <w:rPr>
          <w:rFonts w:cs="Times New Roman"/>
        </w:rPr>
      </w:pPr>
      <w:r>
        <w:rPr>
          <w:rFonts w:cs="Times New Roman"/>
        </w:rPr>
        <w:t>Velland, M. Dornelas, M., Baeten, L., Beausejour, R., Brown, C. D., De Frenne, P., Elmentdorf, S. C., Gotelli, N. J., Moyes, F., Myers-Smith, I. H., Magurran, A. E., McGill, B. J., Shimadzu, H. and Sievers C.: Estimates of local biodiversity change over time stand up to scrutiny, Ecology, 98(2), 583-590, 2017.</w:t>
      </w:r>
    </w:p>
    <w:p w14:paraId="6BB2BBE6"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Visconti, P., Bakkenes, M., Baisero, D., Brooks, T., Butchart, S. H. M., Joppa, L., Alkemade, R., Di Marco, M., Santini, L., Hoffmann, M., Maiorano, L., Pressey, R. L., Arponen, A., Boitani, L., Reside, A. E., van Vuuren, D. P. and Rondinini, C.: Projecting Global Biodiversity Indicators under Future Development Scenarios, Conserv. Lett., 9(1), 5–13, doi:10.1111/conl.12159, 2016.</w:t>
      </w:r>
    </w:p>
    <w:p w14:paraId="42DF67E2" w14:textId="77777777" w:rsidR="00F1283E" w:rsidRPr="0000759A" w:rsidRDefault="00F1283E" w:rsidP="00F1283E">
      <w:pPr>
        <w:widowControl w:val="0"/>
        <w:autoSpaceDE w:val="0"/>
        <w:autoSpaceDN w:val="0"/>
        <w:adjustRightInd w:val="0"/>
        <w:spacing w:after="240"/>
        <w:rPr>
          <w:rFonts w:cs="Times New Roman"/>
        </w:rPr>
      </w:pPr>
      <w:r w:rsidRPr="0000759A">
        <w:rPr>
          <w:rFonts w:cs="Times New Roman"/>
        </w:rPr>
        <w:t>van Vuuren, D. P., Edmonds, J., Kainuma, M., Riahi, K., Thomson, A., Hibbard, K., Hurtt, G. C., Kram, T., Krey, V., Lamarque, J.-F., Masui, T., Meinshausen, M., Nakicenovic, N., Smith, S. J. and Rose, S. K.: The representative concentration pathways: an overview, Clim. Change, 109(1–2), 5–31, doi:10.1007/s10584-011-0148-z, 2011.</w:t>
      </w:r>
    </w:p>
    <w:p w14:paraId="0FA1105D" w14:textId="77777777" w:rsidR="00F1283E" w:rsidRDefault="00F1283E" w:rsidP="00F1283E">
      <w:pPr>
        <w:widowControl w:val="0"/>
        <w:autoSpaceDE w:val="0"/>
        <w:autoSpaceDN w:val="0"/>
        <w:adjustRightInd w:val="0"/>
        <w:spacing w:after="240"/>
        <w:rPr>
          <w:rFonts w:cs="Times New Roman"/>
        </w:rPr>
      </w:pPr>
      <w:r w:rsidRPr="0000759A">
        <w:rPr>
          <w:rFonts w:cs="Times New Roman"/>
        </w:rPr>
        <w:t>van Vuuren, D. P., Kok, M., Lucas, P. L., Gerdien Prins, A. , Alkemade, R., van den Berg, M., Bouwman, L., van der Esch, S., Jeuken, M., Kram, T. and Stehfest, E.: Pathways to achieve a set of ambitious global sustainability objectives by 2050: Explorations using the IMAGE integrated assessment model, Technol. Forecast. Soc. Change, 98, 303–323, doi:10.1016/J.TECHFORE.2015.03.005, 2015.</w:t>
      </w:r>
    </w:p>
    <w:p w14:paraId="30FD694C" w14:textId="77777777" w:rsidR="00F1283E" w:rsidRPr="0000759A" w:rsidRDefault="00F1283E" w:rsidP="00F1283E">
      <w:pPr>
        <w:widowControl w:val="0"/>
        <w:autoSpaceDE w:val="0"/>
        <w:autoSpaceDN w:val="0"/>
        <w:adjustRightInd w:val="0"/>
        <w:spacing w:after="240"/>
        <w:rPr>
          <w:rFonts w:cs="Times New Roman"/>
        </w:rPr>
      </w:pPr>
      <w:r>
        <w:rPr>
          <w:rFonts w:cs="Times New Roman"/>
        </w:rPr>
        <w:t>Watson, J. E. M., Jones, K R., Fuller, R. A., Di Marco, M., Segan, D. B., Butchart, S. H. M., Allan, J. R., McDonald-Madden, E. and Venter, O.: Persistent disparities between recent rates of habitat conversion and protection and implications for future global conservation targets, Cons. Lee., 9(6), 413-421, 2016.</w:t>
      </w:r>
    </w:p>
    <w:p w14:paraId="5EABF155" w14:textId="77777777" w:rsidR="007D4F66" w:rsidRDefault="00F1283E" w:rsidP="00724052">
      <w:pPr>
        <w:spacing w:before="120"/>
        <w:rPr>
          <w:rFonts w:cs="Times New Roman"/>
        </w:rPr>
      </w:pPr>
      <w:r w:rsidRPr="0000759A">
        <w:rPr>
          <w:rFonts w:cs="Times New Roman"/>
        </w:rPr>
        <w:t>WWF: Living Planet Report 2</w:t>
      </w:r>
      <w:r>
        <w:rPr>
          <w:rFonts w:cs="Times New Roman"/>
        </w:rPr>
        <w:t>016, Gland, Switzerland., 2016.</w:t>
      </w:r>
    </w:p>
    <w:p w14:paraId="2EBC4EAF" w14:textId="05562632" w:rsidR="00F1283E" w:rsidRDefault="00F1283E" w:rsidP="00F1283E">
      <w:pPr>
        <w:spacing w:before="120"/>
        <w:jc w:val="center"/>
        <w:rPr>
          <w:kern w:val="22"/>
        </w:rPr>
      </w:pPr>
      <w:r>
        <w:rPr>
          <w:kern w:val="22"/>
        </w:rPr>
        <w:t>__________</w:t>
      </w:r>
    </w:p>
    <w:p w14:paraId="1D62FF56" w14:textId="77777777" w:rsidR="00032878" w:rsidRPr="00032878" w:rsidRDefault="00032878" w:rsidP="00032878">
      <w:pPr>
        <w:rPr>
          <w:rFonts w:ascii="Times New Roman Bold" w:hAnsi="Times New Roman Bold" w:cs="Times New Roman"/>
          <w:b/>
          <w:caps/>
        </w:rPr>
      </w:pPr>
    </w:p>
    <w:sectPr w:rsidR="00032878" w:rsidRPr="00032878" w:rsidSect="00E1412B">
      <w:headerReference w:type="even" r:id="rId13"/>
      <w:headerReference w:type="default" r:id="rId14"/>
      <w:pgSz w:w="11906" w:h="16838"/>
      <w:pgMar w:top="567" w:right="1418" w:bottom="964" w:left="141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70F44" w14:textId="77777777" w:rsidR="0021427A" w:rsidRDefault="0021427A" w:rsidP="00362BEE">
      <w:pPr>
        <w:spacing w:after="0" w:line="240" w:lineRule="auto"/>
      </w:pPr>
      <w:r>
        <w:separator/>
      </w:r>
    </w:p>
  </w:endnote>
  <w:endnote w:type="continuationSeparator" w:id="0">
    <w:p w14:paraId="37FDE2C8" w14:textId="77777777" w:rsidR="0021427A" w:rsidRDefault="0021427A" w:rsidP="0036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Univers">
    <w:altName w:val="Univers"/>
    <w:charset w:val="00"/>
    <w:family w:val="swiss"/>
    <w:pitch w:val="variable"/>
    <w:sig w:usb0="0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3226C" w14:textId="77777777" w:rsidR="0021427A" w:rsidRDefault="0021427A" w:rsidP="00362BEE">
      <w:pPr>
        <w:spacing w:after="0" w:line="240" w:lineRule="auto"/>
      </w:pPr>
      <w:r>
        <w:separator/>
      </w:r>
    </w:p>
  </w:footnote>
  <w:footnote w:type="continuationSeparator" w:id="0">
    <w:p w14:paraId="3AC3B24C" w14:textId="77777777" w:rsidR="0021427A" w:rsidRDefault="0021427A" w:rsidP="00362BEE">
      <w:pPr>
        <w:spacing w:after="0" w:line="240" w:lineRule="auto"/>
      </w:pPr>
      <w:r>
        <w:continuationSeparator/>
      </w:r>
    </w:p>
  </w:footnote>
  <w:footnote w:id="1">
    <w:p w14:paraId="4C0A6DFD" w14:textId="77777777" w:rsidR="00A6789E" w:rsidRPr="001B19F9" w:rsidRDefault="00A6789E" w:rsidP="00FE3E15">
      <w:pPr>
        <w:pStyle w:val="FootnoteText"/>
        <w:tabs>
          <w:tab w:val="left" w:pos="142"/>
        </w:tabs>
        <w:rPr>
          <w:snapToGrid w:val="0"/>
          <w:kern w:val="18"/>
          <w:szCs w:val="18"/>
        </w:rPr>
      </w:pPr>
      <w:r w:rsidRPr="001B19F9">
        <w:rPr>
          <w:rStyle w:val="FootnoteReference"/>
          <w:snapToGrid w:val="0"/>
          <w:kern w:val="18"/>
          <w:szCs w:val="18"/>
        </w:rPr>
        <w:t>*</w:t>
      </w:r>
      <w:r w:rsidRPr="001B19F9">
        <w:rPr>
          <w:snapToGrid w:val="0"/>
          <w:kern w:val="18"/>
          <w:szCs w:val="18"/>
        </w:rPr>
        <w:t xml:space="preserve"> </w:t>
      </w:r>
      <w:r w:rsidRPr="001B19F9">
        <w:rPr>
          <w:noProof/>
          <w:snapToGrid w:val="0"/>
          <w:kern w:val="18"/>
          <w:szCs w:val="18"/>
        </w:rPr>
        <w:t>CBD/SBSTTA/21/1.</w:t>
      </w:r>
    </w:p>
  </w:footnote>
  <w:footnote w:id="2">
    <w:p w14:paraId="471BA803" w14:textId="61B47904" w:rsidR="00A6789E" w:rsidRPr="00FE3E15" w:rsidRDefault="00A6789E">
      <w:pPr>
        <w:pStyle w:val="FootnoteText"/>
        <w:rPr>
          <w:lang w:val="en-CA"/>
        </w:rPr>
      </w:pPr>
      <w:r>
        <w:rPr>
          <w:rStyle w:val="FootnoteReference"/>
        </w:rPr>
        <w:footnoteRef/>
      </w:r>
      <w:r>
        <w:t xml:space="preserve"> Authors: Tittensor, D. P., </w:t>
      </w:r>
      <w:r w:rsidR="00664147">
        <w:t xml:space="preserve">Baquero, A., </w:t>
      </w:r>
      <w:r>
        <w:t xml:space="preserve">Harfoot, M. and Hill, S. Contributors: </w:t>
      </w:r>
      <w:r w:rsidR="00651FD5">
        <w:t xml:space="preserve">Burgess, N., </w:t>
      </w:r>
      <w:r>
        <w:t>Ferrier, S., McOwen, C., Scott, E., Shin, Y.-J.</w:t>
      </w:r>
    </w:p>
  </w:footnote>
  <w:footnote w:id="3">
    <w:p w14:paraId="24874F4A" w14:textId="77777777" w:rsidR="00F1283E" w:rsidRDefault="00F1283E" w:rsidP="00F1283E">
      <w:pPr>
        <w:pStyle w:val="FootnoteText"/>
      </w:pPr>
      <w:r>
        <w:rPr>
          <w:rStyle w:val="FootnoteReference"/>
        </w:rPr>
        <w:footnoteRef/>
      </w:r>
      <w:r>
        <w:t xml:space="preserve"> The definition used by The Economics of Ecosystems and Biodiversity (www.teebweb.org)</w:t>
      </w:r>
    </w:p>
  </w:footnote>
  <w:footnote w:id="4">
    <w:p w14:paraId="75F98812" w14:textId="77777777" w:rsidR="00F1283E" w:rsidRPr="00A80020" w:rsidRDefault="00F1283E" w:rsidP="00F1283E">
      <w:pPr>
        <w:pStyle w:val="FootnoteText"/>
        <w:rPr>
          <w:lang w:val="en-CA"/>
        </w:rPr>
      </w:pPr>
      <w:r>
        <w:rPr>
          <w:rStyle w:val="FootnoteReference"/>
        </w:rPr>
        <w:footnoteRef/>
      </w:r>
      <w:r>
        <w:t xml:space="preserve"> </w:t>
      </w:r>
      <w:r w:rsidRPr="00DF707A">
        <w:rPr>
          <w:lang w:val="en-CA"/>
        </w:rPr>
        <w:t xml:space="preserve">Note that, in practice, there may be a range of BAU scenarios, depending on assumptions about the continuation of current trends. For </w:t>
      </w:r>
      <w:r>
        <w:rPr>
          <w:lang w:val="en-CA"/>
        </w:rPr>
        <w:t>example,</w:t>
      </w:r>
      <w:r w:rsidRPr="00DF707A">
        <w:rPr>
          <w:lang w:val="en-CA"/>
        </w:rPr>
        <w:t xml:space="preserve"> some BAU scenarios include GHG emissions that, in the light of the</w:t>
      </w:r>
      <w:r>
        <w:rPr>
          <w:lang w:val="en-CA"/>
        </w:rPr>
        <w:t xml:space="preserve"> actions taken and commitments made in the context of Paris Agreement may now be considered as or closer to ‘high emissions’ (see paragraph 61).</w:t>
      </w:r>
    </w:p>
  </w:footnote>
  <w:footnote w:id="5">
    <w:p w14:paraId="00E6119B" w14:textId="77777777" w:rsidR="00F1283E" w:rsidRDefault="00F1283E" w:rsidP="00F1283E">
      <w:pPr>
        <w:pStyle w:val="FootnoteText"/>
      </w:pPr>
      <w:r>
        <w:rPr>
          <w:rStyle w:val="FootnoteReference"/>
        </w:rPr>
        <w:footnoteRef/>
      </w:r>
      <w:r>
        <w:t xml:space="preserve"> For more on scenarios, see CBD/SBSTTA/21/2 ‘Scenarios for the 2050 Vision for biodiversity’.</w:t>
      </w:r>
    </w:p>
  </w:footnote>
  <w:footnote w:id="6">
    <w:p w14:paraId="153E0C8D" w14:textId="77777777" w:rsidR="00F1283E" w:rsidRDefault="00F1283E" w:rsidP="00F1283E">
      <w:pPr>
        <w:pStyle w:val="FootnoteText"/>
      </w:pPr>
      <w:r>
        <w:rPr>
          <w:rStyle w:val="FootnoteReference"/>
        </w:rPr>
        <w:footnoteRef/>
      </w:r>
      <w:r>
        <w:t xml:space="preserve"> For context, relative to a late 19</w:t>
      </w:r>
      <w:r w:rsidRPr="005A114B">
        <w:rPr>
          <w:vertAlign w:val="superscript"/>
        </w:rPr>
        <w:t>th</w:t>
      </w:r>
      <w:r>
        <w:t xml:space="preserve"> century baseline the observed mean global surface temperature has at present risen by about 1.1</w:t>
      </w:r>
      <w:r w:rsidRPr="00EB5B7C">
        <w:rPr>
          <w:rFonts w:cs="Times New Roman"/>
        </w:rPr>
        <w:t>°</w:t>
      </w:r>
      <w:r>
        <w:t>C (https://climate.nasa.gov/evidence).</w:t>
      </w:r>
    </w:p>
  </w:footnote>
  <w:footnote w:id="7">
    <w:p w14:paraId="08743B45" w14:textId="77777777" w:rsidR="00F1283E" w:rsidRDefault="00F1283E" w:rsidP="00F1283E">
      <w:pPr>
        <w:pStyle w:val="FootnoteText"/>
      </w:pPr>
      <w:r>
        <w:rPr>
          <w:rStyle w:val="FootnoteReference"/>
        </w:rPr>
        <w:footnoteRef/>
      </w:r>
      <w:r>
        <w:t xml:space="preserve"> www.protectedplanet.net</w:t>
      </w:r>
    </w:p>
  </w:footnote>
  <w:footnote w:id="8">
    <w:p w14:paraId="6E126DF7" w14:textId="77777777" w:rsidR="00F1283E" w:rsidRDefault="00F1283E" w:rsidP="00F1283E">
      <w:pPr>
        <w:pStyle w:val="FootnoteText"/>
      </w:pPr>
      <w:r w:rsidRPr="008E53BD">
        <w:rPr>
          <w:rStyle w:val="FootnoteReference"/>
        </w:rPr>
        <w:footnoteRef/>
      </w:r>
      <w:r>
        <w:t xml:space="preserve"> The 8.1% value refers to a ‘rarefaction-based richness’ measure, which standardizes for variation in the number of individuals within each sample among sites. An alternative measure, ‘within-sample richness’, the number of species in a standardized sampling unit at a given site (with sample sizes potentially varying between sites), gives an estimate of decline in species richness of 13.6%.</w:t>
      </w:r>
    </w:p>
  </w:footnote>
  <w:footnote w:id="9">
    <w:p w14:paraId="54117F26" w14:textId="77777777" w:rsidR="00F1283E" w:rsidRDefault="00F1283E" w:rsidP="00F1283E">
      <w:pPr>
        <w:pStyle w:val="FootnoteText"/>
      </w:pPr>
      <w:r w:rsidRPr="008E53BD">
        <w:rPr>
          <w:rStyle w:val="FootnoteReference"/>
        </w:rPr>
        <w:footnoteRef/>
      </w:r>
      <w:r>
        <w:t xml:space="preserve"> 76.5% for within-sample richness.</w:t>
      </w:r>
    </w:p>
  </w:footnote>
  <w:footnote w:id="10">
    <w:p w14:paraId="3E47B1F1" w14:textId="77777777" w:rsidR="00F1283E" w:rsidRDefault="00F1283E" w:rsidP="00F1283E">
      <w:pPr>
        <w:pStyle w:val="FootnoteText"/>
      </w:pPr>
      <w:r>
        <w:rPr>
          <w:rStyle w:val="FootnoteReference"/>
        </w:rPr>
        <w:footnoteRef/>
      </w:r>
      <w:r>
        <w:t xml:space="preserve"> Note that Newbold et al. (2016) also found that within-sample richness had declined below a precautionary value (90% of undisturbed – see </w:t>
      </w:r>
      <w:r>
        <w:fldChar w:fldCharType="begin" w:fldLock="1"/>
      </w:r>
      <w:r>
        <w:instrText>ADDIN CSL_CITATION { "citationItems" : [ { "id" : "ITEM-1", "itemData" : { "abstract" : "The planetary boundary (PB) concept, introduced in 2009, aimed to define the environmental limits within which humanity can safely operate. This approach has proved influential in global sustainability policy development. Steffen et al. provide an updated and extended analysis of the PB framework. Of the original nine proposed boundaries, they identify three (including climate change) that might push the Earth system into a new state if crossed and that also have a pervasive influence on the remaining boundaries. They also develop the PB framework so that it can be applied usefully in a regional context.Science, this issue 10.1126/science.1259855 INTRODUCTION There is an urgent need for a new paradigm that integrates the continued development of human societies and the maintenance of the Earth system (ES) in a resilient and accommodating state. The planetary boundary (PB) framework contributes to such a paradigm by providing a science-based analysis of the risk that human perturbations will destabilize the ES at the planetary scale. Here, the scientific underpinnings of the PB framework are updated and strengthened. RATIONALE The relatively stable, 11,700-year-long Holocene epoch is the only state of the ES that we know for certain can support contemporary human societies. There is increasing evidence that human activities are affecting ES functioning to a degree that threatens the resilience of the ES\u2014its ability to persist in a Holocene-like state in the face of increasing human pressures and shocks. The PB framework is based on critical processes that regulate ES functioning. By combining improved scientific understanding of ES functioning with the precautionary principle, the PB framework identifies levels of anthropogenic perturbations below which the risk of destabilization of the ES is likely to remain low\u2014a \u201csafe operating space\u201d for global societal development. A zone of uncertainty for each PB highlights the area of increasing risk. The current level of anthropogenic impact on the ES, and thus the risk to the stability of the ES, is assessed by comparison with the proposed PB (see the figure). RESULTS Three of the PBs (climate change, stratospheric ozone depletion, and ocean acidification) remain essentially unchanged from the earlier analysis. Regional-level boundaries as well as globally aggregated PBs have now been developed for biosphere integrity (earlier \u201cbiodiversity loss\u201d), biogeochemical flows, land-system change, and freshwater use. \u2026", "author" : [ { "dropping-particle" : "", "family" : "Steffen", "given" : "Will", "non-dropping-particle" : "", "parse-names" : false, "suffix" : "" }, { "dropping-particle" : "", "family" : "Richardson", "given" : "Katherine", "non-dropping-particle" : "", "parse-names" : false, "suffix" : "" }, { "dropping-particle" : "", "family" : "Rockstr\u00f6m", "given" : "Johan", "non-dropping-particle" : "", "parse-names" : false, "suffix" : "" }, { "dropping-particle" : "", "family" : "Cornell", "given" : "Sarah E", "non-dropping-particle" : "", "parse-names" : false, "suffix" : "" }, { "dropping-particle" : "", "family" : "Fetzer", "given" : "Ingo", "non-dropping-particle" : "", "parse-names" : false, "suffix" : "" }, { "dropping-particle" : "", "family" : "Bennett", "given" : "Elena M", "non-dropping-particle" : "", "parse-names" : false, "suffix" : "" }, { "dropping-particle" : "", "family" : "Biggs", "given" : "Reinette", "non-dropping-particle" : "", "parse-names" : false, "suffix" : "" }, { "dropping-particle" : "", "family" : "Carpenter", "given" : "Stephen R", "non-dropping-particle" : "", "parse-names" : false, "suffix" : "" }, { "dropping-particle" : "", "family" : "Vries", "given" : "Wim", "non-dropping-particle" : "de", "parse-names" : false, "suffix" : "" }, { "dropping-particle" : "", "family" : "Wit", "given" : "Cynthia A", "non-dropping-particle" : "de", "parse-names" : false, "suffix" : "" }, { "dropping-particle" : "", "family" : "Folke", "given" : "Carl", "non-dropping-particle" : "", "parse-names" : false, "suffix" : "" }, { "dropping-particle" : "", "family" : "Gerten", "given" : "Dieter", "non-dropping-particle" : "", "parse-names" : false, "suffix" : "" }, { "dropping-particle" : "", "family" : "Heinke", "given" : "Jens", "non-dropping-particle" : "", "parse-names" : false, "suffix" : "" }, { "dropping-particle" : "", "family" : "Mace", "given" : "Georgina M", "non-dropping-particle" : "", "parse-names" : false, "suffix" : "" }, { "dropping-particle" : "", "family" : "Persson", "given" : "Linn M", "non-dropping-particle" : "", "parse-names" : false, "suffix" : "" }, { "dropping-particle" : "", "family" : "Ramanathan", "given" : "Veerabhadran", "non-dropping-particle" : "", "parse-names" : false, "suffix" : "" }, { "dropping-particle" : "", "family" : "Reyers", "given" : "Belinda", "non-dropping-particle" : "", "parse-names" : false, "suffix" : "" }, { "dropping-particle" : "", "family" : "S\u00f6rlin", "given" : "Sverker", "non-dropping-particle" : "", "parse-names" : false, "suffix" : "" } ], "container-title" : "Science", "id" : "ITEM-1", "issue" : "6223", "issued" : { "date-parts" : [ [ "2015", "2", "13" ] ] }, "title" : "Planetary boundaries: Guiding human development on a changing planet", "type" : "article-journal", "volume" : "347" }, "uris" : [ "http://www.mendeley.com/documents/?uuid=afaec3e2-f8b6-432f-9381-673cd60a011b" ] } ], "mendeley" : { "formattedCitation" : "(Steffen et al., 2015)", "manualFormatting" : "Steffen et al. 2015", "plainTextFormattedCitation" : "(Steffen et al., 2015)", "previouslyFormattedCitation" : "(Steffen et al., 2015)" }, "properties" : {  }, "schema" : "https://github.com/citation-style-language/schema/raw/master/csl-citation.json" }</w:instrText>
      </w:r>
      <w:r>
        <w:fldChar w:fldCharType="separate"/>
      </w:r>
      <w:r>
        <w:rPr>
          <w:noProof/>
        </w:rPr>
        <w:t>Steffen et al.</w:t>
      </w:r>
      <w:r w:rsidRPr="00D51DD1">
        <w:rPr>
          <w:noProof/>
        </w:rPr>
        <w:t xml:space="preserve"> 2015</w:t>
      </w:r>
      <w:r>
        <w:fldChar w:fldCharType="end"/>
      </w:r>
      <w:r>
        <w:t>) on around 62% of the world’s surface, or 48% if novel species are assumed to contribute equivalent ecological function. See also footnote 6.</w:t>
      </w:r>
    </w:p>
  </w:footnote>
  <w:footnote w:id="11">
    <w:p w14:paraId="5F823BEC" w14:textId="77777777" w:rsidR="00F1283E" w:rsidRDefault="00F1283E" w:rsidP="00F1283E">
      <w:pPr>
        <w:pStyle w:val="FootnoteText"/>
      </w:pPr>
      <w:r>
        <w:rPr>
          <w:rStyle w:val="FootnoteReference"/>
        </w:rPr>
        <w:footnoteRef/>
      </w:r>
      <w:r>
        <w:t xml:space="preserve"> The time-series used by Velland et al. and Dornelas et al. varied in start date; most of the former started in the 20</w:t>
      </w:r>
      <w:r w:rsidRPr="0057682F">
        <w:rPr>
          <w:vertAlign w:val="superscript"/>
        </w:rPr>
        <w:t>th</w:t>
      </w:r>
      <w:r>
        <w:t xml:space="preserve"> century, and most of the latter were from the most recent 40 years.</w:t>
      </w:r>
    </w:p>
  </w:footnote>
  <w:footnote w:id="12">
    <w:p w14:paraId="2241B09E" w14:textId="77777777" w:rsidR="00F1283E" w:rsidRPr="001202A7" w:rsidRDefault="00F1283E" w:rsidP="00F1283E">
      <w:pPr>
        <w:pStyle w:val="FootnoteText"/>
      </w:pPr>
      <w:r w:rsidRPr="008E53BD">
        <w:rPr>
          <w:rStyle w:val="FootnoteReference"/>
        </w:rPr>
        <w:footnoteRef/>
      </w:r>
      <w:r>
        <w:t xml:space="preserve"> Note that the LPI is the </w:t>
      </w:r>
      <w:r>
        <w:rPr>
          <w:i/>
        </w:rPr>
        <w:t>geometric mean</w:t>
      </w:r>
      <w:r>
        <w:t xml:space="preserve"> of the change in abundance, so this </w:t>
      </w:r>
      <w:r>
        <w:rPr>
          <w:i/>
        </w:rPr>
        <w:t>does not</w:t>
      </w:r>
      <w:r>
        <w:t xml:space="preserve"> represent the arithmetic mean change in abundance – i.e. it does not necessarily imply that the average species has declined by 58% in abundance; it reflects both evenness and abundance. Furthermore, some populations within the index are increasing rather than decreasing, with a range of different outcomes between species and regions.</w:t>
      </w:r>
    </w:p>
  </w:footnote>
  <w:footnote w:id="13">
    <w:p w14:paraId="4D2155BE" w14:textId="77777777" w:rsidR="00F1283E" w:rsidRDefault="00F1283E" w:rsidP="00F1283E">
      <w:pPr>
        <w:pStyle w:val="FootnoteText"/>
      </w:pPr>
      <w:r>
        <w:rPr>
          <w:rStyle w:val="FootnoteReference"/>
        </w:rPr>
        <w:footnoteRef/>
      </w:r>
      <w:r>
        <w:t xml:space="preserve"> Note that Steffen et al. indicate that due to ‘large gaps in our knowledge’ and the lack of evidence on the association between biodiversity intactness and how the Earth-system responds this should be considered a preliminary ‘planetary boundary’ with a large range of uncertainty.</w:t>
      </w:r>
    </w:p>
  </w:footnote>
  <w:footnote w:id="14">
    <w:p w14:paraId="12E34AA5" w14:textId="77777777" w:rsidR="00F1283E" w:rsidRDefault="00F1283E" w:rsidP="00F1283E">
      <w:pPr>
        <w:pStyle w:val="FootnoteText"/>
      </w:pPr>
      <w:r>
        <w:rPr>
          <w:rStyle w:val="FootnoteReference"/>
        </w:rPr>
        <w:footnoteRef/>
      </w:r>
      <w:r>
        <w:t xml:space="preserve"> Note that this estimate assumes that novel species do not contribute to ecosystem function. Assuming that novel species contribute equivalently to original species, this value drops to around 48%. If novel species actually impair ecosystem function, the original estimate would be too optimistic. The authors suggest that this highlights the need for more research into how novel species affect ecosystem function.</w:t>
      </w:r>
    </w:p>
  </w:footnote>
  <w:footnote w:id="15">
    <w:p w14:paraId="34B34FA5" w14:textId="77777777" w:rsidR="00F1283E" w:rsidRDefault="00F1283E" w:rsidP="00F1283E">
      <w:pPr>
        <w:pStyle w:val="FootnoteText"/>
      </w:pPr>
      <w:r w:rsidRPr="008E53BD">
        <w:rPr>
          <w:rStyle w:val="FootnoteReference"/>
        </w:rPr>
        <w:footnoteRef/>
      </w:r>
      <w:r>
        <w:t xml:space="preserve"> RCP8.5</w:t>
      </w:r>
    </w:p>
  </w:footnote>
  <w:footnote w:id="16">
    <w:p w14:paraId="5E032D27" w14:textId="77777777" w:rsidR="00F1283E" w:rsidRDefault="00F1283E" w:rsidP="00F1283E">
      <w:pPr>
        <w:pStyle w:val="FootnoteText"/>
      </w:pPr>
      <w:r w:rsidRPr="008E53BD">
        <w:rPr>
          <w:rStyle w:val="FootnoteReference"/>
        </w:rPr>
        <w:footnoteRef/>
      </w:r>
      <w:r>
        <w:t xml:space="preserve"> Geometric mean of change in abundance</w:t>
      </w:r>
    </w:p>
  </w:footnote>
  <w:footnote w:id="17">
    <w:p w14:paraId="3AE8248F" w14:textId="77777777" w:rsidR="00F1283E" w:rsidRDefault="00F1283E" w:rsidP="00F1283E">
      <w:pPr>
        <w:pStyle w:val="FootnoteText"/>
      </w:pPr>
      <w:r>
        <w:rPr>
          <w:rStyle w:val="FootnoteReference"/>
        </w:rPr>
        <w:footnoteRef/>
      </w:r>
      <w:r>
        <w:t xml:space="preserve"> IPCC SRES A1B; somewhere between RCP6.0 and RCP8.5 in terms of CO</w:t>
      </w:r>
      <w:r w:rsidRPr="00D82851">
        <w:rPr>
          <w:vertAlign w:val="subscript"/>
        </w:rPr>
        <w:t>2</w:t>
      </w:r>
      <w:r>
        <w:t xml:space="preserve"> concentration.</w:t>
      </w:r>
    </w:p>
  </w:footnote>
  <w:footnote w:id="18">
    <w:p w14:paraId="76CF514C" w14:textId="77777777" w:rsidR="00F1283E" w:rsidRDefault="00F1283E" w:rsidP="00F1283E">
      <w:pPr>
        <w:pStyle w:val="FootnoteText"/>
      </w:pPr>
      <w:r>
        <w:rPr>
          <w:rStyle w:val="FootnoteReference"/>
        </w:rPr>
        <w:footnoteRef/>
      </w:r>
      <w:r>
        <w:t xml:space="preserve"> Depending on species ability to adapt to climate change and disperse.</w:t>
      </w:r>
    </w:p>
  </w:footnote>
  <w:footnote w:id="19">
    <w:p w14:paraId="0A6EB82A" w14:textId="77777777" w:rsidR="00F1283E" w:rsidRDefault="00F1283E" w:rsidP="00F1283E">
      <w:pPr>
        <w:pStyle w:val="FootnoteText"/>
      </w:pPr>
      <w:r>
        <w:rPr>
          <w:rStyle w:val="FootnoteReference"/>
        </w:rPr>
        <w:footnoteRef/>
      </w:r>
      <w:r>
        <w:t xml:space="preserve"> Depending on species ability to adapt to climate change and disperse.</w:t>
      </w:r>
    </w:p>
  </w:footnote>
  <w:footnote w:id="20">
    <w:p w14:paraId="549BD7EE" w14:textId="77777777" w:rsidR="00F1283E" w:rsidRDefault="00F1283E" w:rsidP="00F1283E">
      <w:pPr>
        <w:pStyle w:val="FootnoteText"/>
      </w:pPr>
      <w:r>
        <w:rPr>
          <w:rStyle w:val="FootnoteReference"/>
        </w:rPr>
        <w:footnoteRef/>
      </w:r>
      <w:r>
        <w:t xml:space="preserve"> IPCC SRES A1B; somewhere between RCP6.0 and RCP8.5 in terms of CO</w:t>
      </w:r>
      <w:r w:rsidRPr="00D82851">
        <w:rPr>
          <w:vertAlign w:val="subscript"/>
        </w:rPr>
        <w:t>2</w:t>
      </w:r>
      <w:r>
        <w:t xml:space="preserve"> concentration.</w:t>
      </w:r>
    </w:p>
  </w:footnote>
  <w:footnote w:id="21">
    <w:p w14:paraId="79B7B9E5" w14:textId="77777777" w:rsidR="00F1283E" w:rsidRDefault="00F1283E" w:rsidP="00F1283E">
      <w:pPr>
        <w:pStyle w:val="FootnoteText"/>
      </w:pPr>
      <w:r>
        <w:rPr>
          <w:rStyle w:val="FootnoteReference"/>
        </w:rPr>
        <w:footnoteRef/>
      </w:r>
      <w:r>
        <w:t xml:space="preserve"> IPCC SRES B1</w:t>
      </w:r>
    </w:p>
  </w:footnote>
  <w:footnote w:id="22">
    <w:p w14:paraId="186390BD" w14:textId="77777777" w:rsidR="00F1283E" w:rsidRDefault="00F1283E" w:rsidP="00F1283E">
      <w:pPr>
        <w:pStyle w:val="FootnoteText"/>
      </w:pPr>
      <w:r w:rsidRPr="008E53BD">
        <w:rPr>
          <w:rStyle w:val="FootnoteReference"/>
        </w:rPr>
        <w:footnoteRef/>
      </w:r>
      <w:r>
        <w:t xml:space="preserve"> RCP2.6</w:t>
      </w:r>
      <w:r w:rsidRPr="00320F9C">
        <w:t xml:space="preserve"> </w:t>
      </w:r>
    </w:p>
  </w:footnote>
  <w:footnote w:id="23">
    <w:p w14:paraId="3EB45097" w14:textId="77777777" w:rsidR="00F1283E" w:rsidRDefault="00F1283E" w:rsidP="00F1283E">
      <w:pPr>
        <w:pStyle w:val="FootnoteText"/>
      </w:pPr>
      <w:r w:rsidRPr="008E53BD">
        <w:rPr>
          <w:rStyle w:val="FootnoteReference"/>
        </w:rPr>
        <w:footnoteRef/>
      </w:r>
      <w:r>
        <w:t xml:space="preserve"> RCP4.5 </w:t>
      </w:r>
    </w:p>
  </w:footnote>
  <w:footnote w:id="24">
    <w:p w14:paraId="268497F5" w14:textId="77777777" w:rsidR="00F1283E" w:rsidRDefault="00F1283E" w:rsidP="00F1283E">
      <w:pPr>
        <w:pStyle w:val="FootnoteText"/>
      </w:pPr>
      <w:r w:rsidRPr="008E53BD">
        <w:rPr>
          <w:rStyle w:val="FootnoteReference"/>
        </w:rPr>
        <w:footnoteRef/>
      </w:r>
      <w:r>
        <w:t xml:space="preserve"> RCP8.5 </w:t>
      </w:r>
    </w:p>
  </w:footnote>
  <w:footnote w:id="25">
    <w:p w14:paraId="47C66972" w14:textId="77777777" w:rsidR="00F1283E" w:rsidRDefault="00F1283E" w:rsidP="00F1283E">
      <w:pPr>
        <w:pStyle w:val="FootnoteText"/>
      </w:pPr>
      <w:r w:rsidRPr="008E53BD">
        <w:rPr>
          <w:rStyle w:val="FootnoteReference"/>
        </w:rPr>
        <w:footnoteRef/>
      </w:r>
      <w:r>
        <w:t xml:space="preserve"> RCP2.6 </w:t>
      </w:r>
    </w:p>
  </w:footnote>
  <w:footnote w:id="26">
    <w:p w14:paraId="21C81348" w14:textId="77777777" w:rsidR="00F1283E" w:rsidRDefault="00F1283E" w:rsidP="00F1283E">
      <w:pPr>
        <w:pStyle w:val="FootnoteText"/>
      </w:pPr>
      <w:r w:rsidRPr="008E53BD">
        <w:rPr>
          <w:rStyle w:val="FootnoteReference"/>
        </w:rPr>
        <w:footnoteRef/>
      </w:r>
      <w:r>
        <w:t xml:space="preserve"> RCP4.5</w:t>
      </w:r>
    </w:p>
  </w:footnote>
  <w:footnote w:id="27">
    <w:p w14:paraId="139874F8" w14:textId="77777777" w:rsidR="00F1283E" w:rsidRDefault="00F1283E" w:rsidP="00F1283E">
      <w:pPr>
        <w:pStyle w:val="FootnoteText"/>
      </w:pPr>
      <w:r w:rsidRPr="008E53BD">
        <w:rPr>
          <w:rStyle w:val="FootnoteReference"/>
        </w:rPr>
        <w:footnoteRef/>
      </w:r>
      <w:r>
        <w:t xml:space="preserve"> RCP6.0</w:t>
      </w:r>
    </w:p>
  </w:footnote>
  <w:footnote w:id="28">
    <w:p w14:paraId="5ACC1054" w14:textId="77777777" w:rsidR="00F1283E" w:rsidRDefault="00F1283E" w:rsidP="00F1283E">
      <w:pPr>
        <w:pStyle w:val="FootnoteText"/>
      </w:pPr>
      <w:r>
        <w:rPr>
          <w:rStyle w:val="FootnoteReference"/>
        </w:rPr>
        <w:footnoteRef/>
      </w:r>
      <w:r>
        <w:t xml:space="preserve"> www.protectedplanet.net</w:t>
      </w:r>
    </w:p>
  </w:footnote>
  <w:footnote w:id="29">
    <w:p w14:paraId="619B563B" w14:textId="77777777" w:rsidR="00F1283E" w:rsidRDefault="00F1283E" w:rsidP="00F1283E">
      <w:pPr>
        <w:pStyle w:val="FootnoteText"/>
      </w:pPr>
      <w:r w:rsidRPr="008E53BD">
        <w:rPr>
          <w:rStyle w:val="FootnoteReference"/>
        </w:rPr>
        <w:footnoteRef/>
      </w:r>
      <w:r>
        <w:t xml:space="preserve"> Geometric mean change in abundance of populations</w:t>
      </w:r>
    </w:p>
  </w:footnote>
  <w:footnote w:id="30">
    <w:p w14:paraId="1F480EF8" w14:textId="77777777" w:rsidR="00F1283E" w:rsidRDefault="00F1283E" w:rsidP="00F1283E">
      <w:pPr>
        <w:pStyle w:val="FootnoteText"/>
      </w:pPr>
      <w:r>
        <w:rPr>
          <w:rStyle w:val="FootnoteReference"/>
        </w:rPr>
        <w:footnoteRef/>
      </w:r>
      <w:r>
        <w:t xml:space="preserve"> </w:t>
      </w:r>
      <w:r w:rsidRPr="0095527F">
        <w:t>https://coralreefwatch.noaa.gov/satellite/analyses_guidance/global_coral_bleaching_2014-17_status.php</w:t>
      </w:r>
    </w:p>
  </w:footnote>
  <w:footnote w:id="31">
    <w:p w14:paraId="2A730B66" w14:textId="77777777" w:rsidR="00F1283E" w:rsidRDefault="00F1283E" w:rsidP="00F1283E">
      <w:pPr>
        <w:pStyle w:val="FootnoteText"/>
      </w:pPr>
      <w:r w:rsidRPr="008E53BD">
        <w:rPr>
          <w:rStyle w:val="FootnoteReference"/>
        </w:rPr>
        <w:footnoteRef/>
      </w:r>
      <w:r>
        <w:t xml:space="preserve"> RCP8.5</w:t>
      </w:r>
    </w:p>
  </w:footnote>
  <w:footnote w:id="32">
    <w:p w14:paraId="1A891096" w14:textId="77777777" w:rsidR="00F1283E" w:rsidRDefault="00F1283E" w:rsidP="00F1283E">
      <w:pPr>
        <w:pStyle w:val="FootnoteText"/>
      </w:pPr>
      <w:r w:rsidRPr="008E53BD">
        <w:rPr>
          <w:rStyle w:val="FootnoteReference"/>
        </w:rPr>
        <w:footnoteRef/>
      </w:r>
      <w:r>
        <w:t xml:space="preserve"> RCP8.5</w:t>
      </w:r>
    </w:p>
  </w:footnote>
  <w:footnote w:id="33">
    <w:p w14:paraId="174E1DBE" w14:textId="77777777" w:rsidR="00F1283E" w:rsidRDefault="00F1283E" w:rsidP="00F1283E">
      <w:pPr>
        <w:pStyle w:val="FootnoteText"/>
      </w:pPr>
      <w:r w:rsidRPr="008E53BD">
        <w:rPr>
          <w:rStyle w:val="FootnoteReference"/>
        </w:rPr>
        <w:footnoteRef/>
      </w:r>
      <w:r>
        <w:t xml:space="preserve"> RCP8.5</w:t>
      </w:r>
    </w:p>
  </w:footnote>
  <w:footnote w:id="34">
    <w:p w14:paraId="2AD7ADEF" w14:textId="77777777" w:rsidR="00F1283E" w:rsidRDefault="00F1283E" w:rsidP="00F1283E">
      <w:pPr>
        <w:pStyle w:val="FootnoteText"/>
      </w:pPr>
      <w:r>
        <w:rPr>
          <w:rStyle w:val="FootnoteReference"/>
        </w:rPr>
        <w:footnoteRef/>
      </w:r>
      <w:r>
        <w:t xml:space="preserve"> IPCC SRES A1B; somewhere between RCP6.0 and RCP8.5 in terms of CO</w:t>
      </w:r>
      <w:r w:rsidRPr="00D82851">
        <w:rPr>
          <w:vertAlign w:val="subscript"/>
        </w:rPr>
        <w:t>2</w:t>
      </w:r>
      <w:r>
        <w:t xml:space="preserve"> concentration.</w:t>
      </w:r>
    </w:p>
  </w:footnote>
  <w:footnote w:id="35">
    <w:p w14:paraId="2F386E3C" w14:textId="77777777" w:rsidR="00F1283E" w:rsidRDefault="00F1283E" w:rsidP="00F1283E">
      <w:pPr>
        <w:pStyle w:val="FootnoteText"/>
      </w:pPr>
      <w:r>
        <w:rPr>
          <w:rStyle w:val="FootnoteReference"/>
        </w:rPr>
        <w:footnoteRef/>
      </w:r>
      <w:r>
        <w:t xml:space="preserve"> RCP8.5</w:t>
      </w:r>
    </w:p>
  </w:footnote>
  <w:footnote w:id="36">
    <w:p w14:paraId="22E9C76B" w14:textId="77777777" w:rsidR="00F1283E" w:rsidRDefault="00F1283E" w:rsidP="00F1283E">
      <w:pPr>
        <w:pStyle w:val="FootnoteText"/>
      </w:pPr>
      <w:r>
        <w:rPr>
          <w:rStyle w:val="FootnoteReference"/>
        </w:rPr>
        <w:footnoteRef/>
      </w:r>
      <w:r>
        <w:t xml:space="preserve"> RCP8.5</w:t>
      </w:r>
    </w:p>
  </w:footnote>
  <w:footnote w:id="37">
    <w:p w14:paraId="7D94229E" w14:textId="77777777" w:rsidR="00F1283E" w:rsidRDefault="00F1283E" w:rsidP="00F1283E">
      <w:pPr>
        <w:pStyle w:val="FootnoteText"/>
      </w:pPr>
      <w:r>
        <w:rPr>
          <w:rStyle w:val="FootnoteReference"/>
        </w:rPr>
        <w:footnoteRef/>
      </w:r>
      <w:r>
        <w:t xml:space="preserve"> RCP8.5</w:t>
      </w:r>
    </w:p>
  </w:footnote>
  <w:footnote w:id="38">
    <w:p w14:paraId="370103EE" w14:textId="77777777" w:rsidR="00F1283E" w:rsidRDefault="00F1283E" w:rsidP="00F1283E">
      <w:pPr>
        <w:pStyle w:val="FootnoteText"/>
      </w:pPr>
      <w:r>
        <w:rPr>
          <w:rStyle w:val="FootnoteReference"/>
        </w:rPr>
        <w:footnoteRef/>
      </w:r>
      <w:r>
        <w:t xml:space="preserve"> RCP8.5</w:t>
      </w:r>
    </w:p>
  </w:footnote>
  <w:footnote w:id="39">
    <w:p w14:paraId="3D00971B" w14:textId="77777777" w:rsidR="00F1283E" w:rsidRDefault="00F1283E" w:rsidP="00F1283E">
      <w:pPr>
        <w:pStyle w:val="FootnoteText"/>
      </w:pPr>
      <w:r>
        <w:rPr>
          <w:rStyle w:val="FootnoteReference"/>
        </w:rPr>
        <w:footnoteRef/>
      </w:r>
      <w:r>
        <w:t xml:space="preserve"> RCP4.5</w:t>
      </w:r>
    </w:p>
  </w:footnote>
  <w:footnote w:id="40">
    <w:p w14:paraId="5AB1B1E3" w14:textId="77777777" w:rsidR="00F1283E" w:rsidRDefault="00F1283E" w:rsidP="00F1283E">
      <w:pPr>
        <w:pStyle w:val="FootnoteText"/>
      </w:pPr>
      <w:r>
        <w:rPr>
          <w:rStyle w:val="FootnoteReference"/>
        </w:rPr>
        <w:footnoteRef/>
      </w:r>
      <w:r>
        <w:t xml:space="preserve"> RCP2.6</w:t>
      </w:r>
    </w:p>
  </w:footnote>
  <w:footnote w:id="41">
    <w:p w14:paraId="6E022B74" w14:textId="77777777" w:rsidR="00F1283E" w:rsidRDefault="00F1283E" w:rsidP="00F1283E">
      <w:pPr>
        <w:pStyle w:val="FootnoteText"/>
      </w:pPr>
      <w:r>
        <w:rPr>
          <w:rStyle w:val="FootnoteReference"/>
        </w:rPr>
        <w:footnoteRef/>
      </w:r>
      <w:r>
        <w:t xml:space="preserve"> RCP8.5</w:t>
      </w:r>
    </w:p>
  </w:footnote>
  <w:footnote w:id="42">
    <w:p w14:paraId="6449E0BF" w14:textId="77777777" w:rsidR="00F1283E" w:rsidRDefault="00F1283E" w:rsidP="00F1283E">
      <w:pPr>
        <w:pStyle w:val="FootnoteText"/>
      </w:pPr>
      <w:r>
        <w:rPr>
          <w:rStyle w:val="FootnoteReference"/>
        </w:rPr>
        <w:footnoteRef/>
      </w:r>
      <w:r>
        <w:t xml:space="preserve"> Note that this study only looks at the impacts of management changes, not of climate change or other stressors.</w:t>
      </w:r>
    </w:p>
  </w:footnote>
  <w:footnote w:id="43">
    <w:p w14:paraId="013FF6E7" w14:textId="77777777" w:rsidR="00F1283E" w:rsidRDefault="00F1283E" w:rsidP="00F1283E">
      <w:pPr>
        <w:pStyle w:val="FootnoteText"/>
      </w:pPr>
      <w:r>
        <w:rPr>
          <w:rStyle w:val="FootnoteReference"/>
        </w:rPr>
        <w:footnoteRef/>
      </w:r>
      <w:r>
        <w:t xml:space="preserve"> RCP2.6</w:t>
      </w:r>
    </w:p>
  </w:footnote>
  <w:footnote w:id="44">
    <w:p w14:paraId="0DEFA488" w14:textId="77777777" w:rsidR="00F1283E" w:rsidRDefault="00F1283E" w:rsidP="00F1283E">
      <w:pPr>
        <w:pStyle w:val="FootnoteText"/>
      </w:pPr>
      <w:r>
        <w:rPr>
          <w:rStyle w:val="FootnoteReference"/>
        </w:rPr>
        <w:footnoteRef/>
      </w:r>
      <w:r>
        <w:t xml:space="preserve"> RCP8.5</w:t>
      </w:r>
    </w:p>
  </w:footnote>
  <w:footnote w:id="45">
    <w:p w14:paraId="3D87BA1E" w14:textId="77777777" w:rsidR="00F1283E" w:rsidRDefault="00F1283E" w:rsidP="00F1283E">
      <w:pPr>
        <w:pStyle w:val="FootnoteText"/>
      </w:pPr>
      <w:r>
        <w:rPr>
          <w:rStyle w:val="FootnoteReference"/>
        </w:rPr>
        <w:footnoteRef/>
      </w:r>
      <w:r>
        <w:t xml:space="preserve"> RCP2.6</w:t>
      </w:r>
    </w:p>
  </w:footnote>
  <w:footnote w:id="46">
    <w:p w14:paraId="1AFBE588" w14:textId="77777777" w:rsidR="00F1283E" w:rsidRDefault="00F1283E" w:rsidP="00F1283E">
      <w:pPr>
        <w:pStyle w:val="FootnoteText"/>
      </w:pPr>
      <w:r>
        <w:rPr>
          <w:rStyle w:val="FootnoteReference"/>
        </w:rPr>
        <w:footnoteRef/>
      </w:r>
      <w:r>
        <w:t xml:space="preserve"> RCP8.5</w:t>
      </w:r>
    </w:p>
  </w:footnote>
  <w:footnote w:id="47">
    <w:p w14:paraId="4CA15F48" w14:textId="77777777" w:rsidR="00F1283E" w:rsidRDefault="00F1283E" w:rsidP="00F1283E">
      <w:pPr>
        <w:pStyle w:val="FootnoteText"/>
      </w:pPr>
      <w:r>
        <w:rPr>
          <w:rStyle w:val="FootnoteReference"/>
        </w:rPr>
        <w:footnoteRef/>
      </w:r>
      <w:r>
        <w:t xml:space="preserve"> RCP4.5</w:t>
      </w:r>
    </w:p>
  </w:footnote>
  <w:footnote w:id="48">
    <w:p w14:paraId="65D134EE" w14:textId="77777777" w:rsidR="00F1283E" w:rsidRDefault="00F1283E" w:rsidP="00F1283E">
      <w:pPr>
        <w:pStyle w:val="FootnoteText"/>
      </w:pPr>
      <w:r>
        <w:rPr>
          <w:rStyle w:val="FootnoteReference"/>
        </w:rPr>
        <w:footnoteRef/>
      </w:r>
      <w:r>
        <w:t xml:space="preserve"> RCP8.5</w:t>
      </w:r>
    </w:p>
  </w:footnote>
  <w:footnote w:id="49">
    <w:p w14:paraId="25E87E42" w14:textId="77777777" w:rsidR="00F1283E" w:rsidRDefault="00F1283E" w:rsidP="00F1283E">
      <w:pPr>
        <w:pStyle w:val="FootnoteText"/>
      </w:pPr>
      <w:r>
        <w:rPr>
          <w:rStyle w:val="FootnoteReference"/>
        </w:rPr>
        <w:footnoteRef/>
      </w:r>
      <w:r>
        <w:t xml:space="preserve"> RCP8.5</w:t>
      </w:r>
    </w:p>
  </w:footnote>
  <w:footnote w:id="50">
    <w:p w14:paraId="63405DC0" w14:textId="77777777" w:rsidR="00F1283E" w:rsidRDefault="00F1283E" w:rsidP="00F1283E">
      <w:pPr>
        <w:pStyle w:val="FootnoteText"/>
      </w:pPr>
      <w:r>
        <w:rPr>
          <w:rStyle w:val="FootnoteReference"/>
        </w:rPr>
        <w:footnoteRef/>
      </w:r>
      <w:r>
        <w:t xml:space="preserve"> Corresponding to RCPs 2.6, 4.5, and 6.0</w:t>
      </w:r>
    </w:p>
  </w:footnote>
  <w:footnote w:id="51">
    <w:p w14:paraId="37597C4C" w14:textId="77777777" w:rsidR="00F1283E" w:rsidRDefault="00F1283E" w:rsidP="00F1283E">
      <w:pPr>
        <w:pStyle w:val="FootnoteText"/>
      </w:pPr>
      <w:r>
        <w:rPr>
          <w:rStyle w:val="FootnoteReference"/>
        </w:rPr>
        <w:footnoteRef/>
      </w:r>
      <w:r>
        <w:t xml:space="preserve"> RCP8.5</w:t>
      </w:r>
    </w:p>
  </w:footnote>
  <w:footnote w:id="52">
    <w:p w14:paraId="7F023883" w14:textId="77777777" w:rsidR="00F1283E" w:rsidRDefault="00F1283E" w:rsidP="00F1283E">
      <w:pPr>
        <w:pStyle w:val="FootnoteText"/>
      </w:pPr>
      <w:r>
        <w:rPr>
          <w:rStyle w:val="FootnoteReference"/>
        </w:rPr>
        <w:footnoteRef/>
      </w:r>
      <w:r>
        <w:t xml:space="preserve"> Representing the geometric mean of species abundances.</w:t>
      </w:r>
    </w:p>
  </w:footnote>
  <w:footnote w:id="53">
    <w:p w14:paraId="133EEFAE" w14:textId="77777777" w:rsidR="00F1283E" w:rsidRDefault="00F1283E" w:rsidP="00F1283E">
      <w:pPr>
        <w:pStyle w:val="FootnoteText"/>
      </w:pPr>
      <w:r>
        <w:rPr>
          <w:rStyle w:val="FootnoteReference"/>
        </w:rPr>
        <w:footnoteRef/>
      </w:r>
      <w:r>
        <w:t xml:space="preserve"> RCP4.5</w:t>
      </w:r>
    </w:p>
  </w:footnote>
  <w:footnote w:id="54">
    <w:p w14:paraId="707DA3E0" w14:textId="77777777" w:rsidR="00F1283E" w:rsidRDefault="00F1283E" w:rsidP="00F1283E">
      <w:pPr>
        <w:pStyle w:val="FootnoteText"/>
      </w:pPr>
      <w:r>
        <w:rPr>
          <w:rStyle w:val="FootnoteReference"/>
        </w:rPr>
        <w:footnoteRef/>
      </w:r>
      <w:r>
        <w:t xml:space="preserve"> RCP6.0</w:t>
      </w:r>
    </w:p>
  </w:footnote>
  <w:footnote w:id="55">
    <w:p w14:paraId="1F04B506" w14:textId="77777777" w:rsidR="00F1283E" w:rsidRDefault="00F1283E" w:rsidP="00F1283E">
      <w:pPr>
        <w:pStyle w:val="FootnoteText"/>
      </w:pPr>
      <w:r>
        <w:rPr>
          <w:rStyle w:val="FootnoteReference"/>
        </w:rPr>
        <w:footnoteRef/>
      </w:r>
      <w:r>
        <w:t xml:space="preserve"> RCP2.6</w:t>
      </w:r>
    </w:p>
  </w:footnote>
  <w:footnote w:id="56">
    <w:p w14:paraId="12A16958" w14:textId="77777777" w:rsidR="00F1283E" w:rsidRDefault="00F1283E" w:rsidP="00F1283E">
      <w:pPr>
        <w:pStyle w:val="FootnoteText"/>
      </w:pPr>
      <w:r>
        <w:rPr>
          <w:rStyle w:val="FootnoteReference"/>
        </w:rPr>
        <w:footnoteRef/>
      </w:r>
      <w:r>
        <w:t xml:space="preserve"> RCP8.5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448FB" w14:textId="631CB23D" w:rsidR="0061253C" w:rsidRDefault="0061253C" w:rsidP="0061253C">
    <w:pPr>
      <w:pStyle w:val="Header"/>
      <w:rPr>
        <w:lang w:val="en-US"/>
      </w:rPr>
    </w:pPr>
    <w:r>
      <w:rPr>
        <w:lang w:val="en-US"/>
      </w:rPr>
      <w:t>CBD/SBSTTA/21/INF/2</w:t>
    </w:r>
    <w:r w:rsidR="00264601">
      <w:rPr>
        <w:lang w:val="en-US"/>
      </w:rPr>
      <w:t>/Rev.1</w:t>
    </w:r>
  </w:p>
  <w:p w14:paraId="57C0B1FA" w14:textId="4B80CD3F" w:rsidR="0061253C" w:rsidRPr="0061253C" w:rsidRDefault="0061253C" w:rsidP="0061253C">
    <w:pPr>
      <w:pStyle w:val="Header"/>
      <w:rPr>
        <w:lang w:val="en-US"/>
      </w:rPr>
    </w:pPr>
    <w:r>
      <w:rPr>
        <w:lang w:val="en-US"/>
      </w:rPr>
      <w:t xml:space="preserve">Page </w:t>
    </w:r>
    <w:r w:rsidRPr="0061253C">
      <w:rPr>
        <w:lang w:val="en-US"/>
      </w:rPr>
      <w:fldChar w:fldCharType="begin"/>
    </w:r>
    <w:r w:rsidRPr="0061253C">
      <w:rPr>
        <w:lang w:val="en-US"/>
      </w:rPr>
      <w:instrText xml:space="preserve"> PAGE   \* MERGEFORMAT </w:instrText>
    </w:r>
    <w:r w:rsidRPr="0061253C">
      <w:rPr>
        <w:lang w:val="en-US"/>
      </w:rPr>
      <w:fldChar w:fldCharType="separate"/>
    </w:r>
    <w:r w:rsidR="00264601">
      <w:rPr>
        <w:noProof/>
        <w:lang w:val="en-US"/>
      </w:rPr>
      <w:t>4</w:t>
    </w:r>
    <w:r w:rsidRPr="0061253C">
      <w:rPr>
        <w:noProof/>
        <w:lang w:val="en-US"/>
      </w:rPr>
      <w:fldChar w:fldCharType="end"/>
    </w:r>
  </w:p>
  <w:p w14:paraId="5199BC92" w14:textId="77777777" w:rsidR="00A6789E" w:rsidRDefault="00A67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DBB4E" w14:textId="26DD0D81" w:rsidR="0061253C" w:rsidRDefault="0061253C" w:rsidP="0061253C">
    <w:pPr>
      <w:pStyle w:val="Header"/>
      <w:jc w:val="right"/>
      <w:rPr>
        <w:lang w:val="en-US"/>
      </w:rPr>
    </w:pPr>
    <w:r>
      <w:rPr>
        <w:lang w:val="en-US"/>
      </w:rPr>
      <w:t>CBD/SBSTTA/21/INF/2</w:t>
    </w:r>
    <w:r w:rsidR="00264601">
      <w:rPr>
        <w:lang w:val="en-US"/>
      </w:rPr>
      <w:t>/Rev.1</w:t>
    </w:r>
  </w:p>
  <w:p w14:paraId="62379067" w14:textId="35AE7E6E" w:rsidR="0061253C" w:rsidRPr="0061253C" w:rsidRDefault="0061253C" w:rsidP="0061253C">
    <w:pPr>
      <w:pStyle w:val="Header"/>
      <w:jc w:val="right"/>
      <w:rPr>
        <w:lang w:val="en-US"/>
      </w:rPr>
    </w:pPr>
    <w:r>
      <w:rPr>
        <w:lang w:val="en-US"/>
      </w:rPr>
      <w:t xml:space="preserve">Page </w:t>
    </w:r>
    <w:r w:rsidRPr="0061253C">
      <w:rPr>
        <w:lang w:val="en-US"/>
      </w:rPr>
      <w:fldChar w:fldCharType="begin"/>
    </w:r>
    <w:r w:rsidRPr="0061253C">
      <w:rPr>
        <w:lang w:val="en-US"/>
      </w:rPr>
      <w:instrText xml:space="preserve"> PAGE   \* MERGEFORMAT </w:instrText>
    </w:r>
    <w:r w:rsidRPr="0061253C">
      <w:rPr>
        <w:lang w:val="en-US"/>
      </w:rPr>
      <w:fldChar w:fldCharType="separate"/>
    </w:r>
    <w:r w:rsidR="00264601">
      <w:rPr>
        <w:noProof/>
        <w:lang w:val="en-US"/>
      </w:rPr>
      <w:t>3</w:t>
    </w:r>
    <w:r w:rsidRPr="0061253C">
      <w:rPr>
        <w:noProof/>
        <w:lang w:val="en-US"/>
      </w:rPr>
      <w:fldChar w:fldCharType="end"/>
    </w:r>
  </w:p>
  <w:p w14:paraId="620F81C6" w14:textId="549654BE" w:rsidR="0061253C" w:rsidRPr="0061253C" w:rsidRDefault="0061253C" w:rsidP="0061253C">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2D6DF28"/>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05429B9"/>
    <w:multiLevelType w:val="hybridMultilevel"/>
    <w:tmpl w:val="B97EC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3668F1"/>
    <w:multiLevelType w:val="multilevel"/>
    <w:tmpl w:val="630E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7F2EFF"/>
    <w:multiLevelType w:val="hybridMultilevel"/>
    <w:tmpl w:val="035E9980"/>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154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D97DE8"/>
    <w:multiLevelType w:val="hybridMultilevel"/>
    <w:tmpl w:val="E98E9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364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656F4F"/>
    <w:multiLevelType w:val="hybridMultilevel"/>
    <w:tmpl w:val="E7AEBF9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F97CAF"/>
    <w:multiLevelType w:val="hybridMultilevel"/>
    <w:tmpl w:val="1B3044AE"/>
    <w:lvl w:ilvl="0" w:tplc="49886F8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F67597"/>
    <w:multiLevelType w:val="hybridMultilevel"/>
    <w:tmpl w:val="2EA02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1E20D9"/>
    <w:multiLevelType w:val="hybridMultilevel"/>
    <w:tmpl w:val="A372B78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2E1B57"/>
    <w:multiLevelType w:val="hybridMultilevel"/>
    <w:tmpl w:val="32F68CC0"/>
    <w:lvl w:ilvl="0" w:tplc="7E60AF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7F78DE"/>
    <w:multiLevelType w:val="hybridMultilevel"/>
    <w:tmpl w:val="CDDE619E"/>
    <w:lvl w:ilvl="0" w:tplc="9BFA56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E23BFB"/>
    <w:multiLevelType w:val="hybridMultilevel"/>
    <w:tmpl w:val="B3DA4D76"/>
    <w:lvl w:ilvl="0" w:tplc="0A2EF550">
      <w:start w:val="5"/>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A45C57"/>
    <w:multiLevelType w:val="hybridMultilevel"/>
    <w:tmpl w:val="ABC63E14"/>
    <w:lvl w:ilvl="0" w:tplc="F0BA9CD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8A5597B"/>
    <w:multiLevelType w:val="hybridMultilevel"/>
    <w:tmpl w:val="C0E47882"/>
    <w:lvl w:ilvl="0" w:tplc="CF42A9C0">
      <w:start w:val="4"/>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1D13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76253845"/>
    <w:multiLevelType w:val="hybridMultilevel"/>
    <w:tmpl w:val="EB84C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8E77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3"/>
  </w:num>
  <w:num w:numId="3">
    <w:abstractNumId w:val="12"/>
  </w:num>
  <w:num w:numId="4">
    <w:abstractNumId w:val="5"/>
  </w:num>
  <w:num w:numId="5">
    <w:abstractNumId w:val="13"/>
  </w:num>
  <w:num w:numId="6">
    <w:abstractNumId w:val="7"/>
  </w:num>
  <w:num w:numId="7">
    <w:abstractNumId w:val="19"/>
  </w:num>
  <w:num w:numId="8">
    <w:abstractNumId w:val="18"/>
  </w:num>
  <w:num w:numId="9">
    <w:abstractNumId w:val="9"/>
  </w:num>
  <w:num w:numId="10">
    <w:abstractNumId w:val="11"/>
  </w:num>
  <w:num w:numId="11">
    <w:abstractNumId w:val="16"/>
  </w:num>
  <w:num w:numId="12">
    <w:abstractNumId w:val="4"/>
  </w:num>
  <w:num w:numId="13">
    <w:abstractNumId w:val="6"/>
  </w:num>
  <w:num w:numId="14">
    <w:abstractNumId w:val="14"/>
  </w:num>
  <w:num w:numId="15">
    <w:abstractNumId w:val="2"/>
  </w:num>
  <w:num w:numId="16">
    <w:abstractNumId w:val="10"/>
  </w:num>
  <w:num w:numId="17">
    <w:abstractNumId w:val="0"/>
  </w:num>
  <w:num w:numId="18">
    <w:abstractNumId w:val="1"/>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7B7"/>
    <w:rsid w:val="0000759A"/>
    <w:rsid w:val="000141D2"/>
    <w:rsid w:val="00016D46"/>
    <w:rsid w:val="00020E1A"/>
    <w:rsid w:val="00022E49"/>
    <w:rsid w:val="00025906"/>
    <w:rsid w:val="00026B7C"/>
    <w:rsid w:val="000276B3"/>
    <w:rsid w:val="00031459"/>
    <w:rsid w:val="00031A70"/>
    <w:rsid w:val="00032878"/>
    <w:rsid w:val="00037071"/>
    <w:rsid w:val="00041A00"/>
    <w:rsid w:val="00043A83"/>
    <w:rsid w:val="00045836"/>
    <w:rsid w:val="00047204"/>
    <w:rsid w:val="00055CD5"/>
    <w:rsid w:val="000567CA"/>
    <w:rsid w:val="0006010F"/>
    <w:rsid w:val="00061B1F"/>
    <w:rsid w:val="000721D6"/>
    <w:rsid w:val="00073416"/>
    <w:rsid w:val="000736A0"/>
    <w:rsid w:val="00073CC7"/>
    <w:rsid w:val="00076D0C"/>
    <w:rsid w:val="0008330C"/>
    <w:rsid w:val="00083961"/>
    <w:rsid w:val="00084D91"/>
    <w:rsid w:val="00085D86"/>
    <w:rsid w:val="00087954"/>
    <w:rsid w:val="000904D5"/>
    <w:rsid w:val="000908BF"/>
    <w:rsid w:val="00096A57"/>
    <w:rsid w:val="0009750A"/>
    <w:rsid w:val="000A3508"/>
    <w:rsid w:val="000B06A3"/>
    <w:rsid w:val="000B21DA"/>
    <w:rsid w:val="000B3A11"/>
    <w:rsid w:val="000B3F3B"/>
    <w:rsid w:val="000B45C8"/>
    <w:rsid w:val="000B6B74"/>
    <w:rsid w:val="000B7F94"/>
    <w:rsid w:val="000C0CBD"/>
    <w:rsid w:val="000C3C9B"/>
    <w:rsid w:val="000D22FA"/>
    <w:rsid w:val="000D3111"/>
    <w:rsid w:val="000D3908"/>
    <w:rsid w:val="000D4C64"/>
    <w:rsid w:val="000D7842"/>
    <w:rsid w:val="000E2AF4"/>
    <w:rsid w:val="000F1B30"/>
    <w:rsid w:val="000F297C"/>
    <w:rsid w:val="000F587C"/>
    <w:rsid w:val="000F5B19"/>
    <w:rsid w:val="00101B7A"/>
    <w:rsid w:val="00103452"/>
    <w:rsid w:val="0010441E"/>
    <w:rsid w:val="00107E4A"/>
    <w:rsid w:val="00112A94"/>
    <w:rsid w:val="00113468"/>
    <w:rsid w:val="00116B05"/>
    <w:rsid w:val="00117118"/>
    <w:rsid w:val="001202A7"/>
    <w:rsid w:val="001219C3"/>
    <w:rsid w:val="00124851"/>
    <w:rsid w:val="00124B4C"/>
    <w:rsid w:val="00127759"/>
    <w:rsid w:val="001300F5"/>
    <w:rsid w:val="00130370"/>
    <w:rsid w:val="00130F38"/>
    <w:rsid w:val="00134335"/>
    <w:rsid w:val="00134753"/>
    <w:rsid w:val="00134801"/>
    <w:rsid w:val="001405B0"/>
    <w:rsid w:val="001447F4"/>
    <w:rsid w:val="00145ED5"/>
    <w:rsid w:val="0014755B"/>
    <w:rsid w:val="00150771"/>
    <w:rsid w:val="00150D0F"/>
    <w:rsid w:val="00150D93"/>
    <w:rsid w:val="001515FF"/>
    <w:rsid w:val="001517B9"/>
    <w:rsid w:val="001553C9"/>
    <w:rsid w:val="001559C4"/>
    <w:rsid w:val="00155EBF"/>
    <w:rsid w:val="00156856"/>
    <w:rsid w:val="00156E35"/>
    <w:rsid w:val="0015761A"/>
    <w:rsid w:val="001623FA"/>
    <w:rsid w:val="00162CAA"/>
    <w:rsid w:val="00163E1C"/>
    <w:rsid w:val="001741C5"/>
    <w:rsid w:val="00175660"/>
    <w:rsid w:val="00182BD6"/>
    <w:rsid w:val="00183C6B"/>
    <w:rsid w:val="00184502"/>
    <w:rsid w:val="00185A52"/>
    <w:rsid w:val="001860E3"/>
    <w:rsid w:val="001869BC"/>
    <w:rsid w:val="00190BA8"/>
    <w:rsid w:val="00191E06"/>
    <w:rsid w:val="00192C1E"/>
    <w:rsid w:val="00193D91"/>
    <w:rsid w:val="00196D09"/>
    <w:rsid w:val="001A3E7D"/>
    <w:rsid w:val="001A79FC"/>
    <w:rsid w:val="001B523B"/>
    <w:rsid w:val="001B5FD1"/>
    <w:rsid w:val="001B631E"/>
    <w:rsid w:val="001B745D"/>
    <w:rsid w:val="001C0B43"/>
    <w:rsid w:val="001C1B4C"/>
    <w:rsid w:val="001C23A1"/>
    <w:rsid w:val="001C2A6D"/>
    <w:rsid w:val="001C3B59"/>
    <w:rsid w:val="001C5BF2"/>
    <w:rsid w:val="001C7DCF"/>
    <w:rsid w:val="001D3ADF"/>
    <w:rsid w:val="001E4E6A"/>
    <w:rsid w:val="001E70B4"/>
    <w:rsid w:val="001E7D73"/>
    <w:rsid w:val="001F129A"/>
    <w:rsid w:val="001F3351"/>
    <w:rsid w:val="001F402F"/>
    <w:rsid w:val="001F6D60"/>
    <w:rsid w:val="001F7AA5"/>
    <w:rsid w:val="00202619"/>
    <w:rsid w:val="00207F3F"/>
    <w:rsid w:val="00210083"/>
    <w:rsid w:val="002128C8"/>
    <w:rsid w:val="002135DB"/>
    <w:rsid w:val="00213B35"/>
    <w:rsid w:val="0021427A"/>
    <w:rsid w:val="00217EEB"/>
    <w:rsid w:val="00222780"/>
    <w:rsid w:val="00223C38"/>
    <w:rsid w:val="00231C1B"/>
    <w:rsid w:val="00232B50"/>
    <w:rsid w:val="00233AD0"/>
    <w:rsid w:val="00234F56"/>
    <w:rsid w:val="00236594"/>
    <w:rsid w:val="00237E87"/>
    <w:rsid w:val="00261168"/>
    <w:rsid w:val="00264601"/>
    <w:rsid w:val="00267525"/>
    <w:rsid w:val="00270066"/>
    <w:rsid w:val="002753BC"/>
    <w:rsid w:val="00277D15"/>
    <w:rsid w:val="00280CDE"/>
    <w:rsid w:val="00282B86"/>
    <w:rsid w:val="00284D0C"/>
    <w:rsid w:val="002856BC"/>
    <w:rsid w:val="002937EF"/>
    <w:rsid w:val="002A4F01"/>
    <w:rsid w:val="002A7192"/>
    <w:rsid w:val="002B50AE"/>
    <w:rsid w:val="002C1DEF"/>
    <w:rsid w:val="002C5FCD"/>
    <w:rsid w:val="002D0F2C"/>
    <w:rsid w:val="002D4A54"/>
    <w:rsid w:val="002D6248"/>
    <w:rsid w:val="002E0F8C"/>
    <w:rsid w:val="002E2183"/>
    <w:rsid w:val="002F0E13"/>
    <w:rsid w:val="002F58DA"/>
    <w:rsid w:val="002F70E8"/>
    <w:rsid w:val="003010E5"/>
    <w:rsid w:val="003037AB"/>
    <w:rsid w:val="00311212"/>
    <w:rsid w:val="00312407"/>
    <w:rsid w:val="003165F9"/>
    <w:rsid w:val="0031723A"/>
    <w:rsid w:val="003178B4"/>
    <w:rsid w:val="0032013B"/>
    <w:rsid w:val="00320F9C"/>
    <w:rsid w:val="00322B74"/>
    <w:rsid w:val="00325DCC"/>
    <w:rsid w:val="00330098"/>
    <w:rsid w:val="00330A34"/>
    <w:rsid w:val="00336827"/>
    <w:rsid w:val="00344001"/>
    <w:rsid w:val="00344060"/>
    <w:rsid w:val="00346143"/>
    <w:rsid w:val="00347785"/>
    <w:rsid w:val="00351944"/>
    <w:rsid w:val="00352328"/>
    <w:rsid w:val="003548D2"/>
    <w:rsid w:val="00357B6A"/>
    <w:rsid w:val="00361931"/>
    <w:rsid w:val="00361B74"/>
    <w:rsid w:val="003624C3"/>
    <w:rsid w:val="00362BEE"/>
    <w:rsid w:val="00363D0E"/>
    <w:rsid w:val="00372A1D"/>
    <w:rsid w:val="00372C9E"/>
    <w:rsid w:val="00381033"/>
    <w:rsid w:val="00381CCF"/>
    <w:rsid w:val="00396951"/>
    <w:rsid w:val="00397527"/>
    <w:rsid w:val="003A4604"/>
    <w:rsid w:val="003A536A"/>
    <w:rsid w:val="003B14F4"/>
    <w:rsid w:val="003B1D8E"/>
    <w:rsid w:val="003B23A0"/>
    <w:rsid w:val="003B44DF"/>
    <w:rsid w:val="003B4F1E"/>
    <w:rsid w:val="003C39ED"/>
    <w:rsid w:val="003C6A8E"/>
    <w:rsid w:val="003C739B"/>
    <w:rsid w:val="003C758B"/>
    <w:rsid w:val="003D0650"/>
    <w:rsid w:val="003D261A"/>
    <w:rsid w:val="003D2C6E"/>
    <w:rsid w:val="003D35AB"/>
    <w:rsid w:val="003D4111"/>
    <w:rsid w:val="003D6416"/>
    <w:rsid w:val="003E65E9"/>
    <w:rsid w:val="003E6D55"/>
    <w:rsid w:val="003F10F9"/>
    <w:rsid w:val="003F3736"/>
    <w:rsid w:val="003F7474"/>
    <w:rsid w:val="00402DBE"/>
    <w:rsid w:val="0040626E"/>
    <w:rsid w:val="004129C5"/>
    <w:rsid w:val="00417C43"/>
    <w:rsid w:val="004214A9"/>
    <w:rsid w:val="00422DBD"/>
    <w:rsid w:val="00430231"/>
    <w:rsid w:val="004329DC"/>
    <w:rsid w:val="00436D42"/>
    <w:rsid w:val="00442D31"/>
    <w:rsid w:val="00446074"/>
    <w:rsid w:val="004469C4"/>
    <w:rsid w:val="00446D1F"/>
    <w:rsid w:val="004478A0"/>
    <w:rsid w:val="004521E8"/>
    <w:rsid w:val="00455FED"/>
    <w:rsid w:val="004600C9"/>
    <w:rsid w:val="00463459"/>
    <w:rsid w:val="004638FA"/>
    <w:rsid w:val="00470790"/>
    <w:rsid w:val="0047163C"/>
    <w:rsid w:val="00471D9A"/>
    <w:rsid w:val="0047349D"/>
    <w:rsid w:val="00475825"/>
    <w:rsid w:val="00477416"/>
    <w:rsid w:val="00477B95"/>
    <w:rsid w:val="00483D94"/>
    <w:rsid w:val="0048583F"/>
    <w:rsid w:val="00485EE1"/>
    <w:rsid w:val="0048646C"/>
    <w:rsid w:val="00487B22"/>
    <w:rsid w:val="0049070A"/>
    <w:rsid w:val="00492D21"/>
    <w:rsid w:val="00495764"/>
    <w:rsid w:val="004A2DFF"/>
    <w:rsid w:val="004A5559"/>
    <w:rsid w:val="004A5C7B"/>
    <w:rsid w:val="004A6DB5"/>
    <w:rsid w:val="004A6E30"/>
    <w:rsid w:val="004A7711"/>
    <w:rsid w:val="004B0A8A"/>
    <w:rsid w:val="004B18AC"/>
    <w:rsid w:val="004B24CE"/>
    <w:rsid w:val="004B5275"/>
    <w:rsid w:val="004B6D0F"/>
    <w:rsid w:val="004B7C89"/>
    <w:rsid w:val="004C0140"/>
    <w:rsid w:val="004C12D3"/>
    <w:rsid w:val="004C2F6A"/>
    <w:rsid w:val="004C61EC"/>
    <w:rsid w:val="004D0148"/>
    <w:rsid w:val="004D2CAD"/>
    <w:rsid w:val="004D314A"/>
    <w:rsid w:val="004D5DD5"/>
    <w:rsid w:val="004D6459"/>
    <w:rsid w:val="004E136E"/>
    <w:rsid w:val="004E1562"/>
    <w:rsid w:val="004F088D"/>
    <w:rsid w:val="004F2C76"/>
    <w:rsid w:val="004F50A2"/>
    <w:rsid w:val="00501F2A"/>
    <w:rsid w:val="00503438"/>
    <w:rsid w:val="00512940"/>
    <w:rsid w:val="00513A38"/>
    <w:rsid w:val="005159E9"/>
    <w:rsid w:val="00520550"/>
    <w:rsid w:val="005215FE"/>
    <w:rsid w:val="00521B34"/>
    <w:rsid w:val="0052672B"/>
    <w:rsid w:val="00530ABC"/>
    <w:rsid w:val="005319A4"/>
    <w:rsid w:val="0053232A"/>
    <w:rsid w:val="00535D9C"/>
    <w:rsid w:val="00537DEA"/>
    <w:rsid w:val="005413CE"/>
    <w:rsid w:val="00544033"/>
    <w:rsid w:val="005466CB"/>
    <w:rsid w:val="0055527E"/>
    <w:rsid w:val="00555EA9"/>
    <w:rsid w:val="00557208"/>
    <w:rsid w:val="00560AA7"/>
    <w:rsid w:val="00561421"/>
    <w:rsid w:val="0056557B"/>
    <w:rsid w:val="0057246B"/>
    <w:rsid w:val="00582968"/>
    <w:rsid w:val="00583378"/>
    <w:rsid w:val="00584638"/>
    <w:rsid w:val="00586907"/>
    <w:rsid w:val="005872AE"/>
    <w:rsid w:val="005903A2"/>
    <w:rsid w:val="00592C28"/>
    <w:rsid w:val="005A0CC8"/>
    <w:rsid w:val="005A1EB6"/>
    <w:rsid w:val="005A3CDA"/>
    <w:rsid w:val="005A41D4"/>
    <w:rsid w:val="005A4D53"/>
    <w:rsid w:val="005A52E0"/>
    <w:rsid w:val="005A607E"/>
    <w:rsid w:val="005B26D3"/>
    <w:rsid w:val="005B6CF8"/>
    <w:rsid w:val="005C2AA7"/>
    <w:rsid w:val="005C5833"/>
    <w:rsid w:val="005D0B91"/>
    <w:rsid w:val="005D643B"/>
    <w:rsid w:val="005D6E45"/>
    <w:rsid w:val="005E0620"/>
    <w:rsid w:val="005E1E47"/>
    <w:rsid w:val="005E2685"/>
    <w:rsid w:val="005F1B5A"/>
    <w:rsid w:val="005F25DE"/>
    <w:rsid w:val="005F4BE2"/>
    <w:rsid w:val="005F644A"/>
    <w:rsid w:val="006001DA"/>
    <w:rsid w:val="0061253C"/>
    <w:rsid w:val="006137DD"/>
    <w:rsid w:val="00614033"/>
    <w:rsid w:val="00616C0C"/>
    <w:rsid w:val="00617134"/>
    <w:rsid w:val="00621D4D"/>
    <w:rsid w:val="00624265"/>
    <w:rsid w:val="00625589"/>
    <w:rsid w:val="00630E67"/>
    <w:rsid w:val="00631119"/>
    <w:rsid w:val="00640560"/>
    <w:rsid w:val="00641407"/>
    <w:rsid w:val="0064141B"/>
    <w:rsid w:val="006421BF"/>
    <w:rsid w:val="006466FC"/>
    <w:rsid w:val="00646D89"/>
    <w:rsid w:val="00647CAB"/>
    <w:rsid w:val="00651FD5"/>
    <w:rsid w:val="0065212A"/>
    <w:rsid w:val="0065215A"/>
    <w:rsid w:val="006533CD"/>
    <w:rsid w:val="00655B75"/>
    <w:rsid w:val="00657A52"/>
    <w:rsid w:val="00662A57"/>
    <w:rsid w:val="00662BEE"/>
    <w:rsid w:val="00664147"/>
    <w:rsid w:val="00667A50"/>
    <w:rsid w:val="00670B3F"/>
    <w:rsid w:val="0067405A"/>
    <w:rsid w:val="00674AD9"/>
    <w:rsid w:val="00675DEA"/>
    <w:rsid w:val="00681FF5"/>
    <w:rsid w:val="0068291D"/>
    <w:rsid w:val="00686D74"/>
    <w:rsid w:val="006908C7"/>
    <w:rsid w:val="00690BBF"/>
    <w:rsid w:val="00693183"/>
    <w:rsid w:val="00693765"/>
    <w:rsid w:val="006A0308"/>
    <w:rsid w:val="006A2FCD"/>
    <w:rsid w:val="006B3447"/>
    <w:rsid w:val="006C7860"/>
    <w:rsid w:val="006D47E6"/>
    <w:rsid w:val="006D7A08"/>
    <w:rsid w:val="006E16BD"/>
    <w:rsid w:val="006E1C17"/>
    <w:rsid w:val="006E1DEC"/>
    <w:rsid w:val="006E257D"/>
    <w:rsid w:val="006F0131"/>
    <w:rsid w:val="006F1CC8"/>
    <w:rsid w:val="006F1F2C"/>
    <w:rsid w:val="006F2549"/>
    <w:rsid w:val="006F48D8"/>
    <w:rsid w:val="00702D11"/>
    <w:rsid w:val="007031C1"/>
    <w:rsid w:val="007052E5"/>
    <w:rsid w:val="00710A91"/>
    <w:rsid w:val="007209DB"/>
    <w:rsid w:val="00722052"/>
    <w:rsid w:val="00724052"/>
    <w:rsid w:val="00726F39"/>
    <w:rsid w:val="007325DA"/>
    <w:rsid w:val="0073297C"/>
    <w:rsid w:val="007344C7"/>
    <w:rsid w:val="00735123"/>
    <w:rsid w:val="007365A0"/>
    <w:rsid w:val="00736ABA"/>
    <w:rsid w:val="00736EB8"/>
    <w:rsid w:val="007370F0"/>
    <w:rsid w:val="00742887"/>
    <w:rsid w:val="007433BB"/>
    <w:rsid w:val="00743E15"/>
    <w:rsid w:val="0074555A"/>
    <w:rsid w:val="0075176E"/>
    <w:rsid w:val="00752D5C"/>
    <w:rsid w:val="00756DC8"/>
    <w:rsid w:val="0076185E"/>
    <w:rsid w:val="007640DC"/>
    <w:rsid w:val="00772CB8"/>
    <w:rsid w:val="00773920"/>
    <w:rsid w:val="00773E73"/>
    <w:rsid w:val="00775DDF"/>
    <w:rsid w:val="007810DC"/>
    <w:rsid w:val="0078584E"/>
    <w:rsid w:val="00786071"/>
    <w:rsid w:val="00790584"/>
    <w:rsid w:val="00795CF4"/>
    <w:rsid w:val="0079666F"/>
    <w:rsid w:val="007A2051"/>
    <w:rsid w:val="007A23F9"/>
    <w:rsid w:val="007A3479"/>
    <w:rsid w:val="007A383E"/>
    <w:rsid w:val="007A3DA9"/>
    <w:rsid w:val="007A6CE4"/>
    <w:rsid w:val="007B0E30"/>
    <w:rsid w:val="007B1976"/>
    <w:rsid w:val="007B3C55"/>
    <w:rsid w:val="007B74A1"/>
    <w:rsid w:val="007C52C1"/>
    <w:rsid w:val="007C6784"/>
    <w:rsid w:val="007D4F66"/>
    <w:rsid w:val="007D63F2"/>
    <w:rsid w:val="007E0DA4"/>
    <w:rsid w:val="007E0FE6"/>
    <w:rsid w:val="007E4EBD"/>
    <w:rsid w:val="007E73A4"/>
    <w:rsid w:val="007E785D"/>
    <w:rsid w:val="007F32E2"/>
    <w:rsid w:val="007F7314"/>
    <w:rsid w:val="00801365"/>
    <w:rsid w:val="0080181D"/>
    <w:rsid w:val="00806D10"/>
    <w:rsid w:val="008129CB"/>
    <w:rsid w:val="00815ECB"/>
    <w:rsid w:val="0081715B"/>
    <w:rsid w:val="0082315A"/>
    <w:rsid w:val="0082489F"/>
    <w:rsid w:val="0082791D"/>
    <w:rsid w:val="00833364"/>
    <w:rsid w:val="00835FD7"/>
    <w:rsid w:val="00836066"/>
    <w:rsid w:val="00842A87"/>
    <w:rsid w:val="00842CF8"/>
    <w:rsid w:val="00842DD1"/>
    <w:rsid w:val="008444F2"/>
    <w:rsid w:val="008453B4"/>
    <w:rsid w:val="008468B1"/>
    <w:rsid w:val="0084716E"/>
    <w:rsid w:val="00847BD9"/>
    <w:rsid w:val="008517B4"/>
    <w:rsid w:val="0085338D"/>
    <w:rsid w:val="008544FB"/>
    <w:rsid w:val="00856041"/>
    <w:rsid w:val="008575BA"/>
    <w:rsid w:val="00864416"/>
    <w:rsid w:val="00867850"/>
    <w:rsid w:val="008712B1"/>
    <w:rsid w:val="008728BE"/>
    <w:rsid w:val="00873D7E"/>
    <w:rsid w:val="00875437"/>
    <w:rsid w:val="00880B76"/>
    <w:rsid w:val="0088117A"/>
    <w:rsid w:val="00882FB7"/>
    <w:rsid w:val="008865BB"/>
    <w:rsid w:val="00887179"/>
    <w:rsid w:val="00891481"/>
    <w:rsid w:val="008930B4"/>
    <w:rsid w:val="00893F4C"/>
    <w:rsid w:val="0089776C"/>
    <w:rsid w:val="008A1BF9"/>
    <w:rsid w:val="008A3AB0"/>
    <w:rsid w:val="008A7E0C"/>
    <w:rsid w:val="008B06BD"/>
    <w:rsid w:val="008B0D0A"/>
    <w:rsid w:val="008B4C18"/>
    <w:rsid w:val="008B7C4E"/>
    <w:rsid w:val="008C03F7"/>
    <w:rsid w:val="008C498B"/>
    <w:rsid w:val="008D25ED"/>
    <w:rsid w:val="008D5360"/>
    <w:rsid w:val="008D5CE8"/>
    <w:rsid w:val="008D6165"/>
    <w:rsid w:val="008E0368"/>
    <w:rsid w:val="008E1CA7"/>
    <w:rsid w:val="008E2383"/>
    <w:rsid w:val="008E4524"/>
    <w:rsid w:val="008E5261"/>
    <w:rsid w:val="008E53BD"/>
    <w:rsid w:val="008E6D3B"/>
    <w:rsid w:val="008F2896"/>
    <w:rsid w:val="008F3E58"/>
    <w:rsid w:val="008F4F53"/>
    <w:rsid w:val="008F50B2"/>
    <w:rsid w:val="008F7ADD"/>
    <w:rsid w:val="0090187F"/>
    <w:rsid w:val="00906A4D"/>
    <w:rsid w:val="00906C2B"/>
    <w:rsid w:val="00913074"/>
    <w:rsid w:val="00914C3B"/>
    <w:rsid w:val="00914CAA"/>
    <w:rsid w:val="00922060"/>
    <w:rsid w:val="00933054"/>
    <w:rsid w:val="00933A86"/>
    <w:rsid w:val="0093487F"/>
    <w:rsid w:val="00941299"/>
    <w:rsid w:val="00941B6B"/>
    <w:rsid w:val="009459D5"/>
    <w:rsid w:val="009461F1"/>
    <w:rsid w:val="00946F85"/>
    <w:rsid w:val="00952E9B"/>
    <w:rsid w:val="009539BA"/>
    <w:rsid w:val="0095527F"/>
    <w:rsid w:val="00955F0C"/>
    <w:rsid w:val="0095755B"/>
    <w:rsid w:val="009579F4"/>
    <w:rsid w:val="009633B4"/>
    <w:rsid w:val="00965693"/>
    <w:rsid w:val="009664FF"/>
    <w:rsid w:val="0096799D"/>
    <w:rsid w:val="009760E1"/>
    <w:rsid w:val="00982F67"/>
    <w:rsid w:val="009868E7"/>
    <w:rsid w:val="00991F29"/>
    <w:rsid w:val="009A0579"/>
    <w:rsid w:val="009A18C1"/>
    <w:rsid w:val="009A2978"/>
    <w:rsid w:val="009A4C36"/>
    <w:rsid w:val="009A5BC5"/>
    <w:rsid w:val="009A5F6A"/>
    <w:rsid w:val="009B19C0"/>
    <w:rsid w:val="009B1A85"/>
    <w:rsid w:val="009B2F48"/>
    <w:rsid w:val="009B4E35"/>
    <w:rsid w:val="009B6A85"/>
    <w:rsid w:val="009C0872"/>
    <w:rsid w:val="009C2AAA"/>
    <w:rsid w:val="009C7047"/>
    <w:rsid w:val="009C7130"/>
    <w:rsid w:val="009D3E44"/>
    <w:rsid w:val="009E7AF3"/>
    <w:rsid w:val="009F1F19"/>
    <w:rsid w:val="009F317C"/>
    <w:rsid w:val="009F4939"/>
    <w:rsid w:val="009F57B1"/>
    <w:rsid w:val="009F5B9E"/>
    <w:rsid w:val="009F7BC1"/>
    <w:rsid w:val="00A01423"/>
    <w:rsid w:val="00A028EB"/>
    <w:rsid w:val="00A0396A"/>
    <w:rsid w:val="00A04D8B"/>
    <w:rsid w:val="00A053D8"/>
    <w:rsid w:val="00A108B0"/>
    <w:rsid w:val="00A229E5"/>
    <w:rsid w:val="00A23EF5"/>
    <w:rsid w:val="00A25D9A"/>
    <w:rsid w:val="00A343AD"/>
    <w:rsid w:val="00A35DD5"/>
    <w:rsid w:val="00A35E3C"/>
    <w:rsid w:val="00A367BA"/>
    <w:rsid w:val="00A44674"/>
    <w:rsid w:val="00A4629F"/>
    <w:rsid w:val="00A47C55"/>
    <w:rsid w:val="00A51F1E"/>
    <w:rsid w:val="00A55A1A"/>
    <w:rsid w:val="00A57168"/>
    <w:rsid w:val="00A57B8D"/>
    <w:rsid w:val="00A60D7E"/>
    <w:rsid w:val="00A61112"/>
    <w:rsid w:val="00A6225A"/>
    <w:rsid w:val="00A6789E"/>
    <w:rsid w:val="00A67AE3"/>
    <w:rsid w:val="00A7124E"/>
    <w:rsid w:val="00A727C2"/>
    <w:rsid w:val="00A75FFA"/>
    <w:rsid w:val="00A769ED"/>
    <w:rsid w:val="00A7790B"/>
    <w:rsid w:val="00A80020"/>
    <w:rsid w:val="00A82787"/>
    <w:rsid w:val="00A8733D"/>
    <w:rsid w:val="00A92061"/>
    <w:rsid w:val="00A93684"/>
    <w:rsid w:val="00AA12C9"/>
    <w:rsid w:val="00AA1BE7"/>
    <w:rsid w:val="00AA442A"/>
    <w:rsid w:val="00AB059F"/>
    <w:rsid w:val="00AB11CB"/>
    <w:rsid w:val="00AB4AC9"/>
    <w:rsid w:val="00AB6148"/>
    <w:rsid w:val="00AB69E8"/>
    <w:rsid w:val="00AB78FC"/>
    <w:rsid w:val="00AC2B6E"/>
    <w:rsid w:val="00AC6689"/>
    <w:rsid w:val="00AD0442"/>
    <w:rsid w:val="00AD0DAD"/>
    <w:rsid w:val="00AE3C50"/>
    <w:rsid w:val="00AE4B25"/>
    <w:rsid w:val="00AE67E1"/>
    <w:rsid w:val="00AF207D"/>
    <w:rsid w:val="00AF501B"/>
    <w:rsid w:val="00B05513"/>
    <w:rsid w:val="00B05A7B"/>
    <w:rsid w:val="00B075C4"/>
    <w:rsid w:val="00B11361"/>
    <w:rsid w:val="00B123F0"/>
    <w:rsid w:val="00B12FD9"/>
    <w:rsid w:val="00B15DAB"/>
    <w:rsid w:val="00B16250"/>
    <w:rsid w:val="00B20A2C"/>
    <w:rsid w:val="00B25905"/>
    <w:rsid w:val="00B30C3A"/>
    <w:rsid w:val="00B31249"/>
    <w:rsid w:val="00B3245C"/>
    <w:rsid w:val="00B34982"/>
    <w:rsid w:val="00B3542F"/>
    <w:rsid w:val="00B3563A"/>
    <w:rsid w:val="00B3627D"/>
    <w:rsid w:val="00B45C27"/>
    <w:rsid w:val="00B46A3E"/>
    <w:rsid w:val="00B54028"/>
    <w:rsid w:val="00B54C15"/>
    <w:rsid w:val="00B571EA"/>
    <w:rsid w:val="00B63663"/>
    <w:rsid w:val="00B64906"/>
    <w:rsid w:val="00B717B3"/>
    <w:rsid w:val="00B72CCA"/>
    <w:rsid w:val="00B81B94"/>
    <w:rsid w:val="00B826F8"/>
    <w:rsid w:val="00B85A9E"/>
    <w:rsid w:val="00B868CB"/>
    <w:rsid w:val="00B92829"/>
    <w:rsid w:val="00B92968"/>
    <w:rsid w:val="00B93A8A"/>
    <w:rsid w:val="00B943FD"/>
    <w:rsid w:val="00B94A7D"/>
    <w:rsid w:val="00B96E57"/>
    <w:rsid w:val="00BA5D0D"/>
    <w:rsid w:val="00BA63BE"/>
    <w:rsid w:val="00BB227E"/>
    <w:rsid w:val="00BB51F2"/>
    <w:rsid w:val="00BB6092"/>
    <w:rsid w:val="00BB6547"/>
    <w:rsid w:val="00BC2F9C"/>
    <w:rsid w:val="00BC5817"/>
    <w:rsid w:val="00BC6588"/>
    <w:rsid w:val="00BC6837"/>
    <w:rsid w:val="00BD1AF1"/>
    <w:rsid w:val="00BD391D"/>
    <w:rsid w:val="00BD434E"/>
    <w:rsid w:val="00BE1B2C"/>
    <w:rsid w:val="00BE27BB"/>
    <w:rsid w:val="00BF1FB1"/>
    <w:rsid w:val="00BF423D"/>
    <w:rsid w:val="00BF5819"/>
    <w:rsid w:val="00BF5DB6"/>
    <w:rsid w:val="00BF5FA7"/>
    <w:rsid w:val="00BF7158"/>
    <w:rsid w:val="00C03E17"/>
    <w:rsid w:val="00C10A19"/>
    <w:rsid w:val="00C1156D"/>
    <w:rsid w:val="00C14043"/>
    <w:rsid w:val="00C15FC7"/>
    <w:rsid w:val="00C1765C"/>
    <w:rsid w:val="00C22ABA"/>
    <w:rsid w:val="00C23086"/>
    <w:rsid w:val="00C34181"/>
    <w:rsid w:val="00C408D8"/>
    <w:rsid w:val="00C47939"/>
    <w:rsid w:val="00C51CF6"/>
    <w:rsid w:val="00C5218E"/>
    <w:rsid w:val="00C54664"/>
    <w:rsid w:val="00C54968"/>
    <w:rsid w:val="00C56411"/>
    <w:rsid w:val="00C60DC0"/>
    <w:rsid w:val="00C65464"/>
    <w:rsid w:val="00C7022C"/>
    <w:rsid w:val="00C708DE"/>
    <w:rsid w:val="00C73BE5"/>
    <w:rsid w:val="00C81E4B"/>
    <w:rsid w:val="00C846B8"/>
    <w:rsid w:val="00C901FA"/>
    <w:rsid w:val="00C936CA"/>
    <w:rsid w:val="00C95083"/>
    <w:rsid w:val="00C95A72"/>
    <w:rsid w:val="00CA7668"/>
    <w:rsid w:val="00CB2857"/>
    <w:rsid w:val="00CB2ED0"/>
    <w:rsid w:val="00CB5A65"/>
    <w:rsid w:val="00CB7539"/>
    <w:rsid w:val="00CC2783"/>
    <w:rsid w:val="00CC5DA9"/>
    <w:rsid w:val="00CC68D8"/>
    <w:rsid w:val="00CC6E7D"/>
    <w:rsid w:val="00CD05EE"/>
    <w:rsid w:val="00CD2B62"/>
    <w:rsid w:val="00CD6F41"/>
    <w:rsid w:val="00CE65E3"/>
    <w:rsid w:val="00CE6E42"/>
    <w:rsid w:val="00CE7965"/>
    <w:rsid w:val="00CF0FB0"/>
    <w:rsid w:val="00CF101C"/>
    <w:rsid w:val="00CF151E"/>
    <w:rsid w:val="00CF5634"/>
    <w:rsid w:val="00CF57ED"/>
    <w:rsid w:val="00CF661E"/>
    <w:rsid w:val="00D05352"/>
    <w:rsid w:val="00D07376"/>
    <w:rsid w:val="00D107C4"/>
    <w:rsid w:val="00D13824"/>
    <w:rsid w:val="00D13BDC"/>
    <w:rsid w:val="00D14EE2"/>
    <w:rsid w:val="00D177B7"/>
    <w:rsid w:val="00D21A26"/>
    <w:rsid w:val="00D24560"/>
    <w:rsid w:val="00D267A4"/>
    <w:rsid w:val="00D34546"/>
    <w:rsid w:val="00D34EFA"/>
    <w:rsid w:val="00D416F3"/>
    <w:rsid w:val="00D451B6"/>
    <w:rsid w:val="00D455E4"/>
    <w:rsid w:val="00D508F8"/>
    <w:rsid w:val="00D510FD"/>
    <w:rsid w:val="00D51DD1"/>
    <w:rsid w:val="00D54F57"/>
    <w:rsid w:val="00D6236F"/>
    <w:rsid w:val="00D64E90"/>
    <w:rsid w:val="00D663A8"/>
    <w:rsid w:val="00D674AB"/>
    <w:rsid w:val="00D678C1"/>
    <w:rsid w:val="00D70AED"/>
    <w:rsid w:val="00D72031"/>
    <w:rsid w:val="00D74F36"/>
    <w:rsid w:val="00D772FA"/>
    <w:rsid w:val="00D777EE"/>
    <w:rsid w:val="00D82851"/>
    <w:rsid w:val="00D82B24"/>
    <w:rsid w:val="00D83E3C"/>
    <w:rsid w:val="00D840C4"/>
    <w:rsid w:val="00D86DFD"/>
    <w:rsid w:val="00D8720D"/>
    <w:rsid w:val="00D87C25"/>
    <w:rsid w:val="00D91ADA"/>
    <w:rsid w:val="00D923DF"/>
    <w:rsid w:val="00D938CC"/>
    <w:rsid w:val="00D96848"/>
    <w:rsid w:val="00D96C98"/>
    <w:rsid w:val="00D97962"/>
    <w:rsid w:val="00DA3118"/>
    <w:rsid w:val="00DA38E6"/>
    <w:rsid w:val="00DA4D16"/>
    <w:rsid w:val="00DA6BA3"/>
    <w:rsid w:val="00DB0550"/>
    <w:rsid w:val="00DB29D1"/>
    <w:rsid w:val="00DB32F4"/>
    <w:rsid w:val="00DB3F2C"/>
    <w:rsid w:val="00DB4B50"/>
    <w:rsid w:val="00DB4E86"/>
    <w:rsid w:val="00DB6514"/>
    <w:rsid w:val="00DB73C9"/>
    <w:rsid w:val="00DC089C"/>
    <w:rsid w:val="00DD01A5"/>
    <w:rsid w:val="00DD446D"/>
    <w:rsid w:val="00DD681A"/>
    <w:rsid w:val="00DE1920"/>
    <w:rsid w:val="00DE2046"/>
    <w:rsid w:val="00DE487E"/>
    <w:rsid w:val="00DE6CB4"/>
    <w:rsid w:val="00DE79CE"/>
    <w:rsid w:val="00DF1935"/>
    <w:rsid w:val="00DF208F"/>
    <w:rsid w:val="00DF2E9B"/>
    <w:rsid w:val="00DF5E86"/>
    <w:rsid w:val="00DF707A"/>
    <w:rsid w:val="00E0301E"/>
    <w:rsid w:val="00E046C7"/>
    <w:rsid w:val="00E114C5"/>
    <w:rsid w:val="00E1412B"/>
    <w:rsid w:val="00E143EE"/>
    <w:rsid w:val="00E14899"/>
    <w:rsid w:val="00E17840"/>
    <w:rsid w:val="00E221D7"/>
    <w:rsid w:val="00E24818"/>
    <w:rsid w:val="00E2529D"/>
    <w:rsid w:val="00E259E9"/>
    <w:rsid w:val="00E313D8"/>
    <w:rsid w:val="00E33B93"/>
    <w:rsid w:val="00E3665F"/>
    <w:rsid w:val="00E47C15"/>
    <w:rsid w:val="00E516ED"/>
    <w:rsid w:val="00E51DB4"/>
    <w:rsid w:val="00E550EC"/>
    <w:rsid w:val="00E563AA"/>
    <w:rsid w:val="00E61DA7"/>
    <w:rsid w:val="00E6297C"/>
    <w:rsid w:val="00E630CC"/>
    <w:rsid w:val="00E638AD"/>
    <w:rsid w:val="00E63A7C"/>
    <w:rsid w:val="00E63BB7"/>
    <w:rsid w:val="00E655CA"/>
    <w:rsid w:val="00E66A6E"/>
    <w:rsid w:val="00E67F60"/>
    <w:rsid w:val="00E715C5"/>
    <w:rsid w:val="00E75C57"/>
    <w:rsid w:val="00E76BAE"/>
    <w:rsid w:val="00E80470"/>
    <w:rsid w:val="00E860F1"/>
    <w:rsid w:val="00E869C8"/>
    <w:rsid w:val="00E93FC8"/>
    <w:rsid w:val="00E950F8"/>
    <w:rsid w:val="00E96335"/>
    <w:rsid w:val="00E96C29"/>
    <w:rsid w:val="00E97AD0"/>
    <w:rsid w:val="00EA0EEB"/>
    <w:rsid w:val="00EA3A45"/>
    <w:rsid w:val="00EA698B"/>
    <w:rsid w:val="00EB1499"/>
    <w:rsid w:val="00EB2991"/>
    <w:rsid w:val="00EB610F"/>
    <w:rsid w:val="00EB6226"/>
    <w:rsid w:val="00EB6391"/>
    <w:rsid w:val="00EB6905"/>
    <w:rsid w:val="00EC2180"/>
    <w:rsid w:val="00EC27AF"/>
    <w:rsid w:val="00EC27D0"/>
    <w:rsid w:val="00EC7839"/>
    <w:rsid w:val="00ED7693"/>
    <w:rsid w:val="00EE1761"/>
    <w:rsid w:val="00EE1C18"/>
    <w:rsid w:val="00EF0806"/>
    <w:rsid w:val="00F0790B"/>
    <w:rsid w:val="00F113BB"/>
    <w:rsid w:val="00F1283E"/>
    <w:rsid w:val="00F150CC"/>
    <w:rsid w:val="00F211F7"/>
    <w:rsid w:val="00F2148B"/>
    <w:rsid w:val="00F22E92"/>
    <w:rsid w:val="00F23C38"/>
    <w:rsid w:val="00F25188"/>
    <w:rsid w:val="00F43C79"/>
    <w:rsid w:val="00F442D1"/>
    <w:rsid w:val="00F51CC1"/>
    <w:rsid w:val="00F55CE7"/>
    <w:rsid w:val="00F6420A"/>
    <w:rsid w:val="00F66C01"/>
    <w:rsid w:val="00F72B3A"/>
    <w:rsid w:val="00F74165"/>
    <w:rsid w:val="00F76E8D"/>
    <w:rsid w:val="00F80FEF"/>
    <w:rsid w:val="00F837DA"/>
    <w:rsid w:val="00F9074A"/>
    <w:rsid w:val="00F94A31"/>
    <w:rsid w:val="00FA299A"/>
    <w:rsid w:val="00FA6A2E"/>
    <w:rsid w:val="00FA799A"/>
    <w:rsid w:val="00FA7DB1"/>
    <w:rsid w:val="00FB0394"/>
    <w:rsid w:val="00FB11E5"/>
    <w:rsid w:val="00FB6C9E"/>
    <w:rsid w:val="00FC32FD"/>
    <w:rsid w:val="00FC6B33"/>
    <w:rsid w:val="00FD0169"/>
    <w:rsid w:val="00FE10C8"/>
    <w:rsid w:val="00FE13A5"/>
    <w:rsid w:val="00FE23E3"/>
    <w:rsid w:val="00FE24DB"/>
    <w:rsid w:val="00FE2594"/>
    <w:rsid w:val="00FE33BF"/>
    <w:rsid w:val="00FE3E15"/>
    <w:rsid w:val="00FE6DEC"/>
    <w:rsid w:val="00FF1DE0"/>
    <w:rsid w:val="00FF3E26"/>
    <w:rsid w:val="00FF4B33"/>
    <w:rsid w:val="00FF4C6B"/>
    <w:rsid w:val="00FF5E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1EA19E"/>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7954"/>
    <w:rPr>
      <w:rFonts w:ascii="Times New Roman" w:hAnsi="Times New Roman"/>
    </w:rPr>
  </w:style>
  <w:style w:type="paragraph" w:styleId="Heading1">
    <w:name w:val="heading 1"/>
    <w:basedOn w:val="Normal"/>
    <w:next w:val="Normal"/>
    <w:link w:val="Heading1Char"/>
    <w:uiPriority w:val="9"/>
    <w:qFormat/>
    <w:rsid w:val="002026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49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3F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177B7"/>
    <w:pPr>
      <w:spacing w:line="240" w:lineRule="auto"/>
    </w:pPr>
    <w:rPr>
      <w:sz w:val="20"/>
      <w:szCs w:val="20"/>
    </w:rPr>
  </w:style>
  <w:style w:type="character" w:customStyle="1" w:styleId="CommentTextChar">
    <w:name w:val="Comment Text Char"/>
    <w:basedOn w:val="DefaultParagraphFont"/>
    <w:link w:val="CommentText"/>
    <w:uiPriority w:val="99"/>
    <w:semiHidden/>
    <w:rsid w:val="00D177B7"/>
    <w:rPr>
      <w:sz w:val="20"/>
      <w:szCs w:val="20"/>
    </w:rPr>
  </w:style>
  <w:style w:type="character" w:styleId="CommentReference">
    <w:name w:val="annotation reference"/>
    <w:basedOn w:val="DefaultParagraphFont"/>
    <w:uiPriority w:val="99"/>
    <w:semiHidden/>
    <w:unhideWhenUsed/>
    <w:rsid w:val="00D177B7"/>
    <w:rPr>
      <w:sz w:val="16"/>
      <w:szCs w:val="16"/>
    </w:rPr>
  </w:style>
  <w:style w:type="paragraph" w:styleId="BalloonText">
    <w:name w:val="Balloon Text"/>
    <w:basedOn w:val="Normal"/>
    <w:link w:val="BalloonTextChar"/>
    <w:uiPriority w:val="99"/>
    <w:semiHidden/>
    <w:unhideWhenUsed/>
    <w:rsid w:val="00D17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7B7"/>
    <w:rPr>
      <w:rFonts w:ascii="Tahoma" w:hAnsi="Tahoma" w:cs="Tahoma"/>
      <w:sz w:val="16"/>
      <w:szCs w:val="16"/>
    </w:rPr>
  </w:style>
  <w:style w:type="paragraph" w:styleId="TOC1">
    <w:name w:val="toc 1"/>
    <w:basedOn w:val="Normal"/>
    <w:next w:val="Normal"/>
    <w:autoRedefine/>
    <w:uiPriority w:val="39"/>
    <w:unhideWhenUsed/>
    <w:rsid w:val="00202619"/>
    <w:pPr>
      <w:spacing w:after="100"/>
    </w:pPr>
  </w:style>
  <w:style w:type="paragraph" w:styleId="TOC2">
    <w:name w:val="toc 2"/>
    <w:basedOn w:val="Normal"/>
    <w:next w:val="Normal"/>
    <w:autoRedefine/>
    <w:uiPriority w:val="39"/>
    <w:unhideWhenUsed/>
    <w:rsid w:val="00202619"/>
    <w:pPr>
      <w:spacing w:after="100"/>
      <w:ind w:left="220"/>
    </w:pPr>
  </w:style>
  <w:style w:type="character" w:styleId="Hyperlink">
    <w:name w:val="Hyperlink"/>
    <w:basedOn w:val="DefaultParagraphFont"/>
    <w:uiPriority w:val="99"/>
    <w:unhideWhenUsed/>
    <w:rsid w:val="00202619"/>
    <w:rPr>
      <w:color w:val="0000FF" w:themeColor="hyperlink"/>
      <w:u w:val="single"/>
    </w:rPr>
  </w:style>
  <w:style w:type="character" w:customStyle="1" w:styleId="Heading1Char">
    <w:name w:val="Heading 1 Char"/>
    <w:basedOn w:val="DefaultParagraphFont"/>
    <w:link w:val="Heading1"/>
    <w:uiPriority w:val="9"/>
    <w:rsid w:val="00202619"/>
    <w:rPr>
      <w:rFonts w:asciiTheme="majorHAnsi" w:eastAsiaTheme="majorEastAsia" w:hAnsiTheme="majorHAnsi" w:cstheme="majorBidi"/>
      <w:b/>
      <w:bCs/>
      <w:color w:val="365F91" w:themeColor="accent1" w:themeShade="BF"/>
      <w:sz w:val="28"/>
      <w:szCs w:val="28"/>
    </w:rPr>
  </w:style>
  <w:style w:type="paragraph" w:customStyle="1" w:styleId="paragraph">
    <w:name w:val="paragraph"/>
    <w:basedOn w:val="Normal"/>
    <w:rsid w:val="008B7C4E"/>
    <w:pPr>
      <w:spacing w:before="100" w:beforeAutospacing="1" w:after="100" w:afterAutospacing="1" w:line="240" w:lineRule="auto"/>
    </w:pPr>
    <w:rPr>
      <w:rFonts w:eastAsia="Times New Roman" w:cs="Times New Roman"/>
      <w:sz w:val="24"/>
      <w:szCs w:val="24"/>
      <w:lang w:eastAsia="en-GB"/>
    </w:rPr>
  </w:style>
  <w:style w:type="character" w:customStyle="1" w:styleId="normaltextrun">
    <w:name w:val="normaltextrun"/>
    <w:basedOn w:val="DefaultParagraphFont"/>
    <w:rsid w:val="008B7C4E"/>
  </w:style>
  <w:style w:type="character" w:customStyle="1" w:styleId="eop">
    <w:name w:val="eop"/>
    <w:basedOn w:val="DefaultParagraphFont"/>
    <w:rsid w:val="008B7C4E"/>
  </w:style>
  <w:style w:type="table" w:styleId="TableGrid">
    <w:name w:val="Table Grid"/>
    <w:basedOn w:val="TableNormal"/>
    <w:uiPriority w:val="59"/>
    <w:rsid w:val="004D5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F4939"/>
    <w:rPr>
      <w:rFonts w:asciiTheme="majorHAnsi" w:eastAsiaTheme="majorEastAsia" w:hAnsiTheme="majorHAnsi" w:cstheme="majorBidi"/>
      <w:b/>
      <w:bCs/>
      <w:color w:val="4F81BD" w:themeColor="accent1"/>
      <w:sz w:val="26"/>
      <w:szCs w:val="26"/>
    </w:rPr>
  </w:style>
  <w:style w:type="paragraph" w:styleId="CommentSubject">
    <w:name w:val="annotation subject"/>
    <w:basedOn w:val="CommentText"/>
    <w:next w:val="CommentText"/>
    <w:link w:val="CommentSubjectChar"/>
    <w:uiPriority w:val="99"/>
    <w:semiHidden/>
    <w:unhideWhenUsed/>
    <w:rsid w:val="007433BB"/>
    <w:rPr>
      <w:b/>
      <w:bCs/>
    </w:rPr>
  </w:style>
  <w:style w:type="character" w:customStyle="1" w:styleId="CommentSubjectChar">
    <w:name w:val="Comment Subject Char"/>
    <w:basedOn w:val="CommentTextChar"/>
    <w:link w:val="CommentSubject"/>
    <w:uiPriority w:val="99"/>
    <w:semiHidden/>
    <w:rsid w:val="007433BB"/>
    <w:rPr>
      <w:b/>
      <w:bCs/>
      <w:sz w:val="20"/>
      <w:szCs w:val="20"/>
    </w:rPr>
  </w:style>
  <w:style w:type="paragraph" w:styleId="ListParagraph">
    <w:name w:val="List Paragraph"/>
    <w:basedOn w:val="Normal"/>
    <w:uiPriority w:val="34"/>
    <w:qFormat/>
    <w:rsid w:val="0047349D"/>
    <w:pPr>
      <w:ind w:left="720"/>
      <w:contextualSpacing/>
    </w:pPr>
  </w:style>
  <w:style w:type="table" w:styleId="LightShading">
    <w:name w:val="Light Shading"/>
    <w:basedOn w:val="TableNormal"/>
    <w:uiPriority w:val="60"/>
    <w:rsid w:val="00C73B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73B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IntenseEmphasis">
    <w:name w:val="Intense Emphasis"/>
    <w:basedOn w:val="DefaultParagraphFont"/>
    <w:uiPriority w:val="21"/>
    <w:qFormat/>
    <w:rsid w:val="000D4C64"/>
    <w:rPr>
      <w:rFonts w:ascii="Constantia" w:hAnsi="Constantia"/>
      <w:i/>
      <w:iCs/>
      <w:color w:val="007C9A"/>
      <w:sz w:val="20"/>
    </w:rPr>
  </w:style>
  <w:style w:type="paragraph" w:styleId="Header">
    <w:name w:val="header"/>
    <w:basedOn w:val="Normal"/>
    <w:link w:val="HeaderChar"/>
    <w:unhideWhenUsed/>
    <w:rsid w:val="00362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BEE"/>
    <w:rPr>
      <w:rFonts w:ascii="Times New Roman" w:hAnsi="Times New Roman"/>
    </w:rPr>
  </w:style>
  <w:style w:type="paragraph" w:styleId="Footer">
    <w:name w:val="footer"/>
    <w:basedOn w:val="Normal"/>
    <w:link w:val="FooterChar"/>
    <w:uiPriority w:val="99"/>
    <w:unhideWhenUsed/>
    <w:rsid w:val="00362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BEE"/>
    <w:rPr>
      <w:rFonts w:ascii="Times New Roman" w:hAnsi="Times New Roman"/>
    </w:rPr>
  </w:style>
  <w:style w:type="character" w:customStyle="1" w:styleId="Heading3Char">
    <w:name w:val="Heading 3 Char"/>
    <w:basedOn w:val="DefaultParagraphFont"/>
    <w:link w:val="Heading3"/>
    <w:uiPriority w:val="9"/>
    <w:semiHidden/>
    <w:rsid w:val="00893F4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887179"/>
    <w:pPr>
      <w:spacing w:before="100" w:beforeAutospacing="1" w:after="100" w:afterAutospacing="1" w:line="240" w:lineRule="auto"/>
    </w:pPr>
    <w:rPr>
      <w:rFonts w:eastAsia="Times New Roman" w:cs="Times New Roman"/>
      <w:sz w:val="24"/>
      <w:szCs w:val="24"/>
      <w:lang w:eastAsia="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422DBD"/>
    <w:pPr>
      <w:spacing w:after="0" w:line="240" w:lineRule="auto"/>
    </w:pPr>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422DBD"/>
    <w:rPr>
      <w:rFonts w:ascii="Times New Roman" w:hAnsi="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422DBD"/>
    <w:rPr>
      <w:vertAlign w:val="superscript"/>
    </w:rPr>
  </w:style>
  <w:style w:type="character" w:styleId="EndnoteReference">
    <w:name w:val="endnote reference"/>
    <w:basedOn w:val="DefaultParagraphFont"/>
    <w:uiPriority w:val="99"/>
    <w:semiHidden/>
    <w:unhideWhenUsed/>
    <w:rsid w:val="008E53BD"/>
    <w:rPr>
      <w:vertAlign w:val="superscript"/>
    </w:rPr>
  </w:style>
  <w:style w:type="paragraph" w:customStyle="1" w:styleId="Para1">
    <w:name w:val="Para1"/>
    <w:basedOn w:val="Normal"/>
    <w:uiPriority w:val="99"/>
    <w:rsid w:val="00FE3E15"/>
    <w:pPr>
      <w:spacing w:before="120" w:after="120" w:line="240" w:lineRule="auto"/>
      <w:jc w:val="both"/>
    </w:pPr>
    <w:rPr>
      <w:rFonts w:eastAsia="Times New Roman" w:cs="Times New Roman"/>
      <w:snapToGrid w:val="0"/>
      <w:szCs w:val="18"/>
    </w:rPr>
  </w:style>
  <w:style w:type="paragraph" w:customStyle="1" w:styleId="Cornernotation">
    <w:name w:val="Corner notation"/>
    <w:basedOn w:val="Normal"/>
    <w:rsid w:val="00FE3E15"/>
    <w:pPr>
      <w:spacing w:after="0" w:line="240" w:lineRule="auto"/>
      <w:ind w:left="284" w:right="4398" w:hanging="284"/>
    </w:pPr>
    <w:rPr>
      <w:rFonts w:eastAsia="Times New Roman" w:cs="Times New Roman"/>
      <w:szCs w:val="24"/>
    </w:rPr>
  </w:style>
  <w:style w:type="paragraph" w:customStyle="1" w:styleId="heading2notforTOC">
    <w:name w:val="heading 2 not for TOC"/>
    <w:basedOn w:val="Heading3"/>
    <w:rsid w:val="00FE3E15"/>
    <w:pPr>
      <w:keepLines w:val="0"/>
      <w:tabs>
        <w:tab w:val="left" w:pos="567"/>
      </w:tabs>
      <w:spacing w:before="120" w:after="120" w:line="240" w:lineRule="auto"/>
      <w:jc w:val="center"/>
    </w:pPr>
    <w:rPr>
      <w:rFonts w:ascii="Times New Roman" w:eastAsia="Malgun Gothic" w:hAnsi="Times New Roman" w:cs="Times New Roman"/>
      <w:i/>
      <w:iCs/>
      <w:color w:val="auto"/>
      <w:sz w:val="22"/>
    </w:rPr>
  </w:style>
  <w:style w:type="paragraph" w:styleId="Revision">
    <w:name w:val="Revision"/>
    <w:hidden/>
    <w:uiPriority w:val="99"/>
    <w:semiHidden/>
    <w:rsid w:val="00B63663"/>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97611">
      <w:bodyDiv w:val="1"/>
      <w:marLeft w:val="0"/>
      <w:marRight w:val="0"/>
      <w:marTop w:val="0"/>
      <w:marBottom w:val="0"/>
      <w:divBdr>
        <w:top w:val="none" w:sz="0" w:space="0" w:color="auto"/>
        <w:left w:val="none" w:sz="0" w:space="0" w:color="auto"/>
        <w:bottom w:val="none" w:sz="0" w:space="0" w:color="auto"/>
        <w:right w:val="none" w:sz="0" w:space="0" w:color="auto"/>
      </w:divBdr>
    </w:div>
    <w:div w:id="164783162">
      <w:bodyDiv w:val="1"/>
      <w:marLeft w:val="0"/>
      <w:marRight w:val="0"/>
      <w:marTop w:val="0"/>
      <w:marBottom w:val="0"/>
      <w:divBdr>
        <w:top w:val="none" w:sz="0" w:space="0" w:color="auto"/>
        <w:left w:val="none" w:sz="0" w:space="0" w:color="auto"/>
        <w:bottom w:val="none" w:sz="0" w:space="0" w:color="auto"/>
        <w:right w:val="none" w:sz="0" w:space="0" w:color="auto"/>
      </w:divBdr>
    </w:div>
    <w:div w:id="327051984">
      <w:bodyDiv w:val="1"/>
      <w:marLeft w:val="0"/>
      <w:marRight w:val="0"/>
      <w:marTop w:val="0"/>
      <w:marBottom w:val="0"/>
      <w:divBdr>
        <w:top w:val="none" w:sz="0" w:space="0" w:color="auto"/>
        <w:left w:val="none" w:sz="0" w:space="0" w:color="auto"/>
        <w:bottom w:val="none" w:sz="0" w:space="0" w:color="auto"/>
        <w:right w:val="none" w:sz="0" w:space="0" w:color="auto"/>
      </w:divBdr>
    </w:div>
    <w:div w:id="369577291">
      <w:bodyDiv w:val="1"/>
      <w:marLeft w:val="0"/>
      <w:marRight w:val="0"/>
      <w:marTop w:val="0"/>
      <w:marBottom w:val="0"/>
      <w:divBdr>
        <w:top w:val="none" w:sz="0" w:space="0" w:color="auto"/>
        <w:left w:val="none" w:sz="0" w:space="0" w:color="auto"/>
        <w:bottom w:val="none" w:sz="0" w:space="0" w:color="auto"/>
        <w:right w:val="none" w:sz="0" w:space="0" w:color="auto"/>
      </w:divBdr>
    </w:div>
    <w:div w:id="379324222">
      <w:bodyDiv w:val="1"/>
      <w:marLeft w:val="0"/>
      <w:marRight w:val="0"/>
      <w:marTop w:val="0"/>
      <w:marBottom w:val="0"/>
      <w:divBdr>
        <w:top w:val="none" w:sz="0" w:space="0" w:color="auto"/>
        <w:left w:val="none" w:sz="0" w:space="0" w:color="auto"/>
        <w:bottom w:val="none" w:sz="0" w:space="0" w:color="auto"/>
        <w:right w:val="none" w:sz="0" w:space="0" w:color="auto"/>
      </w:divBdr>
    </w:div>
    <w:div w:id="715545862">
      <w:bodyDiv w:val="1"/>
      <w:marLeft w:val="0"/>
      <w:marRight w:val="0"/>
      <w:marTop w:val="0"/>
      <w:marBottom w:val="0"/>
      <w:divBdr>
        <w:top w:val="none" w:sz="0" w:space="0" w:color="auto"/>
        <w:left w:val="none" w:sz="0" w:space="0" w:color="auto"/>
        <w:bottom w:val="none" w:sz="0" w:space="0" w:color="auto"/>
        <w:right w:val="none" w:sz="0" w:space="0" w:color="auto"/>
      </w:divBdr>
    </w:div>
    <w:div w:id="1035354609">
      <w:bodyDiv w:val="1"/>
      <w:marLeft w:val="0"/>
      <w:marRight w:val="0"/>
      <w:marTop w:val="0"/>
      <w:marBottom w:val="0"/>
      <w:divBdr>
        <w:top w:val="none" w:sz="0" w:space="0" w:color="auto"/>
        <w:left w:val="none" w:sz="0" w:space="0" w:color="auto"/>
        <w:bottom w:val="none" w:sz="0" w:space="0" w:color="auto"/>
        <w:right w:val="none" w:sz="0" w:space="0" w:color="auto"/>
      </w:divBdr>
    </w:div>
    <w:div w:id="1244073792">
      <w:bodyDiv w:val="1"/>
      <w:marLeft w:val="0"/>
      <w:marRight w:val="0"/>
      <w:marTop w:val="0"/>
      <w:marBottom w:val="0"/>
      <w:divBdr>
        <w:top w:val="none" w:sz="0" w:space="0" w:color="auto"/>
        <w:left w:val="none" w:sz="0" w:space="0" w:color="auto"/>
        <w:bottom w:val="none" w:sz="0" w:space="0" w:color="auto"/>
        <w:right w:val="none" w:sz="0" w:space="0" w:color="auto"/>
      </w:divBdr>
    </w:div>
    <w:div w:id="1441335293">
      <w:bodyDiv w:val="1"/>
      <w:marLeft w:val="0"/>
      <w:marRight w:val="0"/>
      <w:marTop w:val="0"/>
      <w:marBottom w:val="0"/>
      <w:divBdr>
        <w:top w:val="none" w:sz="0" w:space="0" w:color="auto"/>
        <w:left w:val="none" w:sz="0" w:space="0" w:color="auto"/>
        <w:bottom w:val="none" w:sz="0" w:space="0" w:color="auto"/>
        <w:right w:val="none" w:sz="0" w:space="0" w:color="auto"/>
      </w:divBdr>
    </w:div>
    <w:div w:id="1586379987">
      <w:bodyDiv w:val="1"/>
      <w:marLeft w:val="0"/>
      <w:marRight w:val="0"/>
      <w:marTop w:val="0"/>
      <w:marBottom w:val="0"/>
      <w:divBdr>
        <w:top w:val="none" w:sz="0" w:space="0" w:color="auto"/>
        <w:left w:val="none" w:sz="0" w:space="0" w:color="auto"/>
        <w:bottom w:val="none" w:sz="0" w:space="0" w:color="auto"/>
        <w:right w:val="none" w:sz="0" w:space="0" w:color="auto"/>
      </w:divBdr>
    </w:div>
    <w:div w:id="1808204387">
      <w:bodyDiv w:val="1"/>
      <w:marLeft w:val="0"/>
      <w:marRight w:val="0"/>
      <w:marTop w:val="0"/>
      <w:marBottom w:val="0"/>
      <w:divBdr>
        <w:top w:val="none" w:sz="0" w:space="0" w:color="auto"/>
        <w:left w:val="none" w:sz="0" w:space="0" w:color="auto"/>
        <w:bottom w:val="none" w:sz="0" w:space="0" w:color="auto"/>
        <w:right w:val="none" w:sz="0" w:space="0" w:color="auto"/>
      </w:divBdr>
    </w:div>
    <w:div w:id="1897425253">
      <w:bodyDiv w:val="1"/>
      <w:marLeft w:val="0"/>
      <w:marRight w:val="0"/>
      <w:marTop w:val="0"/>
      <w:marBottom w:val="0"/>
      <w:divBdr>
        <w:top w:val="none" w:sz="0" w:space="0" w:color="auto"/>
        <w:left w:val="none" w:sz="0" w:space="0" w:color="auto"/>
        <w:bottom w:val="none" w:sz="0" w:space="0" w:color="auto"/>
        <w:right w:val="none" w:sz="0" w:space="0" w:color="auto"/>
      </w:divBdr>
    </w:div>
    <w:div w:id="209088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5FA72-E300-4998-8E20-9288838F7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41336</Words>
  <Characters>235621</Characters>
  <Application>Microsoft Office Word</Application>
  <DocSecurity>4</DocSecurity>
  <Lines>1963</Lines>
  <Paragraphs>552</Paragraphs>
  <ScaleCrop>false</ScaleCrop>
  <HeadingPairs>
    <vt:vector size="2" baseType="variant">
      <vt:variant>
        <vt:lpstr>Title</vt:lpstr>
      </vt:variant>
      <vt:variant>
        <vt:i4>1</vt:i4>
      </vt:variant>
    </vt:vector>
  </HeadingPairs>
  <TitlesOfParts>
    <vt:vector size="1" baseType="lpstr">
      <vt:lpstr/>
    </vt:vector>
  </TitlesOfParts>
  <Company>The Natural History Museum</Company>
  <LinksUpToDate>false</LinksUpToDate>
  <CharactersWithSpaces>276405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Hill</dc:creator>
  <cp:lastModifiedBy>veronique lefebvre</cp:lastModifiedBy>
  <cp:revision>2</cp:revision>
  <cp:lastPrinted>2017-11-20T17:07:00Z</cp:lastPrinted>
  <dcterms:created xsi:type="dcterms:W3CDTF">2018-05-24T20:33:00Z</dcterms:created>
  <dcterms:modified xsi:type="dcterms:W3CDTF">2018-05-24T20:33:00Z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0cbdf3c7-bef1-396b-9653-818c3dd74598</vt:lpwstr>
  </property>
  <property fmtid="{D5CDD505-2E9C-101B-9397-08002B2CF9AE}" pid="4" name="Mendeley Citation Style_1">
    <vt:lpwstr>http://www.zotero.org/styles/geoscientific-model-development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http://www.zotero.org/styles/geoscientific-model-development</vt:lpwstr>
  </property>
  <property fmtid="{D5CDD505-2E9C-101B-9397-08002B2CF9AE}" pid="12" name="Mendeley Recent Style Name 3_1">
    <vt:lpwstr>Geoscientific Model Development</vt:lpwstr>
  </property>
  <property fmtid="{D5CDD505-2E9C-101B-9397-08002B2CF9AE}" pid="13" name="Mendeley Recent Style Id 4_1">
    <vt:lpwstr>http://www.zotero.org/styles/global-change-biology</vt:lpwstr>
  </property>
  <property fmtid="{D5CDD505-2E9C-101B-9397-08002B2CF9AE}" pid="14" name="Mendeley Recent Style Name 4_1">
    <vt:lpwstr>Global Change Biology</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