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A33406" w:rsidTr="00CF1848">
        <w:trPr>
          <w:trHeight w:val="709"/>
        </w:trPr>
        <w:tc>
          <w:tcPr>
            <w:tcW w:w="976" w:type="dxa"/>
            <w:tcBorders>
              <w:bottom w:val="single" w:sz="12" w:space="0" w:color="auto"/>
            </w:tcBorders>
          </w:tcPr>
          <w:p w:rsidR="00C9161D" w:rsidRPr="00A33406" w:rsidRDefault="00C9161D">
            <w:pPr>
              <w:rPr>
                <w:kern w:val="22"/>
              </w:rPr>
            </w:pPr>
            <w:r w:rsidRPr="00A33406">
              <w:rPr>
                <w:noProof/>
                <w:kern w:val="22"/>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A33406" w:rsidRDefault="00C9161D">
            <w:pPr>
              <w:rPr>
                <w:kern w:val="22"/>
              </w:rPr>
            </w:pPr>
            <w:r w:rsidRPr="00A33406">
              <w:rPr>
                <w:noProof/>
                <w:kern w:val="22"/>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A33406" w:rsidRDefault="00C9161D" w:rsidP="00C9161D">
            <w:pPr>
              <w:jc w:val="right"/>
              <w:rPr>
                <w:rFonts w:ascii="Arial" w:hAnsi="Arial" w:cs="Arial"/>
                <w:b/>
                <w:kern w:val="22"/>
                <w:sz w:val="32"/>
                <w:szCs w:val="32"/>
              </w:rPr>
            </w:pPr>
            <w:r w:rsidRPr="00A33406">
              <w:rPr>
                <w:rFonts w:ascii="Arial" w:hAnsi="Arial" w:cs="Arial"/>
                <w:b/>
                <w:kern w:val="22"/>
                <w:sz w:val="32"/>
                <w:szCs w:val="32"/>
              </w:rPr>
              <w:t>CBD</w:t>
            </w:r>
          </w:p>
        </w:tc>
      </w:tr>
      <w:tr w:rsidR="00C9161D" w:rsidRPr="00A33406" w:rsidTr="00CF1848">
        <w:tc>
          <w:tcPr>
            <w:tcW w:w="6117" w:type="dxa"/>
            <w:gridSpan w:val="2"/>
            <w:tcBorders>
              <w:top w:val="single" w:sz="12" w:space="0" w:color="auto"/>
              <w:bottom w:val="single" w:sz="36" w:space="0" w:color="auto"/>
            </w:tcBorders>
            <w:vAlign w:val="center"/>
          </w:tcPr>
          <w:p w:rsidR="00C9161D" w:rsidRPr="00A33406" w:rsidRDefault="00C9161D" w:rsidP="00C9161D">
            <w:pPr>
              <w:rPr>
                <w:kern w:val="22"/>
              </w:rPr>
            </w:pPr>
            <w:r w:rsidRPr="00A33406">
              <w:rPr>
                <w:noProof/>
                <w:kern w:val="22"/>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A33406" w:rsidRDefault="00C9161D" w:rsidP="00176CEE">
            <w:pPr>
              <w:ind w:left="582"/>
              <w:rPr>
                <w:kern w:val="22"/>
                <w:szCs w:val="22"/>
              </w:rPr>
            </w:pPr>
            <w:r w:rsidRPr="00A33406">
              <w:rPr>
                <w:kern w:val="22"/>
                <w:szCs w:val="22"/>
              </w:rPr>
              <w:t>Distr.</w:t>
            </w:r>
          </w:p>
          <w:p w:rsidR="00C9161D" w:rsidRPr="00A33406" w:rsidRDefault="00D12988" w:rsidP="00176CEE">
            <w:pPr>
              <w:ind w:left="582"/>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A33406">
                  <w:rPr>
                    <w:caps/>
                    <w:kern w:val="22"/>
                    <w:szCs w:val="22"/>
                  </w:rPr>
                  <w:t>GENERAL</w:t>
                </w:r>
              </w:sdtContent>
            </w:sdt>
          </w:p>
          <w:p w:rsidR="00C9161D" w:rsidRPr="00A33406" w:rsidRDefault="00C9161D" w:rsidP="00176CEE">
            <w:pPr>
              <w:ind w:left="582"/>
              <w:rPr>
                <w:kern w:val="22"/>
                <w:szCs w:val="22"/>
              </w:rPr>
            </w:pPr>
          </w:p>
          <w:p w:rsidR="00C9161D" w:rsidRPr="00A33406" w:rsidRDefault="009E42C7" w:rsidP="00176CEE">
            <w:pPr>
              <w:ind w:left="582"/>
              <w:rPr>
                <w:kern w:val="22"/>
                <w:szCs w:val="22"/>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A33406">
                  <w:rPr>
                    <w:kern w:val="22"/>
                    <w:lang w:val="en-US"/>
                  </w:rPr>
                  <w:t>CBD/</w:t>
                </w:r>
                <w:r w:rsidRPr="00A33406">
                  <w:rPr>
                    <w:kern w:val="22"/>
                    <w:lang w:val="en-US"/>
                  </w:rPr>
                  <w:t>ABS/CB-IAC/2018/1/2/Add.2</w:t>
                </w:r>
              </w:sdtContent>
            </w:sdt>
          </w:p>
          <w:p w:rsidR="00C9161D" w:rsidRPr="00A33406" w:rsidRDefault="009E42C7" w:rsidP="00176CEE">
            <w:pPr>
              <w:ind w:left="582"/>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7-02-20T00:00:00Z">
                  <w:dateFormat w:val="d MMMM yyyy"/>
                  <w:lid w:val="en-US"/>
                  <w:storeMappedDataAs w:val="dateTime"/>
                  <w:calendar w:val="gregorian"/>
                </w:date>
              </w:sdtPr>
              <w:sdtContent>
                <w:r w:rsidRPr="00A33406">
                  <w:rPr>
                    <w:kern w:val="22"/>
                    <w:szCs w:val="22"/>
                    <w:lang w:val="en-US"/>
                  </w:rPr>
                  <w:t>20</w:t>
                </w:r>
                <w:r w:rsidRPr="00A33406">
                  <w:rPr>
                    <w:kern w:val="22"/>
                    <w:szCs w:val="22"/>
                    <w:lang w:val="en-US"/>
                  </w:rPr>
                  <w:t xml:space="preserve"> </w:t>
                </w:r>
                <w:r w:rsidRPr="00A33406">
                  <w:rPr>
                    <w:kern w:val="22"/>
                    <w:szCs w:val="22"/>
                    <w:lang w:val="en-US"/>
                  </w:rPr>
                  <w:t>February</w:t>
                </w:r>
                <w:r w:rsidRPr="00A33406">
                  <w:rPr>
                    <w:kern w:val="22"/>
                    <w:szCs w:val="22"/>
                    <w:lang w:val="en-US"/>
                  </w:rPr>
                  <w:t xml:space="preserve"> 2017</w:t>
                </w:r>
              </w:sdtContent>
            </w:sdt>
          </w:p>
          <w:p w:rsidR="00C9161D" w:rsidRPr="00A33406" w:rsidRDefault="00C9161D" w:rsidP="00176CEE">
            <w:pPr>
              <w:ind w:left="582"/>
              <w:rPr>
                <w:kern w:val="22"/>
                <w:szCs w:val="22"/>
              </w:rPr>
            </w:pPr>
          </w:p>
          <w:p w:rsidR="00C9161D" w:rsidRPr="00A33406" w:rsidRDefault="00C9161D" w:rsidP="00176CEE">
            <w:pPr>
              <w:ind w:left="582"/>
              <w:rPr>
                <w:kern w:val="22"/>
                <w:szCs w:val="22"/>
              </w:rPr>
            </w:pPr>
            <w:r w:rsidRPr="00A33406">
              <w:rPr>
                <w:kern w:val="22"/>
                <w:szCs w:val="22"/>
              </w:rPr>
              <w:t>ENGLISH</w:t>
            </w:r>
            <w:r w:rsidR="00172AF6" w:rsidRPr="00A33406">
              <w:rPr>
                <w:kern w:val="22"/>
                <w:szCs w:val="22"/>
              </w:rPr>
              <w:t xml:space="preserve"> ONLY</w:t>
            </w:r>
          </w:p>
          <w:p w:rsidR="00C9161D" w:rsidRPr="00A33406" w:rsidRDefault="00C9161D">
            <w:pPr>
              <w:rPr>
                <w:kern w:val="22"/>
              </w:rPr>
            </w:pPr>
          </w:p>
        </w:tc>
      </w:tr>
    </w:tbl>
    <w:p w:rsidR="009E42C7" w:rsidRPr="00A33406" w:rsidRDefault="009E42C7" w:rsidP="00A33406">
      <w:pPr>
        <w:ind w:left="142" w:right="5576" w:hanging="142"/>
        <w:jc w:val="left"/>
        <w:rPr>
          <w:rFonts w:eastAsia="Malgun Gothic"/>
          <w:snapToGrid w:val="0"/>
          <w:kern w:val="22"/>
        </w:rPr>
      </w:pPr>
      <w:r w:rsidRPr="00A33406">
        <w:rPr>
          <w:rFonts w:eastAsia="Malgun Gothic"/>
          <w:snapToGrid w:val="0"/>
          <w:kern w:val="22"/>
        </w:rPr>
        <w:t>INFORMAL ADVISORY COMMITTEE ON CAPACITY</w:t>
      </w:r>
      <w:r w:rsidR="00F617B8" w:rsidRPr="00A33406">
        <w:rPr>
          <w:rFonts w:eastAsia="Malgun Gothic"/>
          <w:snapToGrid w:val="0"/>
          <w:kern w:val="22"/>
        </w:rPr>
        <w:t>-</w:t>
      </w:r>
      <w:r w:rsidRPr="00A33406">
        <w:rPr>
          <w:rFonts w:eastAsia="Malgun Gothic"/>
          <w:snapToGrid w:val="0"/>
          <w:kern w:val="22"/>
        </w:rPr>
        <w:t>BUILDING FOR THE IMPLEMENTATION OF THE NAGOYA PROTOCOL</w:t>
      </w:r>
    </w:p>
    <w:p w:rsidR="009E42C7" w:rsidRPr="00A33406" w:rsidRDefault="009E42C7" w:rsidP="009E42C7">
      <w:pPr>
        <w:ind w:left="142" w:right="3691" w:hanging="142"/>
        <w:jc w:val="left"/>
        <w:rPr>
          <w:rFonts w:eastAsia="Malgun Gothic"/>
          <w:snapToGrid w:val="0"/>
          <w:kern w:val="22"/>
        </w:rPr>
      </w:pPr>
      <w:r w:rsidRPr="00A33406">
        <w:rPr>
          <w:rFonts w:eastAsia="Malgun Gothic"/>
          <w:snapToGrid w:val="0"/>
          <w:kern w:val="22"/>
        </w:rPr>
        <w:t>Third meeting</w:t>
      </w:r>
    </w:p>
    <w:p w:rsidR="009E42C7" w:rsidRPr="00A33406" w:rsidRDefault="009E42C7" w:rsidP="009E42C7">
      <w:pPr>
        <w:ind w:left="142" w:right="3691" w:hanging="142"/>
        <w:jc w:val="left"/>
        <w:rPr>
          <w:rFonts w:eastAsia="Malgun Gothic"/>
          <w:snapToGrid w:val="0"/>
          <w:kern w:val="22"/>
        </w:rPr>
      </w:pPr>
      <w:r w:rsidRPr="00A33406">
        <w:rPr>
          <w:rFonts w:eastAsia="Malgun Gothic"/>
          <w:snapToGrid w:val="0"/>
          <w:kern w:val="22"/>
        </w:rPr>
        <w:t>Montreal, Canada, 20-22 March 2018</w:t>
      </w:r>
    </w:p>
    <w:p w:rsidR="009E42C7" w:rsidRPr="00A33406" w:rsidRDefault="009E42C7" w:rsidP="009E42C7">
      <w:pPr>
        <w:autoSpaceDE w:val="0"/>
        <w:autoSpaceDN w:val="0"/>
        <w:adjustRightInd w:val="0"/>
        <w:ind w:left="142" w:right="3124" w:hanging="142"/>
        <w:jc w:val="left"/>
        <w:rPr>
          <w:rFonts w:eastAsia="MS Mincho"/>
          <w:snapToGrid w:val="0"/>
          <w:kern w:val="22"/>
        </w:rPr>
      </w:pPr>
      <w:r w:rsidRPr="00A33406">
        <w:rPr>
          <w:rFonts w:eastAsia="MS Mincho"/>
          <w:snapToGrid w:val="0"/>
          <w:kern w:val="22"/>
        </w:rPr>
        <w:t>Item 3 of the provisional agenda</w:t>
      </w:r>
      <w:r w:rsidRPr="00A33406">
        <w:rPr>
          <w:rFonts w:eastAsia="MS Mincho"/>
          <w:snapToGrid w:val="0"/>
          <w:kern w:val="22"/>
        </w:rPr>
        <w:footnoteReference w:customMarkFollows="1" w:id="1"/>
        <w:t>*</w:t>
      </w:r>
    </w:p>
    <w:p w:rsidR="00C9161D" w:rsidRPr="00A33406" w:rsidRDefault="00C9161D" w:rsidP="00C9161D">
      <w:pPr>
        <w:rPr>
          <w:kern w:val="22"/>
        </w:rPr>
      </w:pPr>
    </w:p>
    <w:p w:rsidR="00C9161D" w:rsidRPr="00A33406" w:rsidRDefault="009E42C7" w:rsidP="00172AF6">
      <w:pPr>
        <w:spacing w:before="120" w:after="240"/>
        <w:jc w:val="center"/>
        <w:rPr>
          <w:b/>
          <w:caps/>
          <w:kern w:val="22"/>
        </w:rPr>
      </w:pPr>
      <w:sdt>
        <w:sdtPr>
          <w:rPr>
            <w:rFonts w:ascii="Times New Roman Bold" w:hAnsi="Times New Roman Bold" w:cs="Times New Roman Bold"/>
            <w:snapToGrid w:val="0"/>
            <w:kern w:val="22"/>
            <w:bdr w:val="none" w:sz="0" w:space="0" w:color="auto" w:frame="1"/>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A33406">
            <w:rPr>
              <w:rFonts w:ascii="Times New Roman Bold" w:hAnsi="Times New Roman Bold" w:cs="Times New Roman Bold"/>
              <w:snapToGrid w:val="0"/>
              <w:kern w:val="22"/>
              <w:bdr w:val="none" w:sz="0" w:space="0" w:color="auto" w:frame="1"/>
            </w:rPr>
            <w:t>OVERVIEW OF ACCESS AND BENEFIT-SHARING CAPACITY-BUILDING TOOLS AND RESOURCES</w:t>
          </w:r>
        </w:sdtContent>
      </w:sdt>
      <w:r w:rsidR="00105372" w:rsidRPr="00A33406">
        <w:rPr>
          <w:b/>
          <w:caps/>
          <w:kern w:val="22"/>
        </w:rPr>
        <w:t xml:space="preserve"> </w:t>
      </w:r>
    </w:p>
    <w:p w:rsidR="009E42C7" w:rsidRPr="00A33406" w:rsidRDefault="009E42C7" w:rsidP="009E42C7">
      <w:pPr>
        <w:pStyle w:val="HEADINGNOTFORTOC"/>
        <w:tabs>
          <w:tab w:val="clear" w:pos="720"/>
        </w:tabs>
        <w:spacing w:before="120"/>
        <w:rPr>
          <w:rFonts w:eastAsia="Arial Unicode MS"/>
          <w:snapToGrid w:val="0"/>
          <w:kern w:val="22"/>
        </w:rPr>
      </w:pPr>
      <w:r w:rsidRPr="00A33406">
        <w:rPr>
          <w:rFonts w:eastAsia="Arial Unicode MS"/>
          <w:b w:val="0"/>
          <w:bCs/>
          <w:i/>
          <w:iCs/>
          <w:caps w:val="0"/>
          <w:snapToGrid w:val="0"/>
          <w:kern w:val="22"/>
        </w:rPr>
        <w:t>Note by the Executive Secretary</w:t>
      </w:r>
    </w:p>
    <w:p w:rsidR="009E42C7" w:rsidRPr="00A33406" w:rsidRDefault="009E42C7" w:rsidP="00A33406">
      <w:pPr>
        <w:pStyle w:val="Heading1"/>
        <w:numPr>
          <w:ilvl w:val="0"/>
          <w:numId w:val="57"/>
        </w:numPr>
        <w:tabs>
          <w:tab w:val="clear" w:pos="720"/>
        </w:tabs>
        <w:spacing w:before="120"/>
        <w:rPr>
          <w:snapToGrid w:val="0"/>
          <w:kern w:val="22"/>
        </w:rPr>
      </w:pPr>
      <w:r w:rsidRPr="00A33406">
        <w:rPr>
          <w:rFonts w:eastAsia="Arial Unicode MS"/>
          <w:snapToGrid w:val="0"/>
          <w:kern w:val="22"/>
        </w:rPr>
        <w:t>INTRODUCTION</w:t>
      </w:r>
    </w:p>
    <w:p w:rsidR="009E42C7" w:rsidRPr="00A33406" w:rsidRDefault="009E42C7" w:rsidP="009E42C7">
      <w:pPr>
        <w:pStyle w:val="Para1"/>
        <w:numPr>
          <w:ilvl w:val="0"/>
          <w:numId w:val="2"/>
        </w:numPr>
        <w:suppressLineNumbers/>
        <w:tabs>
          <w:tab w:val="clear" w:pos="360"/>
        </w:tabs>
        <w:suppressAutoHyphens/>
        <w:rPr>
          <w:kern w:val="22"/>
        </w:rPr>
      </w:pPr>
      <w:r w:rsidRPr="00A33406">
        <w:rPr>
          <w:kern w:val="22"/>
        </w:rPr>
        <w:t>The present note by the Executive Secretary provides an overview of existing access and benefit</w:t>
      </w:r>
      <w:r w:rsidR="004861FB" w:rsidRPr="00A33406">
        <w:rPr>
          <w:kern w:val="22"/>
        </w:rPr>
        <w:noBreakHyphen/>
      </w:r>
      <w:r w:rsidRPr="00A33406">
        <w:rPr>
          <w:kern w:val="22"/>
        </w:rPr>
        <w:t>sharing capacity-building tools and resources, on the basis of information available to the Secretariat as of 8 February 2018. Th</w:t>
      </w:r>
      <w:bookmarkStart w:id="0" w:name="_GoBack"/>
      <w:bookmarkEnd w:id="0"/>
      <w:r w:rsidRPr="00A33406">
        <w:rPr>
          <w:kern w:val="22"/>
        </w:rPr>
        <w:t>e information contained herein forms the basis of the analysis contained in document CBD/ABS/CB-IAC/2018/</w:t>
      </w:r>
      <w:r w:rsidR="004861FB" w:rsidRPr="00A33406">
        <w:rPr>
          <w:kern w:val="22"/>
        </w:rPr>
        <w:t>1</w:t>
      </w:r>
      <w:r w:rsidRPr="00A33406">
        <w:rPr>
          <w:kern w:val="22"/>
        </w:rPr>
        <w:t>/2, section I</w:t>
      </w:r>
      <w:r w:rsidR="004861FB" w:rsidRPr="00A33406">
        <w:rPr>
          <w:kern w:val="22"/>
        </w:rPr>
        <w:t>I</w:t>
      </w:r>
      <w:r w:rsidRPr="00A33406">
        <w:rPr>
          <w:kern w:val="22"/>
        </w:rPr>
        <w:t xml:space="preserve">I, on awareness-raising and capacity-building resources. The capacity-building tools and resources which have been added to the table </w:t>
      </w:r>
      <w:r w:rsidR="004861FB" w:rsidRPr="00A33406">
        <w:rPr>
          <w:kern w:val="22"/>
        </w:rPr>
        <w:t>below</w:t>
      </w:r>
      <w:r w:rsidRPr="00A33406">
        <w:rPr>
          <w:kern w:val="22"/>
        </w:rPr>
        <w:t xml:space="preserve"> since the document was last updated for </w:t>
      </w:r>
      <w:r w:rsidR="004861FB" w:rsidRPr="00A33406">
        <w:rPr>
          <w:kern w:val="22"/>
        </w:rPr>
        <w:t>the second meeting of the Conference of the Parties serving as the meeting of the Parties to the Nagoya Protocol,</w:t>
      </w:r>
      <w:r w:rsidRPr="00A33406">
        <w:rPr>
          <w:kern w:val="22"/>
        </w:rPr>
        <w:t xml:space="preserve"> in September 2016</w:t>
      </w:r>
      <w:r w:rsidR="004861FB" w:rsidRPr="00A33406">
        <w:rPr>
          <w:kern w:val="22"/>
        </w:rPr>
        <w:t>,</w:t>
      </w:r>
      <w:r w:rsidRPr="00A33406">
        <w:rPr>
          <w:kern w:val="22"/>
        </w:rPr>
        <w:t xml:space="preserve"> are marked with an asterisk in the first column which contains the number of the resource and are highlighted in grey.</w:t>
      </w:r>
    </w:p>
    <w:p w:rsidR="009E42C7" w:rsidRPr="00A33406" w:rsidRDefault="009E42C7" w:rsidP="009E42C7">
      <w:pPr>
        <w:pStyle w:val="Para1"/>
        <w:numPr>
          <w:ilvl w:val="0"/>
          <w:numId w:val="2"/>
        </w:numPr>
        <w:suppressLineNumbers/>
        <w:tabs>
          <w:tab w:val="clear" w:pos="360"/>
          <w:tab w:val="left" w:pos="720"/>
        </w:tabs>
        <w:suppressAutoHyphens/>
        <w:rPr>
          <w:kern w:val="22"/>
          <w:lang w:eastAsia="ko-KR"/>
        </w:rPr>
      </w:pPr>
      <w:r w:rsidRPr="00A33406">
        <w:rPr>
          <w:kern w:val="22"/>
          <w:lang w:eastAsia="ko-KR"/>
        </w:rPr>
        <w:t>The Secretariat prepared this overview based on information from various sources, including:</w:t>
      </w:r>
    </w:p>
    <w:p w:rsidR="009E42C7" w:rsidRPr="00A33406" w:rsidRDefault="009E42C7" w:rsidP="009E42C7">
      <w:pPr>
        <w:numPr>
          <w:ilvl w:val="1"/>
          <w:numId w:val="2"/>
        </w:numPr>
        <w:pBdr>
          <w:top w:val="nil"/>
          <w:left w:val="nil"/>
          <w:bottom w:val="nil"/>
          <w:right w:val="nil"/>
          <w:between w:val="nil"/>
          <w:bar w:val="nil"/>
        </w:pBdr>
        <w:rPr>
          <w:snapToGrid w:val="0"/>
          <w:kern w:val="22"/>
        </w:rPr>
      </w:pPr>
      <w:r w:rsidRPr="00A33406">
        <w:rPr>
          <w:snapToGrid w:val="0"/>
          <w:kern w:val="22"/>
        </w:rPr>
        <w:t>Information made available by Parties, other Governments, indigenous peoples and local communities and relevant organizations regarding their capacity-building and development tools and resources made available through the ABS Clearing-House;</w:t>
      </w:r>
    </w:p>
    <w:p w:rsidR="009E42C7" w:rsidRPr="00A33406" w:rsidRDefault="009E42C7" w:rsidP="009E42C7">
      <w:pPr>
        <w:pStyle w:val="Para1"/>
        <w:numPr>
          <w:ilvl w:val="1"/>
          <w:numId w:val="2"/>
        </w:numPr>
        <w:pBdr>
          <w:top w:val="nil"/>
          <w:left w:val="nil"/>
          <w:bottom w:val="nil"/>
          <w:right w:val="nil"/>
          <w:between w:val="nil"/>
          <w:bar w:val="nil"/>
        </w:pBdr>
        <w:rPr>
          <w:b/>
          <w:kern w:val="22"/>
        </w:rPr>
      </w:pPr>
      <w:r w:rsidRPr="00A33406">
        <w:rPr>
          <w:kern w:val="22"/>
        </w:rPr>
        <w:t>Information provided by members of the Informal Advisory Committee;</w:t>
      </w:r>
    </w:p>
    <w:p w:rsidR="009E42C7" w:rsidRPr="00A33406" w:rsidRDefault="009E42C7" w:rsidP="009E42C7">
      <w:pPr>
        <w:pStyle w:val="Para1"/>
        <w:numPr>
          <w:ilvl w:val="1"/>
          <w:numId w:val="2"/>
        </w:numPr>
        <w:pBdr>
          <w:top w:val="nil"/>
          <w:left w:val="nil"/>
          <w:bottom w:val="nil"/>
          <w:right w:val="nil"/>
          <w:between w:val="nil"/>
          <w:bar w:val="nil"/>
        </w:pBdr>
        <w:rPr>
          <w:b/>
          <w:kern w:val="22"/>
        </w:rPr>
      </w:pPr>
      <w:r w:rsidRPr="00A33406">
        <w:rPr>
          <w:kern w:val="22"/>
        </w:rPr>
        <w:t>Online searches.</w:t>
      </w:r>
    </w:p>
    <w:p w:rsidR="009E42C7" w:rsidRPr="00A33406" w:rsidRDefault="009E42C7" w:rsidP="009E42C7">
      <w:pPr>
        <w:pStyle w:val="Para1"/>
        <w:pBdr>
          <w:bottom w:val="nil"/>
        </w:pBdr>
        <w:rPr>
          <w:b/>
          <w:kern w:val="22"/>
        </w:rPr>
      </w:pPr>
    </w:p>
    <w:p w:rsidR="009E42C7" w:rsidRPr="00A33406" w:rsidRDefault="009E42C7" w:rsidP="009E42C7">
      <w:pPr>
        <w:pStyle w:val="Para1"/>
        <w:suppressLineNumbers/>
        <w:tabs>
          <w:tab w:val="left" w:pos="720"/>
        </w:tabs>
        <w:suppressAutoHyphens/>
        <w:rPr>
          <w:kern w:val="22"/>
        </w:rPr>
        <w:sectPr w:rsidR="009E42C7" w:rsidRPr="00A33406" w:rsidSect="00704B00">
          <w:headerReference w:type="even" r:id="rId12"/>
          <w:headerReference w:type="default" r:id="rId13"/>
          <w:footerReference w:type="even" r:id="rId14"/>
          <w:footerReference w:type="default" r:id="rId15"/>
          <w:headerReference w:type="first" r:id="rId16"/>
          <w:footerReference w:type="first" r:id="rId17"/>
          <w:pgSz w:w="12240" w:h="15840" w:code="1"/>
          <w:pgMar w:top="709" w:right="1418" w:bottom="709" w:left="1418" w:header="461" w:footer="720" w:gutter="0"/>
          <w:cols w:space="720"/>
          <w:titlePg/>
          <w:docGrid w:linePitch="299"/>
        </w:sectPr>
      </w:pPr>
    </w:p>
    <w:p w:rsidR="009E42C7" w:rsidRPr="00A33406" w:rsidRDefault="0009309E" w:rsidP="009E42C7">
      <w:pPr>
        <w:pStyle w:val="Heading1"/>
        <w:tabs>
          <w:tab w:val="clear" w:pos="720"/>
        </w:tabs>
        <w:spacing w:before="0"/>
        <w:rPr>
          <w:rFonts w:eastAsia="Calibri"/>
          <w:bCs/>
          <w:i/>
          <w:iCs/>
          <w:snapToGrid w:val="0"/>
          <w:kern w:val="22"/>
          <w:highlight w:val="yellow"/>
        </w:rPr>
      </w:pPr>
      <w:r w:rsidRPr="00A33406">
        <w:rPr>
          <w:snapToGrid w:val="0"/>
          <w:kern w:val="22"/>
        </w:rPr>
        <w:lastRenderedPageBreak/>
        <w:t>I</w:t>
      </w:r>
      <w:r w:rsidR="009E42C7" w:rsidRPr="00A33406">
        <w:rPr>
          <w:snapToGrid w:val="0"/>
          <w:kern w:val="22"/>
        </w:rPr>
        <w:t>I.</w:t>
      </w:r>
      <w:r w:rsidR="009E42C7" w:rsidRPr="00A33406">
        <w:rPr>
          <w:snapToGrid w:val="0"/>
          <w:kern w:val="22"/>
        </w:rPr>
        <w:tab/>
        <w:t xml:space="preserve">Overview of </w:t>
      </w:r>
      <w:r w:rsidR="009E42C7" w:rsidRPr="00A33406">
        <w:rPr>
          <w:rFonts w:ascii="Times New Roman Bold" w:hAnsi="Times New Roman Bold" w:cs="Times New Roman Bold"/>
          <w:bCs/>
          <w:snapToGrid w:val="0"/>
          <w:kern w:val="22"/>
        </w:rPr>
        <w:t>ABS capacity-building and development tools and resources</w:t>
      </w:r>
    </w:p>
    <w:p w:rsidR="009E42C7" w:rsidRPr="00A33406" w:rsidRDefault="009E42C7" w:rsidP="00A33406">
      <w:pPr>
        <w:pStyle w:val="Para1"/>
        <w:numPr>
          <w:ilvl w:val="0"/>
          <w:numId w:val="2"/>
        </w:numPr>
        <w:suppressLineNumbers/>
        <w:tabs>
          <w:tab w:val="clear" w:pos="360"/>
          <w:tab w:val="left" w:pos="720"/>
        </w:tabs>
        <w:suppressAutoHyphens/>
        <w:rPr>
          <w:kern w:val="22"/>
        </w:rPr>
      </w:pPr>
      <w:r w:rsidRPr="00A33406">
        <w:rPr>
          <w:kern w:val="22"/>
        </w:rPr>
        <w:t>In preparing the present overview, access and benefit-sharing capacity-building tools and resources were considered to be those whose primary intent was to facilitate structured learning, impart new knowledge and skills through progressive instructive steps and/or provide guidance on how to perform specific tasks related to access and benefit-sharing. Other tools and resources that were not expressly developed for these purposes were considered to be general literature or reference material and not necessarily capacity-building resources. The overview categorizes capacity-building tools and resources on the basis of their main purpose: assessing capacity-building needs and designing capacity-building initiatives; monitoring and evaluation of capacity-building initiatives; facilitating training or learning; providing technical guidance; or raising awareness.</w:t>
      </w:r>
    </w:p>
    <w:p w:rsidR="009E42C7" w:rsidRPr="00A33406" w:rsidRDefault="009E42C7" w:rsidP="00A33406">
      <w:pPr>
        <w:pStyle w:val="Para1"/>
        <w:suppressLineNumbers/>
        <w:suppressAutoHyphens/>
        <w:rPr>
          <w:b/>
          <w:kern w:val="22"/>
        </w:rPr>
      </w:pPr>
      <w:r w:rsidRPr="00A33406">
        <w:rPr>
          <w:b/>
          <w:kern w:val="22"/>
        </w:rPr>
        <w:t>Table 1.</w:t>
      </w:r>
      <w:r w:rsidRPr="00A33406">
        <w:rPr>
          <w:b/>
          <w:kern w:val="22"/>
        </w:rPr>
        <w:tab/>
        <w:t>Tools and resources primarily focused on assessing capacity-building needs and/or designing capacity-building initiatives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865"/>
        <w:gridCol w:w="1318"/>
        <w:gridCol w:w="881"/>
        <w:gridCol w:w="1056"/>
        <w:gridCol w:w="2630"/>
        <w:gridCol w:w="4115"/>
        <w:gridCol w:w="706"/>
      </w:tblGrid>
      <w:tr w:rsidR="00A33406" w:rsidRPr="00A33406" w:rsidTr="00A33406">
        <w:trPr>
          <w:trHeight w:val="574"/>
        </w:trPr>
        <w:tc>
          <w:tcPr>
            <w:tcW w:w="563" w:type="dxa"/>
            <w:shd w:val="clear" w:color="auto" w:fill="D9D9D9"/>
            <w:vAlign w:val="center"/>
          </w:tcPr>
          <w:p w:rsidR="009E42C7" w:rsidRPr="00A33406" w:rsidRDefault="009E42C7" w:rsidP="00A33406">
            <w:pPr>
              <w:pStyle w:val="Para1"/>
              <w:pBdr>
                <w:bottom w:val="nil"/>
              </w:pBdr>
              <w:spacing w:before="0" w:after="0"/>
              <w:jc w:val="left"/>
              <w:rPr>
                <w:b/>
                <w:bCs/>
                <w:kern w:val="22"/>
                <w:sz w:val="20"/>
              </w:rPr>
            </w:pPr>
            <w:r w:rsidRPr="00A33406">
              <w:rPr>
                <w:b/>
                <w:bCs/>
                <w:kern w:val="22"/>
                <w:sz w:val="20"/>
              </w:rPr>
              <w:t>No.</w:t>
            </w:r>
          </w:p>
        </w:tc>
        <w:tc>
          <w:tcPr>
            <w:tcW w:w="2914"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rPr>
            </w:pPr>
            <w:r w:rsidRPr="00A33406">
              <w:rPr>
                <w:b/>
                <w:bCs/>
                <w:kern w:val="22"/>
                <w:sz w:val="20"/>
              </w:rPr>
              <w:t>Title of the tool/resource</w:t>
            </w:r>
          </w:p>
        </w:tc>
        <w:tc>
          <w:tcPr>
            <w:tcW w:w="1338"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rPr>
            </w:pPr>
            <w:r w:rsidRPr="00A33406">
              <w:rPr>
                <w:b/>
                <w:bCs/>
                <w:kern w:val="22"/>
                <w:sz w:val="20"/>
              </w:rPr>
              <w:t>Author/ Publisher</w:t>
            </w:r>
          </w:p>
        </w:tc>
        <w:tc>
          <w:tcPr>
            <w:tcW w:w="893"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rPr>
            </w:pPr>
            <w:r w:rsidRPr="00A33406">
              <w:rPr>
                <w:b/>
                <w:bCs/>
                <w:kern w:val="22"/>
                <w:sz w:val="20"/>
              </w:rPr>
              <w:t>Year</w:t>
            </w:r>
          </w:p>
        </w:tc>
        <w:tc>
          <w:tcPr>
            <w:tcW w:w="1071"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rPr>
            </w:pPr>
            <w:r w:rsidRPr="00A33406">
              <w:rPr>
                <w:b/>
                <w:bCs/>
                <w:kern w:val="22"/>
                <w:sz w:val="20"/>
              </w:rPr>
              <w:t>Language</w:t>
            </w:r>
          </w:p>
        </w:tc>
        <w:tc>
          <w:tcPr>
            <w:tcW w:w="2674"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rPr>
            </w:pPr>
            <w:r w:rsidRPr="00A33406">
              <w:rPr>
                <w:b/>
                <w:bCs/>
                <w:kern w:val="22"/>
                <w:sz w:val="20"/>
              </w:rPr>
              <w:t>Web link/source</w:t>
            </w:r>
          </w:p>
        </w:tc>
        <w:tc>
          <w:tcPr>
            <w:tcW w:w="4187"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rPr>
            </w:pPr>
            <w:r w:rsidRPr="00A33406">
              <w:rPr>
                <w:b/>
                <w:bCs/>
                <w:kern w:val="22"/>
                <w:sz w:val="20"/>
              </w:rPr>
              <w:t>Description</w:t>
            </w:r>
          </w:p>
        </w:tc>
        <w:tc>
          <w:tcPr>
            <w:tcW w:w="715" w:type="dxa"/>
            <w:shd w:val="clear" w:color="auto" w:fill="D9D9D9"/>
            <w:noWrap/>
            <w:vAlign w:val="center"/>
            <w:hideMark/>
          </w:tcPr>
          <w:p w:rsidR="009E42C7" w:rsidRPr="00A33406" w:rsidRDefault="009E42C7" w:rsidP="00A33406">
            <w:pPr>
              <w:pStyle w:val="Para1"/>
              <w:pBdr>
                <w:bottom w:val="nil"/>
              </w:pBdr>
              <w:spacing w:before="0" w:after="0"/>
              <w:jc w:val="left"/>
              <w:rPr>
                <w:b/>
                <w:bCs/>
                <w:kern w:val="22"/>
                <w:sz w:val="20"/>
              </w:rPr>
            </w:pPr>
            <w:bookmarkStart w:id="1" w:name="RANGE!K1"/>
            <w:r w:rsidRPr="00A33406">
              <w:rPr>
                <w:b/>
                <w:bCs/>
                <w:kern w:val="22"/>
                <w:sz w:val="20"/>
              </w:rPr>
              <w:t>Key Areas</w:t>
            </w:r>
            <w:r w:rsidRPr="00A33406">
              <w:rPr>
                <w:rStyle w:val="FootnoteReference"/>
                <w:kern w:val="22"/>
                <w:sz w:val="20"/>
                <w:szCs w:val="20"/>
                <w:u w:val="none"/>
                <w:vertAlign w:val="superscript"/>
              </w:rPr>
              <w:footnoteReference w:id="2"/>
            </w:r>
            <w:r w:rsidRPr="00A33406">
              <w:rPr>
                <w:rStyle w:val="FootnoteReference"/>
                <w:kern w:val="22"/>
                <w:sz w:val="20"/>
                <w:szCs w:val="20"/>
                <w:u w:val="none"/>
                <w:vertAlign w:val="superscript"/>
              </w:rPr>
              <w:t xml:space="preserve"> </w:t>
            </w:r>
            <w:bookmarkEnd w:id="1"/>
          </w:p>
        </w:tc>
      </w:tr>
      <w:tr w:rsidR="00A33406" w:rsidRPr="00A33406" w:rsidTr="00A33406">
        <w:tc>
          <w:tcPr>
            <w:tcW w:w="563" w:type="dxa"/>
            <w:shd w:val="clear" w:color="auto" w:fill="auto"/>
            <w:vAlign w:val="center"/>
          </w:tcPr>
          <w:p w:rsidR="009E42C7" w:rsidRPr="00A33406" w:rsidRDefault="009E42C7" w:rsidP="00A33406">
            <w:pPr>
              <w:pStyle w:val="Para1"/>
              <w:pBdr>
                <w:bottom w:val="nil"/>
              </w:pBdr>
              <w:spacing w:before="0" w:after="0"/>
              <w:jc w:val="left"/>
              <w:rPr>
                <w:kern w:val="22"/>
                <w:sz w:val="20"/>
              </w:rPr>
            </w:pPr>
            <w:r w:rsidRPr="00A33406">
              <w:rPr>
                <w:kern w:val="22"/>
                <w:sz w:val="20"/>
              </w:rPr>
              <w:t>1</w:t>
            </w:r>
          </w:p>
        </w:tc>
        <w:tc>
          <w:tcPr>
            <w:tcW w:w="2914" w:type="dxa"/>
            <w:shd w:val="clear" w:color="auto" w:fill="auto"/>
            <w:vAlign w:val="center"/>
            <w:hideMark/>
          </w:tcPr>
          <w:p w:rsidR="009E42C7" w:rsidRPr="00A33406" w:rsidRDefault="009E42C7" w:rsidP="00A33406">
            <w:pPr>
              <w:pStyle w:val="Para1"/>
              <w:pBdr>
                <w:bottom w:val="nil"/>
              </w:pBdr>
              <w:spacing w:before="0" w:after="0"/>
              <w:jc w:val="left"/>
              <w:rPr>
                <w:kern w:val="22"/>
                <w:sz w:val="20"/>
              </w:rPr>
            </w:pPr>
            <w:r w:rsidRPr="00A33406">
              <w:rPr>
                <w:kern w:val="22"/>
                <w:sz w:val="20"/>
              </w:rPr>
              <w:t>Capacity Development Scorecard ("Monitoring Guidelines of Capacity Development in GEF Operations", Annex)</w:t>
            </w:r>
          </w:p>
        </w:tc>
        <w:tc>
          <w:tcPr>
            <w:tcW w:w="1338" w:type="dxa"/>
            <w:shd w:val="clear" w:color="auto" w:fill="auto"/>
            <w:vAlign w:val="center"/>
            <w:hideMark/>
          </w:tcPr>
          <w:p w:rsidR="009E42C7" w:rsidRPr="00A33406" w:rsidRDefault="009E42C7" w:rsidP="00A33406">
            <w:pPr>
              <w:pStyle w:val="Para1"/>
              <w:pBdr>
                <w:bottom w:val="nil"/>
              </w:pBdr>
              <w:spacing w:before="0" w:after="0"/>
              <w:jc w:val="left"/>
              <w:rPr>
                <w:kern w:val="22"/>
                <w:sz w:val="20"/>
              </w:rPr>
            </w:pPr>
            <w:r w:rsidRPr="00A33406">
              <w:rPr>
                <w:kern w:val="22"/>
                <w:sz w:val="20"/>
              </w:rPr>
              <w:t>United Nations Development Programme (UNDP)</w:t>
            </w:r>
          </w:p>
        </w:tc>
        <w:tc>
          <w:tcPr>
            <w:tcW w:w="893" w:type="dxa"/>
            <w:shd w:val="clear" w:color="auto" w:fill="auto"/>
            <w:vAlign w:val="center"/>
            <w:hideMark/>
          </w:tcPr>
          <w:p w:rsidR="009E42C7" w:rsidRPr="00A33406" w:rsidRDefault="009E42C7" w:rsidP="00A33406">
            <w:pPr>
              <w:pStyle w:val="Para1"/>
              <w:pBdr>
                <w:bottom w:val="nil"/>
              </w:pBdr>
              <w:spacing w:before="0" w:after="0"/>
              <w:jc w:val="left"/>
              <w:rPr>
                <w:kern w:val="22"/>
                <w:sz w:val="20"/>
              </w:rPr>
            </w:pPr>
            <w:r w:rsidRPr="00A33406">
              <w:rPr>
                <w:kern w:val="22"/>
                <w:sz w:val="20"/>
              </w:rPr>
              <w:t>2010</w:t>
            </w:r>
          </w:p>
        </w:tc>
        <w:tc>
          <w:tcPr>
            <w:tcW w:w="1071" w:type="dxa"/>
            <w:shd w:val="clear" w:color="auto" w:fill="auto"/>
            <w:vAlign w:val="center"/>
            <w:hideMark/>
          </w:tcPr>
          <w:p w:rsidR="009E42C7" w:rsidRPr="00A33406" w:rsidRDefault="009E42C7" w:rsidP="00A33406">
            <w:pPr>
              <w:pStyle w:val="Para1"/>
              <w:pBdr>
                <w:bottom w:val="nil"/>
              </w:pBdr>
              <w:spacing w:before="0" w:after="0"/>
              <w:jc w:val="left"/>
              <w:rPr>
                <w:kern w:val="22"/>
                <w:sz w:val="20"/>
              </w:rPr>
            </w:pPr>
            <w:r w:rsidRPr="00A33406">
              <w:rPr>
                <w:kern w:val="22"/>
                <w:sz w:val="20"/>
              </w:rPr>
              <w:t>En</w:t>
            </w:r>
          </w:p>
        </w:tc>
        <w:tc>
          <w:tcPr>
            <w:tcW w:w="2674" w:type="dxa"/>
            <w:shd w:val="clear" w:color="auto" w:fill="auto"/>
            <w:vAlign w:val="center"/>
            <w:hideMark/>
          </w:tcPr>
          <w:p w:rsidR="009E42C7" w:rsidRPr="00A33406" w:rsidRDefault="009E42C7" w:rsidP="00A33406">
            <w:pPr>
              <w:pStyle w:val="Para1"/>
              <w:pBdr>
                <w:bottom w:val="nil"/>
              </w:pBdr>
              <w:spacing w:before="0" w:after="0"/>
              <w:jc w:val="left"/>
              <w:rPr>
                <w:kern w:val="22"/>
                <w:sz w:val="20"/>
                <w:u w:val="single"/>
              </w:rPr>
            </w:pPr>
            <w:hyperlink r:id="rId18" w:history="1">
              <w:r w:rsidRPr="00A33406">
                <w:rPr>
                  <w:rStyle w:val="Hyperlink"/>
                  <w:kern w:val="22"/>
                  <w:sz w:val="20"/>
                </w:rPr>
                <w:t>http://www.undp.org/content/undp/en/home/libr</w:t>
              </w:r>
              <w:r w:rsidRPr="00A33406">
                <w:rPr>
                  <w:rStyle w:val="Hyperlink"/>
                  <w:kern w:val="22"/>
                  <w:sz w:val="20"/>
                </w:rPr>
                <w:t>arypage/environment-energy/integrating_environmentintodevelopment/monitoring-guidelines-of-capacity-development-in-gef-operations.html</w:t>
              </w:r>
            </w:hyperlink>
            <w:r w:rsidRPr="00A33406">
              <w:rPr>
                <w:kern w:val="22"/>
                <w:sz w:val="20"/>
                <w:u w:val="single"/>
              </w:rPr>
              <w:t xml:space="preserve"> </w:t>
            </w:r>
          </w:p>
        </w:tc>
        <w:tc>
          <w:tcPr>
            <w:tcW w:w="4187" w:type="dxa"/>
            <w:shd w:val="clear" w:color="auto" w:fill="auto"/>
            <w:vAlign w:val="center"/>
            <w:hideMark/>
          </w:tcPr>
          <w:p w:rsidR="009E42C7" w:rsidRPr="00A33406" w:rsidRDefault="009E42C7" w:rsidP="00A33406">
            <w:pPr>
              <w:pStyle w:val="Para1"/>
              <w:pBdr>
                <w:bottom w:val="nil"/>
              </w:pBdr>
              <w:spacing w:before="0" w:after="0"/>
              <w:jc w:val="left"/>
              <w:rPr>
                <w:kern w:val="22"/>
                <w:sz w:val="20"/>
              </w:rPr>
            </w:pPr>
            <w:r w:rsidRPr="00A33406">
              <w:rPr>
                <w:kern w:val="22"/>
                <w:sz w:val="20"/>
              </w:rPr>
              <w:t>This scorecard is used by UNDP to assess national institutional capacity, and can be adapted to any project (including ABS), to measure increases in capacity, through the use of appropriate indicators and their corresponding ratings. It is meant to be used at all stages of project implementation or, at a minimum, at the beginning of a project, at its midpoint and at the end.</w:t>
            </w:r>
          </w:p>
        </w:tc>
        <w:tc>
          <w:tcPr>
            <w:tcW w:w="715" w:type="dxa"/>
            <w:shd w:val="clear" w:color="auto" w:fill="auto"/>
            <w:noWrap/>
            <w:vAlign w:val="center"/>
            <w:hideMark/>
          </w:tcPr>
          <w:p w:rsidR="009E42C7" w:rsidRPr="00A33406" w:rsidRDefault="009E42C7" w:rsidP="00A33406">
            <w:pPr>
              <w:pStyle w:val="Para1"/>
              <w:pBdr>
                <w:bottom w:val="nil"/>
              </w:pBdr>
              <w:spacing w:before="0" w:after="0"/>
              <w:jc w:val="left"/>
              <w:rPr>
                <w:kern w:val="22"/>
                <w:sz w:val="20"/>
              </w:rPr>
            </w:pPr>
            <w:r w:rsidRPr="00A33406">
              <w:rPr>
                <w:kern w:val="22"/>
                <w:sz w:val="20"/>
              </w:rPr>
              <w:t>N/A</w:t>
            </w:r>
            <w:r w:rsidRPr="00A33406">
              <w:rPr>
                <w:rStyle w:val="FootnoteReference"/>
                <w:kern w:val="22"/>
                <w:sz w:val="20"/>
                <w:szCs w:val="20"/>
                <w:u w:val="none"/>
                <w:vertAlign w:val="superscript"/>
              </w:rPr>
              <w:footnoteReference w:id="3"/>
            </w:r>
          </w:p>
        </w:tc>
      </w:tr>
      <w:tr w:rsidR="00A33406" w:rsidRPr="00A33406" w:rsidTr="00A33406">
        <w:tc>
          <w:tcPr>
            <w:tcW w:w="563" w:type="dxa"/>
            <w:shd w:val="clear" w:color="auto" w:fill="auto"/>
            <w:vAlign w:val="center"/>
          </w:tcPr>
          <w:p w:rsidR="009E42C7" w:rsidRPr="00A33406" w:rsidRDefault="009E42C7" w:rsidP="00A33406">
            <w:pPr>
              <w:pStyle w:val="Para1"/>
              <w:pBdr>
                <w:bottom w:val="nil"/>
              </w:pBdr>
              <w:spacing w:before="0" w:after="0"/>
              <w:jc w:val="left"/>
              <w:rPr>
                <w:kern w:val="22"/>
                <w:sz w:val="20"/>
              </w:rPr>
            </w:pPr>
            <w:r w:rsidRPr="00A33406">
              <w:rPr>
                <w:kern w:val="22"/>
                <w:sz w:val="20"/>
              </w:rPr>
              <w:t>2</w:t>
            </w:r>
          </w:p>
        </w:tc>
        <w:tc>
          <w:tcPr>
            <w:tcW w:w="2914" w:type="dxa"/>
            <w:shd w:val="clear" w:color="auto" w:fill="auto"/>
            <w:vAlign w:val="center"/>
            <w:hideMark/>
          </w:tcPr>
          <w:p w:rsidR="009E42C7" w:rsidRPr="00A33406" w:rsidRDefault="009E42C7" w:rsidP="00A33406">
            <w:pPr>
              <w:pStyle w:val="Para1"/>
              <w:pBdr>
                <w:bottom w:val="nil"/>
              </w:pBdr>
              <w:spacing w:before="0" w:after="0"/>
              <w:jc w:val="left"/>
              <w:rPr>
                <w:kern w:val="22"/>
                <w:sz w:val="20"/>
              </w:rPr>
            </w:pPr>
            <w:bookmarkStart w:id="2" w:name="RANGE!B3"/>
            <w:r w:rsidRPr="00A33406">
              <w:rPr>
                <w:kern w:val="22"/>
                <w:sz w:val="20"/>
              </w:rPr>
              <w:t>Concept for Gap Analysis of National ABS Systems</w:t>
            </w:r>
            <w:bookmarkEnd w:id="2"/>
          </w:p>
        </w:tc>
        <w:tc>
          <w:tcPr>
            <w:tcW w:w="1338" w:type="dxa"/>
            <w:shd w:val="clear" w:color="auto" w:fill="auto"/>
            <w:vAlign w:val="center"/>
            <w:hideMark/>
          </w:tcPr>
          <w:p w:rsidR="009E42C7" w:rsidRPr="00A33406" w:rsidRDefault="009E42C7" w:rsidP="00A33406">
            <w:pPr>
              <w:pStyle w:val="Para1"/>
              <w:pBdr>
                <w:bottom w:val="nil"/>
              </w:pBdr>
              <w:spacing w:before="0" w:after="0"/>
              <w:jc w:val="left"/>
              <w:rPr>
                <w:kern w:val="22"/>
                <w:sz w:val="20"/>
              </w:rPr>
            </w:pPr>
            <w:r w:rsidRPr="00A33406">
              <w:rPr>
                <w:kern w:val="22"/>
                <w:sz w:val="20"/>
              </w:rPr>
              <w:t>ABS Capacity Development Initiative</w:t>
            </w:r>
          </w:p>
        </w:tc>
        <w:tc>
          <w:tcPr>
            <w:tcW w:w="893" w:type="dxa"/>
            <w:shd w:val="clear" w:color="auto" w:fill="auto"/>
            <w:vAlign w:val="center"/>
            <w:hideMark/>
          </w:tcPr>
          <w:p w:rsidR="009E42C7" w:rsidRPr="00A33406" w:rsidRDefault="009E42C7" w:rsidP="00A33406">
            <w:pPr>
              <w:pStyle w:val="Para1"/>
              <w:pBdr>
                <w:bottom w:val="nil"/>
              </w:pBdr>
              <w:spacing w:before="0" w:after="0"/>
              <w:jc w:val="left"/>
              <w:rPr>
                <w:kern w:val="22"/>
                <w:sz w:val="20"/>
              </w:rPr>
            </w:pPr>
            <w:r w:rsidRPr="00A33406">
              <w:rPr>
                <w:kern w:val="22"/>
                <w:sz w:val="20"/>
              </w:rPr>
              <w:t>2016</w:t>
            </w:r>
          </w:p>
        </w:tc>
        <w:tc>
          <w:tcPr>
            <w:tcW w:w="1071" w:type="dxa"/>
            <w:shd w:val="clear" w:color="auto" w:fill="auto"/>
            <w:vAlign w:val="center"/>
            <w:hideMark/>
          </w:tcPr>
          <w:p w:rsidR="009E42C7" w:rsidRPr="00A33406" w:rsidRDefault="009E42C7" w:rsidP="00A33406">
            <w:pPr>
              <w:pStyle w:val="Para1"/>
              <w:pBdr>
                <w:bottom w:val="nil"/>
              </w:pBdr>
              <w:spacing w:before="0" w:after="0"/>
              <w:jc w:val="left"/>
              <w:rPr>
                <w:kern w:val="22"/>
                <w:sz w:val="20"/>
              </w:rPr>
            </w:pPr>
            <w:r w:rsidRPr="00A33406">
              <w:rPr>
                <w:kern w:val="22"/>
                <w:sz w:val="20"/>
              </w:rPr>
              <w:t>En, Fr</w:t>
            </w:r>
          </w:p>
        </w:tc>
        <w:tc>
          <w:tcPr>
            <w:tcW w:w="2674" w:type="dxa"/>
            <w:shd w:val="clear" w:color="auto" w:fill="auto"/>
            <w:vAlign w:val="center"/>
            <w:hideMark/>
          </w:tcPr>
          <w:p w:rsidR="009E42C7" w:rsidRPr="00A33406" w:rsidRDefault="009E42C7" w:rsidP="00A33406">
            <w:pPr>
              <w:pStyle w:val="Para1"/>
              <w:pBdr>
                <w:bottom w:val="nil"/>
              </w:pBdr>
              <w:spacing w:before="0" w:after="0"/>
              <w:jc w:val="left"/>
              <w:rPr>
                <w:kern w:val="22"/>
                <w:sz w:val="20"/>
              </w:rPr>
            </w:pPr>
            <w:r w:rsidRPr="00A33406">
              <w:rPr>
                <w:kern w:val="22"/>
                <w:sz w:val="20"/>
              </w:rPr>
              <w:t>https://absch.cbd.int/database/VLR/ABSCH-VLR-SCBD-208724</w:t>
            </w:r>
          </w:p>
        </w:tc>
        <w:tc>
          <w:tcPr>
            <w:tcW w:w="4187" w:type="dxa"/>
            <w:shd w:val="clear" w:color="auto" w:fill="auto"/>
            <w:vAlign w:val="center"/>
            <w:hideMark/>
          </w:tcPr>
          <w:p w:rsidR="009E42C7" w:rsidRPr="00A33406" w:rsidRDefault="009E42C7" w:rsidP="00A33406">
            <w:pPr>
              <w:pStyle w:val="Para1"/>
              <w:pBdr>
                <w:bottom w:val="nil"/>
              </w:pBdr>
              <w:spacing w:before="0" w:after="0"/>
              <w:jc w:val="left"/>
              <w:rPr>
                <w:kern w:val="22"/>
                <w:sz w:val="20"/>
              </w:rPr>
            </w:pPr>
            <w:r w:rsidRPr="00A33406">
              <w:rPr>
                <w:kern w:val="22"/>
                <w:sz w:val="20"/>
              </w:rPr>
              <w:t>The ABS Initiative developed questionnaires to conduct a diagnostic of ABS implementation, which were tested in the Initiative’s 11 partner countries. The findings of the country diagnostics are then presented in a standardized reporting format and serve as basis for developing a national ABS road map.</w:t>
            </w:r>
          </w:p>
        </w:tc>
        <w:tc>
          <w:tcPr>
            <w:tcW w:w="715" w:type="dxa"/>
            <w:shd w:val="clear" w:color="auto" w:fill="auto"/>
            <w:vAlign w:val="center"/>
            <w:hideMark/>
          </w:tcPr>
          <w:p w:rsidR="009E42C7" w:rsidRPr="00A33406" w:rsidRDefault="009E42C7" w:rsidP="00A33406">
            <w:pPr>
              <w:pStyle w:val="Para1"/>
              <w:pBdr>
                <w:bottom w:val="nil"/>
              </w:pBdr>
              <w:spacing w:before="0" w:after="0"/>
              <w:jc w:val="left"/>
              <w:rPr>
                <w:kern w:val="22"/>
                <w:sz w:val="20"/>
              </w:rPr>
            </w:pPr>
            <w:r w:rsidRPr="00A33406">
              <w:rPr>
                <w:kern w:val="22"/>
                <w:sz w:val="20"/>
              </w:rPr>
              <w:t>N/A</w:t>
            </w:r>
          </w:p>
        </w:tc>
      </w:tr>
    </w:tbl>
    <w:p w:rsidR="009E42C7" w:rsidRPr="00A33406" w:rsidRDefault="009E42C7" w:rsidP="00A33406">
      <w:pPr>
        <w:pStyle w:val="Para1"/>
        <w:suppressLineNumbers/>
        <w:suppressAutoHyphens/>
        <w:rPr>
          <w:b/>
          <w:kern w:val="22"/>
        </w:rPr>
      </w:pPr>
    </w:p>
    <w:p w:rsidR="009E42C7" w:rsidRPr="00A33406" w:rsidRDefault="009E42C7" w:rsidP="00A33406">
      <w:pPr>
        <w:pStyle w:val="Para1"/>
        <w:keepNext/>
        <w:suppressLineNumbers/>
        <w:suppressAutoHyphens/>
        <w:rPr>
          <w:b/>
          <w:kern w:val="22"/>
        </w:rPr>
      </w:pPr>
      <w:r w:rsidRPr="00A33406">
        <w:rPr>
          <w:b/>
          <w:kern w:val="22"/>
        </w:rPr>
        <w:lastRenderedPageBreak/>
        <w:t>Table 2.</w:t>
      </w:r>
      <w:r w:rsidRPr="00A33406">
        <w:rPr>
          <w:b/>
          <w:kern w:val="22"/>
        </w:rPr>
        <w:tab/>
        <w:t>Tools and resources primarily focused on monitoring and evaluation of capacity-building initiatives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865"/>
        <w:gridCol w:w="1318"/>
        <w:gridCol w:w="881"/>
        <w:gridCol w:w="1056"/>
        <w:gridCol w:w="2629"/>
        <w:gridCol w:w="4116"/>
        <w:gridCol w:w="706"/>
      </w:tblGrid>
      <w:tr w:rsidR="00A33406" w:rsidRPr="00A33406" w:rsidTr="00A33406">
        <w:tc>
          <w:tcPr>
            <w:tcW w:w="567" w:type="dxa"/>
            <w:shd w:val="clear" w:color="auto" w:fill="D9D9D9"/>
            <w:vAlign w:val="center"/>
          </w:tcPr>
          <w:p w:rsidR="009E42C7" w:rsidRPr="00A33406" w:rsidRDefault="009E42C7" w:rsidP="00A33406">
            <w:pPr>
              <w:pStyle w:val="Para1"/>
              <w:keepNext/>
              <w:pBdr>
                <w:bottom w:val="nil"/>
              </w:pBdr>
              <w:spacing w:before="0" w:after="0"/>
              <w:jc w:val="left"/>
              <w:rPr>
                <w:b/>
                <w:bCs/>
                <w:kern w:val="22"/>
                <w:sz w:val="20"/>
              </w:rPr>
            </w:pPr>
            <w:r w:rsidRPr="00A33406">
              <w:rPr>
                <w:b/>
                <w:bCs/>
                <w:kern w:val="22"/>
                <w:sz w:val="20"/>
              </w:rPr>
              <w:t>No.</w:t>
            </w:r>
          </w:p>
        </w:tc>
        <w:tc>
          <w:tcPr>
            <w:tcW w:w="2943" w:type="dxa"/>
            <w:shd w:val="clear" w:color="auto" w:fill="D9D9D9"/>
            <w:vAlign w:val="center"/>
            <w:hideMark/>
          </w:tcPr>
          <w:p w:rsidR="009E42C7" w:rsidRPr="00A33406" w:rsidRDefault="009E42C7" w:rsidP="00A33406">
            <w:pPr>
              <w:pStyle w:val="Para1"/>
              <w:keepNext/>
              <w:pBdr>
                <w:bottom w:val="nil"/>
              </w:pBdr>
              <w:spacing w:before="0" w:after="0"/>
              <w:jc w:val="left"/>
              <w:rPr>
                <w:b/>
                <w:bCs/>
                <w:kern w:val="22"/>
                <w:sz w:val="20"/>
              </w:rPr>
            </w:pPr>
            <w:r w:rsidRPr="00A33406">
              <w:rPr>
                <w:b/>
                <w:bCs/>
                <w:kern w:val="22"/>
                <w:sz w:val="20"/>
              </w:rPr>
              <w:t>Title of the tool/resource</w:t>
            </w:r>
          </w:p>
        </w:tc>
        <w:tc>
          <w:tcPr>
            <w:tcW w:w="1350" w:type="dxa"/>
            <w:shd w:val="clear" w:color="auto" w:fill="D9D9D9"/>
            <w:vAlign w:val="center"/>
            <w:hideMark/>
          </w:tcPr>
          <w:p w:rsidR="009E42C7" w:rsidRPr="00A33406" w:rsidRDefault="009E42C7" w:rsidP="00A33406">
            <w:pPr>
              <w:pStyle w:val="Para1"/>
              <w:keepNext/>
              <w:pBdr>
                <w:bottom w:val="nil"/>
              </w:pBdr>
              <w:spacing w:before="0" w:after="0"/>
              <w:jc w:val="left"/>
              <w:rPr>
                <w:b/>
                <w:bCs/>
                <w:kern w:val="22"/>
                <w:sz w:val="20"/>
              </w:rPr>
            </w:pPr>
            <w:r w:rsidRPr="00A33406">
              <w:rPr>
                <w:b/>
                <w:bCs/>
                <w:kern w:val="22"/>
                <w:sz w:val="20"/>
              </w:rPr>
              <w:t>Author/ Publisher</w:t>
            </w:r>
          </w:p>
        </w:tc>
        <w:tc>
          <w:tcPr>
            <w:tcW w:w="900" w:type="dxa"/>
            <w:shd w:val="clear" w:color="auto" w:fill="D9D9D9"/>
            <w:vAlign w:val="center"/>
            <w:hideMark/>
          </w:tcPr>
          <w:p w:rsidR="009E42C7" w:rsidRPr="00A33406" w:rsidRDefault="009E42C7" w:rsidP="00A33406">
            <w:pPr>
              <w:pStyle w:val="Para1"/>
              <w:keepNext/>
              <w:pBdr>
                <w:bottom w:val="nil"/>
              </w:pBdr>
              <w:spacing w:before="0" w:after="0"/>
              <w:jc w:val="left"/>
              <w:rPr>
                <w:b/>
                <w:bCs/>
                <w:kern w:val="22"/>
                <w:sz w:val="20"/>
              </w:rPr>
            </w:pPr>
            <w:r w:rsidRPr="00A33406">
              <w:rPr>
                <w:b/>
                <w:bCs/>
                <w:kern w:val="22"/>
                <w:sz w:val="20"/>
              </w:rPr>
              <w:t>Year</w:t>
            </w:r>
          </w:p>
        </w:tc>
        <w:tc>
          <w:tcPr>
            <w:tcW w:w="1080" w:type="dxa"/>
            <w:shd w:val="clear" w:color="auto" w:fill="D9D9D9"/>
            <w:vAlign w:val="center"/>
            <w:hideMark/>
          </w:tcPr>
          <w:p w:rsidR="009E42C7" w:rsidRPr="00A33406" w:rsidRDefault="009E42C7" w:rsidP="00A33406">
            <w:pPr>
              <w:pStyle w:val="Para1"/>
              <w:keepNext/>
              <w:pBdr>
                <w:bottom w:val="nil"/>
              </w:pBdr>
              <w:spacing w:before="0" w:after="0"/>
              <w:jc w:val="left"/>
              <w:rPr>
                <w:b/>
                <w:bCs/>
                <w:kern w:val="22"/>
                <w:sz w:val="20"/>
              </w:rPr>
            </w:pPr>
            <w:r w:rsidRPr="00A33406">
              <w:rPr>
                <w:b/>
                <w:bCs/>
                <w:kern w:val="22"/>
                <w:sz w:val="20"/>
              </w:rPr>
              <w:t>Language</w:t>
            </w:r>
          </w:p>
        </w:tc>
        <w:tc>
          <w:tcPr>
            <w:tcW w:w="2700" w:type="dxa"/>
            <w:shd w:val="clear" w:color="auto" w:fill="D9D9D9"/>
            <w:vAlign w:val="center"/>
            <w:hideMark/>
          </w:tcPr>
          <w:p w:rsidR="009E42C7" w:rsidRPr="00A33406" w:rsidRDefault="009E42C7" w:rsidP="00A33406">
            <w:pPr>
              <w:pStyle w:val="Para1"/>
              <w:keepNext/>
              <w:pBdr>
                <w:bottom w:val="nil"/>
              </w:pBdr>
              <w:spacing w:before="0" w:after="0"/>
              <w:jc w:val="left"/>
              <w:rPr>
                <w:b/>
                <w:bCs/>
                <w:kern w:val="22"/>
                <w:sz w:val="20"/>
              </w:rPr>
            </w:pPr>
            <w:r w:rsidRPr="00A33406">
              <w:rPr>
                <w:b/>
                <w:bCs/>
                <w:kern w:val="22"/>
                <w:sz w:val="20"/>
              </w:rPr>
              <w:t>Web link/source</w:t>
            </w:r>
          </w:p>
        </w:tc>
        <w:tc>
          <w:tcPr>
            <w:tcW w:w="4230" w:type="dxa"/>
            <w:shd w:val="clear" w:color="auto" w:fill="D9D9D9"/>
            <w:vAlign w:val="center"/>
            <w:hideMark/>
          </w:tcPr>
          <w:p w:rsidR="009E42C7" w:rsidRPr="00A33406" w:rsidRDefault="009E42C7" w:rsidP="00A33406">
            <w:pPr>
              <w:pStyle w:val="Para1"/>
              <w:keepNext/>
              <w:pBdr>
                <w:bottom w:val="nil"/>
              </w:pBdr>
              <w:spacing w:before="0" w:after="0"/>
              <w:jc w:val="left"/>
              <w:rPr>
                <w:b/>
                <w:bCs/>
                <w:kern w:val="22"/>
                <w:sz w:val="20"/>
              </w:rPr>
            </w:pPr>
            <w:r w:rsidRPr="00A33406">
              <w:rPr>
                <w:b/>
                <w:bCs/>
                <w:kern w:val="22"/>
                <w:sz w:val="20"/>
              </w:rPr>
              <w:t>Description</w:t>
            </w:r>
          </w:p>
        </w:tc>
        <w:tc>
          <w:tcPr>
            <w:tcW w:w="720" w:type="dxa"/>
            <w:shd w:val="clear" w:color="auto" w:fill="D9D9D9"/>
            <w:noWrap/>
            <w:vAlign w:val="center"/>
            <w:hideMark/>
          </w:tcPr>
          <w:p w:rsidR="009E42C7" w:rsidRPr="00A33406" w:rsidRDefault="009E42C7" w:rsidP="00A33406">
            <w:pPr>
              <w:pStyle w:val="Para1"/>
              <w:keepNext/>
              <w:pBdr>
                <w:bottom w:val="nil"/>
              </w:pBdr>
              <w:spacing w:before="0" w:after="0"/>
              <w:jc w:val="left"/>
              <w:rPr>
                <w:b/>
                <w:bCs/>
                <w:kern w:val="22"/>
                <w:sz w:val="20"/>
              </w:rPr>
            </w:pPr>
            <w:r w:rsidRPr="00A33406">
              <w:rPr>
                <w:b/>
                <w:bCs/>
                <w:kern w:val="22"/>
                <w:sz w:val="20"/>
              </w:rPr>
              <w:t xml:space="preserve">Key Areas </w:t>
            </w:r>
          </w:p>
        </w:tc>
      </w:tr>
      <w:tr w:rsidR="009E42C7" w:rsidRPr="00A33406" w:rsidTr="00A33406">
        <w:tc>
          <w:tcPr>
            <w:tcW w:w="567" w:type="dxa"/>
            <w:shd w:val="clear" w:color="auto" w:fill="auto"/>
            <w:vAlign w:val="center"/>
          </w:tcPr>
          <w:p w:rsidR="009E42C7" w:rsidRPr="00A33406" w:rsidRDefault="009E42C7" w:rsidP="00A33406">
            <w:pPr>
              <w:pStyle w:val="Para1"/>
              <w:pBdr>
                <w:bottom w:val="nil"/>
              </w:pBdr>
              <w:spacing w:before="0" w:after="0"/>
              <w:jc w:val="left"/>
              <w:rPr>
                <w:kern w:val="22"/>
                <w:sz w:val="20"/>
              </w:rPr>
            </w:pPr>
            <w:r w:rsidRPr="00A33406">
              <w:rPr>
                <w:kern w:val="22"/>
                <w:sz w:val="20"/>
              </w:rPr>
              <w:t>3</w:t>
            </w:r>
          </w:p>
        </w:tc>
        <w:tc>
          <w:tcPr>
            <w:tcW w:w="2943" w:type="dxa"/>
            <w:shd w:val="clear" w:color="auto" w:fill="auto"/>
            <w:vAlign w:val="center"/>
            <w:hideMark/>
          </w:tcPr>
          <w:p w:rsidR="009E42C7" w:rsidRPr="00A33406" w:rsidRDefault="009E42C7" w:rsidP="00A33406">
            <w:pPr>
              <w:pStyle w:val="Para1"/>
              <w:pBdr>
                <w:bottom w:val="nil"/>
              </w:pBdr>
              <w:spacing w:before="0" w:after="0"/>
              <w:jc w:val="left"/>
              <w:rPr>
                <w:kern w:val="22"/>
                <w:sz w:val="20"/>
                <w:szCs w:val="20"/>
              </w:rPr>
            </w:pPr>
            <w:r w:rsidRPr="00A33406">
              <w:rPr>
                <w:kern w:val="22"/>
                <w:sz w:val="20"/>
                <w:szCs w:val="20"/>
              </w:rPr>
              <w:t>GEF-6 Tracking Tool for Biodiversity Programmes 3-10 (Programme 8: Implementing the Nagoya Protocol on ABS)</w:t>
            </w:r>
          </w:p>
        </w:tc>
        <w:tc>
          <w:tcPr>
            <w:tcW w:w="1350" w:type="dxa"/>
            <w:shd w:val="clear" w:color="auto" w:fill="auto"/>
            <w:vAlign w:val="center"/>
            <w:hideMark/>
          </w:tcPr>
          <w:p w:rsidR="009E42C7" w:rsidRPr="00A33406" w:rsidRDefault="009E42C7" w:rsidP="00A33406">
            <w:pPr>
              <w:pStyle w:val="Para1"/>
              <w:pBdr>
                <w:bottom w:val="nil"/>
              </w:pBdr>
              <w:spacing w:before="0" w:after="0"/>
              <w:jc w:val="left"/>
              <w:rPr>
                <w:kern w:val="22"/>
                <w:sz w:val="20"/>
                <w:szCs w:val="20"/>
              </w:rPr>
            </w:pPr>
            <w:r w:rsidRPr="00A33406">
              <w:rPr>
                <w:kern w:val="22"/>
                <w:sz w:val="20"/>
                <w:szCs w:val="20"/>
              </w:rPr>
              <w:t>Global Environment Facility (GEF)</w:t>
            </w:r>
          </w:p>
        </w:tc>
        <w:tc>
          <w:tcPr>
            <w:tcW w:w="900" w:type="dxa"/>
            <w:shd w:val="clear" w:color="auto" w:fill="auto"/>
            <w:vAlign w:val="center"/>
            <w:hideMark/>
          </w:tcPr>
          <w:p w:rsidR="009E42C7" w:rsidRPr="00A33406" w:rsidRDefault="009E42C7" w:rsidP="00A33406">
            <w:pPr>
              <w:pStyle w:val="Para1"/>
              <w:pBdr>
                <w:bottom w:val="nil"/>
              </w:pBdr>
              <w:spacing w:before="0" w:after="0"/>
              <w:jc w:val="left"/>
              <w:rPr>
                <w:kern w:val="22"/>
                <w:sz w:val="20"/>
                <w:szCs w:val="20"/>
              </w:rPr>
            </w:pPr>
            <w:r w:rsidRPr="00A33406">
              <w:rPr>
                <w:kern w:val="22"/>
                <w:sz w:val="20"/>
                <w:szCs w:val="20"/>
              </w:rPr>
              <w:t>2015</w:t>
            </w:r>
          </w:p>
        </w:tc>
        <w:tc>
          <w:tcPr>
            <w:tcW w:w="1080" w:type="dxa"/>
            <w:shd w:val="clear" w:color="auto" w:fill="auto"/>
            <w:vAlign w:val="center"/>
            <w:hideMark/>
          </w:tcPr>
          <w:p w:rsidR="009E42C7" w:rsidRPr="00A33406" w:rsidRDefault="009E42C7" w:rsidP="00A33406">
            <w:pPr>
              <w:pStyle w:val="Para1"/>
              <w:pBdr>
                <w:bottom w:val="nil"/>
              </w:pBdr>
              <w:spacing w:before="0" w:after="0"/>
              <w:jc w:val="left"/>
              <w:rPr>
                <w:kern w:val="22"/>
                <w:sz w:val="20"/>
                <w:szCs w:val="20"/>
              </w:rPr>
            </w:pPr>
            <w:r w:rsidRPr="00A33406">
              <w:rPr>
                <w:kern w:val="22"/>
                <w:sz w:val="20"/>
                <w:szCs w:val="20"/>
              </w:rPr>
              <w:t>En</w:t>
            </w:r>
          </w:p>
        </w:tc>
        <w:tc>
          <w:tcPr>
            <w:tcW w:w="2700" w:type="dxa"/>
            <w:shd w:val="clear" w:color="auto" w:fill="auto"/>
            <w:vAlign w:val="center"/>
            <w:hideMark/>
          </w:tcPr>
          <w:p w:rsidR="009E42C7" w:rsidRPr="00A33406" w:rsidRDefault="009E42C7" w:rsidP="00254EDF">
            <w:pPr>
              <w:jc w:val="left"/>
              <w:rPr>
                <w:snapToGrid w:val="0"/>
                <w:color w:val="0000FF"/>
                <w:kern w:val="22"/>
                <w:sz w:val="20"/>
                <w:szCs w:val="20"/>
                <w:u w:val="single"/>
              </w:rPr>
            </w:pPr>
            <w:r w:rsidRPr="00A33406">
              <w:rPr>
                <w:snapToGrid w:val="0"/>
                <w:color w:val="0000FF"/>
                <w:kern w:val="22"/>
                <w:sz w:val="20"/>
                <w:szCs w:val="20"/>
                <w:u w:val="single"/>
              </w:rPr>
              <w:t>http://www.thegef.org/documents/gef-biodiversity-tracking-tool</w:t>
            </w:r>
          </w:p>
        </w:tc>
        <w:tc>
          <w:tcPr>
            <w:tcW w:w="4230" w:type="dxa"/>
            <w:shd w:val="clear" w:color="auto" w:fill="auto"/>
            <w:vAlign w:val="center"/>
            <w:hideMark/>
          </w:tcPr>
          <w:p w:rsidR="009E42C7" w:rsidRPr="00A33406" w:rsidRDefault="009E42C7" w:rsidP="00254EDF">
            <w:pPr>
              <w:jc w:val="left"/>
              <w:rPr>
                <w:snapToGrid w:val="0"/>
                <w:kern w:val="22"/>
                <w:sz w:val="20"/>
                <w:szCs w:val="20"/>
              </w:rPr>
            </w:pPr>
            <w:r w:rsidRPr="00A33406">
              <w:rPr>
                <w:snapToGrid w:val="0"/>
                <w:kern w:val="22"/>
                <w:sz w:val="20"/>
                <w:szCs w:val="20"/>
              </w:rPr>
              <w:t>The tracking tool is used to measure progress in achieving the impacts and outcomes established under the biodiversity focal area. The tool for Programme 8 tracks progress towards developing the capacity of countries to ratify the Nagoya Protocol, to implement and administer the measures for its implementation, to develop endogenous research capabilities to add value to their own genetic resources and to address the capacity needs and priorities of indigenous and local communities and other relevant stakeholders.</w:t>
            </w:r>
          </w:p>
        </w:tc>
        <w:tc>
          <w:tcPr>
            <w:tcW w:w="720" w:type="dxa"/>
            <w:shd w:val="clear" w:color="auto" w:fill="auto"/>
            <w:noWrap/>
            <w:vAlign w:val="center"/>
            <w:hideMark/>
          </w:tcPr>
          <w:p w:rsidR="009E42C7" w:rsidRPr="00A33406" w:rsidRDefault="009E42C7" w:rsidP="00A33406">
            <w:pPr>
              <w:pStyle w:val="Para1"/>
              <w:pBdr>
                <w:bottom w:val="nil"/>
              </w:pBdr>
              <w:spacing w:before="0" w:after="0"/>
              <w:jc w:val="left"/>
              <w:rPr>
                <w:kern w:val="22"/>
                <w:sz w:val="20"/>
                <w:szCs w:val="20"/>
              </w:rPr>
            </w:pPr>
            <w:r w:rsidRPr="00A33406">
              <w:rPr>
                <w:kern w:val="22"/>
                <w:sz w:val="20"/>
                <w:szCs w:val="20"/>
              </w:rPr>
              <w:t>NA</w:t>
            </w:r>
          </w:p>
        </w:tc>
      </w:tr>
    </w:tbl>
    <w:p w:rsidR="009E42C7" w:rsidRPr="00A33406" w:rsidRDefault="009E42C7" w:rsidP="00A33406">
      <w:pPr>
        <w:pStyle w:val="Para1"/>
        <w:suppressLineNumbers/>
        <w:suppressAutoHyphens/>
        <w:rPr>
          <w:b/>
          <w:kern w:val="22"/>
        </w:rPr>
      </w:pPr>
    </w:p>
    <w:p w:rsidR="009E42C7" w:rsidRPr="00A33406" w:rsidRDefault="009E42C7" w:rsidP="00A33406">
      <w:pPr>
        <w:pStyle w:val="Para1"/>
        <w:suppressLineNumbers/>
        <w:suppressAutoHyphens/>
        <w:rPr>
          <w:b/>
          <w:kern w:val="22"/>
        </w:rPr>
      </w:pPr>
      <w:r w:rsidRPr="00A33406">
        <w:rPr>
          <w:b/>
          <w:kern w:val="22"/>
        </w:rPr>
        <w:t>Table 3.</w:t>
      </w:r>
      <w:r w:rsidRPr="00A33406">
        <w:rPr>
          <w:b/>
          <w:kern w:val="22"/>
        </w:rPr>
        <w:tab/>
        <w:t>Tools and resources primarily focused on facilitating training and learning on access and benefit-sharing</w:t>
      </w:r>
    </w:p>
    <w:tbl>
      <w:tblPr>
        <w:tblW w:w="5000"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892"/>
        <w:gridCol w:w="1318"/>
        <w:gridCol w:w="881"/>
        <w:gridCol w:w="1060"/>
        <w:gridCol w:w="2625"/>
        <w:gridCol w:w="4115"/>
        <w:gridCol w:w="706"/>
      </w:tblGrid>
      <w:tr w:rsidR="009E42C7" w:rsidRPr="00A33406" w:rsidTr="00A33406">
        <w:trPr>
          <w:tblHeader/>
        </w:trPr>
        <w:tc>
          <w:tcPr>
            <w:tcW w:w="542" w:type="dxa"/>
            <w:shd w:val="clear" w:color="auto" w:fill="D9D9D9"/>
            <w:vAlign w:val="center"/>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No.</w:t>
            </w:r>
          </w:p>
        </w:tc>
        <w:tc>
          <w:tcPr>
            <w:tcW w:w="2971"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Title of the tool/resource</w:t>
            </w:r>
          </w:p>
        </w:tc>
        <w:tc>
          <w:tcPr>
            <w:tcW w:w="1350"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Author/ Publisher</w:t>
            </w:r>
          </w:p>
        </w:tc>
        <w:tc>
          <w:tcPr>
            <w:tcW w:w="900"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Year</w:t>
            </w:r>
          </w:p>
        </w:tc>
        <w:tc>
          <w:tcPr>
            <w:tcW w:w="1084"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Language</w:t>
            </w:r>
          </w:p>
        </w:tc>
        <w:tc>
          <w:tcPr>
            <w:tcW w:w="2696"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Web link/source</w:t>
            </w:r>
          </w:p>
        </w:tc>
        <w:tc>
          <w:tcPr>
            <w:tcW w:w="4230"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Description</w:t>
            </w:r>
          </w:p>
        </w:tc>
        <w:tc>
          <w:tcPr>
            <w:tcW w:w="720" w:type="dxa"/>
            <w:shd w:val="clear" w:color="auto" w:fill="D9D9D9"/>
            <w:noWrap/>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 xml:space="preserve">Key Areas </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7"/>
        </w:trPr>
        <w:tc>
          <w:tcPr>
            <w:tcW w:w="542" w:type="dxa"/>
            <w:tcBorders>
              <w:top w:val="single" w:sz="4" w:space="0" w:color="auto"/>
              <w:left w:val="single" w:sz="4" w:space="0" w:color="auto"/>
              <w:bottom w:val="single" w:sz="4" w:space="0" w:color="auto"/>
              <w:right w:val="single" w:sz="4" w:space="0" w:color="auto"/>
            </w:tcBorders>
            <w:vAlign w:val="center"/>
          </w:tcPr>
          <w:p w:rsidR="009E42C7" w:rsidRPr="00A33406" w:rsidRDefault="009E42C7" w:rsidP="00254EDF">
            <w:pPr>
              <w:ind w:right="-108"/>
              <w:jc w:val="left"/>
              <w:rPr>
                <w:rFonts w:ascii="Times" w:hAnsi="Times" w:cs="Times"/>
                <w:kern w:val="22"/>
                <w:sz w:val="20"/>
                <w:szCs w:val="20"/>
              </w:rPr>
            </w:pPr>
            <w:r w:rsidRPr="00A33406">
              <w:rPr>
                <w:rFonts w:ascii="Times" w:hAnsi="Times" w:cs="Times"/>
                <w:kern w:val="22"/>
                <w:sz w:val="20"/>
                <w:szCs w:val="20"/>
              </w:rPr>
              <w:t>4</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ABS Clearing House Step-by-Step Guide Series (16):</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Creating and Managing your CBD Account</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Finding Information</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User Management in the ABS Clearing-House</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Saving National Contacts</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Publishing Competent National Authorities (CAN)</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Publishing legislative, administrative and policy measures on access and benefit sharing (MSR)</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Updating legislative, administrative and policy measures on access and benefit sharing (MSR)</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lastRenderedPageBreak/>
              <w:t>Publishing a Checkpoint (CP)</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Publishing Information for the Checkpoint Communique (CPC)</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Publishing Permit or its equivalent constituting an internationally recognized certificate of compliance (IRCC)</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Publishing National Website or Database (NDB)</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Publishing Capacity-Building Resources</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Publishing Virtual Library Records</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Publishing Model Contractual Clauses, Codes of Conduct, Guidelines, Best practices and Standards</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Publishing Community Protocols and Procedures and Customary Laws (CPP)</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Publishing Capacity-Building Initiatives (CBI)</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lastRenderedPageBreak/>
              <w:t>SCBD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2016 (some guides forthcoming)</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En</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color w:val="0000FF"/>
                <w:kern w:val="22"/>
                <w:sz w:val="20"/>
                <w:szCs w:val="20"/>
                <w:u w:val="single"/>
              </w:rPr>
            </w:pPr>
            <w:hyperlink r:id="rId19" w:history="1">
              <w:r w:rsidRPr="00A33406">
                <w:rPr>
                  <w:rFonts w:ascii="Times" w:hAnsi="Times" w:cs="Times"/>
                  <w:color w:val="0000FF"/>
                  <w:kern w:val="22"/>
                  <w:sz w:val="20"/>
                  <w:szCs w:val="20"/>
                  <w:u w:val="single"/>
                </w:rPr>
                <w:t>https://absch.cbd.int/guides</w:t>
              </w:r>
            </w:hyperlink>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rPr>
                <w:rFonts w:ascii="Times" w:hAnsi="Times" w:cs="Times"/>
                <w:kern w:val="22"/>
                <w:sz w:val="20"/>
                <w:szCs w:val="20"/>
              </w:rPr>
            </w:pPr>
            <w:r w:rsidRPr="00A33406">
              <w:rPr>
                <w:rFonts w:ascii="Times" w:hAnsi="Times" w:cs="Times"/>
                <w:kern w:val="22"/>
                <w:sz w:val="20"/>
                <w:szCs w:val="20"/>
              </w:rPr>
              <w:t>This step by step guide series is being developed to assist Parties, Non-Parties, partners, and other stakeholders to submit relevant information to the ABS Clearing-House.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1,4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5"/>
        </w:trPr>
        <w:tc>
          <w:tcPr>
            <w:tcW w:w="542" w:type="dxa"/>
            <w:tcBorders>
              <w:top w:val="nil"/>
              <w:left w:val="single" w:sz="4" w:space="0" w:color="auto"/>
              <w:bottom w:val="single" w:sz="4" w:space="0" w:color="auto"/>
              <w:right w:val="single" w:sz="4" w:space="0" w:color="auto"/>
            </w:tcBorders>
            <w:vAlign w:val="center"/>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lastRenderedPageBreak/>
              <w:t>5</w:t>
            </w:r>
          </w:p>
        </w:tc>
        <w:tc>
          <w:tcPr>
            <w:tcW w:w="2971" w:type="dxa"/>
            <w:tcBorders>
              <w:top w:val="nil"/>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BGCI Learning Modules on Access and Benefit-Sharing (6):</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Introduction to the Convention on Biological Diversity</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The Development of an International Regime on Access to Genetic Resources and Benefit-Sharing</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Key Articles of the Nagoya Protocol on Access to Genetic Resources and Benefit-Sharing</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Practical Implementation for Botanic Gardens</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 xml:space="preserve">Developing a Checklist/Toolkit for your Garden </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 xml:space="preserve">Developing Contracts and Agreements </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Botanic Gardens Conservation International (BGCI)/ Royal Botanic Gardens, Kew</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2015</w:t>
            </w:r>
          </w:p>
        </w:tc>
        <w:tc>
          <w:tcPr>
            <w:tcW w:w="1084"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En, Fr, Es, Ch</w:t>
            </w:r>
          </w:p>
        </w:tc>
        <w:tc>
          <w:tcPr>
            <w:tcW w:w="2696"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color w:val="0000FF"/>
                <w:kern w:val="22"/>
                <w:sz w:val="20"/>
                <w:szCs w:val="20"/>
                <w:u w:val="single"/>
              </w:rPr>
            </w:pPr>
            <w:hyperlink r:id="rId20" w:history="1">
              <w:r w:rsidRPr="00A33406">
                <w:rPr>
                  <w:rFonts w:ascii="Times" w:hAnsi="Times" w:cs="Times"/>
                  <w:color w:val="0000FF"/>
                  <w:kern w:val="22"/>
                  <w:sz w:val="20"/>
                  <w:szCs w:val="20"/>
                  <w:u w:val="single"/>
                </w:rPr>
                <w:t xml:space="preserve">https://www.bgci.org/resources/abs_learning/  </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 xml:space="preserve">This suite of learning modules on ABS and the Nagoya Protocol has been created for those working in botanic gardens. They include modules, quick quizzes and PowerPoint presentations (for those interested in utilizing this resource for training purposes). </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7"/>
        </w:trPr>
        <w:tc>
          <w:tcPr>
            <w:tcW w:w="542" w:type="dxa"/>
            <w:tcBorders>
              <w:top w:val="nil"/>
              <w:left w:val="single" w:sz="4" w:space="0" w:color="auto"/>
              <w:bottom w:val="single" w:sz="4" w:space="0" w:color="auto"/>
              <w:right w:val="single" w:sz="4" w:space="0" w:color="auto"/>
            </w:tcBorders>
            <w:shd w:val="clear" w:color="auto" w:fill="auto"/>
            <w:vAlign w:val="center"/>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6</w:t>
            </w:r>
          </w:p>
        </w:tc>
        <w:tc>
          <w:tcPr>
            <w:tcW w:w="2971" w:type="dxa"/>
            <w:tcBorders>
              <w:top w:val="nil"/>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CBD IPLC Training materials (3):</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Strategic Plan for Biodiversity 2011-2020</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Customary Sustainable Use of Biological Diversity</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Access and Benefit Sharing for Traditional Knowledge</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SCBD and Forest Peoples Programme</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Forth-coming</w:t>
            </w:r>
          </w:p>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2017</w:t>
            </w:r>
          </w:p>
        </w:tc>
        <w:tc>
          <w:tcPr>
            <w:tcW w:w="1084"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En,</w:t>
            </w:r>
          </w:p>
        </w:tc>
        <w:tc>
          <w:tcPr>
            <w:tcW w:w="2696"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color w:val="0000FF"/>
                <w:kern w:val="22"/>
                <w:sz w:val="20"/>
                <w:szCs w:val="20"/>
                <w:u w:val="single"/>
              </w:rPr>
            </w:pPr>
            <w:hyperlink r:id="rId21" w:history="1">
              <w:r w:rsidRPr="00A33406">
                <w:rPr>
                  <w:rFonts w:ascii="Times" w:hAnsi="Times" w:cs="Times"/>
                  <w:color w:val="0000FF"/>
                  <w:kern w:val="22"/>
                  <w:sz w:val="20"/>
                  <w:szCs w:val="20"/>
                  <w:u w:val="single"/>
                </w:rPr>
                <w:t>https://www.cbd.int/tk/cb/trainingprogramme.shtml</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The training materials provide tools and guidelines to train trainers from indigenous peoples and local communities (IPLCs) to train others on the following topics: (a) the Strategic Plan for Biodiversity 2011-2020 and its Aichi Targets; (b) Customary Sustainable Use of Biological Diversity and (c) IPLCs and the Nagoya Protocol, including the potential roles of Community Protocols for traditional knowledge under the Convention and the Nagoya Protocol.</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3"/>
        </w:trPr>
        <w:tc>
          <w:tcPr>
            <w:tcW w:w="542" w:type="dxa"/>
            <w:tcBorders>
              <w:top w:val="nil"/>
              <w:left w:val="single" w:sz="4" w:space="0" w:color="auto"/>
              <w:bottom w:val="single" w:sz="4" w:space="0" w:color="auto"/>
              <w:right w:val="single" w:sz="4" w:space="0" w:color="auto"/>
            </w:tcBorders>
            <w:vAlign w:val="center"/>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lastRenderedPageBreak/>
              <w:t>7</w:t>
            </w:r>
          </w:p>
        </w:tc>
        <w:tc>
          <w:tcPr>
            <w:tcW w:w="2971" w:type="dxa"/>
            <w:tcBorders>
              <w:top w:val="nil"/>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 xml:space="preserve">E-learning Modules: Establishing Measures to Implement the Nagoya Protocol (8): </w:t>
            </w:r>
          </w:p>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 Policy-Setting</w:t>
            </w:r>
            <w:r w:rsidRPr="00A33406">
              <w:rPr>
                <w:rFonts w:ascii="Times" w:hAnsi="Times" w:cs="Times"/>
                <w:kern w:val="22"/>
                <w:sz w:val="20"/>
                <w:szCs w:val="20"/>
              </w:rPr>
              <w:br/>
              <w:t>- Institutional Arrangements</w:t>
            </w:r>
            <w:r w:rsidRPr="00A33406">
              <w:rPr>
                <w:rFonts w:ascii="Times" w:hAnsi="Times" w:cs="Times"/>
                <w:kern w:val="22"/>
                <w:sz w:val="20"/>
                <w:szCs w:val="20"/>
              </w:rPr>
              <w:br/>
              <w:t>- Access to Genetic Resources</w:t>
            </w:r>
            <w:r w:rsidRPr="00A33406">
              <w:rPr>
                <w:rFonts w:ascii="Times" w:hAnsi="Times" w:cs="Times"/>
                <w:kern w:val="22"/>
                <w:sz w:val="20"/>
                <w:szCs w:val="20"/>
              </w:rPr>
              <w:br/>
              <w:t>- Benefit Sharing</w:t>
            </w:r>
            <w:r w:rsidRPr="00A33406">
              <w:rPr>
                <w:rFonts w:ascii="Times" w:hAnsi="Times" w:cs="Times"/>
                <w:kern w:val="22"/>
                <w:sz w:val="20"/>
                <w:szCs w:val="20"/>
              </w:rPr>
              <w:br/>
              <w:t>- Compliance</w:t>
            </w:r>
            <w:r w:rsidRPr="00A33406">
              <w:rPr>
                <w:rFonts w:ascii="Times" w:hAnsi="Times" w:cs="Times"/>
                <w:kern w:val="22"/>
                <w:sz w:val="20"/>
                <w:szCs w:val="20"/>
              </w:rPr>
              <w:br/>
              <w:t>- Issues Related to ILCs</w:t>
            </w:r>
            <w:r w:rsidRPr="00A33406">
              <w:rPr>
                <w:rFonts w:ascii="Times" w:hAnsi="Times" w:cs="Times"/>
                <w:kern w:val="22"/>
                <w:sz w:val="20"/>
                <w:szCs w:val="20"/>
              </w:rPr>
              <w:br/>
              <w:t>- Legal Reform</w:t>
            </w:r>
            <w:r w:rsidRPr="00A33406">
              <w:rPr>
                <w:rFonts w:ascii="Times" w:hAnsi="Times" w:cs="Times"/>
                <w:kern w:val="22"/>
                <w:sz w:val="20"/>
                <w:szCs w:val="20"/>
              </w:rPr>
              <w:br/>
              <w:t>- Supportive Measures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SCBD and International Development Law Organization (IDLO)</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2016</w:t>
            </w:r>
          </w:p>
        </w:tc>
        <w:tc>
          <w:tcPr>
            <w:tcW w:w="1084"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En, Es, Fr</w:t>
            </w:r>
          </w:p>
        </w:tc>
        <w:tc>
          <w:tcPr>
            <w:tcW w:w="2696"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https://absch.cbd.int/database/VLR/ABSCH-VLR-SCBD-239045</w:t>
            </w:r>
            <w:r w:rsidRPr="00A33406">
              <w:rPr>
                <w:rFonts w:ascii="Times" w:hAnsi="Times" w:cs="Times"/>
                <w:kern w:val="22"/>
                <w:sz w:val="20"/>
                <w:szCs w:val="20"/>
              </w:rPr>
              <w:br/>
              <w:t>https://scbd.unssc.org/course/index.php?categoryid=4&amp;lang=en</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The CBD Secretariat and IDLO have developed learning modules on national ABS strategies and policies, legal reform and building ABS measures for implementing the Protocol.</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1, 2</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542" w:type="dxa"/>
            <w:tcBorders>
              <w:top w:val="nil"/>
              <w:left w:val="single" w:sz="4" w:space="0" w:color="auto"/>
              <w:bottom w:val="single" w:sz="4" w:space="0" w:color="auto"/>
              <w:right w:val="single" w:sz="4" w:space="0" w:color="auto"/>
            </w:tcBorders>
            <w:vAlign w:val="center"/>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8</w:t>
            </w:r>
          </w:p>
        </w:tc>
        <w:tc>
          <w:tcPr>
            <w:tcW w:w="2971" w:type="dxa"/>
            <w:tcBorders>
              <w:top w:val="nil"/>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E-Learning Series on International Frameworks that Support Indigenous Peoples, Local Communities and Their Territories and Areas (2):</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Access and Benefit Sharing</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Traditional Knowledge &amp; Customary Sustainable Use of Biodiversity</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Natural Justice</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2015</w:t>
            </w:r>
          </w:p>
        </w:tc>
        <w:tc>
          <w:tcPr>
            <w:tcW w:w="1084"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En, Es</w:t>
            </w:r>
          </w:p>
        </w:tc>
        <w:tc>
          <w:tcPr>
            <w:tcW w:w="2696"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color w:val="0000FF"/>
                <w:kern w:val="22"/>
                <w:sz w:val="20"/>
                <w:szCs w:val="20"/>
                <w:u w:val="single"/>
              </w:rPr>
            </w:pPr>
            <w:hyperlink r:id="rId22" w:history="1">
              <w:r w:rsidRPr="00A33406">
                <w:rPr>
                  <w:rFonts w:ascii="Times" w:hAnsi="Times" w:cs="Times"/>
                  <w:color w:val="0000FF"/>
                  <w:kern w:val="22"/>
                  <w:sz w:val="20"/>
                  <w:szCs w:val="20"/>
                  <w:u w:val="single"/>
                </w:rPr>
                <w:t>http://naturaljustice.org/resources-and-research/e-learning-modules/</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These e-learning modules have been developed by Natural Justice and its partners specifically to support the legal aspects of biocultural community protocols. The modules can be used as the basis for community discussions, workshops, and action planning about key legal frameworks that affect indigenous peoples and local communities and their territories and areas. They can also be used in conjunction with in</w:t>
            </w:r>
            <w:r w:rsidRPr="00A33406">
              <w:rPr>
                <w:rFonts w:ascii="Times" w:hAnsi="Times" w:cs="Times"/>
                <w:kern w:val="22"/>
                <w:sz w:val="20"/>
                <w:szCs w:val="20"/>
              </w:rPr>
              <w:noBreakHyphen/>
              <w:t>person legal advice and support from pro bono lawyers and human rights advocates in your country or region.</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0"/>
        </w:trPr>
        <w:tc>
          <w:tcPr>
            <w:tcW w:w="542" w:type="dxa"/>
            <w:tcBorders>
              <w:top w:val="nil"/>
              <w:left w:val="single" w:sz="4" w:space="0" w:color="auto"/>
              <w:bottom w:val="single" w:sz="4" w:space="0" w:color="auto"/>
              <w:right w:val="single" w:sz="4" w:space="0" w:color="auto"/>
            </w:tcBorders>
            <w:vAlign w:val="center"/>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lastRenderedPageBreak/>
              <w:t>9</w:t>
            </w:r>
          </w:p>
        </w:tc>
        <w:tc>
          <w:tcPr>
            <w:tcW w:w="2971" w:type="dxa"/>
            <w:tcBorders>
              <w:top w:val="nil"/>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SCBD E-Learning Modules on ABS (2):</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 xml:space="preserve">Introduction to the Nagoya Protocol and </w:t>
            </w:r>
            <w:r w:rsidR="00262024" w:rsidRPr="00A33406">
              <w:rPr>
                <w:rFonts w:ascii="Times" w:hAnsi="Times" w:cs="Times"/>
                <w:kern w:val="22"/>
                <w:sz w:val="20"/>
                <w:szCs w:val="20"/>
              </w:rPr>
              <w:t>a</w:t>
            </w:r>
            <w:r w:rsidRPr="00A33406">
              <w:rPr>
                <w:rFonts w:ascii="Times" w:hAnsi="Times" w:cs="Times"/>
                <w:kern w:val="22"/>
                <w:sz w:val="20"/>
                <w:szCs w:val="20"/>
              </w:rPr>
              <w:t xml:space="preserve">ccess and </w:t>
            </w:r>
            <w:r w:rsidR="00262024" w:rsidRPr="00A33406">
              <w:rPr>
                <w:rFonts w:ascii="Times" w:hAnsi="Times" w:cs="Times"/>
                <w:kern w:val="22"/>
                <w:sz w:val="20"/>
                <w:szCs w:val="20"/>
              </w:rPr>
              <w:t>b</w:t>
            </w:r>
            <w:r w:rsidRPr="00A33406">
              <w:rPr>
                <w:rFonts w:ascii="Times" w:hAnsi="Times" w:cs="Times"/>
                <w:kern w:val="22"/>
                <w:sz w:val="20"/>
                <w:szCs w:val="20"/>
              </w:rPr>
              <w:t>enefit-</w:t>
            </w:r>
            <w:r w:rsidR="00262024" w:rsidRPr="00A33406">
              <w:rPr>
                <w:rFonts w:ascii="Times" w:hAnsi="Times" w:cs="Times"/>
                <w:kern w:val="22"/>
                <w:sz w:val="20"/>
                <w:szCs w:val="20"/>
              </w:rPr>
              <w:t>s</w:t>
            </w:r>
            <w:r w:rsidRPr="00A33406">
              <w:rPr>
                <w:rFonts w:ascii="Times" w:hAnsi="Times" w:cs="Times"/>
                <w:kern w:val="22"/>
                <w:sz w:val="20"/>
                <w:szCs w:val="20"/>
              </w:rPr>
              <w:t>haring</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The ABS Clearing-House</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SCBD and UN System Staff College</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2018</w:t>
            </w:r>
          </w:p>
        </w:tc>
        <w:tc>
          <w:tcPr>
            <w:tcW w:w="1084"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lang w:val="es-AR"/>
              </w:rPr>
            </w:pPr>
            <w:r w:rsidRPr="00A33406">
              <w:rPr>
                <w:rFonts w:ascii="Times" w:hAnsi="Times" w:cs="Times"/>
                <w:kern w:val="22"/>
                <w:sz w:val="20"/>
                <w:szCs w:val="20"/>
                <w:lang w:val="es-AR"/>
              </w:rPr>
              <w:t>En (Fr, Es, Ru, Zh, Ar forth-coming)</w:t>
            </w:r>
          </w:p>
        </w:tc>
        <w:tc>
          <w:tcPr>
            <w:tcW w:w="2696"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forthcoming</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 xml:space="preserve">The module "Introduction to </w:t>
            </w:r>
            <w:r w:rsidR="00262024" w:rsidRPr="00A33406">
              <w:rPr>
                <w:rFonts w:ascii="Times" w:hAnsi="Times" w:cs="Times"/>
                <w:kern w:val="22"/>
                <w:sz w:val="20"/>
                <w:szCs w:val="20"/>
              </w:rPr>
              <w:t>a</w:t>
            </w:r>
            <w:r w:rsidRPr="00A33406">
              <w:rPr>
                <w:rFonts w:ascii="Times" w:hAnsi="Times" w:cs="Times"/>
                <w:kern w:val="22"/>
                <w:sz w:val="20"/>
                <w:szCs w:val="20"/>
              </w:rPr>
              <w:t xml:space="preserve">ccess and benefit-sharing" introduces the concept and practice of accessing genetic resources and the sharing of benefits arising from their utilization. It describes the key ABS terminology and concepts, the core principles of ABS and practical examples of key procedures, good practices and lessons learned in the implementation of ABS. </w:t>
            </w:r>
            <w:r w:rsidRPr="00A33406">
              <w:rPr>
                <w:rFonts w:ascii="Times" w:hAnsi="Times" w:cs="Times"/>
                <w:kern w:val="22"/>
                <w:sz w:val="20"/>
                <w:szCs w:val="20"/>
              </w:rPr>
              <w:br/>
              <w:t>The module on the ABS Clearing-House helps participants become familiar with (a) the role of the ABS Clearing-House in translating ABS and the Nagoya Protocol into practice, (b) the different types of information that can be registered through the ABS Clearing-House, (c) best practices for submission/adding of information; and (d) how to find information in the ABS Clearing-House.</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1, 4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2"/>
        </w:trPr>
        <w:tc>
          <w:tcPr>
            <w:tcW w:w="542" w:type="dxa"/>
            <w:tcBorders>
              <w:top w:val="nil"/>
              <w:left w:val="single" w:sz="4" w:space="0" w:color="auto"/>
              <w:bottom w:val="single" w:sz="4" w:space="0" w:color="auto"/>
              <w:right w:val="single" w:sz="4" w:space="0" w:color="auto"/>
            </w:tcBorders>
            <w:vAlign w:val="center"/>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10</w:t>
            </w:r>
          </w:p>
        </w:tc>
        <w:tc>
          <w:tcPr>
            <w:tcW w:w="2971" w:type="dxa"/>
            <w:tcBorders>
              <w:top w:val="nil"/>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The CBD for Botanists: An introduction to the Convention on Biological Diversity for people working with botanical collections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Royal Botanic Gardens, Kew /Darwin Initiative</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2006</w:t>
            </w:r>
          </w:p>
        </w:tc>
        <w:tc>
          <w:tcPr>
            <w:tcW w:w="1084"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En, Es, Fr</w:t>
            </w:r>
          </w:p>
        </w:tc>
        <w:tc>
          <w:tcPr>
            <w:tcW w:w="2696"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color w:val="0000FF"/>
                <w:kern w:val="22"/>
                <w:sz w:val="20"/>
                <w:szCs w:val="20"/>
                <w:u w:val="single"/>
              </w:rPr>
            </w:pPr>
            <w:hyperlink r:id="rId23" w:history="1">
              <w:r w:rsidRPr="00A33406">
                <w:rPr>
                  <w:rFonts w:ascii="Times" w:hAnsi="Times" w:cs="Times"/>
                  <w:color w:val="0000FF"/>
                  <w:kern w:val="22"/>
                  <w:sz w:val="20"/>
                  <w:szCs w:val="20"/>
                  <w:u w:val="single"/>
                </w:rPr>
                <w:t>http://plantnetwork.org/wordpress/wp-content/uploads/8573/CBD_for_Botanists_V2.pdf</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This presentation pack is designed as an introduction to the Convention on Biological Diversity (CBD), and it includes slides and suggested speaker’s notes, and a resources section offering more detailed information, useful links and suggestions for further reading. It is primarily intended for people working with botanical collections: botanists, curators, horticulturalists and technicians in botanic gardens, herbaria, museums and seed banks.</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542" w:type="dxa"/>
            <w:tcBorders>
              <w:top w:val="nil"/>
              <w:left w:val="single" w:sz="4" w:space="0" w:color="auto"/>
              <w:bottom w:val="single" w:sz="4" w:space="0" w:color="auto"/>
              <w:right w:val="single" w:sz="4" w:space="0" w:color="auto"/>
            </w:tcBorders>
            <w:vAlign w:val="center"/>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11</w:t>
            </w:r>
          </w:p>
        </w:tc>
        <w:tc>
          <w:tcPr>
            <w:tcW w:w="2971" w:type="dxa"/>
            <w:tcBorders>
              <w:top w:val="nil"/>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 xml:space="preserve">The International Treaty on Plant Genetic Resources for Food and Agriculture: Implementing the Multilateral System - Learning Modules (2): </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The International Treaty on Plant Genetic Resources for Food and Agriculture</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The Standard Material Transfer Agreement</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International Treaty on Plant Genetic Resources for Food and Agriculture (ITPGRFA) and Bioversity International</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2010</w:t>
            </w:r>
          </w:p>
        </w:tc>
        <w:tc>
          <w:tcPr>
            <w:tcW w:w="1084"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En, Es, Fr</w:t>
            </w:r>
          </w:p>
        </w:tc>
        <w:tc>
          <w:tcPr>
            <w:tcW w:w="2696"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color w:val="0000FF"/>
                <w:kern w:val="22"/>
                <w:sz w:val="20"/>
                <w:szCs w:val="20"/>
                <w:u w:val="single"/>
              </w:rPr>
            </w:pPr>
            <w:hyperlink r:id="rId24" w:history="1">
              <w:r w:rsidRPr="00A33406">
                <w:rPr>
                  <w:rFonts w:ascii="Times" w:hAnsi="Times" w:cs="Times"/>
                  <w:color w:val="0000FF"/>
                  <w:kern w:val="22"/>
                  <w:sz w:val="20"/>
                  <w:szCs w:val="20"/>
                  <w:u w:val="single"/>
                </w:rPr>
                <w:t>http://treatylearningmodule.bioversityinternational.org/</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rFonts w:ascii="Times" w:hAnsi="Times" w:cs="Times"/>
                <w:kern w:val="22"/>
                <w:sz w:val="20"/>
                <w:szCs w:val="20"/>
              </w:rPr>
            </w:pPr>
            <w:r w:rsidRPr="00A33406">
              <w:rPr>
                <w:rFonts w:ascii="Times" w:hAnsi="Times" w:cs="Times"/>
                <w:kern w:val="22"/>
                <w:sz w:val="20"/>
                <w:szCs w:val="20"/>
              </w:rPr>
              <w:t>The aim of this learning module is to develop knowledge and skills to implement the International Treaty on Plant Genetic Resources for Food and Agriculture and to use The Treaty’s standard material transfer agreement (SMTA). The module is targeted to gene bank managers and technical advisers to policymakers and can also be used for education.</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rFonts w:ascii="Times" w:hAnsi="Times" w:cs="Times"/>
                <w:kern w:val="22"/>
                <w:sz w:val="20"/>
                <w:szCs w:val="20"/>
              </w:rPr>
            </w:pPr>
            <w:r w:rsidRPr="00A33406">
              <w:rPr>
                <w:rFonts w:ascii="Times" w:hAnsi="Times" w:cs="Times"/>
                <w:kern w:val="22"/>
                <w:sz w:val="20"/>
                <w:szCs w:val="20"/>
              </w:rPr>
              <w:t>1</w:t>
            </w:r>
          </w:p>
        </w:tc>
      </w:tr>
    </w:tbl>
    <w:p w:rsidR="009E42C7" w:rsidRPr="00A33406" w:rsidRDefault="009E42C7" w:rsidP="00A33406">
      <w:pPr>
        <w:pStyle w:val="Para1"/>
        <w:pBdr>
          <w:top w:val="nil"/>
          <w:bottom w:val="nil"/>
        </w:pBdr>
        <w:rPr>
          <w:b/>
          <w:kern w:val="22"/>
        </w:rPr>
      </w:pPr>
      <w:r w:rsidRPr="00A33406">
        <w:rPr>
          <w:b/>
          <w:kern w:val="22"/>
        </w:rPr>
        <w:lastRenderedPageBreak/>
        <w:t>Table 4.</w:t>
      </w:r>
      <w:r w:rsidRPr="00A33406">
        <w:rPr>
          <w:b/>
          <w:kern w:val="22"/>
        </w:rPr>
        <w:tab/>
        <w:t>Tools and resources primarily focused on providing technical guidance on access and benefit-sharing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892"/>
        <w:gridCol w:w="1318"/>
        <w:gridCol w:w="783"/>
        <w:gridCol w:w="11"/>
        <w:gridCol w:w="1143"/>
        <w:gridCol w:w="2629"/>
        <w:gridCol w:w="4116"/>
        <w:gridCol w:w="706"/>
        <w:tblGridChange w:id="3">
          <w:tblGrid>
            <w:gridCol w:w="531"/>
            <w:gridCol w:w="2892"/>
            <w:gridCol w:w="1318"/>
            <w:gridCol w:w="783"/>
            <w:gridCol w:w="11"/>
            <w:gridCol w:w="1143"/>
            <w:gridCol w:w="2629"/>
            <w:gridCol w:w="4116"/>
            <w:gridCol w:w="706"/>
          </w:tblGrid>
        </w:tblGridChange>
      </w:tblGrid>
      <w:tr w:rsidR="009E42C7" w:rsidRPr="00A33406" w:rsidTr="00A33406">
        <w:trPr>
          <w:tblHeader/>
        </w:trPr>
        <w:tc>
          <w:tcPr>
            <w:tcW w:w="540"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No.</w:t>
            </w:r>
          </w:p>
        </w:tc>
        <w:tc>
          <w:tcPr>
            <w:tcW w:w="2970" w:type="dxa"/>
            <w:shd w:val="clear" w:color="auto" w:fill="D9D9D9"/>
            <w:vAlign w:val="center"/>
            <w:hideMark/>
          </w:tcPr>
          <w:p w:rsidR="009E42C7" w:rsidRPr="00A33406" w:rsidRDefault="009E42C7" w:rsidP="00254EDF">
            <w:pPr>
              <w:pStyle w:val="Para1"/>
              <w:pBdr>
                <w:bottom w:val="nil"/>
              </w:pBdr>
              <w:spacing w:before="0" w:after="0"/>
              <w:jc w:val="left"/>
              <w:rPr>
                <w:b/>
                <w:bCs/>
                <w:kern w:val="22"/>
                <w:sz w:val="20"/>
                <w:szCs w:val="20"/>
              </w:rPr>
            </w:pPr>
            <w:r w:rsidRPr="00A33406">
              <w:rPr>
                <w:b/>
                <w:bCs/>
                <w:kern w:val="22"/>
                <w:sz w:val="20"/>
                <w:szCs w:val="20"/>
              </w:rPr>
              <w:t>Title of the tool/resource</w:t>
            </w:r>
          </w:p>
        </w:tc>
        <w:tc>
          <w:tcPr>
            <w:tcW w:w="1350" w:type="dxa"/>
            <w:shd w:val="clear" w:color="auto" w:fill="D9D9D9"/>
            <w:vAlign w:val="center"/>
            <w:hideMark/>
          </w:tcPr>
          <w:p w:rsidR="009E42C7" w:rsidRPr="00A33406" w:rsidRDefault="009E42C7" w:rsidP="00254EDF">
            <w:pPr>
              <w:pStyle w:val="Para1"/>
              <w:pBdr>
                <w:bottom w:val="nil"/>
              </w:pBdr>
              <w:spacing w:before="0" w:after="0"/>
              <w:jc w:val="left"/>
              <w:rPr>
                <w:b/>
                <w:bCs/>
                <w:kern w:val="22"/>
                <w:sz w:val="20"/>
                <w:szCs w:val="20"/>
              </w:rPr>
            </w:pPr>
            <w:r w:rsidRPr="00A33406">
              <w:rPr>
                <w:b/>
                <w:bCs/>
                <w:kern w:val="22"/>
                <w:sz w:val="20"/>
                <w:szCs w:val="20"/>
              </w:rPr>
              <w:t>Author/ Publisher</w:t>
            </w:r>
          </w:p>
        </w:tc>
        <w:tc>
          <w:tcPr>
            <w:tcW w:w="799" w:type="dxa"/>
            <w:shd w:val="clear" w:color="auto" w:fill="D9D9D9"/>
            <w:vAlign w:val="center"/>
            <w:hideMark/>
          </w:tcPr>
          <w:p w:rsidR="009E42C7" w:rsidRPr="00A33406" w:rsidRDefault="009E42C7" w:rsidP="00254EDF">
            <w:pPr>
              <w:pStyle w:val="Para1"/>
              <w:pBdr>
                <w:bottom w:val="nil"/>
              </w:pBdr>
              <w:spacing w:before="0" w:after="0"/>
              <w:jc w:val="left"/>
              <w:rPr>
                <w:b/>
                <w:bCs/>
                <w:kern w:val="22"/>
                <w:sz w:val="20"/>
                <w:szCs w:val="20"/>
              </w:rPr>
            </w:pPr>
            <w:r w:rsidRPr="00A33406">
              <w:rPr>
                <w:b/>
                <w:bCs/>
                <w:kern w:val="22"/>
                <w:sz w:val="20"/>
                <w:szCs w:val="20"/>
              </w:rPr>
              <w:t>Year</w:t>
            </w:r>
          </w:p>
        </w:tc>
        <w:tc>
          <w:tcPr>
            <w:tcW w:w="1181" w:type="dxa"/>
            <w:gridSpan w:val="2"/>
            <w:shd w:val="clear" w:color="auto" w:fill="D9D9D9"/>
            <w:vAlign w:val="center"/>
            <w:hideMark/>
          </w:tcPr>
          <w:p w:rsidR="009E42C7" w:rsidRPr="00A33406" w:rsidRDefault="009E42C7" w:rsidP="00254EDF">
            <w:pPr>
              <w:pStyle w:val="Para1"/>
              <w:pBdr>
                <w:bottom w:val="nil"/>
              </w:pBdr>
              <w:spacing w:before="0" w:after="0"/>
              <w:jc w:val="left"/>
              <w:rPr>
                <w:b/>
                <w:bCs/>
                <w:kern w:val="22"/>
                <w:sz w:val="20"/>
                <w:szCs w:val="20"/>
              </w:rPr>
            </w:pPr>
            <w:r w:rsidRPr="00A33406">
              <w:rPr>
                <w:b/>
                <w:bCs/>
                <w:kern w:val="22"/>
                <w:sz w:val="20"/>
                <w:szCs w:val="20"/>
              </w:rPr>
              <w:t>Language</w:t>
            </w:r>
          </w:p>
        </w:tc>
        <w:tc>
          <w:tcPr>
            <w:tcW w:w="2700" w:type="dxa"/>
            <w:shd w:val="clear" w:color="auto" w:fill="D9D9D9"/>
            <w:vAlign w:val="center"/>
            <w:hideMark/>
          </w:tcPr>
          <w:p w:rsidR="009E42C7" w:rsidRPr="00A33406" w:rsidRDefault="009E42C7" w:rsidP="00254EDF">
            <w:pPr>
              <w:pStyle w:val="Para1"/>
              <w:pBdr>
                <w:bottom w:val="nil"/>
              </w:pBdr>
              <w:spacing w:before="0" w:after="0"/>
              <w:jc w:val="left"/>
              <w:rPr>
                <w:b/>
                <w:bCs/>
                <w:kern w:val="22"/>
                <w:sz w:val="20"/>
                <w:szCs w:val="20"/>
              </w:rPr>
            </w:pPr>
            <w:r w:rsidRPr="00A33406">
              <w:rPr>
                <w:b/>
                <w:bCs/>
                <w:kern w:val="22"/>
                <w:sz w:val="20"/>
                <w:szCs w:val="20"/>
              </w:rPr>
              <w:t>Web link/source</w:t>
            </w:r>
          </w:p>
        </w:tc>
        <w:tc>
          <w:tcPr>
            <w:tcW w:w="4230" w:type="dxa"/>
            <w:shd w:val="clear" w:color="auto" w:fill="D9D9D9"/>
            <w:vAlign w:val="center"/>
            <w:hideMark/>
          </w:tcPr>
          <w:p w:rsidR="009E42C7" w:rsidRPr="00A33406" w:rsidRDefault="009E42C7" w:rsidP="00254EDF">
            <w:pPr>
              <w:pStyle w:val="Para1"/>
              <w:pBdr>
                <w:bottom w:val="nil"/>
              </w:pBdr>
              <w:spacing w:before="0" w:after="0"/>
              <w:jc w:val="left"/>
              <w:rPr>
                <w:b/>
                <w:bCs/>
                <w:kern w:val="22"/>
                <w:sz w:val="20"/>
                <w:szCs w:val="20"/>
              </w:rPr>
            </w:pPr>
            <w:r w:rsidRPr="00A33406">
              <w:rPr>
                <w:b/>
                <w:bCs/>
                <w:kern w:val="22"/>
                <w:sz w:val="20"/>
                <w:szCs w:val="20"/>
              </w:rPr>
              <w:t>Description</w:t>
            </w:r>
          </w:p>
        </w:tc>
        <w:tc>
          <w:tcPr>
            <w:tcW w:w="720" w:type="dxa"/>
            <w:shd w:val="clear" w:color="auto" w:fill="D9D9D9"/>
            <w:noWrap/>
            <w:vAlign w:val="center"/>
            <w:hideMark/>
          </w:tcPr>
          <w:p w:rsidR="009E42C7" w:rsidRPr="00A33406" w:rsidRDefault="009E42C7" w:rsidP="00254EDF">
            <w:pPr>
              <w:pStyle w:val="Para1"/>
              <w:pBdr>
                <w:bottom w:val="nil"/>
              </w:pBdr>
              <w:spacing w:before="0" w:after="0"/>
              <w:jc w:val="left"/>
              <w:rPr>
                <w:b/>
                <w:bCs/>
                <w:kern w:val="22"/>
                <w:sz w:val="20"/>
                <w:szCs w:val="20"/>
              </w:rPr>
            </w:pPr>
            <w:r w:rsidRPr="00A33406">
              <w:rPr>
                <w:b/>
                <w:bCs/>
                <w:kern w:val="22"/>
                <w:sz w:val="20"/>
                <w:szCs w:val="20"/>
              </w:rPr>
              <w:t xml:space="preserve">Key Areas </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12</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A Guide to Access to Genetic Resources and Community Knowledge and Benefit Sharing in Ethiopia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Institute of Biodiversity Conservation</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25" w:history="1">
              <w:r w:rsidRPr="00A33406">
                <w:rPr>
                  <w:color w:val="0000FF"/>
                  <w:kern w:val="22"/>
                  <w:sz w:val="20"/>
                  <w:szCs w:val="20"/>
                  <w:u w:val="single"/>
                </w:rPr>
                <w:t>https://www.cbd.int/abs/submissions/icnp-3/Ethiopia-Guide-Access-Genetic-Resources.pdf</w:t>
              </w:r>
            </w:hyperlink>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This guide seeks to provide a simple and concise summary of ABS procedures in Ethiopia. It is hoped that the guide will be used by local and foreign stakeholders as a manual and reference.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1, 2</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13</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ABS Elements to Facilitate Domestic Implementation of Access and Benefit-Sharing for Different Subsectors of Genetic Resources for Food and Agriculture</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FAO Commission on Genetic Resources for Food and Agriculture (CGRFA)</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2016</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lang w:val="es-AR"/>
              </w:rPr>
            </w:pPr>
            <w:r w:rsidRPr="00A33406">
              <w:rPr>
                <w:kern w:val="22"/>
                <w:sz w:val="20"/>
                <w:szCs w:val="20"/>
                <w:lang w:val="es-AR"/>
              </w:rPr>
              <w:t>En, Fr, Es, Ch, Ru, Ar</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lang w:val="es-AR"/>
              </w:rPr>
            </w:pPr>
            <w:hyperlink r:id="rId26" w:history="1">
              <w:r w:rsidRPr="00A33406">
                <w:rPr>
                  <w:color w:val="0000FF"/>
                  <w:kern w:val="22"/>
                  <w:sz w:val="20"/>
                  <w:szCs w:val="20"/>
                  <w:u w:val="single"/>
                  <w:lang w:val="es-AR"/>
                </w:rPr>
                <w:t>https://absch.cbd.int/register/VLR/A0722675-FD23-C44C-028B-EB20066EF381/view</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The ABS Elements aim to assist governments considering developing, adapting or implementing ABS measures to take into account the importance of GRFA, their special role for food security and the distinctive features of the different subsectors of GRFA, while complying, as applicable, with international ABS instruments.</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1, 2, 4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14</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ABS Management Tool: Best Practice Standard and Handbook for Implementing Genetic Resource Access and Benefit-Sharing Activities</w:t>
            </w:r>
            <w:r w:rsidRPr="00A33406">
              <w:rPr>
                <w:kern w:val="22"/>
                <w:sz w:val="20"/>
                <w:szCs w:val="20"/>
              </w:rPr>
              <w:br/>
              <w:t>______________________</w:t>
            </w:r>
          </w:p>
          <w:p w:rsidR="009E42C7" w:rsidRPr="00A33406" w:rsidRDefault="009E42C7" w:rsidP="00254EDF">
            <w:pPr>
              <w:jc w:val="left"/>
              <w:rPr>
                <w:kern w:val="22"/>
                <w:sz w:val="20"/>
                <w:szCs w:val="20"/>
              </w:rPr>
            </w:pPr>
          </w:p>
          <w:p w:rsidR="009E42C7" w:rsidRPr="00A33406" w:rsidRDefault="009E42C7" w:rsidP="00254EDF">
            <w:pPr>
              <w:jc w:val="left"/>
              <w:rPr>
                <w:i/>
                <w:kern w:val="22"/>
                <w:sz w:val="20"/>
                <w:szCs w:val="20"/>
              </w:rPr>
            </w:pPr>
            <w:r w:rsidRPr="00A33406">
              <w:rPr>
                <w:i/>
                <w:kern w:val="22"/>
                <w:sz w:val="20"/>
                <w:szCs w:val="20"/>
              </w:rPr>
              <w:t>Translated versions of the ABS Management Tool</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Stratos Inc. and Swiss State Secretariat for Economic Affairs (SECO);</w:t>
            </w:r>
            <w:r w:rsidRPr="00A33406">
              <w:rPr>
                <w:kern w:val="22"/>
                <w:sz w:val="20"/>
                <w:szCs w:val="20"/>
              </w:rPr>
              <w:br/>
            </w:r>
          </w:p>
          <w:p w:rsidR="009E42C7" w:rsidRPr="00A33406" w:rsidRDefault="009E42C7" w:rsidP="00254EDF">
            <w:pPr>
              <w:jc w:val="left"/>
              <w:rPr>
                <w:kern w:val="22"/>
                <w:sz w:val="20"/>
                <w:szCs w:val="20"/>
              </w:rPr>
            </w:pPr>
          </w:p>
          <w:p w:rsidR="009E42C7" w:rsidRPr="00A33406" w:rsidRDefault="009E42C7" w:rsidP="00254EDF">
            <w:pPr>
              <w:jc w:val="left"/>
              <w:rPr>
                <w:i/>
                <w:kern w:val="22"/>
                <w:sz w:val="20"/>
                <w:szCs w:val="20"/>
              </w:rPr>
            </w:pPr>
            <w:r w:rsidRPr="00A33406">
              <w:rPr>
                <w:i/>
                <w:kern w:val="22"/>
                <w:sz w:val="20"/>
                <w:szCs w:val="20"/>
              </w:rPr>
              <w:t>Biodiversity Conservation Agency, Viet Nam and Ministry of Environmental Conservation and Forestry, Myanmar</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2012;</w:t>
            </w:r>
            <w:r w:rsidRPr="00A33406">
              <w:rPr>
                <w:kern w:val="22"/>
                <w:sz w:val="20"/>
                <w:szCs w:val="20"/>
              </w:rPr>
              <w:br/>
            </w:r>
            <w:r w:rsidRPr="00A33406">
              <w:rPr>
                <w:kern w:val="22"/>
                <w:sz w:val="20"/>
                <w:szCs w:val="20"/>
              </w:rPr>
              <w:br/>
            </w:r>
            <w:r w:rsidRPr="00A33406">
              <w:rPr>
                <w:i/>
                <w:kern w:val="22"/>
                <w:sz w:val="20"/>
                <w:szCs w:val="20"/>
              </w:rPr>
              <w:t>2014</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r w:rsidRPr="00A33406">
              <w:rPr>
                <w:kern w:val="22"/>
                <w:sz w:val="20"/>
                <w:szCs w:val="20"/>
              </w:rPr>
              <w:br/>
            </w:r>
            <w:r w:rsidRPr="00A33406">
              <w:rPr>
                <w:kern w:val="22"/>
                <w:sz w:val="20"/>
                <w:szCs w:val="20"/>
              </w:rPr>
              <w:br/>
            </w:r>
            <w:r w:rsidRPr="00A33406">
              <w:rPr>
                <w:i/>
                <w:kern w:val="22"/>
                <w:sz w:val="20"/>
                <w:szCs w:val="20"/>
              </w:rPr>
              <w:t>Burmese, Vietnamese</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27" w:history="1">
              <w:r w:rsidRPr="00A33406">
                <w:rPr>
                  <w:color w:val="0000FF"/>
                  <w:kern w:val="22"/>
                  <w:sz w:val="20"/>
                  <w:szCs w:val="20"/>
                  <w:u w:val="single"/>
                </w:rPr>
                <w:t>http://www.sib.admin.ch/fileadmin/chm-dateien/ABS-Protokoll/ABS_MT/Updated_ABS_Management_Tool_May_2012.pdf</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Following the adoption of the Nagoya Protocol, the ABS Management Tool (ABS-MT) was updated to accommodate new language of the Nagoya Protocol and to assist the users and providers of genetic resources to apply current best practices. The updated ABS-MT includes a new section providing guidance to the Parties to the Convention on Biological Diversity to prepare for the introduction and further implementation of the Nagoya Protocol.</w:t>
            </w:r>
            <w:r w:rsidRPr="00A33406">
              <w:rPr>
                <w:kern w:val="22"/>
                <w:sz w:val="20"/>
                <w:szCs w:val="20"/>
              </w:rPr>
              <w:br/>
            </w:r>
            <w:r w:rsidRPr="00A33406">
              <w:rPr>
                <w:kern w:val="22"/>
                <w:sz w:val="20"/>
                <w:szCs w:val="20"/>
              </w:rPr>
              <w:br/>
            </w:r>
            <w:r w:rsidRPr="00A33406">
              <w:rPr>
                <w:i/>
                <w:kern w:val="22"/>
                <w:sz w:val="20"/>
                <w:szCs w:val="20"/>
              </w:rPr>
              <w:t>The ABS Management Tool has been translated into Burmese and Vietnamese under the UNEP-GEF supported project “Building Capacity for Regionally Harmonized National Processes for Implementing CBD Provision on Access to Genetic Resources and sharing of Benefits” executed by the ASEAN Centre for Biodiversity (CD ROM format).</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1,3</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15</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xml:space="preserve">Access and Benefit Sharing: Key Points for Policy-Makers Series (6): </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The Pharmaceutical Industry</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lastRenderedPageBreak/>
              <w:t>The Food and Beverage Industry</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The Cosmetics Industry</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The Botanicals Industry</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Industrial Biotechnology</w:t>
            </w:r>
          </w:p>
          <w:p w:rsidR="009E42C7" w:rsidRPr="00A33406" w:rsidRDefault="009E42C7" w:rsidP="009E42C7">
            <w:pPr>
              <w:numPr>
                <w:ilvl w:val="0"/>
                <w:numId w:val="55"/>
              </w:numPr>
              <w:ind w:left="254" w:hanging="254"/>
              <w:jc w:val="left"/>
              <w:rPr>
                <w:kern w:val="22"/>
                <w:sz w:val="20"/>
                <w:szCs w:val="20"/>
              </w:rPr>
            </w:pPr>
            <w:r w:rsidRPr="00A33406">
              <w:rPr>
                <w:rFonts w:ascii="Times" w:hAnsi="Times" w:cs="Times"/>
                <w:kern w:val="22"/>
                <w:sz w:val="20"/>
                <w:szCs w:val="20"/>
              </w:rPr>
              <w:t>Agriculture</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lastRenderedPageBreak/>
              <w:t xml:space="preserve">Laird, S. &amp; Wynberg, R. / </w:t>
            </w:r>
            <w:r w:rsidRPr="00A33406">
              <w:rPr>
                <w:kern w:val="22"/>
                <w:sz w:val="20"/>
                <w:szCs w:val="20"/>
              </w:rPr>
              <w:br/>
              <w:t xml:space="preserve">ABS </w:t>
            </w:r>
            <w:r w:rsidRPr="00A33406">
              <w:rPr>
                <w:kern w:val="22"/>
                <w:sz w:val="20"/>
                <w:szCs w:val="20"/>
              </w:rPr>
              <w:lastRenderedPageBreak/>
              <w:t>Capacity Development Initiative</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lastRenderedPageBreak/>
              <w:t>2016</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28" w:history="1">
              <w:r w:rsidRPr="00A33406">
                <w:rPr>
                  <w:color w:val="0000FF"/>
                  <w:kern w:val="22"/>
                  <w:sz w:val="20"/>
                  <w:szCs w:val="20"/>
                  <w:u w:val="single"/>
                </w:rPr>
                <w:t>http://www.abs-initiative.info/stakeholders-and-topics/private-sector/</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xml:space="preserve">This series of briefs on six different industrial sectors provides governments, companies, researchers, communities and other ABS stakeholders with background Information to </w:t>
            </w:r>
            <w:r w:rsidRPr="00A33406">
              <w:rPr>
                <w:kern w:val="22"/>
                <w:sz w:val="20"/>
                <w:szCs w:val="20"/>
              </w:rPr>
              <w:lastRenderedPageBreak/>
              <w:t xml:space="preserve">assist with the development of ABS measures to implement the Nagoya Protocol. The briefs are organised around key points on trends and practices in markets, research and development - indirectly and directly related to ABS. With many graphics illustrating important facts, figures and contexts, the briefs are easy to understand. </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lastRenderedPageBreak/>
              <w:t>2, 4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16</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African Union Guidelines for the Coordinated Implementation of the Nagoya Protocol on ABS (2):</w:t>
            </w:r>
          </w:p>
          <w:p w:rsidR="009E42C7" w:rsidRPr="00A33406" w:rsidRDefault="009E42C7" w:rsidP="009E42C7">
            <w:pPr>
              <w:numPr>
                <w:ilvl w:val="0"/>
                <w:numId w:val="55"/>
              </w:numPr>
              <w:ind w:left="254" w:hanging="254"/>
              <w:jc w:val="left"/>
              <w:rPr>
                <w:rFonts w:ascii="Times" w:hAnsi="Times" w:cs="Times"/>
                <w:kern w:val="22"/>
                <w:sz w:val="20"/>
                <w:szCs w:val="20"/>
              </w:rPr>
            </w:pPr>
            <w:r w:rsidRPr="00A33406">
              <w:rPr>
                <w:rFonts w:ascii="Times" w:hAnsi="Times" w:cs="Times"/>
                <w:kern w:val="22"/>
                <w:sz w:val="20"/>
                <w:szCs w:val="20"/>
              </w:rPr>
              <w:t>Strategic Guideline</w:t>
            </w:r>
          </w:p>
          <w:p w:rsidR="009E42C7" w:rsidRPr="00A33406" w:rsidRDefault="009E42C7" w:rsidP="009E42C7">
            <w:pPr>
              <w:numPr>
                <w:ilvl w:val="0"/>
                <w:numId w:val="55"/>
              </w:numPr>
              <w:ind w:left="254" w:hanging="254"/>
              <w:jc w:val="left"/>
              <w:rPr>
                <w:kern w:val="22"/>
                <w:sz w:val="20"/>
                <w:szCs w:val="20"/>
              </w:rPr>
            </w:pPr>
            <w:r w:rsidRPr="00A33406">
              <w:rPr>
                <w:rFonts w:ascii="Times" w:hAnsi="Times" w:cs="Times"/>
                <w:kern w:val="22"/>
                <w:sz w:val="20"/>
                <w:szCs w:val="20"/>
              </w:rPr>
              <w:t>Practical Guidelines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African Union Commission</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2015</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 Fr</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hyperlink r:id="rId29" w:history="1">
              <w:r w:rsidRPr="00A33406">
                <w:rPr>
                  <w:rStyle w:val="Hyperlink"/>
                  <w:kern w:val="22"/>
                  <w:sz w:val="20"/>
                  <w:szCs w:val="20"/>
                </w:rPr>
                <w:t>https://absch.cbd.int/database/A19A20/ABSCH-A19A20-SCBD-207246</w:t>
              </w:r>
            </w:hyperlink>
            <w:r w:rsidRPr="00A33406">
              <w:rPr>
                <w:kern w:val="22"/>
                <w:sz w:val="20"/>
                <w:szCs w:val="20"/>
              </w:rPr>
              <w:t>;</w:t>
            </w:r>
          </w:p>
          <w:p w:rsidR="009E42C7" w:rsidRPr="00A33406" w:rsidRDefault="009E42C7" w:rsidP="00254EDF">
            <w:pPr>
              <w:jc w:val="left"/>
              <w:rPr>
                <w:kern w:val="22"/>
                <w:sz w:val="20"/>
                <w:szCs w:val="20"/>
              </w:rPr>
            </w:pPr>
          </w:p>
          <w:p w:rsidR="009E42C7" w:rsidRPr="00A33406" w:rsidRDefault="009E42C7" w:rsidP="00254EDF">
            <w:pPr>
              <w:jc w:val="left"/>
              <w:rPr>
                <w:kern w:val="22"/>
                <w:sz w:val="20"/>
                <w:szCs w:val="20"/>
              </w:rPr>
            </w:pPr>
            <w:r w:rsidRPr="00A33406">
              <w:rPr>
                <w:kern w:val="22"/>
                <w:sz w:val="20"/>
                <w:szCs w:val="20"/>
              </w:rPr>
              <w:t>https://absch.cbd.int/database/A19A20/ABSCH-A19A20-SCBD-207247</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snapToGrid w:val="0"/>
                <w:kern w:val="22"/>
                <w:sz w:val="20"/>
                <w:szCs w:val="20"/>
              </w:rPr>
              <w:t>The AU Guidelines consist of two parts: ‘Strategic Guidelines’ and ‘Practical Guidelines’. The Practical Guidelines is a hands-on-tool for the implementation of the Nagoya Protocol on ABS. It proposes procedures for granting prior informed consent, concluding mutually agreed terms and monitoring compliance by instituting continental and regional procedures that are transparent and functional. The Strategic Guidelines gives policy direction to the AU Member States and sets out the commonly agreed principles to be coordinated at an AU level. The Strategic Guidelines aims at facilitating coordination and cooperation between African countries and African stakeholders.</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1,2</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lastRenderedPageBreak/>
              <w:t>17</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An Explanatory Guide to the Nagoya Protocol on Access and Benefit-sharing</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snapToGrid w:val="0"/>
                <w:kern w:val="22"/>
                <w:sz w:val="20"/>
                <w:szCs w:val="20"/>
              </w:rPr>
              <w:t>Greiber, Peña Moreno, Åhrén, Nieto Carrasco, Chege Kamau, Cabrera Medaglia, Oliva, &amp; Perron-Welch, in cooperation with Natasha Ali and China Williams/</w:t>
            </w:r>
            <w:r w:rsidRPr="00A33406">
              <w:rPr>
                <w:snapToGrid w:val="0"/>
                <w:kern w:val="22"/>
                <w:sz w:val="20"/>
                <w:szCs w:val="20"/>
              </w:rPr>
              <w:br/>
              <w:t>IUCN</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2012</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 Es, Fr, Zh</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r w:rsidRPr="00A33406">
              <w:rPr>
                <w:color w:val="0000FF"/>
                <w:kern w:val="22"/>
                <w:sz w:val="20"/>
                <w:szCs w:val="20"/>
                <w:u w:val="single"/>
              </w:rPr>
              <w:t>https://absch.cbd.int/database/VLR/ABSCH-VLR-SCBD-200641</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The main goal of the explanatory guide is to facilitate the understanding of the legal obligations of the Parties under the Nagoya Protocol. The publication serves as an adaptable tool for future ABS capacity-building and awareness raising initiatives, as well as an important reference for countries in their efforts to implement the Nagoya Protocol and operationalize ABS in practice.</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1, 2</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18</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Biocultural Community Protocols: A Toolkit for Community Facilitators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Holly Shrumm &amp; Harry Jonas (eds)/</w:t>
            </w:r>
            <w:r w:rsidRPr="00A33406">
              <w:rPr>
                <w:kern w:val="22"/>
                <w:sz w:val="20"/>
                <w:szCs w:val="20"/>
              </w:rPr>
              <w:br/>
              <w:t>Natural Justice</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2012</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 Es</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30" w:history="1">
              <w:r w:rsidRPr="00A33406">
                <w:rPr>
                  <w:color w:val="0000FF"/>
                  <w:kern w:val="22"/>
                  <w:sz w:val="20"/>
                  <w:szCs w:val="20"/>
                  <w:u w:val="single"/>
                </w:rPr>
                <w:t>http://naturaljustice.org/resources-and-research/community-protocols/</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snapToGrid w:val="0"/>
                <w:kern w:val="22"/>
                <w:sz w:val="20"/>
                <w:szCs w:val="20"/>
              </w:rPr>
              <w:t>This toolkit is intended for facilitators from indigenous peoples, local and mobile communities, and supporting community-based and non-governmental organizations. It is intended to support communities to secure their rights and responsibilities and strengthen customary ways of life and stewardship of their territories and areas.</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19*</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BioTrade and Access and Benefit Sharing: From concept to practice. A handbook for policymakers and regulators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United Nations Conference on Trade and Development (UNCTAD)</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2017</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http://unctad.org/en/PublicationsLibrary/ditcted2017d6_en.pdf</w:t>
            </w:r>
            <w:r w:rsidRPr="00A33406">
              <w:rPr>
                <w:kern w:val="22"/>
                <w:sz w:val="20"/>
                <w:szCs w:val="20"/>
              </w:rPr>
              <w:br/>
              <w:t>https://absch.cbd.int/database/VLR/ABSCH-VLR-SCBD-238549</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This tool aims to facilitate understanding of the interface between ABS and Biotrade principles and to orient policymakers and regulators in the development and implementation of BioTrade and ABS measures. Comprising nine sections, the handbook provides a glossary, a series of annexes with relevant case studies, two sets of checklists to guide policymakers and regulators as well as boxes and tables to illustrate examples and complimentary information.</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lastRenderedPageBreak/>
              <w:t>20</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Bonn Guidelines on Access to Genetic Resources and Fair and Equitable sharing of the Benefits Arising out of Their Utilization</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SCBD</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2002</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lang w:val="es-AR"/>
              </w:rPr>
            </w:pPr>
            <w:r w:rsidRPr="00A33406">
              <w:rPr>
                <w:kern w:val="22"/>
                <w:sz w:val="20"/>
                <w:szCs w:val="20"/>
                <w:lang w:val="es-AR"/>
              </w:rPr>
              <w:t>Ar, En, Es, Fr, Ru, Zh, De</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lang w:val="es-AR"/>
              </w:rPr>
            </w:pPr>
            <w:hyperlink r:id="rId31" w:history="1">
              <w:r w:rsidRPr="00A33406">
                <w:rPr>
                  <w:color w:val="0000FF"/>
                  <w:kern w:val="22"/>
                  <w:sz w:val="20"/>
                  <w:szCs w:val="20"/>
                  <w:u w:val="single"/>
                  <w:lang w:val="es-AR"/>
                </w:rPr>
                <w:t xml:space="preserve"> https://www.cbd.int/abs/bonn/</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These voluntary guidelines are meant to assist Parties, Governments and other stakeholders when establishing legislative, administrative or policy measures on access and benefit-sharing and/or when negotiating contractual arrangements for access and benefit-sharing.</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1, 2</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21*</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Capacity-building modules on how to integrate ABS in the Loroco (Fernaldia pandurata) value chain in the Dry Corridor of Guatemala</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Edgar Pérez / GIZ</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2017</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Es</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https://absch.cbd.int/database/VLR/ABSCH-VLR-SCBD-239060</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xml:space="preserve">This document aims to establish a methodology on how to integrate the concept of access and benefit-sharing (ABS) in the loroco (Fernldia pandurata) value chains, as a process in which the owners of traditional knowledge (associated to a genetic resource) promote its value in the value chain and obtain benefits. </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5</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22</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Community Protocols for Environmental Sustainability: A Guide for Policymakers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xml:space="preserve">UNEP and EDO NSW </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2013</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32" w:history="1">
              <w:r w:rsidRPr="00A33406">
                <w:rPr>
                  <w:color w:val="0000FF"/>
                  <w:kern w:val="22"/>
                  <w:sz w:val="20"/>
                  <w:szCs w:val="20"/>
                  <w:u w:val="single"/>
                </w:rPr>
                <w:t xml:space="preserve">www.unep.org/delc/Portals/119/publications/Community_Protocols_Guide_Policymakers.pdf  </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xml:space="preserve">This guide has been written to help policymakers and other stakeholders understand what community protocols are, why they are important, and how they can support their development and recognition within formal environmental legal and policy frameworks. </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23</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Community Protocols Toolbox</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Natural Justice</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2016</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33" w:history="1">
              <w:r w:rsidRPr="00A33406">
                <w:rPr>
                  <w:color w:val="0000FF"/>
                  <w:kern w:val="22"/>
                  <w:sz w:val="20"/>
                  <w:szCs w:val="20"/>
                  <w:u w:val="single"/>
                </w:rPr>
                <w:t>http://naturaljustice.org/community-protocols-toolbox/</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snapToGrid w:val="0"/>
                <w:kern w:val="22"/>
                <w:sz w:val="20"/>
                <w:szCs w:val="20"/>
              </w:rPr>
              <w:t>This toolbox breaks the community protocol process down into specific elements and provides context and issues to consider for each of those elements. It provides participatory tools, information on protocols in the context of extractive industries, and information about where relevant national and international laws can be found to support the legal empowerment elements of the protocol process. Though geared for facilitators, it is useful to anyone who is interested in understanding the major elements of community protocols.</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24*</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Documenting Traditional Knowledge - A Toolkit</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World Intellectual Property Organization (WIPO)</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2017</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http://www.wipo.int/tk/en/resources/tkdocumentation.html</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xml:space="preserve">The toolkit aims to provide useful </w:t>
            </w:r>
            <w:r w:rsidR="00620305" w:rsidRPr="00A33406">
              <w:rPr>
                <w:kern w:val="22"/>
                <w:sz w:val="20"/>
                <w:szCs w:val="20"/>
              </w:rPr>
              <w:t>practical</w:t>
            </w:r>
            <w:r w:rsidRPr="00A33406">
              <w:rPr>
                <w:kern w:val="22"/>
                <w:sz w:val="20"/>
                <w:szCs w:val="20"/>
              </w:rPr>
              <w:t xml:space="preserve"> guidance on how to undertake a TK documentation project and how to address critical issues relating to intellectual property as they arise during the documentation process. It presents a range of easy-to-use checklists and other resources to help ensure that anyone </w:t>
            </w:r>
            <w:r w:rsidRPr="00A33406">
              <w:rPr>
                <w:kern w:val="22"/>
                <w:sz w:val="20"/>
                <w:szCs w:val="20"/>
              </w:rPr>
              <w:lastRenderedPageBreak/>
              <w:t>considering a documentation project can address those issues effectively.</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lastRenderedPageBreak/>
              <w:t>n/a</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25*</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Drafting Successful Access and Benefit-sharing Contracts (Book)</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xml:space="preserve">T.R. Young &amp; M. W. Tvedt </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2017</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34" w:anchor="TOC_1" w:history="1">
              <w:r w:rsidRPr="00A33406">
                <w:rPr>
                  <w:color w:val="0000FF"/>
                  <w:kern w:val="22"/>
                  <w:sz w:val="20"/>
                  <w:szCs w:val="20"/>
                  <w:u w:val="single"/>
                </w:rPr>
                <w:t>http://www.brill.com/products/book/drafting-successful-access-and-benefit-sharing-contracts#TOC_1</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In Drafting Successful Access and Benefit-sharing Contracts, Young and Tvedt offer an insightful and profound analysis of how ABS can be made truly functional through the use of legally binding and enforceable contracts. Contracts are foreseen as the main legal tool for making access and benefit sharing work. Many years have gone by since contracts were first suggested as a solution to resolve the challenges of ABS, but so far few successful benefit-sharing cases have been presented. This volume explores the possibilities and limits of contract law which both practitioners and stakeholders need in order for ABS contracts to become an effective solution for sustainable use of biological diversity.</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3</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26</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Facilitating BioTrade in a Challenging Access and Benefit Sharing Environment</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lang w:val="fr-FR"/>
              </w:rPr>
            </w:pPr>
            <w:r w:rsidRPr="00A33406">
              <w:rPr>
                <w:kern w:val="22"/>
                <w:sz w:val="20"/>
                <w:szCs w:val="20"/>
                <w:lang w:val="fr-FR"/>
              </w:rPr>
              <w:t xml:space="preserve">Muller, M.; Rossow, V.; </w:t>
            </w:r>
            <w:r w:rsidRPr="00A33406">
              <w:rPr>
                <w:kern w:val="22"/>
                <w:sz w:val="20"/>
                <w:szCs w:val="20"/>
                <w:lang w:val="fr-FR"/>
              </w:rPr>
              <w:br/>
              <w:t>Vivas Eugui, D. / UNCTAD</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2016</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35" w:history="1">
              <w:r w:rsidRPr="00A33406">
                <w:rPr>
                  <w:color w:val="0000FF"/>
                  <w:kern w:val="22"/>
                  <w:sz w:val="20"/>
                  <w:szCs w:val="20"/>
                  <w:u w:val="single"/>
                </w:rPr>
                <w:t>https://absch.cbd.int/register/VLR/C11DFAD6-9786-DEAC-700A-F73F78374DE2/view</w:t>
              </w:r>
              <w:r w:rsidRPr="00A33406">
                <w:rPr>
                  <w:color w:val="0000FF"/>
                  <w:kern w:val="22"/>
                  <w:sz w:val="20"/>
                  <w:szCs w:val="20"/>
                  <w:u w:val="single"/>
                </w:rPr>
                <w:br/>
                <w:t>http://unctad.org/en/PublicationsLibrary/webditcted2016d4_en.pdf</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This scoping study offers an overview of the challenges faced and options available to implement BioTrade and ABS principles under the CBD and the Nagoya Protocol in a coherent manner. It further provides examples of how these challenges are being addressed. The study gives an overview of the current state-of-the-art discussions and issues in order to facilitate a better understanding of how to manage the interphase between BioTrade and ABS in practice.</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1,2, 5</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lastRenderedPageBreak/>
              <w:t>27</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Fair and Equitable Benefit Sharing: Manual for the Assessment of Policies and Practices Around Natural Ingredient Supply Chains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Union for Ethical Biotrade (UEBT)</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2013</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r w:rsidRPr="00A33406">
              <w:rPr>
                <w:color w:val="0000FF"/>
                <w:kern w:val="22"/>
                <w:sz w:val="20"/>
                <w:szCs w:val="20"/>
                <w:u w:val="single"/>
              </w:rPr>
              <w:t>https://absch.cbd.int/database/A19A20/ABSCH-A19A20-SCBD-207320</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This manual was developed to support the work of its trading and affiliate members, accredited verification bodies, and other organizations committed to Ethical BioTrade. The objective is to facilitate the implementation of equitable benefit sharing in Ethical BioTrade. To this end, it explains what the requirements of equitable benefit sharing in the Ethical BioTrade Standard mean in practice.</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3, 4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28*</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lang w:val="fr-FR"/>
              </w:rPr>
            </w:pPr>
            <w:r w:rsidRPr="00A33406">
              <w:rPr>
                <w:kern w:val="22"/>
                <w:sz w:val="20"/>
                <w:szCs w:val="20"/>
                <w:lang w:val="fr-FR"/>
              </w:rPr>
              <w:t>Guide l'APA, Pas à Pas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lang w:val="fr-FR"/>
              </w:rPr>
            </w:pPr>
            <w:r w:rsidRPr="00A33406">
              <w:rPr>
                <w:kern w:val="22"/>
                <w:sz w:val="20"/>
                <w:szCs w:val="20"/>
                <w:lang w:val="fr-FR"/>
              </w:rPr>
              <w:t>Fondation pour la recherche sur la biodiversité (FRB)</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2017</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Fr</w:t>
            </w:r>
          </w:p>
        </w:tc>
        <w:tc>
          <w:tcPr>
            <w:tcW w:w="2700" w:type="dxa"/>
            <w:tcBorders>
              <w:top w:val="nil"/>
              <w:left w:val="nil"/>
              <w:bottom w:val="single" w:sz="4" w:space="0" w:color="auto"/>
              <w:right w:val="single" w:sz="4" w:space="0" w:color="auto"/>
            </w:tcBorders>
            <w:shd w:val="clear" w:color="auto" w:fill="auto"/>
            <w:vAlign w:val="bottom"/>
            <w:hideMark/>
          </w:tcPr>
          <w:p w:rsidR="009E42C7" w:rsidRPr="00A33406" w:rsidRDefault="009E42C7" w:rsidP="00254EDF">
            <w:pPr>
              <w:jc w:val="left"/>
              <w:rPr>
                <w:kern w:val="22"/>
                <w:sz w:val="20"/>
                <w:szCs w:val="20"/>
              </w:rPr>
            </w:pPr>
            <w:r w:rsidRPr="00A33406">
              <w:rPr>
                <w:kern w:val="22"/>
                <w:sz w:val="20"/>
                <w:szCs w:val="20"/>
              </w:rPr>
              <w:t>http://www.fondationbiodiversite.fr/fr/actualite/231-2017/879-guide-de-l-apa-pas-a-pas.html</w:t>
            </w:r>
            <w:r w:rsidRPr="00A33406">
              <w:rPr>
                <w:kern w:val="22"/>
                <w:sz w:val="20"/>
                <w:szCs w:val="20"/>
              </w:rPr>
              <w:br/>
              <w:t>http://www.agence-nationale-recherche.fr/fileadmin/documents/2017/APA-pas-a-pas.pdf</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Researchers in French Guiana are re-organizing themselves to meet the requirements of the new decree on the Access to Genetic Resources and Benefit-sharing (ABS) that came into effect on 1 July 2017. A new guide "ABS Step-by-Step" (in French) has been created by a multi-stakeholder working group to guide researchers to comply with the ABS procedures requirements</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1, 2</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29</w:t>
            </w:r>
          </w:p>
        </w:tc>
        <w:tc>
          <w:tcPr>
            <w:tcW w:w="2970" w:type="dxa"/>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left"/>
              <w:rPr>
                <w:kern w:val="22"/>
                <w:sz w:val="20"/>
                <w:szCs w:val="20"/>
              </w:rPr>
            </w:pPr>
            <w:r w:rsidRPr="00A33406">
              <w:rPr>
                <w:kern w:val="22"/>
                <w:sz w:val="20"/>
                <w:szCs w:val="20"/>
              </w:rPr>
              <w:t>Guidelines for the development of mechanisms, legislation or other appropriate initiatives to ensure the [free,] prior informed consent [or approval and involvement] of indigenous peoples and local communities for accessing their knowledge, innovations and practices, the fair and equitable sharing of benefits arising from the use and application of such knowledge, innovations and practices relevant for the conservation and sustainable use of biological diversity, and for reporting and preventing unlawful appropriation of traditional knowledge</w:t>
            </w:r>
          </w:p>
        </w:tc>
        <w:tc>
          <w:tcPr>
            <w:tcW w:w="1350" w:type="dxa"/>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left"/>
              <w:rPr>
                <w:kern w:val="22"/>
                <w:sz w:val="20"/>
                <w:szCs w:val="20"/>
              </w:rPr>
            </w:pPr>
            <w:r w:rsidRPr="00A33406">
              <w:rPr>
                <w:kern w:val="22"/>
                <w:sz w:val="20"/>
                <w:szCs w:val="20"/>
              </w:rPr>
              <w:t>SCBD</w:t>
            </w:r>
          </w:p>
        </w:tc>
        <w:tc>
          <w:tcPr>
            <w:tcW w:w="810" w:type="dxa"/>
            <w:gridSpan w:val="2"/>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center"/>
              <w:rPr>
                <w:kern w:val="22"/>
                <w:sz w:val="20"/>
                <w:szCs w:val="20"/>
              </w:rPr>
            </w:pPr>
            <w:r w:rsidRPr="00A33406">
              <w:rPr>
                <w:kern w:val="22"/>
                <w:sz w:val="20"/>
                <w:szCs w:val="20"/>
              </w:rPr>
              <w:t>2016 (to be published 2018)</w:t>
            </w:r>
          </w:p>
        </w:tc>
        <w:tc>
          <w:tcPr>
            <w:tcW w:w="1170" w:type="dxa"/>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left"/>
              <w:rPr>
                <w:kern w:val="22"/>
                <w:sz w:val="20"/>
                <w:szCs w:val="20"/>
                <w:lang w:val="es-AR"/>
              </w:rPr>
            </w:pPr>
            <w:r w:rsidRPr="00A33406">
              <w:rPr>
                <w:kern w:val="22"/>
                <w:sz w:val="20"/>
                <w:szCs w:val="20"/>
                <w:lang w:val="es-AR"/>
              </w:rPr>
              <w:t>Ar, En, Es, Fr, Ru, Zh,</w:t>
            </w:r>
          </w:p>
        </w:tc>
        <w:tc>
          <w:tcPr>
            <w:tcW w:w="2700" w:type="dxa"/>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left"/>
              <w:rPr>
                <w:color w:val="0000FF"/>
                <w:kern w:val="22"/>
                <w:sz w:val="20"/>
                <w:szCs w:val="20"/>
                <w:u w:val="single"/>
                <w:lang w:val="es-AR"/>
              </w:rPr>
            </w:pPr>
            <w:hyperlink r:id="rId36" w:history="1">
              <w:r w:rsidRPr="00A33406">
                <w:rPr>
                  <w:color w:val="0000FF"/>
                  <w:kern w:val="22"/>
                  <w:sz w:val="20"/>
                  <w:szCs w:val="20"/>
                  <w:u w:val="single"/>
                  <w:lang w:val="es-AR"/>
                </w:rPr>
                <w:t>https://www.cbd.int/doc/?meeting=COP-13</w:t>
              </w:r>
            </w:hyperlink>
          </w:p>
        </w:tc>
        <w:tc>
          <w:tcPr>
            <w:tcW w:w="4230" w:type="dxa"/>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left"/>
              <w:rPr>
                <w:kern w:val="22"/>
                <w:sz w:val="20"/>
                <w:szCs w:val="20"/>
              </w:rPr>
            </w:pPr>
            <w:r w:rsidRPr="00A33406">
              <w:rPr>
                <w:kern w:val="22"/>
                <w:sz w:val="20"/>
                <w:szCs w:val="20"/>
              </w:rPr>
              <w:t>Voluntary guidelines were adopted by COP-13 to assist Parties in the development of national mechanisms, legislation or other appropriate initiatives in order to assist users and providers of traditional knowledge.</w:t>
            </w:r>
          </w:p>
        </w:tc>
        <w:tc>
          <w:tcPr>
            <w:tcW w:w="720" w:type="dxa"/>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left"/>
              <w:rPr>
                <w:kern w:val="22"/>
                <w:sz w:val="20"/>
                <w:szCs w:val="20"/>
              </w:rPr>
            </w:pPr>
            <w:r w:rsidRPr="00A33406">
              <w:rPr>
                <w:kern w:val="22"/>
                <w:sz w:val="20"/>
                <w:szCs w:val="20"/>
              </w:rPr>
              <w:t>1, 2, 4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lastRenderedPageBreak/>
              <w:t>30</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Guidelines on Access to Biological Resources and Associated Knowledge and Benefits Sharing Regulations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Ministry of Environment, Forests and Climate Change &amp; National Biodiversity Authority, India</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2014</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 Hindi</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37" w:history="1">
              <w:r w:rsidRPr="00A33406">
                <w:rPr>
                  <w:color w:val="0000FF"/>
                  <w:kern w:val="22"/>
                  <w:sz w:val="20"/>
                  <w:szCs w:val="20"/>
                  <w:u w:val="single"/>
                </w:rPr>
                <w:t>https://absch.cbd.int/database/MSR/ABSCH-MSR-IN-202163</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The purpose of these regulations is to bring out guidelines on Access and Benefit Sharing in compliance with the provisions of the Biological Diversity Act, 2002 and in pursuance of the Nagoya Protocol on Access to Genetic Resources and the Fair and equitable Sharing of Benefits Arising from their Utilization. The objective of the regulation is to provide guidance to the user on procedure for access to biological resources and/ or associated knowledge for various activities and mode of benefit sharing for access, scheme of processing the requests, etc. The guidelines are available on the ABS Clearing-House as a legislative, administrative or policy measure published by the Government of India.</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1, 2</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31</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How (Not) to Negotiate Access and Benefit Agreements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xml:space="preserve">Dr. Kabir Bavikatte/ </w:t>
            </w:r>
            <w:r w:rsidRPr="00A33406">
              <w:rPr>
                <w:kern w:val="22"/>
                <w:sz w:val="20"/>
                <w:szCs w:val="20"/>
              </w:rPr>
              <w:br/>
              <w:t>ABS Capacity Development Initiative</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2014</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38" w:history="1">
              <w:r w:rsidRPr="00A33406">
                <w:rPr>
                  <w:color w:val="0000FF"/>
                  <w:kern w:val="22"/>
                  <w:sz w:val="20"/>
                  <w:szCs w:val="20"/>
                  <w:u w:val="single"/>
                </w:rPr>
                <w:t>http://www.abs-initiative.info/fileadmin//media/Knowledge_Center/Pulications/ABS_AGreement/How_not_to_negotiate_Access_and_Benefit_Agreements_20140711.pdf</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Using real cases and different scenarios, this manual assists those negotiating access and benefit-sharing (ABS) agreements. The manual seeks to be holistic, offering a hands</w:t>
            </w:r>
            <w:r w:rsidRPr="00A33406">
              <w:rPr>
                <w:kern w:val="22"/>
                <w:sz w:val="20"/>
                <w:szCs w:val="20"/>
              </w:rPr>
              <w:noBreakHyphen/>
              <w:t>on approach to negotiating ABS agreements.</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3</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2"/>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32*</w:t>
            </w:r>
          </w:p>
        </w:tc>
        <w:tc>
          <w:tcPr>
            <w:tcW w:w="2970" w:type="dxa"/>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left"/>
              <w:rPr>
                <w:kern w:val="22"/>
                <w:sz w:val="20"/>
                <w:szCs w:val="20"/>
              </w:rPr>
            </w:pPr>
            <w:r w:rsidRPr="00A33406">
              <w:rPr>
                <w:kern w:val="22"/>
                <w:sz w:val="20"/>
                <w:szCs w:val="20"/>
              </w:rPr>
              <w:t>Intellectual Property and Genetic Resources, Traditional Knowledge and Traditional Cultural Expressions</w:t>
            </w:r>
          </w:p>
        </w:tc>
        <w:tc>
          <w:tcPr>
            <w:tcW w:w="1350" w:type="dxa"/>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left"/>
              <w:rPr>
                <w:kern w:val="22"/>
                <w:sz w:val="20"/>
                <w:szCs w:val="20"/>
              </w:rPr>
            </w:pPr>
            <w:r w:rsidRPr="00A33406">
              <w:rPr>
                <w:kern w:val="22"/>
                <w:sz w:val="20"/>
                <w:szCs w:val="20"/>
              </w:rPr>
              <w:t>World Intellectual Property Organization (WIPO)</w:t>
            </w:r>
          </w:p>
        </w:tc>
        <w:tc>
          <w:tcPr>
            <w:tcW w:w="810" w:type="dxa"/>
            <w:gridSpan w:val="2"/>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center"/>
              <w:rPr>
                <w:kern w:val="22"/>
                <w:sz w:val="20"/>
                <w:szCs w:val="20"/>
              </w:rPr>
            </w:pPr>
            <w:r w:rsidRPr="00A33406">
              <w:rPr>
                <w:kern w:val="22"/>
                <w:sz w:val="20"/>
                <w:szCs w:val="20"/>
              </w:rPr>
              <w:t>2015</w:t>
            </w:r>
          </w:p>
        </w:tc>
        <w:tc>
          <w:tcPr>
            <w:tcW w:w="1170" w:type="dxa"/>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left"/>
              <w:rPr>
                <w:kern w:val="22"/>
                <w:sz w:val="20"/>
                <w:szCs w:val="20"/>
              </w:rPr>
            </w:pPr>
            <w:r w:rsidRPr="00A33406">
              <w:rPr>
                <w:kern w:val="22"/>
                <w:sz w:val="20"/>
                <w:szCs w:val="20"/>
              </w:rPr>
              <w:t>http://www.wipo.int/edocs/pubdocs/en/tk/933/wipo_pub_933.pdf</w:t>
            </w:r>
          </w:p>
        </w:tc>
        <w:tc>
          <w:tcPr>
            <w:tcW w:w="4230" w:type="dxa"/>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left"/>
              <w:rPr>
                <w:kern w:val="22"/>
                <w:sz w:val="20"/>
                <w:szCs w:val="20"/>
              </w:rPr>
            </w:pPr>
            <w:r w:rsidRPr="00A33406">
              <w:rPr>
                <w:kern w:val="22"/>
                <w:sz w:val="20"/>
                <w:szCs w:val="20"/>
              </w:rPr>
              <w:t>The objective of this booklet is to offer general and basic information on the interface between intellectual property (IP) and traditional knowledge (TK), traditional cultural expressions (TCEs), and genetic resources (GRs). It briefly addresses the most important questions that arise when considering the role that IP principles and systems can play in protecting TK and TCEs from misappropriation, and in generating and equitably sharing benefits from their commercialization, and the role of IP in access to and benefit-sharing in GRs.</w:t>
            </w:r>
          </w:p>
        </w:tc>
        <w:tc>
          <w:tcPr>
            <w:tcW w:w="720" w:type="dxa"/>
            <w:tcBorders>
              <w:top w:val="nil"/>
              <w:left w:val="nil"/>
              <w:bottom w:val="single" w:sz="4" w:space="0" w:color="auto"/>
              <w:right w:val="single" w:sz="4" w:space="0" w:color="auto"/>
            </w:tcBorders>
            <w:shd w:val="clear" w:color="auto" w:fill="auto"/>
            <w:vAlign w:val="center"/>
          </w:tcPr>
          <w:p w:rsidR="009E42C7" w:rsidRPr="00A33406" w:rsidRDefault="009E42C7" w:rsidP="00254EDF">
            <w:pPr>
              <w:jc w:val="center"/>
              <w:rPr>
                <w:kern w:val="22"/>
                <w:sz w:val="20"/>
                <w:szCs w:val="20"/>
              </w:rPr>
            </w:pPr>
            <w:r w:rsidRPr="00A33406">
              <w:rPr>
                <w:kern w:val="22"/>
                <w:sz w:val="20"/>
                <w:szCs w:val="20"/>
              </w:rPr>
              <w:t>n/a</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lastRenderedPageBreak/>
              <w:t>33*</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Introduction to Access and Benefit-Sharing and the Nagoya Protocol: What DNA Barcoding Researchers Need to Know</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Kate Davis, Alex Borisenko</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2017</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39" w:history="1">
              <w:r w:rsidRPr="00A33406">
                <w:rPr>
                  <w:color w:val="0000FF"/>
                  <w:kern w:val="22"/>
                  <w:sz w:val="20"/>
                  <w:szCs w:val="20"/>
                  <w:u w:val="single"/>
                </w:rPr>
                <w:t>https://absch.cbd.int/database/VLR/ABSCH-VLR-SCBD-238968/1</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This e-book explains the basic framework of access and benefit-sharing (ABS) under the Convention and the Nagoya Protocol. The e-book is intended for ‘DNA barcoders’ – researchers and practitioners using DNA-based approaches, such as DNA barcoding, for the identification of organisms. It aims to help them understand how access and benefit-sharing relates to their work and the steps to take to avoid problems. It also points to opportunities provided by the Nagoya Protocol for researchers and practitioners to raise awareness of their work and identify for themselves the specific practices within their field as these relate to access and benefit-sharing.</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34</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Introduction to Drafting Successful Access and Benefit-Sharing Contracts (Brochure)</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 Young &amp; M. Walløe Twedt/</w:t>
            </w:r>
            <w:r w:rsidRPr="00A33406">
              <w:rPr>
                <w:kern w:val="22"/>
                <w:sz w:val="20"/>
                <w:szCs w:val="20"/>
              </w:rPr>
              <w:br/>
            </w:r>
            <w:r w:rsidRPr="00A33406">
              <w:rPr>
                <w:kern w:val="22"/>
                <w:sz w:val="20"/>
                <w:szCs w:val="20"/>
              </w:rPr>
              <w:br/>
              <w:t>ABS Capacity Development Initiative, Fridtjof Nansen Institute</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2016</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http://www.abs-initiative.info/fileadmin/media/Knowledge_Center/Pulications/Introduction_to_Drafting_Successful_ABS_Agreements/Introduction_to_Drafting_Successful_ABS_contracts_-_ABS-I_FNI_-_201609.pdf</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This booklet provides an extremely brief summary of the main rules, issues and questions that the parties to an ABS transaction must be aware of when negotiating, drafting and implementing an ABS contract. Its goal is to introduce the information contained in a researched book that has been developed going more into details of contracting for ABS, offering practical lessons and guidance to the persons who might have the responsibility for negotiating and drafting ABS contracts.</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3</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lastRenderedPageBreak/>
              <w:t>35</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xml:space="preserve">IUCN-Sur Publications on ABS in Latin America and the Caribbean (4): </w:t>
            </w:r>
          </w:p>
          <w:p w:rsidR="009E42C7" w:rsidRPr="00A33406" w:rsidRDefault="009E42C7" w:rsidP="009E42C7">
            <w:pPr>
              <w:numPr>
                <w:ilvl w:val="0"/>
                <w:numId w:val="55"/>
              </w:numPr>
              <w:ind w:left="254" w:hanging="254"/>
              <w:jc w:val="left"/>
              <w:rPr>
                <w:rFonts w:ascii="Times" w:hAnsi="Times" w:cs="Times"/>
                <w:kern w:val="22"/>
                <w:sz w:val="20"/>
                <w:szCs w:val="20"/>
                <w:lang w:val="fr-FR"/>
              </w:rPr>
            </w:pPr>
            <w:r w:rsidRPr="00A33406">
              <w:rPr>
                <w:rFonts w:ascii="Times" w:hAnsi="Times" w:cs="Times"/>
                <w:kern w:val="22"/>
                <w:sz w:val="20"/>
                <w:szCs w:val="20"/>
                <w:lang w:val="fr-FR"/>
              </w:rPr>
              <w:t xml:space="preserve">Seis Estudios de Caso en América Latina y el Caribe: Acceso a Recursos Genéticos y Distribución de Beneficios </w:t>
            </w:r>
          </w:p>
          <w:p w:rsidR="009E42C7" w:rsidRPr="00A33406" w:rsidRDefault="009E42C7" w:rsidP="009E42C7">
            <w:pPr>
              <w:numPr>
                <w:ilvl w:val="0"/>
                <w:numId w:val="55"/>
              </w:numPr>
              <w:ind w:left="254" w:hanging="254"/>
              <w:jc w:val="left"/>
              <w:rPr>
                <w:rFonts w:ascii="Times" w:hAnsi="Times" w:cs="Times"/>
                <w:kern w:val="22"/>
                <w:sz w:val="20"/>
                <w:szCs w:val="20"/>
                <w:lang w:val="fr-FR"/>
              </w:rPr>
            </w:pPr>
            <w:r w:rsidRPr="00A33406">
              <w:rPr>
                <w:rFonts w:ascii="Times" w:hAnsi="Times" w:cs="Times"/>
                <w:kern w:val="22"/>
                <w:sz w:val="20"/>
                <w:szCs w:val="20"/>
                <w:lang w:val="fr-FR"/>
              </w:rPr>
              <w:t xml:space="preserve">Acceso a Recursos Genéticos en América Latina y el Caribe: Investigación, Comercialización y Cosmovisión Indígen </w:t>
            </w:r>
          </w:p>
          <w:p w:rsidR="009E42C7" w:rsidRPr="00A33406" w:rsidRDefault="009E42C7" w:rsidP="009E42C7">
            <w:pPr>
              <w:numPr>
                <w:ilvl w:val="0"/>
                <w:numId w:val="55"/>
              </w:numPr>
              <w:ind w:left="254" w:hanging="254"/>
              <w:jc w:val="left"/>
              <w:rPr>
                <w:rFonts w:ascii="Times" w:hAnsi="Times" w:cs="Times"/>
                <w:kern w:val="22"/>
                <w:sz w:val="20"/>
                <w:szCs w:val="20"/>
                <w:lang w:val="fr-FR"/>
              </w:rPr>
            </w:pPr>
            <w:r w:rsidRPr="00A33406">
              <w:rPr>
                <w:rFonts w:ascii="Times" w:hAnsi="Times" w:cs="Times"/>
                <w:kern w:val="22"/>
                <w:sz w:val="20"/>
                <w:szCs w:val="20"/>
                <w:lang w:val="fr-FR"/>
              </w:rPr>
              <w:t xml:space="preserve">Acceso a recursos genéticos en América Latina y el Caribe: implementación del Protocolo de Nagoya a nivel nacional </w:t>
            </w:r>
          </w:p>
          <w:p w:rsidR="009E42C7" w:rsidRPr="00A33406" w:rsidRDefault="009E42C7" w:rsidP="009E42C7">
            <w:pPr>
              <w:numPr>
                <w:ilvl w:val="0"/>
                <w:numId w:val="55"/>
              </w:numPr>
              <w:ind w:left="254" w:hanging="254"/>
              <w:jc w:val="left"/>
              <w:rPr>
                <w:kern w:val="22"/>
                <w:sz w:val="20"/>
                <w:szCs w:val="20"/>
                <w:lang w:val="es-AR"/>
              </w:rPr>
            </w:pPr>
            <w:r w:rsidRPr="00A33406">
              <w:rPr>
                <w:rFonts w:ascii="Times" w:hAnsi="Times" w:cs="Times"/>
                <w:kern w:val="22"/>
                <w:sz w:val="20"/>
                <w:szCs w:val="20"/>
                <w:lang w:val="fr-FR"/>
              </w:rPr>
              <w:t>Acceso a recursos genéticos en América Latina y el Caribe: herramientas de apoyo para la implementación</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Various authors / International Union for Conservation of Nature (IUCN)</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2014</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Es</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40" w:history="1">
              <w:r w:rsidRPr="00A33406">
                <w:rPr>
                  <w:color w:val="0000FF"/>
                  <w:kern w:val="22"/>
                  <w:sz w:val="20"/>
                  <w:szCs w:val="20"/>
                  <w:u w:val="single"/>
                </w:rPr>
                <w:t>http://www.portalces.org/biblioteca/distribucion-equitativa-de-costos-beneficios?keys=Acceso+a+Recursos+Gen%C3%A9ticos+en+Am%C3%A9rica+Latina+y+el+Caribe</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A series of practical tools have been developed by the Regional Project-ABS-LAC to improve capacities in the field of ABS through the sharing of experiences and lessons learned. These publications have been assembled from the knowledge of a range of experts (national and regional authorities, indigenous and local communities, researchers, academia, private sector, etc.).</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1, 2</w:t>
            </w:r>
          </w:p>
        </w:tc>
      </w:tr>
      <w:tr w:rsidR="00A33406"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2"/>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lastRenderedPageBreak/>
              <w:t>36*</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Key Questions on Patent Disclosure Requirements for Genetic Resources and Traditional Knowledge</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World Intellectual Property Organization (WIPO)</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2017</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http://www.wipo.int/edocs/pubdocs/en/wipo_pub_1047.pdf</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The publication focuses on patent disclosure requirements, and is technical in nature. Authored by Claudio Chiarolla, former WIPO legal officer in the Traditional Knowledge Division, and Burcu Kılıç, WIPO consultant, the publication analyses the choices available to policymakers regarding patent disclosure requirements related to genetic resources and traditional knowledge. The publication documents “the variety of issues at stake and the many options available,” through examples from different national and regional jurisdictions. This exploration of options is meant to help policymakers to reach informed decisions and facilitate understanding, implementation and training, in particular by focusing on key questions to be considered at each stage of the policy development process.</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n/a</w:t>
            </w:r>
          </w:p>
        </w:tc>
      </w:tr>
      <w:tr w:rsidR="00913321" w:rsidRPr="00A33406" w:rsidTr="0091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37</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Methodology for Developing Policies and Laws for Access to Genetic Resources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kern w:val="22"/>
                <w:sz w:val="20"/>
                <w:szCs w:val="20"/>
              </w:rPr>
            </w:pPr>
            <w:r w:rsidRPr="00A33406">
              <w:rPr>
                <w:kern w:val="22"/>
                <w:sz w:val="20"/>
                <w:szCs w:val="20"/>
              </w:rPr>
              <w:t>Lewis-Lettington,</w:t>
            </w:r>
          </w:p>
          <w:p w:rsidR="009E42C7" w:rsidRPr="00A33406" w:rsidRDefault="009E42C7" w:rsidP="00254EDF">
            <w:pPr>
              <w:pStyle w:val="Para1"/>
              <w:pBdr>
                <w:bottom w:val="nil"/>
              </w:pBdr>
              <w:spacing w:before="0" w:after="0"/>
              <w:jc w:val="left"/>
              <w:rPr>
                <w:kern w:val="22"/>
                <w:sz w:val="20"/>
                <w:szCs w:val="20"/>
              </w:rPr>
            </w:pPr>
            <w:r w:rsidRPr="00A33406">
              <w:rPr>
                <w:kern w:val="22"/>
                <w:sz w:val="20"/>
                <w:szCs w:val="20"/>
              </w:rPr>
              <w:t xml:space="preserve">Ruiz Muller, </w:t>
            </w:r>
          </w:p>
          <w:p w:rsidR="009E42C7" w:rsidRPr="00A33406" w:rsidRDefault="009E42C7" w:rsidP="00254EDF">
            <w:pPr>
              <w:pStyle w:val="Para1"/>
              <w:pBdr>
                <w:bottom w:val="nil"/>
              </w:pBdr>
              <w:spacing w:before="0" w:after="0"/>
              <w:jc w:val="left"/>
              <w:rPr>
                <w:kern w:val="22"/>
                <w:sz w:val="20"/>
                <w:szCs w:val="20"/>
              </w:rPr>
            </w:pPr>
            <w:r w:rsidRPr="00A33406">
              <w:rPr>
                <w:kern w:val="22"/>
                <w:sz w:val="20"/>
                <w:szCs w:val="20"/>
              </w:rPr>
              <w:t xml:space="preserve">Young, Nnadozie, Halewood, &amp; Cabrera Medaglia (eds.)/ </w:t>
            </w:r>
          </w:p>
          <w:p w:rsidR="009E42C7" w:rsidRPr="00A33406" w:rsidRDefault="009E42C7" w:rsidP="00254EDF">
            <w:pPr>
              <w:jc w:val="left"/>
              <w:rPr>
                <w:kern w:val="22"/>
                <w:sz w:val="20"/>
                <w:szCs w:val="20"/>
              </w:rPr>
            </w:pPr>
            <w:r w:rsidRPr="00A33406">
              <w:rPr>
                <w:snapToGrid w:val="0"/>
                <w:kern w:val="22"/>
                <w:sz w:val="20"/>
                <w:szCs w:val="20"/>
              </w:rPr>
              <w:t>IPGRI</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u w:val="single"/>
              </w:rPr>
            </w:pPr>
            <w:hyperlink r:id="rId41" w:history="1">
              <w:r w:rsidRPr="00A33406">
                <w:rPr>
                  <w:kern w:val="22"/>
                  <w:sz w:val="20"/>
                  <w:szCs w:val="20"/>
                  <w:u w:val="single"/>
                </w:rPr>
                <w:t>http://www.bioversityinternational.org/e-library/publications/detail/methodology-for-developing-policies-and-laws-for-access-to-genetic-resources-and-benefit-sharing/</w:t>
              </w:r>
            </w:hyperlink>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This methodology is intended to be a guide to thinking through the process of policy development in the context of access to genetic resources so as to promote the effectiveness of the resulting regimes in the situations in which they are required to function. It can be used in the generation of new policies or laws; alternatively, it could also be applied in the context of evaluating existing policies and legislation to identify where gaps, administrative burdens and transaction costs in general may be negatively affecting implementation.</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1, 2</w:t>
            </w:r>
          </w:p>
        </w:tc>
      </w:tr>
      <w:tr w:rsidR="00A33406"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lastRenderedPageBreak/>
              <w:t>38</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Mutually Supportive Implementation of the Plant Treaty and the Nagoya Protocol - A Primer for National Focal Points and Other Stakeholders. Discussion Draft.</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Bioversity International</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 Fr</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42" w:history="1">
              <w:r w:rsidRPr="00A33406">
                <w:rPr>
                  <w:color w:val="0000FF"/>
                  <w:kern w:val="22"/>
                  <w:sz w:val="20"/>
                  <w:szCs w:val="20"/>
                  <w:u w:val="single"/>
                </w:rPr>
                <w:t xml:space="preserve">http://www.bioversityinternational.org/e-library/publications/detail/mutually-supportive-implementation-of-the-plant-treaty-and-the-nagoya-protocol/ </w:t>
              </w:r>
            </w:hyperlink>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This report of the tandem workshop for national focal points of the Nagoya Protocol and the International Treaty on Plant Genetic Resources for Food and Agriculture (ITPGRFA) addresses a number of scenarios at the interface between the two instruments and provides guidance for policy and administrative actors in their mutually supportive implementation at the national level. The workshop was organized in June 2014 by the ABS Initiative and Bioversity International.</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39</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Nagoya Protocol on Access and Benefit Sharing. Summary Guidance to Parties’ Obligations and Commitment under the Protocol and means for their incorporation into domestic legislative, administrative and/or policy frameworks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Caribbean Community (CARICOM) Secretariat</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Summary Guidance to Parties’ Obligations and Commitment under the Protocol and means for their incorporation into domestic legislative, administrative and/or policy frameworks.</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1,2</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40*</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Online Permitting and Monitoring System Supporting National Implementation of the Nagoya Protocol on ABS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Paul Oldham, Olivier Rukundo &amp; Hartmut Meyer</w:t>
            </w:r>
            <w:r w:rsidRPr="00A33406">
              <w:rPr>
                <w:kern w:val="22"/>
                <w:sz w:val="20"/>
                <w:szCs w:val="20"/>
              </w:rPr>
              <w:br/>
              <w:t>/ ABS Capacity Development Initiative</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2016</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http://www.abs-initiative.info/fileadmin/media/Knowledge_Center/Pulications/Online_Tool/Online_Permit_and_Monitoring_System_Supporting_National_NP_Implementation_-_ABS_Initiative_-_20161203.pdf</w:t>
            </w:r>
            <w:r w:rsidRPr="00A33406">
              <w:rPr>
                <w:kern w:val="22"/>
                <w:sz w:val="20"/>
                <w:szCs w:val="20"/>
              </w:rPr>
              <w:br/>
              <w:t>https://absch.cbd.int/database/VLR/ABSCH-VLR-SCBD-209148</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This concept paper sets out the model for an online research permit and monitoring system to facilitate national implementation of access, benefit-sharing, monitoring and reporting provisions of the Nagoya Protocol.</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41*</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lang w:val="es-AR"/>
              </w:rPr>
            </w:pPr>
            <w:r w:rsidRPr="00A33406">
              <w:rPr>
                <w:kern w:val="22"/>
                <w:sz w:val="20"/>
                <w:szCs w:val="20"/>
                <w:lang w:val="es-AR"/>
              </w:rPr>
              <w:t xml:space="preserve">Practical Manual for Accessing Genetic Resources and Traditional Knowledge in Peru [Manual practico para acceder a los recursos geneticos y usal los </w:t>
            </w:r>
            <w:r w:rsidRPr="00A33406">
              <w:rPr>
                <w:kern w:val="22"/>
                <w:sz w:val="20"/>
                <w:szCs w:val="20"/>
                <w:lang w:val="es-AR"/>
              </w:rPr>
              <w:lastRenderedPageBreak/>
              <w:t>conocimients tradicionales de los pueblos indigenas del Peru]</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lang w:val="es-AR"/>
              </w:rPr>
            </w:pPr>
            <w:r w:rsidRPr="00A33406">
              <w:rPr>
                <w:kern w:val="22"/>
                <w:sz w:val="20"/>
                <w:szCs w:val="20"/>
                <w:lang w:val="es-AR"/>
              </w:rPr>
              <w:lastRenderedPageBreak/>
              <w:t>Comision nacional contra la Biopirateria (Indecopi), Peru</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2016/2017?</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Es</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https://www.indecopi.gob.pe/documents/20791/203175/MANUAL+CONOCIMIENTOS+COLECTIVOS.pdf/54216ce9-d3c9-4e59-a065-86d5427ee498</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Practical Manual for Accessing Genetic Resources and Traditional Knowledge in Peru her</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1, 4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42*</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Protect and Promote Your Culture. A Practical Guide to Intellectual Property for Indigenous Peoples and Local Communities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World Intellectual Property Organization (WIPO)</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2017</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http://www.wipo.int/edocs/pubdocs/en/wipo_pub_1048.pdf</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The Practical Guide, authored by Begoña Venero Aguirre from WIPO, and Hai-Yuean Tualima, WIPO Indigenous Fellow, aims at helping indigenous peoples and local communities better understand the intellectual property system to be able to make more informed decisions about the use of IP to protect their knowledge. The guide provides several examples of IP tools, such as copyright, patents, certification marks, geographical indications, and trade secrets, which can be used to protect TK and TCEs.</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n/a</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43</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South Africa's Bioprospecting, Access and Benefit-sharing Regulatory Framework: Guidelines for Providers, Users and Regulators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Department of Environmental Affairs, Republic of South Africa</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2012</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43" w:history="1">
              <w:r w:rsidRPr="00A33406">
                <w:rPr>
                  <w:color w:val="0000FF"/>
                  <w:kern w:val="22"/>
                  <w:sz w:val="20"/>
                  <w:szCs w:val="20"/>
                  <w:u w:val="single"/>
                </w:rPr>
                <w:t>https://absch.cbd.int/api/v2013/documents/5532F1F7-5C4D-4DA9-414C-C034F22648C5/attachments/BABS%20Guidelines.pdf</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These guidelines are for providers, users and regulators of the use of biological and genetic resources and the associated traditional knowledge, and they outline a practical approach for compliance with the legislation. The guidelines endeavor to assist different stakeholders to understand the legal requirements and their rights in terms of the law.</w:t>
            </w:r>
          </w:p>
        </w:tc>
        <w:tc>
          <w:tcPr>
            <w:tcW w:w="720" w:type="dxa"/>
            <w:tcBorders>
              <w:top w:val="nil"/>
              <w:left w:val="nil"/>
              <w:bottom w:val="single" w:sz="4" w:space="0" w:color="auto"/>
              <w:right w:val="single" w:sz="4" w:space="0" w:color="auto"/>
            </w:tcBorders>
            <w:shd w:val="clear" w:color="000000" w:fill="FFFFFF"/>
            <w:vAlign w:val="center"/>
            <w:hideMark/>
          </w:tcPr>
          <w:p w:rsidR="009E42C7" w:rsidRPr="00A33406" w:rsidRDefault="009E42C7" w:rsidP="00254EDF">
            <w:pPr>
              <w:jc w:val="center"/>
              <w:rPr>
                <w:kern w:val="22"/>
                <w:sz w:val="20"/>
                <w:szCs w:val="20"/>
              </w:rPr>
            </w:pPr>
            <w:r w:rsidRPr="00A33406">
              <w:rPr>
                <w:kern w:val="22"/>
                <w:sz w:val="20"/>
                <w:szCs w:val="20"/>
              </w:rPr>
              <w:t>1, 2</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44</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Strategic Communication for ABS: A Conceptual Guide and Toolkit for Practitioners (“CEPA Guide”)</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ABS Capacity Development Initiative</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2016</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 Es, Fr, Portuguese</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44" w:history="1">
              <w:r w:rsidRPr="00A33406">
                <w:rPr>
                  <w:color w:val="0000FF"/>
                  <w:kern w:val="22"/>
                  <w:sz w:val="20"/>
                  <w:szCs w:val="20"/>
                  <w:u w:val="single"/>
                </w:rPr>
                <w:t>http://www.abs-initiative.info/knowledge-center/publications/</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This Guide offers advice about the role, relevance and use of communication for implementing Access and Benefit-sharing (ABS) systems at the national level. It provides an overview of communication considerations, approaches and methods for the different phases of ABS implementation. Available in English, French, Spanish and Portuguese.</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lastRenderedPageBreak/>
              <w:t>45*</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lang w:val="es-AR"/>
              </w:rPr>
            </w:pPr>
            <w:r w:rsidRPr="00A33406">
              <w:rPr>
                <w:kern w:val="22"/>
                <w:sz w:val="20"/>
                <w:szCs w:val="20"/>
              </w:rPr>
              <w:t xml:space="preserve">Systematization of the training modules to integrate ABS in the Loroco value chain (Fernaldia pandurata), training workshop with producers from El Progreso, Jalapa and Salamá. </w:t>
            </w:r>
            <w:r w:rsidRPr="00A33406">
              <w:rPr>
                <w:kern w:val="22"/>
                <w:sz w:val="20"/>
                <w:szCs w:val="20"/>
                <w:lang w:val="es-AR"/>
              </w:rPr>
              <w:t>[Sistematización sobre módulos de capacitación y abordaje del tema de ABS en la cadena de valor del Loroco (Fernaldia pandurata) con productores de El Progreso, Jalapa y Salamá.]</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Edgar Pérez / GIZ</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2017</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Es</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hyperlink r:id="rId45" w:history="1">
              <w:r w:rsidRPr="00A33406">
                <w:rPr>
                  <w:color w:val="0000FF"/>
                  <w:kern w:val="22"/>
                  <w:sz w:val="20"/>
                  <w:szCs w:val="20"/>
                  <w:u w:val="single"/>
                </w:rPr>
                <w:t>https://absch.cbd.int/database/VLR/ABSCH-VLR-SCBD-239061</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xml:space="preserve">Using the experience of practical workshops with farmers from El Progreso, Jalapa and Salamá, this document gives </w:t>
            </w:r>
            <w:r w:rsidR="00913321" w:rsidRPr="00A33406">
              <w:rPr>
                <w:kern w:val="22"/>
                <w:sz w:val="20"/>
                <w:szCs w:val="20"/>
              </w:rPr>
              <w:t>recommendations</w:t>
            </w:r>
            <w:r w:rsidRPr="00A33406">
              <w:rPr>
                <w:kern w:val="22"/>
                <w:sz w:val="20"/>
                <w:szCs w:val="20"/>
              </w:rPr>
              <w:t xml:space="preserve"> on how to make the connection between ABS and genetic resources value chain using the example of Loroco (Fernaldia pandurata).</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1, 5</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pStyle w:val="Para1"/>
              <w:pBdr>
                <w:bottom w:val="nil"/>
              </w:pBdr>
              <w:spacing w:before="0" w:after="0"/>
              <w:jc w:val="left"/>
              <w:rPr>
                <w:bCs/>
                <w:kern w:val="22"/>
                <w:sz w:val="20"/>
                <w:szCs w:val="20"/>
              </w:rPr>
            </w:pPr>
            <w:r w:rsidRPr="00A33406">
              <w:rPr>
                <w:bCs/>
                <w:kern w:val="22"/>
                <w:sz w:val="20"/>
                <w:szCs w:val="20"/>
              </w:rPr>
              <w:t>46</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The ABS Agreement - Key Elements and Commentary</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snapToGrid w:val="0"/>
                <w:kern w:val="22"/>
                <w:sz w:val="20"/>
                <w:szCs w:val="20"/>
              </w:rPr>
              <w:t>Heimuller, Meyer, Bavikatta, Walloe Tvedt, Normand &amp; du Plessis /</w:t>
            </w:r>
            <w:r w:rsidRPr="00A33406">
              <w:rPr>
                <w:snapToGrid w:val="0"/>
                <w:kern w:val="22"/>
                <w:sz w:val="20"/>
                <w:szCs w:val="20"/>
              </w:rPr>
              <w:br/>
              <w:t>ABS Capacity Development Initiative</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2014</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r w:rsidRPr="00A33406">
              <w:rPr>
                <w:color w:val="0000FF"/>
                <w:kern w:val="22"/>
                <w:sz w:val="20"/>
                <w:szCs w:val="20"/>
                <w:u w:val="single"/>
              </w:rPr>
              <w:t>http://www.abs-initiative.info/fileadmin/media/Events/2014/5-8_August_2014__Nadi__Fiji/The_ABS_Agreement_-_Key_Elements_and_Commentary.pdf</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This publication lays out what an effective ABS agreement should look like. What makes it so distinct and which elements should it contain?</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3, 4</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bCs/>
                <w:kern w:val="22"/>
                <w:sz w:val="20"/>
                <w:szCs w:val="20"/>
              </w:rPr>
            </w:pPr>
            <w:r w:rsidRPr="00A33406">
              <w:rPr>
                <w:bCs/>
                <w:kern w:val="22"/>
                <w:sz w:val="20"/>
                <w:szCs w:val="20"/>
              </w:rPr>
              <w:t>47</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The Convention on Biological Diversity and the Nagoya Protocol: Intellectual Property Implications - A Handbook on the Interface between Global Access and Benefit Sharing Rules and Intellectual Property</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lang w:val="fr-FR"/>
              </w:rPr>
            </w:pPr>
            <w:r w:rsidRPr="00A33406">
              <w:rPr>
                <w:snapToGrid w:val="0"/>
                <w:kern w:val="22"/>
                <w:sz w:val="20"/>
                <w:szCs w:val="20"/>
                <w:lang w:val="fr-FR"/>
              </w:rPr>
              <w:t>Adachi, Meyer, Vivas Eugui &amp; Seuba / UNCTAD</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right"/>
              <w:rPr>
                <w:kern w:val="22"/>
                <w:sz w:val="20"/>
                <w:szCs w:val="20"/>
              </w:rPr>
            </w:pPr>
            <w:r w:rsidRPr="00A33406">
              <w:rPr>
                <w:kern w:val="22"/>
                <w:sz w:val="20"/>
                <w:szCs w:val="20"/>
              </w:rPr>
              <w:t>2014</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color w:val="0000FF"/>
                <w:kern w:val="22"/>
                <w:sz w:val="20"/>
                <w:szCs w:val="20"/>
                <w:u w:val="single"/>
              </w:rPr>
            </w:pPr>
            <w:r w:rsidRPr="00A33406">
              <w:rPr>
                <w:color w:val="0000FF"/>
                <w:kern w:val="22"/>
                <w:sz w:val="20"/>
                <w:szCs w:val="20"/>
                <w:u w:val="single"/>
              </w:rPr>
              <w:t>https://absch.cbd.int/register/VLR/F4DD22AC-B801-5F16-39FC-7B2CC9953966/view</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This publication has been developed as a handbook aimed at better understanding the intellectual property implications of the 1992 Convention on Biological Diversity and the Nagoya Protocol on Access to Genetic Resources and the Fair and Equitable Sharing of Benefits arising from their Utilization. When used as a textbook, it can be adapted to courses of various formats, including lectures, distance learning and blended learning.</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right"/>
              <w:rPr>
                <w:kern w:val="22"/>
                <w:sz w:val="20"/>
                <w:szCs w:val="20"/>
              </w:rPr>
            </w:pPr>
            <w:r w:rsidRPr="00A33406">
              <w:rPr>
                <w:kern w:val="22"/>
                <w:sz w:val="20"/>
                <w:szCs w:val="20"/>
              </w:rPr>
              <w:t>1</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bCs/>
                <w:kern w:val="22"/>
                <w:sz w:val="20"/>
                <w:szCs w:val="20"/>
              </w:rPr>
            </w:pPr>
            <w:r w:rsidRPr="00A33406">
              <w:rPr>
                <w:bCs/>
                <w:kern w:val="22"/>
                <w:sz w:val="20"/>
                <w:szCs w:val="20"/>
              </w:rPr>
              <w:lastRenderedPageBreak/>
              <w:t>48</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Understanding the Nagoya Protocol on Access and Benefit-sharing. Background Material and Instructions for Role Play</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International Union for Conservation of Nature (IUCN)</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Presented in the role play is a hypothetical scenario with fictitious countries, parties and species. The hypothetical scenario is designed to raise awareness about access and benefit</w:t>
            </w:r>
            <w:r w:rsidRPr="00A33406">
              <w:rPr>
                <w:kern w:val="22"/>
                <w:sz w:val="20"/>
                <w:szCs w:val="20"/>
              </w:rPr>
              <w:noBreakHyphen/>
              <w:t>sharing (ABS) issues as they relate to the Convention on Biological Diversity (CBD) and its Nagoya Protocol on ABS.</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jc w:val="left"/>
              <w:rPr>
                <w:bCs/>
                <w:kern w:val="22"/>
                <w:sz w:val="20"/>
                <w:szCs w:val="20"/>
              </w:rPr>
            </w:pPr>
            <w:r w:rsidRPr="00A33406">
              <w:rPr>
                <w:bCs/>
                <w:kern w:val="22"/>
                <w:sz w:val="20"/>
                <w:szCs w:val="20"/>
              </w:rPr>
              <w:t>49*</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User Guide / Questions and Answers - DECLARE Nagoya IT System</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European Commission</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version 09/2017</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https://www.gov.uk/government/uploads/system/uploads/attachment_data/file/653226/DECLARE_ABS_QA.docx</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1, 2</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jc w:val="left"/>
              <w:rPr>
                <w:bCs/>
                <w:kern w:val="22"/>
                <w:sz w:val="20"/>
                <w:szCs w:val="20"/>
              </w:rPr>
            </w:pPr>
            <w:r w:rsidRPr="00A33406">
              <w:rPr>
                <w:bCs/>
                <w:kern w:val="22"/>
                <w:sz w:val="20"/>
                <w:szCs w:val="20"/>
              </w:rPr>
              <w:t>50*</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Utilization of genetic resources and associated traditional knowledge in academic research. A good practice guide for ABS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Swiss Acadmey of Sciences (SCNAT)</w:t>
            </w:r>
          </w:p>
        </w:tc>
        <w:tc>
          <w:tcPr>
            <w:tcW w:w="810" w:type="dxa"/>
            <w:gridSpan w:val="2"/>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2016</w:t>
            </w:r>
          </w:p>
        </w:tc>
        <w:tc>
          <w:tcPr>
            <w:tcW w:w="11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https://naturalsciences.ch/uuid/6527b50d-3a53-5c48-88cb-3c366d16435a?r=20170706115333_1499299400_3cadd3cf-732a-5c1a-87ac-fdc7c9c6437f</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 xml:space="preserve">This publication explains </w:t>
            </w:r>
            <w:r w:rsidR="004A790F" w:rsidRPr="00A33406">
              <w:rPr>
                <w:kern w:val="22"/>
                <w:sz w:val="20"/>
                <w:szCs w:val="20"/>
              </w:rPr>
              <w:t>a</w:t>
            </w:r>
            <w:r w:rsidRPr="00A33406">
              <w:rPr>
                <w:kern w:val="22"/>
                <w:sz w:val="20"/>
                <w:szCs w:val="20"/>
              </w:rPr>
              <w:t xml:space="preserve">ccess to </w:t>
            </w:r>
            <w:r w:rsidR="004A790F" w:rsidRPr="00A33406">
              <w:rPr>
                <w:kern w:val="22"/>
                <w:sz w:val="20"/>
                <w:szCs w:val="20"/>
              </w:rPr>
              <w:t>g</w:t>
            </w:r>
            <w:r w:rsidRPr="00A33406">
              <w:rPr>
                <w:kern w:val="22"/>
                <w:sz w:val="20"/>
                <w:szCs w:val="20"/>
              </w:rPr>
              <w:t xml:space="preserve">enetic </w:t>
            </w:r>
            <w:r w:rsidR="004A790F" w:rsidRPr="00A33406">
              <w:rPr>
                <w:kern w:val="22"/>
                <w:sz w:val="20"/>
                <w:szCs w:val="20"/>
              </w:rPr>
              <w:t>r</w:t>
            </w:r>
            <w:r w:rsidRPr="00A33406">
              <w:rPr>
                <w:kern w:val="22"/>
                <w:sz w:val="20"/>
                <w:szCs w:val="20"/>
              </w:rPr>
              <w:t xml:space="preserve">esources and </w:t>
            </w:r>
            <w:r w:rsidR="004A790F" w:rsidRPr="00A33406">
              <w:rPr>
                <w:kern w:val="22"/>
                <w:sz w:val="20"/>
                <w:szCs w:val="20"/>
              </w:rPr>
              <w:t>b</w:t>
            </w:r>
            <w:r w:rsidRPr="00A33406">
              <w:rPr>
                <w:kern w:val="22"/>
                <w:sz w:val="20"/>
                <w:szCs w:val="20"/>
              </w:rPr>
              <w:t>enefit-sharing (ABS) and its implications for academic research.</w:t>
            </w:r>
            <w:r w:rsidRPr="00A33406">
              <w:rPr>
                <w:kern w:val="22"/>
                <w:sz w:val="20"/>
                <w:szCs w:val="20"/>
              </w:rPr>
              <w:br/>
              <w:t>The guide offers comprehensive information to assist scientists and research institutions in planning and performing research projects that use genetic resources and associated traditional knowledge from abroad.</w:t>
            </w:r>
            <w:r w:rsidRPr="00A33406">
              <w:rPr>
                <w:kern w:val="22"/>
                <w:sz w:val="20"/>
                <w:szCs w:val="20"/>
              </w:rPr>
              <w:br/>
              <w:t>The Good Practice Guide includes graphic illustrations outlining the steps to be taken when accessing genetic resources for research purposes, in-situ in the provider country, or ex-situ in public collections, within a research institution, or from third persons. These can be downloaded separately. https://naturalsciences.ch/organisations/biodiversity/abs/goodpractice</w:t>
            </w:r>
          </w:p>
        </w:tc>
        <w:tc>
          <w:tcPr>
            <w:tcW w:w="72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1, 2</w:t>
            </w:r>
          </w:p>
        </w:tc>
      </w:tr>
      <w:tr w:rsidR="009E42C7"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254EDF">
            <w:pPr>
              <w:jc w:val="left"/>
              <w:rPr>
                <w:bCs/>
                <w:kern w:val="22"/>
                <w:sz w:val="20"/>
                <w:szCs w:val="20"/>
              </w:rPr>
            </w:pPr>
            <w:r w:rsidRPr="00A33406">
              <w:rPr>
                <w:bCs/>
                <w:kern w:val="22"/>
                <w:sz w:val="20"/>
                <w:szCs w:val="20"/>
              </w:rPr>
              <w:lastRenderedPageBreak/>
              <w:t>51*</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Agreement on Access and Benefit-sharing for Academic Research. A toolbox for drafting mutually agreed terms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Swiss Acadmey of Sciences (SCNAT)</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2016</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En</w:t>
            </w:r>
          </w:p>
        </w:tc>
        <w:tc>
          <w:tcPr>
            <w:tcW w:w="2700" w:type="dxa"/>
            <w:tcBorders>
              <w:top w:val="single" w:sz="4" w:space="0" w:color="auto"/>
              <w:left w:val="nil"/>
              <w:bottom w:val="single" w:sz="4" w:space="0" w:color="auto"/>
              <w:right w:val="nil"/>
            </w:tcBorders>
            <w:shd w:val="clear" w:color="auto" w:fill="auto"/>
            <w:vAlign w:val="center"/>
            <w:hideMark/>
          </w:tcPr>
          <w:p w:rsidR="009E42C7" w:rsidRPr="00A33406" w:rsidRDefault="009E42C7" w:rsidP="00254EDF">
            <w:pPr>
              <w:jc w:val="left"/>
              <w:rPr>
                <w:color w:val="0000FF"/>
                <w:kern w:val="22"/>
                <w:sz w:val="20"/>
                <w:szCs w:val="20"/>
                <w:u w:val="single"/>
              </w:rPr>
            </w:pPr>
            <w:hyperlink r:id="rId46" w:history="1">
              <w:r w:rsidRPr="00A33406">
                <w:rPr>
                  <w:color w:val="0000FF"/>
                  <w:kern w:val="22"/>
                  <w:sz w:val="20"/>
                  <w:szCs w:val="20"/>
                  <w:u w:val="single"/>
                </w:rPr>
                <w:t>https://naturalsciences.ch/uuid/e575e2b7-4880-5851-9008-2003f05c1567?r=20170706115333_1499298589_6e5f6e91-f43e-5814-b74c-abb04d867d2d</w:t>
              </w:r>
            </w:hyperlink>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254EDF">
            <w:pPr>
              <w:jc w:val="left"/>
              <w:rPr>
                <w:kern w:val="22"/>
                <w:sz w:val="20"/>
                <w:szCs w:val="20"/>
              </w:rPr>
            </w:pPr>
            <w:r w:rsidRPr="00A33406">
              <w:rPr>
                <w:kern w:val="22"/>
                <w:sz w:val="20"/>
                <w:szCs w:val="20"/>
              </w:rPr>
              <w:t>The toolbox contains a set of model contractual clauses and easily understandable explanations for non-lawyers. The toolbox can be used to draft Mutually Agreed Terms adapted to the specific situation of publicly funded, academic research.</w:t>
            </w:r>
            <w:r w:rsidRPr="00A33406">
              <w:rPr>
                <w:kern w:val="22"/>
                <w:sz w:val="20"/>
                <w:szCs w:val="20"/>
              </w:rPr>
              <w:br/>
              <w:t>The tool-box Agreement on Access and Benefit-sharing for Non-Commercial Research is made available free of charge as a text document. You may adapt it to your needs, reproduce or share the original or the adapted version, under the condition that there is no monetary advantage linked to the transfer, and that the recipient is bound to the same conditions. (https://naturalsciences.ch/organisations/biodiversity/abs/toolbox)</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254EDF">
            <w:pPr>
              <w:jc w:val="center"/>
              <w:rPr>
                <w:kern w:val="22"/>
                <w:sz w:val="20"/>
                <w:szCs w:val="20"/>
              </w:rPr>
            </w:pPr>
            <w:r w:rsidRPr="00A33406">
              <w:rPr>
                <w:kern w:val="22"/>
                <w:sz w:val="20"/>
                <w:szCs w:val="20"/>
              </w:rPr>
              <w:t>3</w:t>
            </w:r>
          </w:p>
        </w:tc>
      </w:tr>
    </w:tbl>
    <w:p w:rsidR="009E42C7" w:rsidRPr="00A33406" w:rsidRDefault="009E42C7" w:rsidP="009E42C7">
      <w:pPr>
        <w:pStyle w:val="Para1"/>
        <w:pBdr>
          <w:bottom w:val="nil"/>
        </w:pBdr>
        <w:spacing w:before="0" w:after="0"/>
        <w:rPr>
          <w:b/>
          <w:kern w:val="22"/>
        </w:rPr>
      </w:pPr>
    </w:p>
    <w:p w:rsidR="009E42C7" w:rsidRPr="00A33406" w:rsidRDefault="009E42C7" w:rsidP="00A33406">
      <w:pPr>
        <w:pStyle w:val="Para1"/>
        <w:keepNext/>
        <w:pBdr>
          <w:top w:val="nil"/>
          <w:bottom w:val="nil"/>
        </w:pBdr>
        <w:rPr>
          <w:b/>
          <w:kern w:val="22"/>
        </w:rPr>
      </w:pPr>
      <w:r w:rsidRPr="00A33406">
        <w:rPr>
          <w:b/>
          <w:kern w:val="22"/>
        </w:rPr>
        <w:lastRenderedPageBreak/>
        <w:t>Table 5.</w:t>
      </w:r>
      <w:r w:rsidRPr="00A33406">
        <w:rPr>
          <w:b/>
          <w:kern w:val="22"/>
        </w:rPr>
        <w:tab/>
        <w:t>Tools and resources primarily focused on raising awareness on access and benefit-sharing</w:t>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836"/>
        <w:gridCol w:w="1295"/>
        <w:gridCol w:w="867"/>
        <w:gridCol w:w="1039"/>
        <w:gridCol w:w="2579"/>
        <w:gridCol w:w="4034"/>
        <w:gridCol w:w="953"/>
        <w:tblGridChange w:id="4">
          <w:tblGrid>
            <w:gridCol w:w="526"/>
            <w:gridCol w:w="2836"/>
            <w:gridCol w:w="1295"/>
            <w:gridCol w:w="867"/>
            <w:gridCol w:w="1039"/>
            <w:gridCol w:w="2579"/>
            <w:gridCol w:w="4034"/>
            <w:gridCol w:w="953"/>
          </w:tblGrid>
        </w:tblGridChange>
      </w:tblGrid>
      <w:tr w:rsidR="004F7B8A" w:rsidRPr="00A33406" w:rsidTr="009E42C7">
        <w:trPr>
          <w:tblHeader/>
        </w:trPr>
        <w:tc>
          <w:tcPr>
            <w:tcW w:w="540"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No.</w:t>
            </w:r>
          </w:p>
        </w:tc>
        <w:tc>
          <w:tcPr>
            <w:tcW w:w="2970"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Title of the tool/resource</w:t>
            </w:r>
          </w:p>
        </w:tc>
        <w:tc>
          <w:tcPr>
            <w:tcW w:w="1350"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Author/ Publisher</w:t>
            </w:r>
          </w:p>
        </w:tc>
        <w:tc>
          <w:tcPr>
            <w:tcW w:w="900"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Year</w:t>
            </w:r>
          </w:p>
        </w:tc>
        <w:tc>
          <w:tcPr>
            <w:tcW w:w="1080"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Language</w:t>
            </w:r>
          </w:p>
        </w:tc>
        <w:tc>
          <w:tcPr>
            <w:tcW w:w="2700"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Web link/source</w:t>
            </w:r>
          </w:p>
        </w:tc>
        <w:tc>
          <w:tcPr>
            <w:tcW w:w="4230" w:type="dxa"/>
            <w:shd w:val="clear" w:color="auto" w:fill="D9D9D9"/>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Description</w:t>
            </w:r>
          </w:p>
        </w:tc>
        <w:tc>
          <w:tcPr>
            <w:tcW w:w="990" w:type="dxa"/>
            <w:shd w:val="clear" w:color="auto" w:fill="D9D9D9"/>
            <w:noWrap/>
            <w:vAlign w:val="center"/>
            <w:hideMark/>
          </w:tcPr>
          <w:p w:rsidR="009E42C7" w:rsidRPr="00A33406" w:rsidRDefault="009E42C7" w:rsidP="00A33406">
            <w:pPr>
              <w:pStyle w:val="Para1"/>
              <w:pBdr>
                <w:bottom w:val="nil"/>
              </w:pBdr>
              <w:spacing w:before="0" w:after="0"/>
              <w:jc w:val="left"/>
              <w:rPr>
                <w:b/>
                <w:bCs/>
                <w:kern w:val="22"/>
                <w:sz w:val="20"/>
                <w:szCs w:val="20"/>
              </w:rPr>
            </w:pPr>
            <w:r w:rsidRPr="00A33406">
              <w:rPr>
                <w:b/>
                <w:bCs/>
                <w:kern w:val="22"/>
                <w:sz w:val="20"/>
                <w:szCs w:val="20"/>
              </w:rPr>
              <w:t xml:space="preserve">Key Areas </w:t>
            </w: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pStyle w:val="Para1"/>
              <w:pBdr>
                <w:bottom w:val="nil"/>
              </w:pBdr>
              <w:spacing w:before="0" w:after="0"/>
              <w:jc w:val="left"/>
              <w:rPr>
                <w:bCs/>
                <w:kern w:val="22"/>
                <w:sz w:val="20"/>
                <w:szCs w:val="20"/>
              </w:rPr>
            </w:pPr>
            <w:r w:rsidRPr="00A33406">
              <w:rPr>
                <w:bCs/>
                <w:kern w:val="22"/>
                <w:sz w:val="20"/>
                <w:szCs w:val="20"/>
              </w:rPr>
              <w:t>52</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ABS Information Kit (6):</w:t>
            </w:r>
          </w:p>
          <w:p w:rsidR="009E42C7" w:rsidRPr="00A33406" w:rsidRDefault="009E42C7" w:rsidP="00A33406">
            <w:pPr>
              <w:jc w:val="left"/>
              <w:rPr>
                <w:kern w:val="22"/>
                <w:sz w:val="20"/>
                <w:szCs w:val="20"/>
              </w:rPr>
            </w:pPr>
            <w:r w:rsidRPr="00A33406">
              <w:rPr>
                <w:kern w:val="22"/>
                <w:sz w:val="20"/>
                <w:szCs w:val="20"/>
              </w:rPr>
              <w:t>Access and Benefit-sharing</w:t>
            </w:r>
          </w:p>
          <w:p w:rsidR="009E42C7" w:rsidRPr="00A33406" w:rsidRDefault="009E42C7" w:rsidP="00A33406">
            <w:pPr>
              <w:jc w:val="left"/>
              <w:rPr>
                <w:kern w:val="22"/>
                <w:sz w:val="20"/>
                <w:szCs w:val="20"/>
              </w:rPr>
            </w:pPr>
            <w:r w:rsidRPr="00A33406">
              <w:rPr>
                <w:kern w:val="22"/>
                <w:sz w:val="20"/>
                <w:szCs w:val="20"/>
              </w:rPr>
              <w:t>Uses of Genetic Resources</w:t>
            </w:r>
          </w:p>
          <w:p w:rsidR="009E42C7" w:rsidRPr="00A33406" w:rsidRDefault="009E42C7" w:rsidP="00A33406">
            <w:pPr>
              <w:jc w:val="left"/>
              <w:rPr>
                <w:kern w:val="22"/>
                <w:sz w:val="20"/>
                <w:szCs w:val="20"/>
              </w:rPr>
            </w:pPr>
            <w:r w:rsidRPr="00A33406">
              <w:rPr>
                <w:kern w:val="22"/>
                <w:sz w:val="20"/>
                <w:szCs w:val="20"/>
              </w:rPr>
              <w:t>Traditional Knowledge</w:t>
            </w:r>
          </w:p>
          <w:p w:rsidR="009E42C7" w:rsidRPr="00A33406" w:rsidRDefault="009E42C7" w:rsidP="00A33406">
            <w:pPr>
              <w:jc w:val="left"/>
              <w:rPr>
                <w:kern w:val="22"/>
                <w:sz w:val="20"/>
                <w:szCs w:val="20"/>
              </w:rPr>
            </w:pPr>
            <w:r w:rsidRPr="00A33406">
              <w:rPr>
                <w:kern w:val="22"/>
                <w:sz w:val="20"/>
                <w:szCs w:val="20"/>
              </w:rPr>
              <w:t>The Bonn Guidelines</w:t>
            </w:r>
          </w:p>
          <w:p w:rsidR="009E42C7" w:rsidRPr="00A33406" w:rsidRDefault="009E42C7" w:rsidP="00A33406">
            <w:pPr>
              <w:jc w:val="left"/>
              <w:rPr>
                <w:kern w:val="22"/>
                <w:sz w:val="20"/>
                <w:szCs w:val="20"/>
              </w:rPr>
            </w:pPr>
            <w:r w:rsidRPr="00A33406">
              <w:rPr>
                <w:kern w:val="22"/>
                <w:sz w:val="20"/>
                <w:szCs w:val="20"/>
              </w:rPr>
              <w:t>National Implementation</w:t>
            </w:r>
          </w:p>
          <w:p w:rsidR="009E42C7" w:rsidRPr="00A33406" w:rsidRDefault="009E42C7" w:rsidP="00A33406">
            <w:pPr>
              <w:jc w:val="left"/>
              <w:rPr>
                <w:kern w:val="22"/>
                <w:sz w:val="20"/>
                <w:szCs w:val="20"/>
              </w:rPr>
            </w:pPr>
            <w:r w:rsidRPr="00A33406">
              <w:rPr>
                <w:kern w:val="22"/>
                <w:sz w:val="20"/>
                <w:szCs w:val="20"/>
              </w:rPr>
              <w:t>The Nagoya Protocol</w:t>
            </w:r>
            <w:r w:rsidRPr="00A33406">
              <w:rPr>
                <w:kern w:val="22"/>
                <w:sz w:val="20"/>
                <w:szCs w:val="20"/>
              </w:rPr>
              <w:br/>
              <w:t>______________________</w:t>
            </w:r>
          </w:p>
          <w:p w:rsidR="009E42C7" w:rsidRPr="00A33406" w:rsidRDefault="009E42C7" w:rsidP="00A33406">
            <w:pPr>
              <w:jc w:val="left"/>
              <w:rPr>
                <w:i/>
                <w:kern w:val="22"/>
                <w:sz w:val="20"/>
                <w:szCs w:val="20"/>
              </w:rPr>
            </w:pPr>
            <w:r w:rsidRPr="00A33406">
              <w:rPr>
                <w:kern w:val="22"/>
                <w:sz w:val="20"/>
                <w:szCs w:val="20"/>
              </w:rPr>
              <w:br/>
            </w:r>
            <w:r w:rsidRPr="00A33406">
              <w:rPr>
                <w:i/>
                <w:kern w:val="22"/>
                <w:sz w:val="20"/>
                <w:szCs w:val="20"/>
              </w:rPr>
              <w:t>Translated versions of the ABS Information Kit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SCBD</w:t>
            </w:r>
          </w:p>
          <w:p w:rsidR="009E42C7" w:rsidRPr="00A33406" w:rsidRDefault="009E42C7" w:rsidP="00A33406">
            <w:pPr>
              <w:jc w:val="left"/>
              <w:rPr>
                <w:kern w:val="22"/>
                <w:sz w:val="20"/>
                <w:szCs w:val="20"/>
              </w:rPr>
            </w:pPr>
          </w:p>
          <w:p w:rsidR="009E42C7" w:rsidRPr="00A33406" w:rsidRDefault="009E42C7" w:rsidP="00A33406">
            <w:pPr>
              <w:jc w:val="left"/>
              <w:rPr>
                <w:i/>
                <w:kern w:val="22"/>
                <w:sz w:val="20"/>
                <w:szCs w:val="20"/>
              </w:rPr>
            </w:pPr>
            <w:r w:rsidRPr="00A33406">
              <w:rPr>
                <w:i/>
                <w:snapToGrid w:val="0"/>
                <w:kern w:val="22"/>
                <w:sz w:val="20"/>
                <w:szCs w:val="20"/>
              </w:rPr>
              <w:t>Governments of Myanmar, Lao PDR, Thailand, Viet Nam and Timor-Leste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2011</w:t>
            </w:r>
          </w:p>
          <w:p w:rsidR="009E42C7" w:rsidRPr="00A33406" w:rsidRDefault="009E42C7" w:rsidP="00A33406">
            <w:pPr>
              <w:jc w:val="center"/>
              <w:rPr>
                <w:kern w:val="22"/>
                <w:sz w:val="20"/>
                <w:szCs w:val="20"/>
              </w:rPr>
            </w:pPr>
          </w:p>
          <w:p w:rsidR="009E42C7" w:rsidRPr="00A33406" w:rsidRDefault="009E42C7" w:rsidP="00A33406">
            <w:pPr>
              <w:jc w:val="center"/>
              <w:rPr>
                <w:i/>
                <w:kern w:val="22"/>
                <w:sz w:val="20"/>
                <w:szCs w:val="20"/>
              </w:rPr>
            </w:pPr>
            <w:r w:rsidRPr="00A33406">
              <w:rPr>
                <w:i/>
                <w:kern w:val="22"/>
                <w:sz w:val="20"/>
                <w:szCs w:val="20"/>
              </w:rPr>
              <w:t>2014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lang w:val="es-AR"/>
              </w:rPr>
            </w:pPr>
            <w:r w:rsidRPr="00A33406">
              <w:rPr>
                <w:kern w:val="22"/>
                <w:sz w:val="20"/>
                <w:szCs w:val="20"/>
                <w:lang w:val="es-AR"/>
              </w:rPr>
              <w:t>Ar, En, Es, Fr, Ru, Zh</w:t>
            </w:r>
          </w:p>
          <w:p w:rsidR="009E42C7" w:rsidRPr="00A33406" w:rsidRDefault="009E42C7" w:rsidP="00A33406">
            <w:pPr>
              <w:jc w:val="left"/>
              <w:rPr>
                <w:kern w:val="22"/>
                <w:sz w:val="20"/>
                <w:szCs w:val="20"/>
                <w:lang w:val="es-AR"/>
              </w:rPr>
            </w:pPr>
          </w:p>
          <w:p w:rsidR="009E42C7" w:rsidRPr="00A33406" w:rsidRDefault="009E42C7" w:rsidP="00A33406">
            <w:pPr>
              <w:jc w:val="left"/>
              <w:rPr>
                <w:i/>
                <w:kern w:val="22"/>
                <w:sz w:val="20"/>
                <w:szCs w:val="20"/>
              </w:rPr>
            </w:pPr>
            <w:r w:rsidRPr="00A33406">
              <w:rPr>
                <w:i/>
                <w:kern w:val="22"/>
                <w:sz w:val="20"/>
                <w:szCs w:val="20"/>
              </w:rPr>
              <w:t>Burmese, Khmer, Leo, Thai, Vietnamese and Tetum</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hyperlink r:id="rId47" w:history="1">
              <w:r w:rsidRPr="00A33406">
                <w:rPr>
                  <w:kern w:val="22"/>
                  <w:sz w:val="20"/>
                  <w:szCs w:val="20"/>
                </w:rPr>
                <w:t>http://www.cbd.int/abs/awareness-raising/default.shtml</w:t>
              </w:r>
            </w:hyperlink>
          </w:p>
          <w:p w:rsidR="009E42C7" w:rsidRPr="00A33406" w:rsidRDefault="009E42C7" w:rsidP="00A33406">
            <w:pPr>
              <w:jc w:val="left"/>
              <w:rPr>
                <w:i/>
                <w:kern w:val="22"/>
                <w:sz w:val="20"/>
                <w:szCs w:val="20"/>
              </w:rPr>
            </w:pPr>
          </w:p>
          <w:p w:rsidR="009E42C7" w:rsidRPr="00A33406" w:rsidRDefault="009E42C7" w:rsidP="00A33406">
            <w:pPr>
              <w:jc w:val="left"/>
              <w:rPr>
                <w:i/>
                <w:kern w:val="22"/>
                <w:sz w:val="20"/>
                <w:szCs w:val="20"/>
              </w:rPr>
            </w:pPr>
            <w:r w:rsidRPr="00A33406">
              <w:rPr>
                <w:i/>
                <w:kern w:val="22"/>
                <w:sz w:val="20"/>
                <w:szCs w:val="20"/>
              </w:rPr>
              <w:t>CD-ROM</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A generic information kit was developed by SCBD to present the basics of access and benefit-sharing in simple language.  The information kit is available in the six official languages of the United Nations (Arabic, Chinese, English, Spanish, French and Russian) and in Portuguese thanks to the Government of Brazil.</w:t>
            </w:r>
            <w:r w:rsidRPr="00A33406">
              <w:rPr>
                <w:kern w:val="22"/>
                <w:sz w:val="20"/>
                <w:szCs w:val="20"/>
              </w:rPr>
              <w:br/>
            </w:r>
            <w:r w:rsidRPr="00A33406">
              <w:rPr>
                <w:kern w:val="22"/>
                <w:sz w:val="20"/>
                <w:szCs w:val="20"/>
              </w:rPr>
              <w:br/>
            </w:r>
            <w:r w:rsidRPr="00A33406">
              <w:rPr>
                <w:i/>
                <w:kern w:val="22"/>
                <w:sz w:val="20"/>
                <w:szCs w:val="20"/>
              </w:rPr>
              <w:t>Burmese, Khmer, Leo, Thai, Vietnamese and Tetum translated versions of the ABS Information Kit (2014) have been developed under the UNEP-GEF supported project “Building Capacity for Regionally Harmonized National Processes for Implementing CBD Provision on Access to Genetic Resources and sharing of Benefits” executed by the ASEAN Centre for Biodiversity. These were made available in CD ROM format by the Governments of Myanmar, Lao PDR, Thailand, Viet Nam and Timor-Leste.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pStyle w:val="Para1"/>
              <w:pBdr>
                <w:bottom w:val="nil"/>
              </w:pBdr>
              <w:spacing w:before="0" w:after="0"/>
              <w:jc w:val="left"/>
              <w:rPr>
                <w:bCs/>
                <w:kern w:val="22"/>
                <w:sz w:val="20"/>
                <w:szCs w:val="20"/>
              </w:rPr>
            </w:pPr>
            <w:r w:rsidRPr="00A33406">
              <w:rPr>
                <w:bCs/>
                <w:kern w:val="22"/>
                <w:sz w:val="20"/>
                <w:szCs w:val="20"/>
              </w:rPr>
              <w:t>53</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ABS/TK Terminology Booklets (2):</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Defining and Explaining - ABS Terminology</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Explaining and Defining Traditional Knowledge Terminology</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National Biodiversity Authority, India</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right"/>
              <w:rPr>
                <w:kern w:val="22"/>
                <w:sz w:val="20"/>
                <w:szCs w:val="20"/>
              </w:rPr>
            </w:pPr>
            <w:r w:rsidRPr="00A33406">
              <w:rPr>
                <w:kern w:val="22"/>
                <w:sz w:val="20"/>
                <w:szCs w:val="20"/>
              </w:rPr>
              <w:t>2013</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color w:val="0000FF"/>
                <w:kern w:val="22"/>
                <w:sz w:val="20"/>
                <w:szCs w:val="20"/>
                <w:u w:val="single"/>
              </w:rPr>
            </w:pPr>
            <w:hyperlink r:id="rId48" w:history="1">
              <w:r w:rsidRPr="00A33406">
                <w:rPr>
                  <w:color w:val="0000FF"/>
                  <w:kern w:val="22"/>
                  <w:sz w:val="20"/>
                  <w:szCs w:val="20"/>
                  <w:u w:val="single"/>
                </w:rPr>
                <w:t>https://absch.cbd.int/register/VLR/AB65F002-D107-83E3-E404-C8C81187179C/view</w:t>
              </w:r>
              <w:r w:rsidRPr="00A33406">
                <w:rPr>
                  <w:color w:val="0000FF"/>
                  <w:kern w:val="22"/>
                  <w:sz w:val="20"/>
                  <w:szCs w:val="20"/>
                  <w:u w:val="single"/>
                </w:rPr>
                <w:br/>
              </w:r>
              <w:r w:rsidRPr="00A33406">
                <w:rPr>
                  <w:color w:val="0000FF"/>
                  <w:kern w:val="22"/>
                  <w:sz w:val="20"/>
                  <w:szCs w:val="20"/>
                  <w:u w:val="single"/>
                </w:rPr>
                <w:br/>
                <w:t>https://absch.cbd.int/register/VLR/08DAF499-1F70-3DA3-9887-4D56521D3D8D/view</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These booklets are designed to provide a quick reference to ABS terminology.</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1, 4</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E42C7" w:rsidRPr="00A33406" w:rsidRDefault="009E42C7" w:rsidP="00A33406">
            <w:pPr>
              <w:pStyle w:val="Para1"/>
              <w:pBdr>
                <w:bottom w:val="nil"/>
              </w:pBdr>
              <w:spacing w:before="0" w:after="0"/>
              <w:jc w:val="left"/>
              <w:rPr>
                <w:bCs/>
                <w:kern w:val="22"/>
                <w:sz w:val="20"/>
                <w:szCs w:val="20"/>
              </w:rPr>
            </w:pPr>
            <w:r w:rsidRPr="00A33406">
              <w:rPr>
                <w:bCs/>
                <w:kern w:val="22"/>
                <w:sz w:val="20"/>
                <w:szCs w:val="20"/>
              </w:rPr>
              <w:t>54</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E42C7" w:rsidRPr="00A33406" w:rsidRDefault="009E42C7" w:rsidP="00A33406">
            <w:pPr>
              <w:jc w:val="left"/>
              <w:rPr>
                <w:kern w:val="22"/>
                <w:sz w:val="20"/>
                <w:szCs w:val="20"/>
              </w:rPr>
            </w:pPr>
            <w:r w:rsidRPr="00A33406">
              <w:rPr>
                <w:kern w:val="22"/>
                <w:sz w:val="20"/>
                <w:szCs w:val="20"/>
              </w:rPr>
              <w:t xml:space="preserve">Access and Benefit Sharing Factsheets (5): </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ABS in Peru</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ABS in South Korea</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ABS in Turkey</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Biodiversity-based innovation in the European Union</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lastRenderedPageBreak/>
              <w:t>Africa: Rules and practices on access and benefit sharing (ABS)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E42C7" w:rsidRPr="00A33406" w:rsidRDefault="009E42C7" w:rsidP="00A33406">
            <w:pPr>
              <w:jc w:val="left"/>
              <w:rPr>
                <w:kern w:val="22"/>
                <w:sz w:val="20"/>
                <w:szCs w:val="20"/>
              </w:rPr>
            </w:pPr>
            <w:r w:rsidRPr="00A33406">
              <w:rPr>
                <w:kern w:val="22"/>
                <w:sz w:val="20"/>
                <w:szCs w:val="20"/>
              </w:rPr>
              <w:lastRenderedPageBreak/>
              <w:t>Union for Ethical Biotrade (UEBT)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42C7" w:rsidRPr="00A33406" w:rsidRDefault="009E42C7" w:rsidP="00A33406">
            <w:pPr>
              <w:jc w:val="center"/>
              <w:rPr>
                <w:kern w:val="22"/>
                <w:sz w:val="20"/>
                <w:szCs w:val="20"/>
              </w:rPr>
            </w:pPr>
            <w:r w:rsidRPr="00A33406">
              <w:rPr>
                <w:kern w:val="22"/>
                <w:sz w:val="20"/>
                <w:szCs w:val="20"/>
              </w:rPr>
              <w:t>2016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42C7" w:rsidRPr="00A33406" w:rsidRDefault="009E42C7" w:rsidP="00A33406">
            <w:pPr>
              <w:jc w:val="left"/>
              <w:rPr>
                <w:kern w:val="22"/>
                <w:sz w:val="20"/>
                <w:szCs w:val="20"/>
              </w:rPr>
            </w:pPr>
            <w:r w:rsidRPr="00A33406">
              <w:rPr>
                <w:kern w:val="22"/>
                <w:sz w:val="20"/>
                <w:szCs w:val="20"/>
              </w:rPr>
              <w:t>En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E42C7" w:rsidRPr="00A33406" w:rsidRDefault="009E42C7" w:rsidP="00A33406">
            <w:pPr>
              <w:jc w:val="left"/>
              <w:rPr>
                <w:color w:val="0000FF"/>
                <w:kern w:val="22"/>
                <w:sz w:val="20"/>
                <w:szCs w:val="20"/>
                <w:u w:val="single"/>
              </w:rPr>
            </w:pPr>
            <w:hyperlink r:id="rId49" w:history="1">
              <w:r w:rsidRPr="00A33406">
                <w:rPr>
                  <w:color w:val="0000FF"/>
                  <w:kern w:val="22"/>
                  <w:sz w:val="20"/>
                  <w:szCs w:val="20"/>
                  <w:u w:val="single"/>
                </w:rPr>
                <w:t>http://ethicalbiotrade.org/resources/</w:t>
              </w:r>
            </w:hyperlink>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9E42C7" w:rsidRPr="00A33406" w:rsidRDefault="009E42C7" w:rsidP="00A33406">
            <w:pPr>
              <w:jc w:val="left"/>
              <w:rPr>
                <w:kern w:val="22"/>
                <w:sz w:val="20"/>
                <w:szCs w:val="20"/>
              </w:rPr>
            </w:pPr>
            <w:r w:rsidRPr="00A33406">
              <w:rPr>
                <w:kern w:val="22"/>
                <w:sz w:val="20"/>
                <w:szCs w:val="20"/>
              </w:rPr>
              <w:t>These factsheets have been developed by the UEBT and covers key elements of ABS in the European Union, Republic of Korea, Peru, and Turkey.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E42C7" w:rsidRPr="00A33406" w:rsidRDefault="009E42C7" w:rsidP="00A33406">
            <w:pPr>
              <w:jc w:val="center"/>
              <w:rPr>
                <w:kern w:val="22"/>
                <w:sz w:val="20"/>
                <w:szCs w:val="20"/>
              </w:rPr>
            </w:pPr>
            <w:r w:rsidRPr="00A33406">
              <w:rPr>
                <w:kern w:val="22"/>
                <w:sz w:val="20"/>
                <w:szCs w:val="20"/>
              </w:rPr>
              <w:t>1</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E42C7" w:rsidRPr="00A33406" w:rsidRDefault="009E42C7" w:rsidP="00A33406">
            <w:pPr>
              <w:pStyle w:val="Para1"/>
              <w:pBdr>
                <w:bottom w:val="nil"/>
              </w:pBdr>
              <w:spacing w:before="0" w:after="0"/>
              <w:jc w:val="left"/>
              <w:rPr>
                <w:bCs/>
                <w:kern w:val="22"/>
                <w:sz w:val="20"/>
                <w:szCs w:val="20"/>
              </w:rPr>
            </w:pPr>
            <w:r w:rsidRPr="00A33406">
              <w:rPr>
                <w:bCs/>
                <w:kern w:val="22"/>
                <w:sz w:val="20"/>
                <w:szCs w:val="20"/>
              </w:rPr>
              <w:t>55</w:t>
            </w:r>
          </w:p>
        </w:tc>
        <w:tc>
          <w:tcPr>
            <w:tcW w:w="2970" w:type="dxa"/>
            <w:tcBorders>
              <w:top w:val="single" w:sz="4" w:space="0" w:color="auto"/>
              <w:left w:val="nil"/>
              <w:bottom w:val="single" w:sz="4" w:space="0" w:color="auto"/>
              <w:right w:val="single" w:sz="4" w:space="0" w:color="auto"/>
            </w:tcBorders>
            <w:shd w:val="clear" w:color="auto" w:fill="auto"/>
            <w:vAlign w:val="center"/>
          </w:tcPr>
          <w:p w:rsidR="009E42C7" w:rsidRPr="00A33406" w:rsidRDefault="009E42C7" w:rsidP="00A33406">
            <w:pPr>
              <w:jc w:val="left"/>
              <w:rPr>
                <w:kern w:val="22"/>
                <w:sz w:val="20"/>
                <w:szCs w:val="20"/>
              </w:rPr>
            </w:pPr>
            <w:r w:rsidRPr="00A33406">
              <w:rPr>
                <w:kern w:val="22"/>
                <w:sz w:val="20"/>
                <w:szCs w:val="20"/>
              </w:rPr>
              <w:t>Access and Benefit Sharing Publications (10):</w:t>
            </w:r>
          </w:p>
          <w:p w:rsidR="009E42C7" w:rsidRPr="00A33406" w:rsidRDefault="009E42C7" w:rsidP="00A33406">
            <w:pPr>
              <w:jc w:val="left"/>
              <w:rPr>
                <w:kern w:val="22"/>
                <w:sz w:val="20"/>
                <w:szCs w:val="20"/>
              </w:rPr>
            </w:pPr>
            <w:r w:rsidRPr="00A33406">
              <w:rPr>
                <w:kern w:val="22"/>
                <w:sz w:val="20"/>
                <w:szCs w:val="20"/>
              </w:rPr>
              <w:t>Biodiversity and innovation</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ABS Basic Info Sheet</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Frequently Asked Questions on the Nagoya Protocol on ABS</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ABS Rules in Brazil, The EU, India and South Africa</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ABS evolving laws and regulations around the world</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ABS: understanding implications for industry</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Navigating access and benefit sharing procedures in Brazil</w:t>
            </w:r>
          </w:p>
          <w:p w:rsidR="009E42C7" w:rsidRPr="00A33406" w:rsidRDefault="009E42C7" w:rsidP="00A33406">
            <w:pPr>
              <w:numPr>
                <w:ilvl w:val="0"/>
                <w:numId w:val="56"/>
              </w:numPr>
              <w:ind w:left="252" w:hanging="252"/>
              <w:jc w:val="left"/>
              <w:rPr>
                <w:kern w:val="22"/>
                <w:sz w:val="20"/>
                <w:szCs w:val="20"/>
                <w:lang w:val="es-AR"/>
              </w:rPr>
            </w:pPr>
            <w:r w:rsidRPr="00A33406">
              <w:rPr>
                <w:kern w:val="22"/>
                <w:sz w:val="20"/>
                <w:szCs w:val="20"/>
                <w:lang w:val="es-AR"/>
              </w:rPr>
              <w:t>ABS y su ámbito de aplicación en el Perú</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ABS partnership UEBT, Phytotrade Africa &amp; ABS Initiative</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Technical Brief on Nagoya Protocol</w:t>
            </w:r>
          </w:p>
        </w:tc>
        <w:tc>
          <w:tcPr>
            <w:tcW w:w="1350" w:type="dxa"/>
            <w:tcBorders>
              <w:top w:val="single" w:sz="4" w:space="0" w:color="auto"/>
              <w:left w:val="nil"/>
              <w:bottom w:val="single" w:sz="4" w:space="0" w:color="auto"/>
              <w:right w:val="single" w:sz="4" w:space="0" w:color="auto"/>
            </w:tcBorders>
            <w:shd w:val="clear" w:color="auto" w:fill="auto"/>
            <w:vAlign w:val="center"/>
          </w:tcPr>
          <w:p w:rsidR="009E42C7" w:rsidRPr="00A33406" w:rsidRDefault="009E42C7" w:rsidP="00A33406">
            <w:pPr>
              <w:jc w:val="left"/>
              <w:rPr>
                <w:kern w:val="22"/>
                <w:sz w:val="20"/>
                <w:szCs w:val="20"/>
              </w:rPr>
            </w:pPr>
            <w:r w:rsidRPr="00A33406">
              <w:rPr>
                <w:kern w:val="22"/>
                <w:sz w:val="20"/>
                <w:szCs w:val="20"/>
              </w:rPr>
              <w:t>Various authors/ Union for Ethical Biotrade (UEBT)</w:t>
            </w:r>
          </w:p>
        </w:tc>
        <w:tc>
          <w:tcPr>
            <w:tcW w:w="900" w:type="dxa"/>
            <w:tcBorders>
              <w:top w:val="single" w:sz="4" w:space="0" w:color="auto"/>
              <w:left w:val="nil"/>
              <w:bottom w:val="single" w:sz="4" w:space="0" w:color="auto"/>
              <w:right w:val="single" w:sz="4" w:space="0" w:color="auto"/>
            </w:tcBorders>
            <w:shd w:val="clear" w:color="auto" w:fill="auto"/>
            <w:vAlign w:val="center"/>
          </w:tcPr>
          <w:p w:rsidR="009E42C7" w:rsidRPr="00A33406" w:rsidRDefault="009E42C7" w:rsidP="00A33406">
            <w:pPr>
              <w:jc w:val="center"/>
              <w:rPr>
                <w:kern w:val="22"/>
                <w:sz w:val="20"/>
                <w:szCs w:val="20"/>
              </w:rPr>
            </w:pPr>
            <w:r w:rsidRPr="00A33406">
              <w:rPr>
                <w:kern w:val="22"/>
                <w:sz w:val="20"/>
                <w:szCs w:val="20"/>
              </w:rPr>
              <w:t>2009-2015</w:t>
            </w:r>
          </w:p>
        </w:tc>
        <w:tc>
          <w:tcPr>
            <w:tcW w:w="1080" w:type="dxa"/>
            <w:tcBorders>
              <w:top w:val="single" w:sz="4" w:space="0" w:color="auto"/>
              <w:left w:val="nil"/>
              <w:bottom w:val="single" w:sz="4" w:space="0" w:color="auto"/>
              <w:right w:val="single" w:sz="4" w:space="0" w:color="auto"/>
            </w:tcBorders>
            <w:shd w:val="clear" w:color="auto" w:fill="auto"/>
            <w:vAlign w:val="center"/>
          </w:tcPr>
          <w:p w:rsidR="009E42C7" w:rsidRPr="00A33406" w:rsidRDefault="009E42C7" w:rsidP="00A33406">
            <w:pPr>
              <w:jc w:val="left"/>
              <w:rPr>
                <w:kern w:val="22"/>
                <w:sz w:val="20"/>
                <w:szCs w:val="20"/>
              </w:rPr>
            </w:pPr>
            <w:r w:rsidRPr="00A33406">
              <w:rPr>
                <w:kern w:val="22"/>
                <w:sz w:val="20"/>
                <w:szCs w:val="20"/>
              </w:rPr>
              <w:t>Various languages, including:</w:t>
            </w:r>
            <w:r w:rsidRPr="00A33406">
              <w:rPr>
                <w:kern w:val="22"/>
                <w:sz w:val="20"/>
                <w:szCs w:val="20"/>
              </w:rPr>
              <w:br/>
            </w:r>
            <w:r w:rsidRPr="00A33406">
              <w:rPr>
                <w:kern w:val="22"/>
                <w:sz w:val="20"/>
                <w:szCs w:val="20"/>
              </w:rPr>
              <w:br/>
              <w:t>En Sp, Fr, Portuguese</w:t>
            </w:r>
          </w:p>
        </w:tc>
        <w:tc>
          <w:tcPr>
            <w:tcW w:w="2700" w:type="dxa"/>
            <w:tcBorders>
              <w:top w:val="single" w:sz="4" w:space="0" w:color="auto"/>
              <w:left w:val="nil"/>
              <w:bottom w:val="single" w:sz="4" w:space="0" w:color="auto"/>
              <w:right w:val="single" w:sz="4" w:space="0" w:color="auto"/>
            </w:tcBorders>
            <w:shd w:val="clear" w:color="auto" w:fill="auto"/>
            <w:vAlign w:val="center"/>
          </w:tcPr>
          <w:p w:rsidR="009E42C7" w:rsidRPr="00A33406" w:rsidRDefault="009E42C7" w:rsidP="00A33406">
            <w:pPr>
              <w:jc w:val="left"/>
              <w:rPr>
                <w:color w:val="0000FF"/>
                <w:kern w:val="22"/>
                <w:sz w:val="20"/>
                <w:szCs w:val="20"/>
                <w:u w:val="single"/>
              </w:rPr>
            </w:pPr>
            <w:hyperlink r:id="rId50" w:history="1">
              <w:r w:rsidRPr="00A33406">
                <w:rPr>
                  <w:color w:val="0000FF"/>
                  <w:kern w:val="22"/>
                  <w:sz w:val="20"/>
                  <w:szCs w:val="20"/>
                  <w:u w:val="single"/>
                </w:rPr>
                <w:t>http://ethicalbiotrade.org/resources/</w:t>
              </w:r>
            </w:hyperlink>
          </w:p>
        </w:tc>
        <w:tc>
          <w:tcPr>
            <w:tcW w:w="4230" w:type="dxa"/>
            <w:tcBorders>
              <w:top w:val="single" w:sz="4" w:space="0" w:color="auto"/>
              <w:left w:val="nil"/>
              <w:bottom w:val="single" w:sz="4" w:space="0" w:color="auto"/>
              <w:right w:val="single" w:sz="4" w:space="0" w:color="auto"/>
            </w:tcBorders>
            <w:shd w:val="clear" w:color="auto" w:fill="auto"/>
            <w:vAlign w:val="center"/>
          </w:tcPr>
          <w:p w:rsidR="009E42C7" w:rsidRPr="00A33406" w:rsidRDefault="009E42C7" w:rsidP="00A33406">
            <w:pPr>
              <w:jc w:val="left"/>
              <w:rPr>
                <w:kern w:val="22"/>
                <w:sz w:val="20"/>
                <w:szCs w:val="20"/>
              </w:rPr>
            </w:pPr>
            <w:r w:rsidRPr="00A33406">
              <w:rPr>
                <w:kern w:val="22"/>
                <w:sz w:val="20"/>
                <w:szCs w:val="20"/>
              </w:rPr>
              <w:t xml:space="preserve">The UEBT has produced a variety of resources on access and benefit sharing. These resources are predominantly awareness raising material. </w:t>
            </w:r>
          </w:p>
        </w:tc>
        <w:tc>
          <w:tcPr>
            <w:tcW w:w="990" w:type="dxa"/>
            <w:tcBorders>
              <w:top w:val="single" w:sz="4" w:space="0" w:color="auto"/>
              <w:left w:val="nil"/>
              <w:bottom w:val="single" w:sz="4" w:space="0" w:color="auto"/>
              <w:right w:val="single" w:sz="4" w:space="0" w:color="auto"/>
            </w:tcBorders>
            <w:shd w:val="clear" w:color="auto" w:fill="auto"/>
            <w:vAlign w:val="center"/>
          </w:tcPr>
          <w:p w:rsidR="009E42C7" w:rsidRPr="00A33406" w:rsidRDefault="009E42C7" w:rsidP="00A33406">
            <w:pPr>
              <w:jc w:val="center"/>
              <w:rPr>
                <w:kern w:val="22"/>
                <w:sz w:val="20"/>
                <w:szCs w:val="20"/>
              </w:rPr>
            </w:pP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pStyle w:val="Para1"/>
              <w:pBdr>
                <w:bottom w:val="nil"/>
              </w:pBdr>
              <w:spacing w:before="0" w:after="0"/>
              <w:jc w:val="left"/>
              <w:rPr>
                <w:bCs/>
                <w:kern w:val="22"/>
                <w:sz w:val="20"/>
                <w:szCs w:val="20"/>
              </w:rPr>
            </w:pPr>
            <w:r w:rsidRPr="00A33406">
              <w:rPr>
                <w:bCs/>
                <w:kern w:val="22"/>
                <w:sz w:val="20"/>
                <w:szCs w:val="20"/>
              </w:rPr>
              <w:t>56</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Biocultural Community Protocols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Natural Justice</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rPr>
                <w:color w:val="0000FF"/>
                <w:kern w:val="22"/>
                <w:sz w:val="20"/>
                <w:szCs w:val="20"/>
                <w:u w:val="single"/>
              </w:rPr>
            </w:pPr>
            <w:hyperlink r:id="rId51" w:history="1">
              <w:r w:rsidRPr="00A33406">
                <w:rPr>
                  <w:color w:val="0000FF"/>
                  <w:kern w:val="22"/>
                  <w:sz w:val="20"/>
                  <w:szCs w:val="20"/>
                  <w:u w:val="single"/>
                </w:rPr>
                <w:t>http://naturaljustice.org/wp-content/uploads/2013/08/Brief-intro-BCP.pdf</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This briefing note provides an introduction to the experiences and lessons learned of indigenous peoples and local communities with developing and using biocultural community protocols as part of ongoing initiatives to secure their territories and areas. </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1, 4</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pStyle w:val="Para1"/>
              <w:pBdr>
                <w:bottom w:val="nil"/>
              </w:pBdr>
              <w:spacing w:before="0" w:after="0"/>
              <w:jc w:val="left"/>
              <w:rPr>
                <w:bCs/>
                <w:kern w:val="22"/>
                <w:sz w:val="20"/>
                <w:szCs w:val="20"/>
              </w:rPr>
            </w:pPr>
            <w:r w:rsidRPr="00A33406">
              <w:rPr>
                <w:bCs/>
                <w:kern w:val="22"/>
                <w:sz w:val="20"/>
                <w:szCs w:val="20"/>
              </w:rPr>
              <w:t>57*</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lang w:val="es-AR"/>
              </w:rPr>
            </w:pPr>
            <w:r w:rsidRPr="00A33406">
              <w:rPr>
                <w:kern w:val="22"/>
                <w:sz w:val="20"/>
                <w:szCs w:val="20"/>
                <w:lang w:val="es-AR"/>
              </w:rPr>
              <w:t>Biodiversidad, Servicios Ecosistémicos y Recursos Genéticos [Posibilidades de Acceso y Distribución Justa y Equitativa]</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Sebastian Richard Meurer / GIZ</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2017</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Es, Ge</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color w:val="0000FF"/>
                <w:kern w:val="22"/>
                <w:sz w:val="20"/>
                <w:szCs w:val="20"/>
                <w:u w:val="single"/>
              </w:rPr>
            </w:pPr>
            <w:hyperlink r:id="rId52" w:history="1">
              <w:r w:rsidRPr="00A33406">
                <w:rPr>
                  <w:color w:val="0000FF"/>
                  <w:kern w:val="22"/>
                  <w:sz w:val="20"/>
                  <w:szCs w:val="20"/>
                  <w:u w:val="single"/>
                </w:rPr>
                <w:t>https://absch.cbd.int/database/VLR/ABSCH-VLR-SCBD-238953</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pStyle w:val="Para1"/>
              <w:pBdr>
                <w:bottom w:val="nil"/>
              </w:pBdr>
              <w:spacing w:before="0" w:after="0"/>
              <w:jc w:val="left"/>
              <w:rPr>
                <w:bCs/>
                <w:kern w:val="22"/>
                <w:sz w:val="20"/>
                <w:szCs w:val="20"/>
              </w:rPr>
            </w:pPr>
            <w:r w:rsidRPr="00A33406">
              <w:rPr>
                <w:bCs/>
                <w:kern w:val="22"/>
                <w:sz w:val="20"/>
                <w:szCs w:val="20"/>
              </w:rPr>
              <w:lastRenderedPageBreak/>
              <w:t>58</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Bioprospecting, Access and Benefit Sharing Posters Series (6) and Animation Video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Department of Environmental Affairs, Republic of South Africa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https://absch.cbd.int/register/VLR/FF382DAF-C169-DDAF-5067-F33FD530FD8B/view</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This Poster Series and Animation Video provides practical information about South African legal framework on Bioprospecting, Access and Benefit Sharing provided in the National Environmental Management: Biodiversity Act, 2004 (Act No. 10 of 2004) and its Regulations.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pStyle w:val="Para1"/>
              <w:pBdr>
                <w:bottom w:val="nil"/>
              </w:pBdr>
              <w:spacing w:before="0" w:after="0"/>
              <w:jc w:val="left"/>
              <w:rPr>
                <w:bCs/>
                <w:kern w:val="22"/>
                <w:sz w:val="20"/>
                <w:szCs w:val="20"/>
              </w:rPr>
            </w:pPr>
            <w:r w:rsidRPr="00A33406">
              <w:rPr>
                <w:bCs/>
                <w:kern w:val="22"/>
                <w:sz w:val="20"/>
                <w:szCs w:val="20"/>
              </w:rPr>
              <w:t>59*</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Brochure on the Nagoya Protocol in German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Bundesamt für Naturschutz (BfN)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German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color w:val="0000FF"/>
                <w:kern w:val="22"/>
                <w:sz w:val="20"/>
                <w:szCs w:val="20"/>
                <w:u w:val="single"/>
              </w:rPr>
            </w:pPr>
            <w:hyperlink r:id="rId53" w:history="1">
              <w:r w:rsidRPr="00A33406">
                <w:rPr>
                  <w:color w:val="0000FF"/>
                  <w:kern w:val="22"/>
                  <w:sz w:val="20"/>
                  <w:szCs w:val="20"/>
                  <w:u w:val="single"/>
                </w:rPr>
                <w:t>https://www.bfn.de/fileadmin/ABS/documents/ABS_Dokumente_ab_Septemer_2015/Broschuere_zum_Nagoya-Protokoll.pdf</w:t>
              </w:r>
            </w:hyperlink>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The booklet provides an </w:t>
            </w:r>
            <w:r w:rsidR="004A790F" w:rsidRPr="00A33406">
              <w:rPr>
                <w:kern w:val="22"/>
                <w:sz w:val="20"/>
                <w:szCs w:val="20"/>
              </w:rPr>
              <w:t>introduction</w:t>
            </w:r>
            <w:r w:rsidRPr="00A33406">
              <w:rPr>
                <w:kern w:val="22"/>
                <w:sz w:val="20"/>
                <w:szCs w:val="20"/>
              </w:rPr>
              <w:t xml:space="preserve"> to the Nagoya Protocol and an overview of its different elements and obligations under the Protocol.</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60*</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Fact Sheet on the Nagoya Protocol in German</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Bundesamt für Naturschutz (BfN)</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2016</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German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color w:val="0000FF"/>
                <w:kern w:val="22"/>
                <w:sz w:val="20"/>
                <w:szCs w:val="20"/>
                <w:u w:val="single"/>
              </w:rPr>
            </w:pPr>
            <w:hyperlink r:id="rId54" w:history="1">
              <w:r w:rsidRPr="00A33406">
                <w:rPr>
                  <w:color w:val="0000FF"/>
                  <w:kern w:val="22"/>
                  <w:sz w:val="20"/>
                  <w:szCs w:val="20"/>
                  <w:u w:val="single"/>
                </w:rPr>
                <w:t>https://www.bfn.de/fileadmin/ABS/documents/ABS_Dokumente_ab_Septemer_2015/2016-03-31_Flyer_NP.pdf</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The flyer provides an introduction to the Nagoya Protocol.</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61*</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Facts Sheets on the Nagoya Protocol and ABS with examples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Secretariat of the Pacific Regional Environment Programme (SPREP)</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Forth-coming</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Fijian, Samoan, Bislama, Tongan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62</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Factsheet: The Nagoya Protocol on Access and Benefit-sharing</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Caribbean Community (CARICOM) Secretariat</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2014</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color w:val="0000FF"/>
                <w:kern w:val="22"/>
                <w:sz w:val="20"/>
                <w:szCs w:val="20"/>
                <w:u w:val="single"/>
              </w:rPr>
            </w:pPr>
            <w:hyperlink r:id="rId55" w:history="1">
              <w:r w:rsidRPr="00A33406">
                <w:rPr>
                  <w:color w:val="0000FF"/>
                  <w:kern w:val="22"/>
                  <w:sz w:val="20"/>
                  <w:szCs w:val="20"/>
                  <w:u w:val="single"/>
                </w:rPr>
                <w:t xml:space="preserve">http://www.abs-initiative.info/fileadmin//media/ABS_Simply_explained/Nagoya_Protocol/CARICOM_Secretariat_Nagoya_Protocol_Fact_Sheet.pdf </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Factsheet produced by the Caribbean Community (CARICOM) Secretariat as part of a joint EU-UNEP-CARICOM project.</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63</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Factsheets on the Nagoya Protocol on ABS (3):</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Access and benefit-sharing</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The Nagoya Protocol</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How to become a Party to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SCBD</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2011</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lang w:val="es-AR"/>
              </w:rPr>
            </w:pPr>
            <w:r w:rsidRPr="00A33406">
              <w:rPr>
                <w:kern w:val="22"/>
                <w:sz w:val="20"/>
                <w:szCs w:val="20"/>
                <w:lang w:val="es-AR"/>
              </w:rPr>
              <w:t>Ar, En, Es, Fr, Ru, Zh,</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lang w:val="es-AR"/>
              </w:rPr>
            </w:pPr>
            <w:r w:rsidRPr="00A33406">
              <w:rPr>
                <w:kern w:val="22"/>
                <w:sz w:val="20"/>
                <w:szCs w:val="20"/>
                <w:lang w:val="es-AR"/>
              </w:rPr>
              <w:t>https://www.cbd.int/abs/awareness-raising/default.shtml</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The factsheets are meant to provide readers with a broad understanding of the key issues related to the Nagoya Protocol. They are relevant for Governments and stakeholders wishing to raise awareness of the Nagoya Protocol, and are meant to encourage its early ratification and effective implementation.</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color w:val="333333"/>
                <w:kern w:val="22"/>
                <w:sz w:val="20"/>
                <w:szCs w:val="20"/>
              </w:rPr>
            </w:pPr>
            <w:r w:rsidRPr="00A33406">
              <w:rPr>
                <w:color w:val="333333"/>
                <w:kern w:val="22"/>
                <w:sz w:val="20"/>
                <w:szCs w:val="20"/>
              </w:rPr>
              <w:t>1</w:t>
            </w: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64</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Implementing Access and Benefit-Sharing (ABS) and Ensuring Academic Non-Commercial Research for the Conservation and Sustainable Use of Biodiversity</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Diversitas/ ICSU/ IUBS/ SCNAT</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2014</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En, Sp, Fr, Portuguese </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rPr>
                <w:kern w:val="22"/>
                <w:sz w:val="20"/>
                <w:szCs w:val="20"/>
              </w:rPr>
            </w:pPr>
            <w:r w:rsidRPr="00A33406">
              <w:rPr>
                <w:kern w:val="22"/>
                <w:sz w:val="20"/>
                <w:szCs w:val="20"/>
              </w:rPr>
              <w:t>https://absch.cbd.int/register/VLR/F469C873-E85C-5677-2F26-D8B47CB478B6/view</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The ABS project in Latin America and the Caribbean of DIVERSITAS, ICSU-ROLAC, SCNAT and IUBS, in collaboration with the GEF ABS LAC Project/IUCN-Sur and the University of Bonn, provided a pilot experience in initiating a dialogue between academic researchers and policy-makers. This document compiles its key messages.</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65</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Information Briefs (6): </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Access to Genetic Resources. Article 6 of the Nagoya Protocol on Access and Benefit-sharing</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Traditional Knowledge Associated with Genetic Resources. Article 12 of the Nagoya Protocol on Access and Benefit-sharing</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National Focal Points and Competent National Authorities. Article 13 of the Nagoya Protocol on Access and Benefit-Sharing</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Compliance with Domestic ABS Legislation and Regulatory Requirements. Articles 15-17 of the Nagoya Protocol on Access and Benefit-Sharing</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Compliance with Mutually Agreed Terms. Article 18 of the Nagoya Protocol on Access and Benefit-Sharing</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Tools to Support ABS Implementation. Articles 19 and 20 of the Nagoya Protocol on Access and Benefit-Sharing</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International Union for Conservation of Nature (IUCN)</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 Es</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http://www.portalces.org/autor/thomas-greiber-and-sonia-pena-moreno  (This only links to the Spanish versions)</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Information briefs on different Articles of the Nagoya Protocol.</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lastRenderedPageBreak/>
              <w:t>66</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Materials developed under the UNEP/ ACB Regional capacity-building Project on ABS:</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ABS Bulletin: Milestones in Regional Cooperation and Learning on ABS</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ABS Infographics, aimed towards the General Public &amp; Policy Makers (2)</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ABS Videos</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Factsheets</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Access and Benefit Sharing CD-ROM</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The Nagoya Protocol and its Relevance for Timor Leste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Various authors/ ASEAN Centre for Biodiversity (ACB)</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Various languages: En, Laotian, Thai, Vietnamese, Tetum</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CD ROM.</w:t>
            </w:r>
            <w:r w:rsidRPr="00A33406">
              <w:rPr>
                <w:kern w:val="22"/>
                <w:sz w:val="20"/>
                <w:szCs w:val="20"/>
              </w:rPr>
              <w:br/>
            </w:r>
            <w:r w:rsidRPr="00A33406">
              <w:rPr>
                <w:kern w:val="22"/>
                <w:sz w:val="20"/>
                <w:szCs w:val="20"/>
              </w:rPr>
              <w:br/>
              <w:t>For further information:</w:t>
            </w:r>
            <w:r w:rsidRPr="00A33406">
              <w:rPr>
                <w:kern w:val="22"/>
                <w:sz w:val="20"/>
                <w:szCs w:val="20"/>
              </w:rPr>
              <w:br/>
              <w:t>http://abs.aseanbiodiversity.org</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A series of awareness-raising materials developed under the UNEP/ ACB regional project in Southeast Asia, with the collaboration of the governments of Cambodia, Lao People's Democratic Republic, Malaysia, Myanmar, Philippines, Thailand, Timor-Leste, Viet Nam.</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4A790F"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67</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Photo Stories (2): </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Maldhari Pastoralists, India</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Traditional Healers of Bushbuckridge, South Africa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Natural Justice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https://www.youtube.com/watch?v=YMnonrrw1ms;</w:t>
            </w:r>
            <w:r w:rsidRPr="00A33406">
              <w:rPr>
                <w:kern w:val="22"/>
                <w:sz w:val="20"/>
                <w:szCs w:val="20"/>
              </w:rPr>
              <w:br/>
              <w:t>https://www.youtube.com/watch?v=67xYtcMfBns;</w:t>
            </w:r>
            <w:r w:rsidRPr="00A33406">
              <w:rPr>
                <w:kern w:val="22"/>
                <w:sz w:val="20"/>
                <w:szCs w:val="20"/>
              </w:rPr>
              <w:br/>
              <w:t>https://www.youtube.com/watch?v=YxLUn8l55dY</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The two examples of community protocols in ABS told through photo stories have been developed by Natural Justice with the support of the ABS Initiative.</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1, 4</w:t>
            </w:r>
          </w:p>
        </w:tc>
      </w:tr>
      <w:tr w:rsidR="004A790F"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68</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Policy Brief Series (9):</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An Urgent Need: Institutionalizing Access to Genetic Resources and Benefit-Sharing in Southeast Asia</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 xml:space="preserve">Understanding the Key Elements of Access and Benefit-Sharing Legal Framework </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Prior Informed Consent and Mutually Agreed Terms: A Must for Access and Benefit-Sharing</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 xml:space="preserve">Traditional Knowledge and ABS: Beyond Protection and Recognition </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lastRenderedPageBreak/>
              <w:t xml:space="preserve">Compliance: Ensuring Effectiveness of the Access and Benefit-sharing System </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Good Practices in Developing National ABS Frameworks</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Strengthening cooperation towards regional ABS implementation</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Moving Forward on ABS: Building on Capacity Impacts</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Developing a Common Understanding of Access and Benefit-sharing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snapToGrid w:val="0"/>
                <w:kern w:val="22"/>
                <w:sz w:val="20"/>
                <w:szCs w:val="20"/>
                <w:lang w:val="fr-FR"/>
              </w:rPr>
            </w:pPr>
            <w:r w:rsidRPr="00A33406">
              <w:rPr>
                <w:snapToGrid w:val="0"/>
                <w:kern w:val="22"/>
                <w:sz w:val="20"/>
                <w:szCs w:val="20"/>
                <w:lang w:val="fr-FR"/>
              </w:rPr>
              <w:lastRenderedPageBreak/>
              <w:t>De Jesus, Foronda, Schmidt, Sukprasert, &amp; Tolentino /</w:t>
            </w:r>
          </w:p>
          <w:p w:rsidR="009E42C7" w:rsidRPr="00A33406" w:rsidRDefault="009E42C7" w:rsidP="00A33406">
            <w:pPr>
              <w:jc w:val="left"/>
              <w:rPr>
                <w:kern w:val="22"/>
                <w:sz w:val="20"/>
                <w:szCs w:val="20"/>
              </w:rPr>
            </w:pPr>
            <w:r w:rsidRPr="00A33406">
              <w:rPr>
                <w:snapToGrid w:val="0"/>
                <w:kern w:val="22"/>
                <w:sz w:val="20"/>
                <w:szCs w:val="20"/>
              </w:rPr>
              <w:t>ACB &amp; Ministry of Environmental Conservation and Forestry, Myanmar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2013/ 2014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English; Burmese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color w:val="0000FF"/>
                <w:kern w:val="22"/>
                <w:sz w:val="20"/>
                <w:szCs w:val="20"/>
                <w:u w:val="single"/>
              </w:rPr>
            </w:pPr>
            <w:hyperlink r:id="rId56" w:history="1">
              <w:r w:rsidRPr="00A33406">
                <w:rPr>
                  <w:color w:val="0000FF"/>
                  <w:kern w:val="22"/>
                  <w:sz w:val="20"/>
                  <w:szCs w:val="20"/>
                  <w:u w:val="single"/>
                </w:rPr>
                <w:t>http://abs.aseanbiodiversity.org/index.php?option=com_content&amp;view=article&amp;id=43&amp;Itemid=249&amp;jsmallfib=1&amp;dir=JSROOT/ABS+Fact+Sheets+and+Policy+Briefs/Policy+Briefs</w:t>
              </w:r>
            </w:hyperlink>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Policy briefs on different topics regarding ABS and the Nagoya Protocol developed under the UNEP-GEF Regional Project on ABS (ASEAN and Timor-Leste).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4A790F"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69</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Policy Briefs (7) and Factsheets (7) on the Nagoya Protocol: Bioscience at crossroads:</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Implementing the Nagoya Protocol</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The Agricultural Sector</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Botanicals</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The Cosmetics Sector</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The Food and Beverage Sector</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Industrial Biotechnology</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The Pharmaceutical Industry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Laird, S. &amp; Wynberg, R. / SCBD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lang w:val="fr-FR"/>
              </w:rPr>
            </w:pPr>
            <w:r w:rsidRPr="00A33406">
              <w:rPr>
                <w:kern w:val="22"/>
                <w:sz w:val="20"/>
                <w:szCs w:val="20"/>
                <w:lang w:val="fr-FR"/>
              </w:rPr>
              <w:t>Briefs: En</w:t>
            </w:r>
            <w:r w:rsidRPr="00A33406">
              <w:rPr>
                <w:kern w:val="22"/>
                <w:sz w:val="20"/>
                <w:szCs w:val="20"/>
                <w:lang w:val="fr-FR"/>
              </w:rPr>
              <w:br/>
            </w:r>
            <w:r w:rsidRPr="00A33406">
              <w:rPr>
                <w:kern w:val="22"/>
                <w:sz w:val="20"/>
                <w:szCs w:val="20"/>
                <w:lang w:val="fr-FR"/>
              </w:rPr>
              <w:br/>
              <w:t xml:space="preserve">Factsheets: Ar, En, Es, Fr, Ru, Zh </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color w:val="0000FF"/>
                <w:kern w:val="22"/>
                <w:sz w:val="20"/>
                <w:szCs w:val="20"/>
                <w:u w:val="single"/>
                <w:lang w:val="fr-FR"/>
              </w:rPr>
            </w:pPr>
            <w:hyperlink r:id="rId57" w:history="1">
              <w:r w:rsidRPr="00A33406">
                <w:rPr>
                  <w:color w:val="0000FF"/>
                  <w:kern w:val="22"/>
                  <w:sz w:val="20"/>
                  <w:szCs w:val="20"/>
                  <w:u w:val="single"/>
                  <w:lang w:val="fr-FR"/>
                </w:rPr>
                <w:t>https://www.cbd.int/abs/policy-brief/default.shtml/</w:t>
              </w:r>
            </w:hyperlink>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The Secretariat developed a series of communication materials as part of a partnership with the United Nations University-Institute of Advanced Studies under the GEF-MSP on Capacity-building for the early entry into force of the Nagoya Protocol;</w:t>
            </w:r>
            <w:r w:rsidRPr="00A33406">
              <w:rPr>
                <w:kern w:val="22"/>
                <w:sz w:val="20"/>
                <w:szCs w:val="20"/>
              </w:rPr>
              <w:br/>
            </w:r>
            <w:r w:rsidRPr="00A33406">
              <w:rPr>
                <w:kern w:val="22"/>
                <w:sz w:val="20"/>
                <w:szCs w:val="20"/>
              </w:rPr>
              <w:br/>
              <w:t>The materials are meant to provide an overview of the types of ABS-related activities carried out in different sectors (i.e. pharmaceuticals, agriculture, industrial biotech, cosmetics, botanicals and food and beverage) as well as an analysis of the relevance and impact of the Nagoya Protocol for these sectors in the light of recent trends and practices. In total, seven factsheets and policy briefs were developed.</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color w:val="333333"/>
                <w:kern w:val="22"/>
                <w:sz w:val="20"/>
                <w:szCs w:val="20"/>
              </w:rPr>
            </w:pPr>
            <w:r w:rsidRPr="00A33406">
              <w:rPr>
                <w:color w:val="333333"/>
                <w:kern w:val="22"/>
                <w:sz w:val="20"/>
                <w:szCs w:val="20"/>
              </w:rPr>
              <w:t>1,4</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70*</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Poster on the Nagoya Protocol in German</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Bundesamt für Naturschutz (BfN)</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2016</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German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https://www.bfn.de/fileadmin/ABS/documents/ABS_Dokumente_ab_Septemer_2015/20170427_Poster_NP_DE_barrierefrei.pdf</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The poster provides an overview of the Nagoya Protocol, how it is </w:t>
            </w:r>
            <w:r w:rsidR="00803162" w:rsidRPr="00A33406">
              <w:rPr>
                <w:kern w:val="22"/>
                <w:sz w:val="20"/>
                <w:szCs w:val="20"/>
              </w:rPr>
              <w:t>being</w:t>
            </w:r>
            <w:r w:rsidR="00803162" w:rsidRPr="00A33406">
              <w:rPr>
                <w:kern w:val="22"/>
                <w:sz w:val="20"/>
                <w:szCs w:val="20"/>
              </w:rPr>
              <w:t xml:space="preserve"> </w:t>
            </w:r>
            <w:r w:rsidRPr="00A33406">
              <w:rPr>
                <w:kern w:val="22"/>
                <w:sz w:val="20"/>
                <w:szCs w:val="20"/>
              </w:rPr>
              <w:t>implemented in Germany and the EU and who is responsible in Germany.</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lastRenderedPageBreak/>
              <w:t>71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PowerPoint Presentation of ABS Information Kit (6) on: </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 xml:space="preserve">Access and Benefit-sharing </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 xml:space="preserve">Uses of Genetic Resources </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Traditional Knowledge</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The Bonn Guidelines</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National Implementation</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The Nagoya Protocol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SCBD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 Fr, Es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color w:val="0000FF"/>
                <w:kern w:val="22"/>
                <w:sz w:val="20"/>
                <w:szCs w:val="20"/>
                <w:u w:val="single"/>
              </w:rPr>
            </w:pPr>
            <w:hyperlink r:id="rId58" w:history="1">
              <w:r w:rsidRPr="00A33406">
                <w:rPr>
                  <w:color w:val="0000FF"/>
                  <w:kern w:val="22"/>
                  <w:sz w:val="20"/>
                  <w:szCs w:val="20"/>
                  <w:u w:val="single"/>
                </w:rPr>
                <w:t xml:space="preserve"> http://www.cbd.int/abs/information-kit-en/powerpoint.shtml   </w:t>
              </w:r>
            </w:hyperlink>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PowerPoint slides on the ABS Information Kit presenting the basics of access and benefit</w:t>
            </w:r>
            <w:r w:rsidRPr="00A33406">
              <w:rPr>
                <w:kern w:val="22"/>
                <w:sz w:val="20"/>
                <w:szCs w:val="20"/>
              </w:rPr>
              <w:noBreakHyphen/>
              <w:t>sharing in simple language are available in English, French and Spanish.</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72</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PowerPoint Presentation: Introduction to the Nagoya Protocol on Access and Benefit-sharing</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International Union for Conservation of Nature (IUCN)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General introduction to the Nagoya Protocol and ABS.</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73</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Sectoral ABS cases (3) - Opportunities provided by the Nagoya Protocol:</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Pharmaceutical sector - Salinispora tropica - The Bahamas</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Cosmetics sector - CIMTECH - Cook Islands</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Agricultural sector - Eragrostis tef - Ethiopia</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ABS Capacity Development Initiative</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Posters: </w:t>
            </w:r>
            <w:r w:rsidRPr="00A33406">
              <w:rPr>
                <w:kern w:val="22"/>
                <w:sz w:val="20"/>
                <w:szCs w:val="20"/>
              </w:rPr>
              <w:br/>
              <w:t>http://www.abs-initiative.info/fileadmin/media/Knowledge_Center/Multimedia/Poster/ABS-Infoposter_Ansicht.pdf;</w:t>
            </w:r>
            <w:r w:rsidRPr="00A33406">
              <w:rPr>
                <w:kern w:val="22"/>
                <w:sz w:val="20"/>
                <w:szCs w:val="20"/>
              </w:rPr>
              <w:br/>
              <w:t xml:space="preserve">Interactive infographics: </w:t>
            </w:r>
            <w:r w:rsidRPr="00A33406">
              <w:rPr>
                <w:kern w:val="22"/>
                <w:sz w:val="20"/>
                <w:szCs w:val="20"/>
              </w:rPr>
              <w:br/>
              <w:t>http://www.abs-initiative.info/knowledge-center/multimedia/</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Through concrete examples, these posters/interactive infographics will help you to comprehend the context to which ABS is relevant. You can track the course of (potential) ABS cases, understand the opportunities provided by the Nagoya Protocol and get an overview of the relevant resources used to present the cases. A particular focus is on the relations between users and providers of genetic resources and associated traditional knowledge.</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74*</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lang w:val="es-AR"/>
              </w:rPr>
            </w:pPr>
            <w:r w:rsidRPr="00A33406">
              <w:rPr>
                <w:kern w:val="22"/>
                <w:sz w:val="20"/>
                <w:szCs w:val="20"/>
              </w:rPr>
              <w:t xml:space="preserve">The access to our genetic resources. </w:t>
            </w:r>
            <w:r w:rsidRPr="00A33406">
              <w:rPr>
                <w:kern w:val="22"/>
                <w:sz w:val="20"/>
                <w:szCs w:val="20"/>
                <w:lang w:val="es-AR"/>
              </w:rPr>
              <w:t>[El acceso a nuestros recursos genéticos (Epibatidín)]</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Ecuatorian Institute of Intellectual Property </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2014</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 Es</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http://gaceta.propiedadintelectual.gob.ec:8180/Comunicacion_libro/16061_ingles/</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The comic explains how to access genetic resources and associated traditional knowledge in Ecuador.</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4</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75*</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Traditional knowledge, traditional cultural expressions and biodiversity [Saberes ancestrales, expresiones culturales y biodiersidad (El Epibatidín)]</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Ecuatorian Institute of Intellectual Property </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2014</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 Es</w:t>
            </w:r>
          </w:p>
        </w:tc>
        <w:tc>
          <w:tcPr>
            <w:tcW w:w="2700" w:type="dxa"/>
            <w:tcBorders>
              <w:top w:val="nil"/>
              <w:left w:val="nil"/>
              <w:bottom w:val="single" w:sz="4" w:space="0" w:color="auto"/>
              <w:right w:val="single" w:sz="4" w:space="0" w:color="auto"/>
            </w:tcBorders>
            <w:shd w:val="clear" w:color="auto" w:fill="auto"/>
            <w:vAlign w:val="bottom"/>
            <w:hideMark/>
          </w:tcPr>
          <w:p w:rsidR="009E42C7" w:rsidRPr="00A33406" w:rsidRDefault="009E42C7" w:rsidP="00A33406">
            <w:pPr>
              <w:jc w:val="left"/>
              <w:rPr>
                <w:kern w:val="22"/>
                <w:sz w:val="20"/>
                <w:szCs w:val="20"/>
              </w:rPr>
            </w:pPr>
            <w:r w:rsidRPr="00A33406">
              <w:rPr>
                <w:kern w:val="22"/>
                <w:sz w:val="20"/>
                <w:szCs w:val="20"/>
              </w:rPr>
              <w:t>http://gaceta.propiedadintelectual.gob.ec:8180/Comunicacion_libro/15964_ingles/</w:t>
            </w:r>
            <w:r w:rsidRPr="00A33406">
              <w:rPr>
                <w:kern w:val="22"/>
                <w:sz w:val="20"/>
                <w:szCs w:val="20"/>
              </w:rPr>
              <w:br/>
              <w:t>http://www.portalces.org/biblioteca/distribucion-equitativa-de-costos-beneficios/epibatidin-n-1-saberes-ancestrales</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The comic explains why traditional knowledge is important and what the institute does to help IPLCs to protect their knowledge, including through registries. </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4</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lastRenderedPageBreak/>
              <w:t>76</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Video/ Documentary: People, Plants and Profit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ABS Capacity Development Initiative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 Fr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color w:val="0000FF"/>
                <w:kern w:val="22"/>
                <w:sz w:val="20"/>
                <w:szCs w:val="20"/>
                <w:u w:val="single"/>
              </w:rPr>
            </w:pPr>
            <w:hyperlink r:id="rId59" w:history="1">
              <w:r w:rsidRPr="00A33406">
                <w:rPr>
                  <w:color w:val="0000FF"/>
                  <w:kern w:val="22"/>
                  <w:sz w:val="20"/>
                  <w:szCs w:val="20"/>
                  <w:u w:val="single"/>
                </w:rPr>
                <w:t>https://absch.cbd.int/database/VLR/ABSCH-VLR-SCBD-200802</w:t>
              </w:r>
            </w:hyperlink>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This 25-minute film illustrates the basic principles of ABS in the context of the Nagoya Protocol, with the help of three real life cases: Hoodia (South Africa), Argan (Morocco) and Teff (Ethiopia).</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77</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Video: ABS Simply Explained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ABS Capacity Development Initiative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 Es, Fr, De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color w:val="0000FF"/>
                <w:kern w:val="22"/>
                <w:sz w:val="20"/>
                <w:szCs w:val="20"/>
                <w:u w:val="single"/>
              </w:rPr>
            </w:pPr>
            <w:r w:rsidRPr="00A33406">
              <w:rPr>
                <w:color w:val="0000FF"/>
                <w:kern w:val="22"/>
                <w:sz w:val="20"/>
                <w:szCs w:val="20"/>
                <w:u w:val="single"/>
              </w:rPr>
              <w:t>https://absch.cbd.int/database/VLR/ABSCH-VLR-SCBD-200798</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The ABS Initiative has produced a short animated video clip to explain ABS and the Nagoya Protocol within in 5 minutes. It is meant to be screened as a curtain raiser at meetings, conferences and workshops - for example national ABS kick off’s - to larger audiences. </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78*</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Video: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United Nations Development Programme (UNDP) Malaysia</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2017</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 (no voice, only text)</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https://www.youtube.com/watch?v=Dq_DIxMjVvk</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A video introducing ABS generally and ABS II project in Malaysia specifically.</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79</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Video: Biocultural Community Protocols</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Natural Justice </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 Fr, Es</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http://naturaljustice.org/ </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This explanatory video was produced by Moving Images and Natural Justice with the support of the ABS Initiative. The video highlights the potential and possible role of BCPs for community members and facilitators interested in developing community protocols.</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1, 4</w:t>
            </w: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80*</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lang w:val="es-AR"/>
              </w:rPr>
            </w:pPr>
            <w:r w:rsidRPr="00A33406">
              <w:rPr>
                <w:kern w:val="22"/>
                <w:sz w:val="20"/>
                <w:szCs w:val="20"/>
                <w:lang w:val="es-AR"/>
              </w:rPr>
              <w:t>Video: Cómo proteger nuestros conocimientos colectivos </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lang w:val="es-AR"/>
              </w:rPr>
            </w:pPr>
            <w:r w:rsidRPr="00A33406">
              <w:rPr>
                <w:kern w:val="22"/>
                <w:sz w:val="20"/>
                <w:szCs w:val="20"/>
                <w:lang w:val="es-AR"/>
              </w:rPr>
              <w:t>Comision nacional contra la Biopirateria (Indecopi), Peru</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2017</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Es</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color w:val="0000FF"/>
                <w:kern w:val="22"/>
                <w:sz w:val="20"/>
                <w:szCs w:val="20"/>
                <w:u w:val="single"/>
              </w:rPr>
            </w:pPr>
            <w:hyperlink r:id="rId60" w:history="1">
              <w:r w:rsidRPr="00A33406">
                <w:rPr>
                  <w:color w:val="0000FF"/>
                  <w:kern w:val="22"/>
                  <w:sz w:val="20"/>
                  <w:szCs w:val="20"/>
                  <w:u w:val="single"/>
                </w:rPr>
                <w:t>https://www.youtube.com/watch?v=QM0T8KEbUxM&amp;feature=youtu.be</w:t>
              </w:r>
            </w:hyperlink>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A video targeted to IPLCs that explains the key elements of the Peruvian law that establishes an access procedure to TK related to biological resources. It also provides information on how to protect such TK through the registers managed by the Peruvian authority on Intellectual Property (INDECOPI).</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81*</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Video: Monitoring of Genetic Resources Simply Explained</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ABS Capacity Development Initiative / SCBD</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2018 forth-coming</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 Es, Fr, De</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forthcoming</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jc w:val="center"/>
              <w:rPr>
                <w:bCs/>
                <w:kern w:val="22"/>
                <w:sz w:val="20"/>
                <w:szCs w:val="20"/>
              </w:rPr>
            </w:pPr>
            <w:r w:rsidRPr="00A33406">
              <w:rPr>
                <w:bCs/>
                <w:kern w:val="22"/>
                <w:sz w:val="20"/>
                <w:szCs w:val="20"/>
              </w:rPr>
              <w:lastRenderedPageBreak/>
              <w:t>82*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lang w:val="es-AR"/>
              </w:rPr>
            </w:pPr>
            <w:r w:rsidRPr="00A33406">
              <w:rPr>
                <w:kern w:val="22"/>
                <w:sz w:val="20"/>
                <w:szCs w:val="20"/>
                <w:lang w:val="es-AR"/>
              </w:rPr>
              <w:t>Video: Protocolo de Nagoya: Aplicacion en Panama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lang w:val="es-AR"/>
              </w:rPr>
            </w:pPr>
            <w:r w:rsidRPr="00A33406">
              <w:rPr>
                <w:kern w:val="22"/>
                <w:sz w:val="20"/>
                <w:szCs w:val="20"/>
                <w:lang w:val="es-AR"/>
              </w:rPr>
              <w:t>Ministerio de Ambiente de Panama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color w:val="0000FF"/>
                <w:kern w:val="22"/>
                <w:sz w:val="20"/>
                <w:szCs w:val="20"/>
                <w:u w:val="single"/>
              </w:rPr>
            </w:pPr>
            <w:hyperlink r:id="rId61" w:history="1">
              <w:r w:rsidRPr="00A33406">
                <w:rPr>
                  <w:color w:val="0000FF"/>
                  <w:kern w:val="22"/>
                  <w:sz w:val="20"/>
                  <w:szCs w:val="20"/>
                  <w:u w:val="single"/>
                </w:rPr>
                <w:t xml:space="preserve">https://www.youtube.com/watch?v=J2yEgipjcnc </w:t>
              </w:r>
            </w:hyperlink>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Panama’s genetic biodiversity is considered to be of unmeasurable value for research and innovation. Not long ago, an anticancer active compound, the “Coibamide”, was discovered in a bacteria collected from “Coiba” National Park. “Project Nagoya” supports the implementation of the Nagoya Protocol, led by the Ministry of Environment, the Smithsonian Institute, the University of Panama and INDICASAP, with support of UNEP and GEF.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r w:rsidR="00803162" w:rsidRPr="00A33406" w:rsidTr="00A33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0"/>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83*</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Videos (2): The Nagoya Protocol: A Caribbean Perspective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International Union for Conservation of Nature (IUCN)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2017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En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u w:val="single"/>
              </w:rPr>
              <w:t>IUCN Website</w:t>
            </w:r>
            <w:r w:rsidRPr="00A33406">
              <w:rPr>
                <w:kern w:val="22"/>
                <w:sz w:val="20"/>
                <w:szCs w:val="20"/>
              </w:rPr>
              <w:t>: https://www.iucn.org/news/m%C3%A9xico-am%C3%A9rica-central-y-el-caribe/201706/iucn-and-un-environment-launch-promotional-videos-nagoya-protocol-caribbean</w:t>
            </w:r>
            <w:r w:rsidRPr="00A33406">
              <w:rPr>
                <w:kern w:val="22"/>
                <w:sz w:val="20"/>
                <w:szCs w:val="20"/>
              </w:rPr>
              <w:br/>
            </w:r>
            <w:r w:rsidRPr="00A33406">
              <w:rPr>
                <w:kern w:val="22"/>
                <w:sz w:val="20"/>
                <w:szCs w:val="20"/>
                <w:u w:val="single"/>
              </w:rPr>
              <w:t>Link to video</w:t>
            </w:r>
            <w:r w:rsidRPr="00A33406">
              <w:rPr>
                <w:kern w:val="22"/>
                <w:sz w:val="20"/>
                <w:szCs w:val="20"/>
              </w:rPr>
              <w:t>: https://www.youtube.com/watch?v=lltjhz6iyoA</w:t>
            </w:r>
            <w:r w:rsidRPr="00A33406">
              <w:rPr>
                <w:kern w:val="22"/>
                <w:sz w:val="20"/>
                <w:szCs w:val="20"/>
              </w:rPr>
              <w:br/>
              <w:t>https://www.unenvironment.org/news-and-stories/story/valuing-and-protecting-biodiversity-caribbean https://www.youtube.com/watch?v=-GFeU7UuW_0</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The Caribbean Islands are implementing the Nagoya Protocol in their legislative measures. Their priorities are to ensure their right to be compensated from the utilization of genetic resources for commercial developments, as well as to ensure that indigenous groups are given credit and benefits if their traditional knowledge is used for commercial purposes. Watch this video to find out more about the “ABS in the Caribbean”, a project through which the Global Environment Facility (GEF), the United Nations Development Programme (UNEP) and IUCN are jointly providing support to Caribbean countries in order to make functional ABS systems.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1, 4</w:t>
            </w:r>
          </w:p>
        </w:tc>
      </w:tr>
      <w:tr w:rsidR="004F7B8A" w:rsidRPr="00A33406" w:rsidTr="009E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54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E42C7" w:rsidRPr="00A33406" w:rsidRDefault="009E42C7" w:rsidP="00A33406">
            <w:pPr>
              <w:jc w:val="center"/>
              <w:rPr>
                <w:bCs/>
                <w:kern w:val="22"/>
                <w:sz w:val="20"/>
                <w:szCs w:val="20"/>
              </w:rPr>
            </w:pPr>
            <w:r w:rsidRPr="00A33406">
              <w:rPr>
                <w:bCs/>
                <w:kern w:val="22"/>
                <w:sz w:val="20"/>
                <w:szCs w:val="20"/>
              </w:rPr>
              <w:t>84*</w:t>
            </w:r>
          </w:p>
        </w:tc>
        <w:tc>
          <w:tcPr>
            <w:tcW w:w="297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Videos forthcoming:</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 xml:space="preserve">Introduction to the ABS work in the Pacific region (including introducing the ABS Project) </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Video on ABS cases with examples of plants and animals of the Pacific region</w:t>
            </w:r>
          </w:p>
          <w:p w:rsidR="009E42C7" w:rsidRPr="00A33406" w:rsidRDefault="009E42C7" w:rsidP="00A33406">
            <w:pPr>
              <w:numPr>
                <w:ilvl w:val="0"/>
                <w:numId w:val="56"/>
              </w:numPr>
              <w:ind w:left="252" w:hanging="252"/>
              <w:jc w:val="left"/>
              <w:rPr>
                <w:kern w:val="22"/>
                <w:sz w:val="20"/>
                <w:szCs w:val="20"/>
              </w:rPr>
            </w:pPr>
            <w:r w:rsidRPr="00A33406">
              <w:rPr>
                <w:kern w:val="22"/>
                <w:sz w:val="20"/>
                <w:szCs w:val="20"/>
              </w:rPr>
              <w:t xml:space="preserve">Translated versions of the video ABS Simply Explained (in Fijian, Bislama , Samoan and Tongan) </w:t>
            </w:r>
          </w:p>
        </w:tc>
        <w:tc>
          <w:tcPr>
            <w:tcW w:w="135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Secretariat of the Pacific Regional Environment Programme (SPREP)</w:t>
            </w:r>
          </w:p>
        </w:tc>
        <w:tc>
          <w:tcPr>
            <w:tcW w:w="9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Forth-coming</w:t>
            </w:r>
          </w:p>
        </w:tc>
        <w:tc>
          <w:tcPr>
            <w:tcW w:w="108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xml:space="preserve">EN and local languages (Fijian, Bislama, Samoan and Tongan) </w:t>
            </w:r>
          </w:p>
        </w:tc>
        <w:tc>
          <w:tcPr>
            <w:tcW w:w="270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w:t>
            </w:r>
          </w:p>
        </w:tc>
        <w:tc>
          <w:tcPr>
            <w:tcW w:w="423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left"/>
              <w:rPr>
                <w:kern w:val="22"/>
                <w:sz w:val="20"/>
                <w:szCs w:val="20"/>
              </w:rPr>
            </w:pPr>
            <w:r w:rsidRPr="00A33406">
              <w:rPr>
                <w:kern w:val="22"/>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9E42C7" w:rsidRPr="00A33406" w:rsidRDefault="009E42C7" w:rsidP="00A33406">
            <w:pPr>
              <w:jc w:val="center"/>
              <w:rPr>
                <w:kern w:val="22"/>
                <w:sz w:val="20"/>
                <w:szCs w:val="20"/>
              </w:rPr>
            </w:pPr>
            <w:r w:rsidRPr="00A33406">
              <w:rPr>
                <w:kern w:val="22"/>
                <w:sz w:val="20"/>
                <w:szCs w:val="20"/>
              </w:rPr>
              <w:t>1</w:t>
            </w:r>
          </w:p>
        </w:tc>
      </w:tr>
    </w:tbl>
    <w:p w:rsidR="00B3369F" w:rsidRPr="00A33406" w:rsidRDefault="00C9161D" w:rsidP="00A33406">
      <w:pPr>
        <w:jc w:val="center"/>
        <w:rPr>
          <w:kern w:val="22"/>
        </w:rPr>
      </w:pPr>
      <w:r w:rsidRPr="00A33406">
        <w:rPr>
          <w:kern w:val="22"/>
        </w:rPr>
        <w:t>__________</w:t>
      </w:r>
    </w:p>
    <w:sectPr w:rsidR="00B3369F" w:rsidRPr="00A33406" w:rsidSect="00A33406">
      <w:headerReference w:type="even" r:id="rId62"/>
      <w:headerReference w:type="default" r:id="rId63"/>
      <w:pgSz w:w="15840" w:h="12240" w:orient="landscape"/>
      <w:pgMar w:top="1077" w:right="567"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18C" w:rsidRDefault="00DD118C" w:rsidP="00CF1848">
      <w:r>
        <w:separator/>
      </w:r>
    </w:p>
  </w:endnote>
  <w:endnote w:type="continuationSeparator" w:id="0">
    <w:p w:rsidR="00DD118C" w:rsidRDefault="00DD118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0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C7" w:rsidRPr="00A97E97" w:rsidRDefault="009E42C7" w:rsidP="00704B00">
    <w:pPr>
      <w:pStyle w:val="Footer"/>
      <w:pBdr>
        <w:top w:val="nil"/>
      </w:pBd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C7" w:rsidRDefault="009E42C7" w:rsidP="00704B00">
    <w:pPr>
      <w:pStyle w:val="Footer"/>
      <w:pBdr>
        <w:top w:val="nil"/>
      </w:pBd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C7" w:rsidRPr="00A97E97" w:rsidRDefault="009E42C7" w:rsidP="00896BF8">
    <w:pPr>
      <w:pStyle w:val="Footer"/>
      <w:pBdr>
        <w:top w:val="nil"/>
      </w:pBdr>
      <w:tabs>
        <w:tab w:val="clear" w:pos="4320"/>
        <w:tab w:val="clear" w:pos="86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18C" w:rsidRDefault="00DD118C" w:rsidP="00CF1848">
      <w:r>
        <w:separator/>
      </w:r>
    </w:p>
  </w:footnote>
  <w:footnote w:type="continuationSeparator" w:id="0">
    <w:p w:rsidR="00DD118C" w:rsidRDefault="00DD118C" w:rsidP="00CF1848">
      <w:r>
        <w:continuationSeparator/>
      </w:r>
    </w:p>
  </w:footnote>
  <w:footnote w:id="1">
    <w:p w:rsidR="009E42C7" w:rsidRPr="00F16F79" w:rsidRDefault="009E42C7" w:rsidP="009E42C7">
      <w:pPr>
        <w:pStyle w:val="FootnoteText"/>
        <w:keepLines w:val="0"/>
        <w:ind w:firstLine="0"/>
        <w:jc w:val="left"/>
        <w:rPr>
          <w:kern w:val="18"/>
        </w:rPr>
      </w:pPr>
      <w:r w:rsidRPr="00A33406">
        <w:rPr>
          <w:rStyle w:val="FootnoteReference"/>
          <w:kern w:val="18"/>
          <w:sz w:val="22"/>
          <w:szCs w:val="22"/>
          <w:u w:val="none"/>
          <w:vertAlign w:val="superscript"/>
        </w:rPr>
        <w:t>*</w:t>
      </w:r>
      <w:r>
        <w:rPr>
          <w:kern w:val="18"/>
        </w:rPr>
        <w:t xml:space="preserve"> CBD/ABS/CB-IAC/2018/</w:t>
      </w:r>
      <w:r w:rsidR="004861FB">
        <w:rPr>
          <w:kern w:val="18"/>
        </w:rPr>
        <w:t>1</w:t>
      </w:r>
      <w:r>
        <w:rPr>
          <w:kern w:val="18"/>
        </w:rPr>
        <w:t>/1</w:t>
      </w:r>
      <w:r w:rsidR="004861FB">
        <w:rPr>
          <w:kern w:val="18"/>
        </w:rPr>
        <w:t>.</w:t>
      </w:r>
    </w:p>
  </w:footnote>
  <w:footnote w:id="2">
    <w:p w:rsidR="009E42C7" w:rsidRPr="00704B00" w:rsidRDefault="009E42C7" w:rsidP="009E42C7">
      <w:pPr>
        <w:pStyle w:val="FootnoteText"/>
        <w:keepLines w:val="0"/>
        <w:ind w:firstLine="0"/>
        <w:jc w:val="left"/>
        <w:rPr>
          <w:kern w:val="18"/>
        </w:rPr>
      </w:pPr>
      <w:r w:rsidRPr="00A33406">
        <w:rPr>
          <w:rStyle w:val="FootnoteReference"/>
          <w:snapToGrid w:val="0"/>
          <w:kern w:val="22"/>
          <w:sz w:val="20"/>
          <w:szCs w:val="20"/>
          <w:u w:val="none"/>
          <w:vertAlign w:val="superscript"/>
        </w:rPr>
        <w:footnoteRef/>
      </w:r>
      <w:r w:rsidRPr="00704B00">
        <w:rPr>
          <w:kern w:val="18"/>
        </w:rPr>
        <w:t xml:space="preserve"> This refers to the key areas of the strategic framework for capacity-building and development to support the effective implementation of the Nagoya Protocol (annex to decision NP-1/8).</w:t>
      </w:r>
    </w:p>
  </w:footnote>
  <w:footnote w:id="3">
    <w:p w:rsidR="009E42C7" w:rsidRPr="00704B00" w:rsidRDefault="009E42C7" w:rsidP="009E42C7">
      <w:pPr>
        <w:pStyle w:val="FootnoteText"/>
        <w:keepLines w:val="0"/>
        <w:ind w:firstLine="0"/>
        <w:jc w:val="left"/>
        <w:rPr>
          <w:kern w:val="18"/>
        </w:rPr>
      </w:pPr>
      <w:r w:rsidRPr="00A33406">
        <w:rPr>
          <w:rStyle w:val="FootnoteReference"/>
          <w:snapToGrid w:val="0"/>
          <w:kern w:val="22"/>
          <w:sz w:val="20"/>
          <w:szCs w:val="20"/>
          <w:u w:val="none"/>
          <w:vertAlign w:val="superscript"/>
        </w:rPr>
        <w:footnoteRef/>
      </w:r>
      <w:r w:rsidRPr="00704B00">
        <w:rPr>
          <w:kern w:val="18"/>
        </w:rPr>
        <w:t xml:space="preserve"> N</w:t>
      </w:r>
      <w:r>
        <w:rPr>
          <w:kern w:val="18"/>
        </w:rPr>
        <w:t>/</w:t>
      </w:r>
      <w:r w:rsidRPr="00704B00">
        <w:rPr>
          <w:kern w:val="18"/>
        </w:rPr>
        <w:t>A implies that selection of a Key Area is not applicable to the type of resource.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C7" w:rsidRPr="00F40B57" w:rsidRDefault="009E42C7" w:rsidP="00F40B57">
    <w:pPr>
      <w:pStyle w:val="Header"/>
      <w:pBdr>
        <w:top w:val="nil"/>
      </w:pBdr>
      <w:jc w:val="left"/>
      <w:rPr>
        <w:noProof/>
        <w:snapToGrid w:val="0"/>
        <w:kern w:val="22"/>
      </w:rPr>
    </w:pPr>
    <w:r>
      <w:rPr>
        <w:noProof/>
        <w:snapToGrid w:val="0"/>
        <w:kern w:val="22"/>
      </w:rPr>
      <w:t>UNEP/CBD/ABS/CB-IAC/2018/3/2/Add.2</w:t>
    </w:r>
  </w:p>
  <w:p w:rsidR="009E42C7" w:rsidRPr="00704B00" w:rsidRDefault="009E42C7" w:rsidP="00F40B57">
    <w:pPr>
      <w:pStyle w:val="Header"/>
      <w:pBdr>
        <w:top w:val="nil"/>
      </w:pBdr>
      <w:jc w:val="left"/>
      <w:rPr>
        <w:noProof/>
        <w:snapToGrid w:val="0"/>
        <w:kern w:val="22"/>
      </w:rPr>
    </w:pPr>
    <w:r w:rsidRPr="00704B00">
      <w:rPr>
        <w:noProof/>
        <w:snapToGrid w:val="0"/>
        <w:kern w:val="22"/>
      </w:rPr>
      <w:t xml:space="preserve">Page </w:t>
    </w:r>
    <w:r w:rsidRPr="00704B00">
      <w:rPr>
        <w:noProof/>
        <w:snapToGrid w:val="0"/>
        <w:kern w:val="22"/>
      </w:rPr>
      <w:fldChar w:fldCharType="begin"/>
    </w:r>
    <w:r w:rsidRPr="00704B00">
      <w:rPr>
        <w:noProof/>
        <w:snapToGrid w:val="0"/>
        <w:kern w:val="22"/>
      </w:rPr>
      <w:instrText xml:space="preserve"> PAGE   \* MERGEFORMAT </w:instrText>
    </w:r>
    <w:r w:rsidRPr="00704B00">
      <w:rPr>
        <w:noProof/>
        <w:snapToGrid w:val="0"/>
        <w:kern w:val="22"/>
      </w:rPr>
      <w:fldChar w:fldCharType="separate"/>
    </w:r>
    <w:r>
      <w:rPr>
        <w:noProof/>
        <w:snapToGrid w:val="0"/>
        <w:kern w:val="22"/>
      </w:rPr>
      <w:t>28</w:t>
    </w:r>
    <w:r w:rsidRPr="00704B00">
      <w:rPr>
        <w:noProof/>
        <w:snapToGrid w:val="0"/>
        <w:kern w:val="22"/>
      </w:rPr>
      <w:fldChar w:fldCharType="end"/>
    </w:r>
  </w:p>
  <w:p w:rsidR="009E42C7" w:rsidRPr="00704B00" w:rsidRDefault="009E42C7" w:rsidP="00F40B57">
    <w:pPr>
      <w:pStyle w:val="Header"/>
      <w:pBdr>
        <w:top w:val="nil"/>
      </w:pBdr>
      <w:jc w:val="left"/>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C7" w:rsidRPr="00F40B57" w:rsidRDefault="009E42C7" w:rsidP="00704B00">
    <w:pPr>
      <w:pStyle w:val="Header"/>
      <w:pBdr>
        <w:top w:val="nil"/>
      </w:pBdr>
      <w:jc w:val="right"/>
      <w:rPr>
        <w:snapToGrid w:val="0"/>
        <w:kern w:val="22"/>
      </w:rPr>
    </w:pPr>
    <w:r w:rsidRPr="00F40B57">
      <w:rPr>
        <w:snapToGrid w:val="0"/>
        <w:kern w:val="22"/>
      </w:rPr>
      <w:t>UNEP/CBD/</w:t>
    </w:r>
    <w:r>
      <w:rPr>
        <w:noProof/>
        <w:snapToGrid w:val="0"/>
        <w:kern w:val="22"/>
      </w:rPr>
      <w:t>ABS/CB-IAC/2018/3/2/Add.2</w:t>
    </w:r>
  </w:p>
  <w:p w:rsidR="009E42C7" w:rsidRPr="00704B00" w:rsidRDefault="009E42C7" w:rsidP="00F40B57">
    <w:pPr>
      <w:pStyle w:val="Header"/>
      <w:pBdr>
        <w:top w:val="nil"/>
      </w:pBdr>
      <w:jc w:val="right"/>
      <w:rPr>
        <w:noProof/>
        <w:snapToGrid w:val="0"/>
        <w:kern w:val="22"/>
      </w:rPr>
    </w:pPr>
    <w:r w:rsidRPr="00704B00">
      <w:rPr>
        <w:noProof/>
        <w:snapToGrid w:val="0"/>
        <w:kern w:val="22"/>
      </w:rPr>
      <w:t xml:space="preserve">Page </w:t>
    </w:r>
    <w:r w:rsidRPr="00704B00">
      <w:rPr>
        <w:noProof/>
        <w:snapToGrid w:val="0"/>
        <w:kern w:val="22"/>
      </w:rPr>
      <w:fldChar w:fldCharType="begin"/>
    </w:r>
    <w:r w:rsidRPr="00704B00">
      <w:rPr>
        <w:noProof/>
        <w:snapToGrid w:val="0"/>
        <w:kern w:val="22"/>
      </w:rPr>
      <w:instrText xml:space="preserve"> PAGE   \* MERGEFORMAT </w:instrText>
    </w:r>
    <w:r w:rsidRPr="00704B00">
      <w:rPr>
        <w:noProof/>
        <w:snapToGrid w:val="0"/>
        <w:kern w:val="22"/>
      </w:rPr>
      <w:fldChar w:fldCharType="separate"/>
    </w:r>
    <w:r>
      <w:rPr>
        <w:noProof/>
        <w:snapToGrid w:val="0"/>
        <w:kern w:val="22"/>
      </w:rPr>
      <w:t>27</w:t>
    </w:r>
    <w:r w:rsidRPr="00704B00">
      <w:rPr>
        <w:noProof/>
        <w:snapToGrid w:val="0"/>
        <w:kern w:val="22"/>
      </w:rPr>
      <w:fldChar w:fldCharType="end"/>
    </w:r>
  </w:p>
  <w:p w:rsidR="009E42C7" w:rsidRPr="00704B00" w:rsidRDefault="009E42C7" w:rsidP="00F40B57">
    <w:pPr>
      <w:pStyle w:val="Header"/>
      <w:pBdr>
        <w:top w:val="nil"/>
      </w:pBdr>
      <w:jc w:val="right"/>
      <w:rPr>
        <w:noProof/>
        <w:snapToGrid w:val="0"/>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C7" w:rsidRDefault="009E42C7" w:rsidP="00896BF8">
    <w:pPr>
      <w:pStyle w:val="Header"/>
      <w:pBdr>
        <w:top w:val="nil"/>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AF6AACDBB9544FE0AD03FE62F9C5D53B"/>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9E42C7" w:rsidP="00534681">
        <w:pPr>
          <w:pStyle w:val="Header"/>
        </w:pPr>
        <w:r>
          <w:t>CBD/ABS/CB-IAC/2018/1/2/Add.2</w:t>
        </w:r>
      </w:p>
    </w:sdtContent>
  </w:sdt>
  <w:p w:rsidR="00534681" w:rsidRDefault="00534681" w:rsidP="00534681">
    <w:pPr>
      <w:pStyle w:val="Header"/>
    </w:pPr>
    <w:r>
      <w:t xml:space="preserve">Page </w:t>
    </w:r>
    <w:r>
      <w:fldChar w:fldCharType="begin"/>
    </w:r>
    <w:r>
      <w:instrText xml:space="preserve"> PAGE   \* MERGEFORMAT </w:instrText>
    </w:r>
    <w:r>
      <w:fldChar w:fldCharType="separate"/>
    </w:r>
    <w:r w:rsidR="00D12988">
      <w:rPr>
        <w:noProof/>
      </w:rPr>
      <w:t>30</w:t>
    </w:r>
    <w:r>
      <w:rPr>
        <w:noProof/>
      </w:rPr>
      <w:fldChar w:fldCharType="end"/>
    </w:r>
  </w:p>
  <w:p w:rsidR="00534681" w:rsidRDefault="005346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25C6DE5235D74AA58B6D9B7A6CCB6798"/>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9E42C7" w:rsidP="009505C9">
        <w:pPr>
          <w:pStyle w:val="Header"/>
          <w:jc w:val="right"/>
        </w:pPr>
        <w:r>
          <w:t>CBD/ABS/CB-IAC/2018/1/2/Add.2</w:t>
        </w:r>
      </w:p>
    </w:sdtContent>
  </w:sdt>
  <w:p w:rsidR="009505C9" w:rsidRDefault="009505C9" w:rsidP="009505C9">
    <w:pPr>
      <w:pStyle w:val="Header"/>
      <w:jc w:val="right"/>
    </w:pPr>
    <w:r>
      <w:t xml:space="preserve">Page </w:t>
    </w:r>
    <w:r>
      <w:fldChar w:fldCharType="begin"/>
    </w:r>
    <w:r>
      <w:instrText xml:space="preserve"> PAGE   \* MERGEFORMAT </w:instrText>
    </w:r>
    <w:r>
      <w:fldChar w:fldCharType="separate"/>
    </w:r>
    <w:r w:rsidR="00D12988">
      <w:rPr>
        <w:noProof/>
      </w:rPr>
      <w:t>31</w:t>
    </w:r>
    <w:r>
      <w:rPr>
        <w:noProof/>
      </w:rPr>
      <w:fldChar w:fldCharType="end"/>
    </w:r>
  </w:p>
  <w:p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D2B"/>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 w15:restartNumberingAfterBreak="0">
    <w:nsid w:val="0B6E2E2E"/>
    <w:multiLevelType w:val="hybridMultilevel"/>
    <w:tmpl w:val="A030D62C"/>
    <w:lvl w:ilvl="0" w:tplc="8D34A8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4" w15:restartNumberingAfterBreak="0">
    <w:nsid w:val="0EE33B8C"/>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5" w15:restartNumberingAfterBreak="0">
    <w:nsid w:val="113D084A"/>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6" w15:restartNumberingAfterBreak="0">
    <w:nsid w:val="12B562DA"/>
    <w:multiLevelType w:val="hybridMultilevel"/>
    <w:tmpl w:val="A98E1F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A94BA2"/>
    <w:multiLevelType w:val="hybridMultilevel"/>
    <w:tmpl w:val="89505142"/>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DA0677"/>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9" w15:restartNumberingAfterBreak="0">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B712E0"/>
    <w:multiLevelType w:val="hybridMultilevel"/>
    <w:tmpl w:val="BCF6B0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D23543"/>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3" w15:restartNumberingAfterBreak="0">
    <w:nsid w:val="208248F1"/>
    <w:multiLevelType w:val="hybridMultilevel"/>
    <w:tmpl w:val="EA5A3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83497D"/>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5" w15:restartNumberingAfterBreak="0">
    <w:nsid w:val="23B210C3"/>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6" w15:restartNumberingAfterBreak="0">
    <w:nsid w:val="27A75BCE"/>
    <w:multiLevelType w:val="hybridMultilevel"/>
    <w:tmpl w:val="E04EB5F8"/>
    <w:lvl w:ilvl="0" w:tplc="8E421DFE">
      <w:start w:val="1"/>
      <w:numFmt w:val="upperRoman"/>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9" w15:restartNumberingAfterBreak="0">
    <w:nsid w:val="34BD6BC7"/>
    <w:multiLevelType w:val="hybridMultilevel"/>
    <w:tmpl w:val="925E9C46"/>
    <w:lvl w:ilvl="0" w:tplc="85B29A36">
      <w:start w:val="1"/>
      <w:numFmt w:val="bullet"/>
      <w:lvlText w:val="-"/>
      <w:lvlJc w:val="left"/>
      <w:pPr>
        <w:ind w:left="1004" w:hanging="360"/>
      </w:pPr>
      <w:rPr>
        <w:rFonts w:ascii="Tahoma" w:hAnsi="Tahoma"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1" w15:restartNumberingAfterBreak="0">
    <w:nsid w:val="3AF03DE7"/>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2"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3" w15:restartNumberingAfterBreak="0">
    <w:nsid w:val="3EB26CEF"/>
    <w:multiLevelType w:val="hybridMultilevel"/>
    <w:tmpl w:val="B61E1876"/>
    <w:lvl w:ilvl="0" w:tplc="85B29A36">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483A1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4EB2368"/>
    <w:multiLevelType w:val="hybridMultilevel"/>
    <w:tmpl w:val="F076A406"/>
    <w:lvl w:ilvl="0" w:tplc="85B29A36">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2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5D017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0" w15:restartNumberingAfterBreak="0">
    <w:nsid w:val="4D492D22"/>
    <w:multiLevelType w:val="multilevel"/>
    <w:tmpl w:val="8A4CFB66"/>
    <w:lvl w:ilvl="0">
      <w:start w:val="1"/>
      <w:numFmt w:val="decimal"/>
      <w:lvlText w:val="%1."/>
      <w:lvlJc w:val="left"/>
      <w:rPr>
        <w:b w:val="0"/>
        <w:i w:val="0"/>
        <w:color w:val="000000"/>
        <w:position w:val="0"/>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0300F72"/>
    <w:multiLevelType w:val="hybridMultilevel"/>
    <w:tmpl w:val="820ED00E"/>
    <w:lvl w:ilvl="0" w:tplc="85B29A36">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1032AB0"/>
    <w:multiLevelType w:val="multilevel"/>
    <w:tmpl w:val="C528374C"/>
    <w:lvl w:ilvl="0">
      <w:start w:val="1"/>
      <w:numFmt w:val="decimal"/>
      <w:lvlText w:val="%1."/>
      <w:lvlJc w:val="left"/>
      <w:rPr>
        <w:b w:val="0"/>
        <w:i w:val="0"/>
        <w:color w:val="000000"/>
        <w:position w:val="0"/>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4" w15:restartNumberingAfterBreak="0">
    <w:nsid w:val="53A63FB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5" w15:restartNumberingAfterBreak="0">
    <w:nsid w:val="546203D7"/>
    <w:multiLevelType w:val="multilevel"/>
    <w:tmpl w:val="118EE0FE"/>
    <w:lvl w:ilvl="0">
      <w:start w:val="1"/>
      <w:numFmt w:val="lowerLetter"/>
      <w:lvlText w:val="%1)"/>
      <w:lvlJc w:val="left"/>
      <w:rPr>
        <w:b w:val="0"/>
        <w:i w:val="0"/>
        <w:color w:val="000000"/>
        <w:position w:val="0"/>
        <w:rtl w:val="0"/>
      </w:rPr>
    </w:lvl>
    <w:lvl w:ilvl="1">
      <w:start w:val="1"/>
      <w:numFmt w:val="lowerLetter"/>
      <w:lvlText w:val="(%2)"/>
      <w:lvlJc w:val="left"/>
      <w:rPr>
        <w:color w:val="000000"/>
        <w:position w:val="0"/>
        <w:rtl w:val="0"/>
      </w:rPr>
    </w:lvl>
    <w:lvl w:ilvl="2">
      <w:start w:val="1"/>
      <w:numFmt w:val="upperLetter"/>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6" w15:restartNumberingAfterBreak="0">
    <w:nsid w:val="568F7B1D"/>
    <w:multiLevelType w:val="hybridMultilevel"/>
    <w:tmpl w:val="76226E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80B5F71"/>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8" w15:restartNumberingAfterBreak="0">
    <w:nsid w:val="5AD034F0"/>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9" w15:restartNumberingAfterBreak="0">
    <w:nsid w:val="5B2D215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40" w15:restartNumberingAfterBreak="0">
    <w:nsid w:val="5E38433E"/>
    <w:multiLevelType w:val="hybridMultilevel"/>
    <w:tmpl w:val="DDDE24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2" w15:restartNumberingAfterBreak="0">
    <w:nsid w:val="64D337B7"/>
    <w:multiLevelType w:val="hybridMultilevel"/>
    <w:tmpl w:val="A98E1F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9B9222E"/>
    <w:multiLevelType w:val="hybridMultilevel"/>
    <w:tmpl w:val="B9E2B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D5C1F7A"/>
    <w:multiLevelType w:val="hybridMultilevel"/>
    <w:tmpl w:val="A912908C"/>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F62015"/>
    <w:multiLevelType w:val="hybridMultilevel"/>
    <w:tmpl w:val="0908F6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FBB28C0"/>
    <w:multiLevelType w:val="hybridMultilevel"/>
    <w:tmpl w:val="EA8C8410"/>
    <w:lvl w:ilvl="0" w:tplc="85B29A3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B85E23"/>
    <w:multiLevelType w:val="hybridMultilevel"/>
    <w:tmpl w:val="52BEDC90"/>
    <w:lvl w:ilvl="0" w:tplc="85B29A3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184BDF"/>
    <w:multiLevelType w:val="hybridMultilevel"/>
    <w:tmpl w:val="CF2A2EF4"/>
    <w:lvl w:ilvl="0" w:tplc="85B29A36">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17"/>
  </w:num>
  <w:num w:numId="2">
    <w:abstractNumId w:val="31"/>
  </w:num>
  <w:num w:numId="3">
    <w:abstractNumId w:val="25"/>
  </w:num>
  <w:num w:numId="4">
    <w:abstractNumId w:val="31"/>
  </w:num>
  <w:num w:numId="5">
    <w:abstractNumId w:val="28"/>
  </w:num>
  <w:num w:numId="6">
    <w:abstractNumId w:val="2"/>
  </w:num>
  <w:num w:numId="7">
    <w:abstractNumId w:val="10"/>
  </w:num>
  <w:num w:numId="8">
    <w:abstractNumId w:val="25"/>
    <w:lvlOverride w:ilvl="0">
      <w:startOverride w:val="1"/>
    </w:lvlOverride>
  </w:num>
  <w:num w:numId="9">
    <w:abstractNumId w:val="45"/>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30"/>
  </w:num>
  <w:num w:numId="15">
    <w:abstractNumId w:val="41"/>
  </w:num>
  <w:num w:numId="16">
    <w:abstractNumId w:val="9"/>
  </w:num>
  <w:num w:numId="17">
    <w:abstractNumId w:val="20"/>
  </w:num>
  <w:num w:numId="18">
    <w:abstractNumId w:val="50"/>
  </w:num>
  <w:num w:numId="19">
    <w:abstractNumId w:val="3"/>
  </w:num>
  <w:num w:numId="20">
    <w:abstractNumId w:val="18"/>
  </w:num>
  <w:num w:numId="21">
    <w:abstractNumId w:val="14"/>
  </w:num>
  <w:num w:numId="22">
    <w:abstractNumId w:val="15"/>
  </w:num>
  <w:num w:numId="23">
    <w:abstractNumId w:val="12"/>
  </w:num>
  <w:num w:numId="24">
    <w:abstractNumId w:val="38"/>
  </w:num>
  <w:num w:numId="25">
    <w:abstractNumId w:val="27"/>
  </w:num>
  <w:num w:numId="26">
    <w:abstractNumId w:val="34"/>
  </w:num>
  <w:num w:numId="27">
    <w:abstractNumId w:val="8"/>
  </w:num>
  <w:num w:numId="28">
    <w:abstractNumId w:val="33"/>
  </w:num>
  <w:num w:numId="29">
    <w:abstractNumId w:val="22"/>
  </w:num>
  <w:num w:numId="30">
    <w:abstractNumId w:val="4"/>
  </w:num>
  <w:num w:numId="31">
    <w:abstractNumId w:val="24"/>
  </w:num>
  <w:num w:numId="32">
    <w:abstractNumId w:val="21"/>
  </w:num>
  <w:num w:numId="33">
    <w:abstractNumId w:val="0"/>
  </w:num>
  <w:num w:numId="34">
    <w:abstractNumId w:val="29"/>
  </w:num>
  <w:num w:numId="35">
    <w:abstractNumId w:val="37"/>
  </w:num>
  <w:num w:numId="36">
    <w:abstractNumId w:val="39"/>
  </w:num>
  <w:num w:numId="37">
    <w:abstractNumId w:val="5"/>
  </w:num>
  <w:num w:numId="38">
    <w:abstractNumId w:val="35"/>
  </w:num>
  <w:num w:numId="39">
    <w:abstractNumId w:val="7"/>
  </w:num>
  <w:num w:numId="40">
    <w:abstractNumId w:val="11"/>
  </w:num>
  <w:num w:numId="41">
    <w:abstractNumId w:val="13"/>
  </w:num>
  <w:num w:numId="42">
    <w:abstractNumId w:val="43"/>
  </w:num>
  <w:num w:numId="43">
    <w:abstractNumId w:val="42"/>
  </w:num>
  <w:num w:numId="44">
    <w:abstractNumId w:val="6"/>
  </w:num>
  <w:num w:numId="45">
    <w:abstractNumId w:val="44"/>
  </w:num>
  <w:num w:numId="46">
    <w:abstractNumId w:val="1"/>
  </w:num>
  <w:num w:numId="47">
    <w:abstractNumId w:val="46"/>
  </w:num>
  <w:num w:numId="48">
    <w:abstractNumId w:val="36"/>
  </w:num>
  <w:num w:numId="49">
    <w:abstractNumId w:val="19"/>
  </w:num>
  <w:num w:numId="50">
    <w:abstractNumId w:val="40"/>
  </w:num>
  <w:num w:numId="51">
    <w:abstractNumId w:val="49"/>
  </w:num>
  <w:num w:numId="52">
    <w:abstractNumId w:val="26"/>
  </w:num>
  <w:num w:numId="53">
    <w:abstractNumId w:val="32"/>
  </w:num>
  <w:num w:numId="54">
    <w:abstractNumId w:val="23"/>
  </w:num>
  <w:num w:numId="55">
    <w:abstractNumId w:val="47"/>
  </w:num>
  <w:num w:numId="56">
    <w:abstractNumId w:val="48"/>
  </w:num>
  <w:num w:numId="57">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9309E"/>
    <w:rsid w:val="000F74F5"/>
    <w:rsid w:val="00105372"/>
    <w:rsid w:val="00131E7A"/>
    <w:rsid w:val="00172AF6"/>
    <w:rsid w:val="00176CEE"/>
    <w:rsid w:val="001F2AC5"/>
    <w:rsid w:val="00262024"/>
    <w:rsid w:val="00372F74"/>
    <w:rsid w:val="004644C2"/>
    <w:rsid w:val="004861FB"/>
    <w:rsid w:val="004A790F"/>
    <w:rsid w:val="004F7B8A"/>
    <w:rsid w:val="00534681"/>
    <w:rsid w:val="005F7BCA"/>
    <w:rsid w:val="00620305"/>
    <w:rsid w:val="00717D88"/>
    <w:rsid w:val="007942D3"/>
    <w:rsid w:val="007E09DA"/>
    <w:rsid w:val="00803162"/>
    <w:rsid w:val="008178B6"/>
    <w:rsid w:val="00913321"/>
    <w:rsid w:val="009505C9"/>
    <w:rsid w:val="009D6DB4"/>
    <w:rsid w:val="009E42C7"/>
    <w:rsid w:val="00A33406"/>
    <w:rsid w:val="00B3369F"/>
    <w:rsid w:val="00C9161D"/>
    <w:rsid w:val="00CB0841"/>
    <w:rsid w:val="00CF1848"/>
    <w:rsid w:val="00D12988"/>
    <w:rsid w:val="00D62BD5"/>
    <w:rsid w:val="00D76A18"/>
    <w:rsid w:val="00DD118C"/>
    <w:rsid w:val="00E66235"/>
    <w:rsid w:val="00E83C24"/>
    <w:rsid w:val="00F617B8"/>
    <w:rsid w:val="00F947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FE9093"/>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9E42C7"/>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HeaderFooter">
    <w:name w:val="Header &amp; Footer"/>
    <w:rsid w:val="009E42C7"/>
    <w:pPr>
      <w:pBdr>
        <w:top w:val="nil"/>
        <w:left w:val="nil"/>
        <w:bottom w:val="nil"/>
        <w:right w:val="nil"/>
        <w:between w:val="nil"/>
        <w:bar w:val="nil"/>
      </w:pBdr>
      <w:tabs>
        <w:tab w:val="right" w:pos="9020"/>
      </w:tabs>
    </w:pPr>
    <w:rPr>
      <w:rFonts w:ascii="Helvetica" w:eastAsia="Helvetica" w:hAnsi="Helvetica" w:cs="Helvetica"/>
      <w:color w:val="000000"/>
      <w:bdr w:val="nil"/>
      <w:lang w:val="en-US"/>
    </w:rPr>
  </w:style>
  <w:style w:type="paragraph" w:customStyle="1" w:styleId="Default">
    <w:name w:val="Default"/>
    <w:rsid w:val="009E42C7"/>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numbering" w:customStyle="1" w:styleId="List0">
    <w:name w:val="List 0"/>
    <w:basedOn w:val="ImportedStyle2"/>
    <w:rsid w:val="009E42C7"/>
    <w:pPr>
      <w:numPr>
        <w:numId w:val="18"/>
      </w:numPr>
    </w:pPr>
  </w:style>
  <w:style w:type="numbering" w:customStyle="1" w:styleId="ImportedStyle2">
    <w:name w:val="Imported Style 2"/>
    <w:rsid w:val="009E42C7"/>
  </w:style>
  <w:style w:type="numbering" w:customStyle="1" w:styleId="List1">
    <w:name w:val="List 1"/>
    <w:basedOn w:val="ImportedStyle2"/>
    <w:rsid w:val="009E42C7"/>
    <w:pPr>
      <w:numPr>
        <w:numId w:val="19"/>
      </w:numPr>
    </w:pPr>
  </w:style>
  <w:style w:type="numbering" w:customStyle="1" w:styleId="List21">
    <w:name w:val="List 21"/>
    <w:basedOn w:val="ImportedStyle3"/>
    <w:rsid w:val="009E42C7"/>
    <w:pPr>
      <w:numPr>
        <w:numId w:val="15"/>
      </w:numPr>
    </w:pPr>
  </w:style>
  <w:style w:type="numbering" w:customStyle="1" w:styleId="ImportedStyle3">
    <w:name w:val="Imported Style 3"/>
    <w:rsid w:val="009E42C7"/>
  </w:style>
  <w:style w:type="numbering" w:customStyle="1" w:styleId="List31">
    <w:name w:val="List 31"/>
    <w:basedOn w:val="ImportedStyle2"/>
    <w:rsid w:val="009E42C7"/>
    <w:pPr>
      <w:numPr>
        <w:numId w:val="20"/>
      </w:numPr>
    </w:pPr>
  </w:style>
  <w:style w:type="numbering" w:customStyle="1" w:styleId="List41">
    <w:name w:val="List 41"/>
    <w:basedOn w:val="ImportedStyle4"/>
    <w:rsid w:val="009E42C7"/>
    <w:pPr>
      <w:numPr>
        <w:numId w:val="16"/>
      </w:numPr>
    </w:pPr>
  </w:style>
  <w:style w:type="numbering" w:customStyle="1" w:styleId="ImportedStyle4">
    <w:name w:val="Imported Style 4"/>
    <w:rsid w:val="009E42C7"/>
  </w:style>
  <w:style w:type="numbering" w:customStyle="1" w:styleId="List51">
    <w:name w:val="List 51"/>
    <w:basedOn w:val="ImportedStyle2"/>
    <w:rsid w:val="009E42C7"/>
    <w:pPr>
      <w:numPr>
        <w:numId w:val="17"/>
      </w:numPr>
    </w:pPr>
  </w:style>
  <w:style w:type="numbering" w:customStyle="1" w:styleId="List6">
    <w:name w:val="List 6"/>
    <w:basedOn w:val="ImportedStyle5"/>
    <w:rsid w:val="009E42C7"/>
    <w:pPr>
      <w:numPr>
        <w:numId w:val="25"/>
      </w:numPr>
    </w:pPr>
  </w:style>
  <w:style w:type="numbering" w:customStyle="1" w:styleId="ImportedStyle5">
    <w:name w:val="Imported Style 5"/>
    <w:rsid w:val="009E42C7"/>
  </w:style>
  <w:style w:type="character" w:customStyle="1" w:styleId="Link">
    <w:name w:val="Link"/>
    <w:rsid w:val="009E42C7"/>
    <w:rPr>
      <w:color w:val="0000FF"/>
      <w:sz w:val="18"/>
      <w:szCs w:val="18"/>
      <w:u w:val="single" w:color="0000FF"/>
    </w:rPr>
  </w:style>
  <w:style w:type="character" w:customStyle="1" w:styleId="Hyperlink0">
    <w:name w:val="Hyperlink.0"/>
    <w:rsid w:val="009E42C7"/>
    <w:rPr>
      <w:color w:val="0000FF"/>
      <w:sz w:val="18"/>
      <w:szCs w:val="18"/>
      <w:u w:val="single" w:color="0000FF"/>
    </w:rPr>
  </w:style>
  <w:style w:type="paragraph" w:styleId="CommentSubject">
    <w:name w:val="annotation subject"/>
    <w:basedOn w:val="CommentText"/>
    <w:next w:val="CommentText"/>
    <w:link w:val="CommentSubjectChar"/>
    <w:uiPriority w:val="99"/>
    <w:semiHidden/>
    <w:unhideWhenUsed/>
    <w:rsid w:val="009E42C7"/>
    <w:pPr>
      <w:pBdr>
        <w:top w:val="nil"/>
        <w:left w:val="nil"/>
        <w:bottom w:val="nil"/>
        <w:right w:val="nil"/>
        <w:between w:val="nil"/>
        <w:bar w:val="nil"/>
      </w:pBdr>
      <w:spacing w:after="0" w:line="240" w:lineRule="auto"/>
    </w:pPr>
    <w:rPr>
      <w:rFonts w:eastAsia="Arial Unicode MS" w:hAnsi="Arial Unicode MS"/>
      <w:b/>
      <w:bCs/>
      <w:color w:val="000000"/>
      <w:sz w:val="20"/>
      <w:szCs w:val="20"/>
      <w:u w:color="000000"/>
      <w:lang w:val="x-none" w:eastAsia="x-none"/>
    </w:rPr>
  </w:style>
  <w:style w:type="character" w:customStyle="1" w:styleId="CommentSubjectChar">
    <w:name w:val="Comment Subject Char"/>
    <w:basedOn w:val="CommentTextChar"/>
    <w:link w:val="CommentSubject"/>
    <w:uiPriority w:val="99"/>
    <w:semiHidden/>
    <w:rsid w:val="009E42C7"/>
    <w:rPr>
      <w:rFonts w:ascii="Times New Roman" w:eastAsia="Arial Unicode MS" w:hAnsi="Arial Unicode MS" w:cs="Times New Roman"/>
      <w:b/>
      <w:bCs/>
      <w:color w:val="000000"/>
      <w:sz w:val="20"/>
      <w:szCs w:val="20"/>
      <w:u w:color="000000"/>
      <w:lang w:val="x-none" w:eastAsia="x-none"/>
    </w:rPr>
  </w:style>
  <w:style w:type="paragraph" w:customStyle="1" w:styleId="ColorfulShading-Accent11">
    <w:name w:val="Colorful Shading - Accent 11"/>
    <w:hidden/>
    <w:uiPriority w:val="99"/>
    <w:semiHidden/>
    <w:rsid w:val="009E42C7"/>
    <w:rPr>
      <w:rFonts w:ascii="Times New Roman" w:eastAsia="Arial Unicode MS" w:hAnsi="Arial Unicode MS" w:cs="Arial Unicode MS"/>
      <w:color w:val="000000"/>
      <w:sz w:val="22"/>
      <w:szCs w:val="22"/>
      <w:u w:color="000000"/>
      <w:bdr w:val="nil"/>
      <w:lang w:val="en-US"/>
    </w:rPr>
  </w:style>
  <w:style w:type="paragraph" w:customStyle="1" w:styleId="ColorfulList-Accent11">
    <w:name w:val="Colorful List - Accent 11"/>
    <w:basedOn w:val="Normal"/>
    <w:uiPriority w:val="34"/>
    <w:qFormat/>
    <w:rsid w:val="009E42C7"/>
    <w:pPr>
      <w:pBdr>
        <w:top w:val="nil"/>
        <w:left w:val="nil"/>
        <w:bottom w:val="nil"/>
        <w:right w:val="nil"/>
        <w:between w:val="nil"/>
        <w:bar w:val="nil"/>
      </w:pBdr>
      <w:ind w:left="720"/>
    </w:pPr>
    <w:rPr>
      <w:rFonts w:eastAsia="Arial Unicode MS" w:hAnsi="Arial Unicode MS" w:cs="Arial Unicode MS"/>
      <w:color w:val="000000"/>
      <w:szCs w:val="22"/>
      <w:u w:color="000000"/>
      <w:bdr w:val="nil"/>
      <w:lang w:val="en-US"/>
    </w:rPr>
  </w:style>
  <w:style w:type="paragraph" w:customStyle="1" w:styleId="para10">
    <w:name w:val="para1"/>
    <w:basedOn w:val="Normal"/>
    <w:rsid w:val="009E42C7"/>
    <w:pPr>
      <w:spacing w:before="100" w:beforeAutospacing="1" w:after="100" w:afterAutospacing="1"/>
      <w:jc w:val="left"/>
    </w:pPr>
    <w:rPr>
      <w:rFonts w:eastAsia="Calibri"/>
      <w:sz w:val="24"/>
      <w:u w:color="000000"/>
      <w:lang w:val="en-US"/>
    </w:rPr>
  </w:style>
  <w:style w:type="paragraph" w:customStyle="1" w:styleId="Paranum">
    <w:name w:val="Paranum"/>
    <w:basedOn w:val="Para1"/>
    <w:rsid w:val="009E42C7"/>
    <w:pPr>
      <w:numPr>
        <w:numId w:val="29"/>
      </w:numPr>
      <w:spacing w:line="240" w:lineRule="exact"/>
    </w:pPr>
    <w:rPr>
      <w:rFonts w:eastAsia="Malgun Gothic"/>
      <w:snapToGrid/>
      <w:szCs w:val="20"/>
      <w:lang w:val="en-US"/>
    </w:rPr>
  </w:style>
  <w:style w:type="paragraph" w:styleId="ListParagraph">
    <w:name w:val="List Paragraph"/>
    <w:basedOn w:val="Normal"/>
    <w:uiPriority w:val="34"/>
    <w:qFormat/>
    <w:rsid w:val="009E42C7"/>
    <w:pPr>
      <w:pBdr>
        <w:top w:val="nil"/>
        <w:left w:val="nil"/>
        <w:bottom w:val="nil"/>
        <w:right w:val="nil"/>
        <w:between w:val="nil"/>
        <w:bar w:val="nil"/>
      </w:pBdr>
      <w:ind w:left="720"/>
    </w:pPr>
    <w:rPr>
      <w:rFonts w:eastAsia="Arial Unicode MS" w:hAnsi="Arial Unicode MS" w:cs="Arial Unicode MS"/>
      <w:color w:val="000000"/>
      <w:szCs w:val="22"/>
      <w:u w:color="000000"/>
      <w:bdr w:val="nil"/>
      <w:lang w:val="en-US"/>
    </w:rPr>
  </w:style>
  <w:style w:type="paragraph" w:customStyle="1" w:styleId="font5">
    <w:name w:val="font5"/>
    <w:basedOn w:val="Normal"/>
    <w:rsid w:val="009E42C7"/>
    <w:pPr>
      <w:spacing w:before="100" w:beforeAutospacing="1" w:after="100" w:afterAutospacing="1"/>
      <w:jc w:val="left"/>
    </w:pPr>
    <w:rPr>
      <w:rFonts w:ascii="Tahoma" w:hAnsi="Tahoma" w:cs="Tahoma"/>
      <w:color w:val="000000"/>
      <w:sz w:val="18"/>
      <w:szCs w:val="18"/>
      <w:lang w:val="es-ES" w:eastAsia="es-ES"/>
    </w:rPr>
  </w:style>
  <w:style w:type="paragraph" w:customStyle="1" w:styleId="font6">
    <w:name w:val="font6"/>
    <w:basedOn w:val="Normal"/>
    <w:rsid w:val="009E42C7"/>
    <w:pPr>
      <w:spacing w:before="100" w:beforeAutospacing="1" w:after="100" w:afterAutospacing="1"/>
      <w:jc w:val="left"/>
    </w:pPr>
    <w:rPr>
      <w:rFonts w:ascii="Tahoma" w:hAnsi="Tahoma" w:cs="Tahoma"/>
      <w:b/>
      <w:bCs/>
      <w:color w:val="000000"/>
      <w:sz w:val="18"/>
      <w:szCs w:val="18"/>
      <w:lang w:val="es-ES" w:eastAsia="es-ES"/>
    </w:rPr>
  </w:style>
  <w:style w:type="paragraph" w:customStyle="1" w:styleId="xl65">
    <w:name w:val="xl65"/>
    <w:basedOn w:val="Normal"/>
    <w:rsid w:val="009E42C7"/>
    <w:pPr>
      <w:spacing w:before="100" w:beforeAutospacing="1" w:after="100" w:afterAutospacing="1"/>
      <w:jc w:val="left"/>
    </w:pPr>
    <w:rPr>
      <w:sz w:val="24"/>
      <w:lang w:val="es-ES" w:eastAsia="es-ES"/>
    </w:rPr>
  </w:style>
  <w:style w:type="paragraph" w:customStyle="1" w:styleId="xl66">
    <w:name w:val="xl66"/>
    <w:basedOn w:val="Normal"/>
    <w:rsid w:val="009E42C7"/>
    <w:pPr>
      <w:spacing w:before="100" w:beforeAutospacing="1" w:after="100" w:afterAutospacing="1"/>
      <w:jc w:val="center"/>
      <w:textAlignment w:val="center"/>
    </w:pPr>
    <w:rPr>
      <w:sz w:val="24"/>
      <w:lang w:val="es-ES" w:eastAsia="es-ES"/>
    </w:rPr>
  </w:style>
  <w:style w:type="paragraph" w:customStyle="1" w:styleId="xl67">
    <w:name w:val="xl67"/>
    <w:basedOn w:val="Normal"/>
    <w:rsid w:val="009E42C7"/>
    <w:pPr>
      <w:spacing w:before="100" w:beforeAutospacing="1" w:after="100" w:afterAutospacing="1"/>
      <w:jc w:val="center"/>
      <w:textAlignment w:val="center"/>
    </w:pPr>
    <w:rPr>
      <w:sz w:val="24"/>
      <w:lang w:val="es-ES" w:eastAsia="es-ES"/>
    </w:rPr>
  </w:style>
  <w:style w:type="paragraph" w:customStyle="1" w:styleId="xl68">
    <w:name w:val="xl68"/>
    <w:basedOn w:val="Normal"/>
    <w:rsid w:val="009E42C7"/>
    <w:pPr>
      <w:spacing w:before="100" w:beforeAutospacing="1" w:after="100" w:afterAutospacing="1"/>
      <w:jc w:val="left"/>
      <w:textAlignment w:val="center"/>
    </w:pPr>
    <w:rPr>
      <w:sz w:val="24"/>
      <w:lang w:val="es-ES" w:eastAsia="es-ES"/>
    </w:rPr>
  </w:style>
  <w:style w:type="paragraph" w:customStyle="1" w:styleId="xl69">
    <w:name w:val="xl69"/>
    <w:basedOn w:val="Normal"/>
    <w:rsid w:val="009E42C7"/>
    <w:pPr>
      <w:shd w:val="clear" w:color="000000" w:fill="FFFF00"/>
      <w:spacing w:before="100" w:beforeAutospacing="1" w:after="100" w:afterAutospacing="1"/>
      <w:jc w:val="left"/>
      <w:textAlignment w:val="center"/>
    </w:pPr>
    <w:rPr>
      <w:sz w:val="24"/>
      <w:lang w:val="es-ES" w:eastAsia="es-ES"/>
    </w:rPr>
  </w:style>
  <w:style w:type="paragraph" w:customStyle="1" w:styleId="xl70">
    <w:name w:val="xl70"/>
    <w:basedOn w:val="Normal"/>
    <w:rsid w:val="009E42C7"/>
    <w:pPr>
      <w:spacing w:before="100" w:beforeAutospacing="1" w:after="100" w:afterAutospacing="1"/>
      <w:jc w:val="center"/>
      <w:textAlignment w:val="center"/>
    </w:pPr>
    <w:rPr>
      <w:sz w:val="24"/>
      <w:lang w:val="es-ES" w:eastAsia="es-ES"/>
    </w:rPr>
  </w:style>
  <w:style w:type="paragraph" w:customStyle="1" w:styleId="xl71">
    <w:name w:val="xl71"/>
    <w:basedOn w:val="Normal"/>
    <w:rsid w:val="009E42C7"/>
    <w:pPr>
      <w:spacing w:before="100" w:beforeAutospacing="1" w:after="100" w:afterAutospacing="1"/>
      <w:jc w:val="left"/>
      <w:textAlignment w:val="center"/>
    </w:pPr>
    <w:rPr>
      <w:sz w:val="24"/>
      <w:lang w:val="es-ES" w:eastAsia="es-ES"/>
    </w:rPr>
  </w:style>
  <w:style w:type="paragraph" w:customStyle="1" w:styleId="xl72">
    <w:name w:val="xl72"/>
    <w:basedOn w:val="Normal"/>
    <w:rsid w:val="009E42C7"/>
    <w:pPr>
      <w:shd w:val="clear" w:color="000000" w:fill="B8CCE4"/>
      <w:spacing w:before="100" w:beforeAutospacing="1" w:after="100" w:afterAutospacing="1"/>
      <w:jc w:val="left"/>
    </w:pPr>
    <w:rPr>
      <w:sz w:val="24"/>
      <w:lang w:val="es-ES" w:eastAsia="es-ES"/>
    </w:rPr>
  </w:style>
  <w:style w:type="paragraph" w:customStyle="1" w:styleId="xl73">
    <w:name w:val="xl73"/>
    <w:basedOn w:val="Normal"/>
    <w:rsid w:val="009E42C7"/>
    <w:pPr>
      <w:shd w:val="clear" w:color="000000" w:fill="B8CCE4"/>
      <w:spacing w:before="100" w:beforeAutospacing="1" w:after="100" w:afterAutospacing="1"/>
      <w:jc w:val="left"/>
      <w:textAlignment w:val="center"/>
    </w:pPr>
    <w:rPr>
      <w:sz w:val="24"/>
      <w:lang w:val="es-ES" w:eastAsia="es-ES"/>
    </w:rPr>
  </w:style>
  <w:style w:type="paragraph" w:customStyle="1" w:styleId="xl74">
    <w:name w:val="xl74"/>
    <w:basedOn w:val="Normal"/>
    <w:rsid w:val="009E42C7"/>
    <w:pPr>
      <w:spacing w:before="100" w:beforeAutospacing="1" w:after="100" w:afterAutospacing="1"/>
      <w:jc w:val="left"/>
      <w:textAlignment w:val="center"/>
    </w:pPr>
    <w:rPr>
      <w:color w:val="FF0000"/>
      <w:sz w:val="24"/>
      <w:lang w:val="es-ES" w:eastAsia="es-ES"/>
    </w:rPr>
  </w:style>
  <w:style w:type="paragraph" w:customStyle="1" w:styleId="xl75">
    <w:name w:val="xl75"/>
    <w:basedOn w:val="Normal"/>
    <w:rsid w:val="009E42C7"/>
    <w:pPr>
      <w:spacing w:before="100" w:beforeAutospacing="1" w:after="100" w:afterAutospacing="1"/>
      <w:jc w:val="left"/>
      <w:textAlignment w:val="center"/>
    </w:pPr>
    <w:rPr>
      <w:b/>
      <w:bCs/>
      <w:sz w:val="24"/>
      <w:lang w:val="es-ES" w:eastAsia="es-ES"/>
    </w:rPr>
  </w:style>
  <w:style w:type="paragraph" w:customStyle="1" w:styleId="xl76">
    <w:name w:val="xl76"/>
    <w:basedOn w:val="Normal"/>
    <w:rsid w:val="009E42C7"/>
    <w:pPr>
      <w:spacing w:before="100" w:beforeAutospacing="1" w:after="100" w:afterAutospacing="1"/>
      <w:jc w:val="left"/>
      <w:textAlignment w:val="center"/>
    </w:pPr>
    <w:rPr>
      <w:b/>
      <w:bCs/>
      <w:sz w:val="24"/>
      <w:lang w:val="es-ES" w:eastAsia="es-ES"/>
    </w:rPr>
  </w:style>
  <w:style w:type="paragraph" w:customStyle="1" w:styleId="xl77">
    <w:name w:val="xl77"/>
    <w:basedOn w:val="Normal"/>
    <w:rsid w:val="009E42C7"/>
    <w:pPr>
      <w:spacing w:before="100" w:beforeAutospacing="1" w:after="100" w:afterAutospacing="1"/>
      <w:jc w:val="left"/>
      <w:textAlignment w:val="center"/>
    </w:pPr>
    <w:rPr>
      <w:sz w:val="24"/>
      <w:lang w:val="es-ES" w:eastAsia="es-ES"/>
    </w:rPr>
  </w:style>
  <w:style w:type="paragraph" w:customStyle="1" w:styleId="xl78">
    <w:name w:val="xl78"/>
    <w:basedOn w:val="Normal"/>
    <w:rsid w:val="009E42C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textAlignment w:val="center"/>
    </w:pPr>
    <w:rPr>
      <w:b/>
      <w:bCs/>
      <w:sz w:val="24"/>
      <w:lang w:val="es-ES" w:eastAsia="es-ES"/>
    </w:rPr>
  </w:style>
  <w:style w:type="paragraph" w:customStyle="1" w:styleId="xl79">
    <w:name w:val="xl79"/>
    <w:basedOn w:val="Normal"/>
    <w:rsid w:val="009E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s-ES" w:eastAsia="es-ES"/>
    </w:rPr>
  </w:style>
  <w:style w:type="paragraph" w:customStyle="1" w:styleId="xl80">
    <w:name w:val="xl80"/>
    <w:basedOn w:val="Normal"/>
    <w:rsid w:val="009E42C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4"/>
      <w:lang w:val="es-ES" w:eastAsia="es-ES"/>
    </w:rPr>
  </w:style>
  <w:style w:type="paragraph" w:customStyle="1" w:styleId="xl81">
    <w:name w:val="xl81"/>
    <w:basedOn w:val="Normal"/>
    <w:rsid w:val="009E42C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4"/>
      <w:lang w:val="es-ES" w:eastAsia="es-ES"/>
    </w:rPr>
  </w:style>
  <w:style w:type="paragraph" w:customStyle="1" w:styleId="xl82">
    <w:name w:val="xl82"/>
    <w:basedOn w:val="Normal"/>
    <w:rsid w:val="009E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s-ES" w:eastAsia="es-ES"/>
    </w:rPr>
  </w:style>
  <w:style w:type="paragraph" w:customStyle="1" w:styleId="xl83">
    <w:name w:val="xl83"/>
    <w:basedOn w:val="Normal"/>
    <w:rsid w:val="009E42C7"/>
    <w:pPr>
      <w:spacing w:before="100" w:beforeAutospacing="1" w:after="100" w:afterAutospacing="1"/>
      <w:jc w:val="center"/>
      <w:textAlignment w:val="center"/>
    </w:pPr>
    <w:rPr>
      <w:sz w:val="24"/>
      <w:lang w:val="es-ES" w:eastAsia="es-ES"/>
    </w:rPr>
  </w:style>
  <w:style w:type="paragraph" w:customStyle="1" w:styleId="xl84">
    <w:name w:val="xl84"/>
    <w:basedOn w:val="Normal"/>
    <w:rsid w:val="009E42C7"/>
    <w:pPr>
      <w:spacing w:before="100" w:beforeAutospacing="1" w:after="100" w:afterAutospacing="1"/>
      <w:jc w:val="center"/>
      <w:textAlignment w:val="center"/>
    </w:pPr>
    <w:rPr>
      <w:i/>
      <w:iCs/>
      <w:sz w:val="24"/>
      <w:lang w:val="es-ES" w:eastAsia="es-ES"/>
    </w:rPr>
  </w:style>
  <w:style w:type="paragraph" w:customStyle="1" w:styleId="xl85">
    <w:name w:val="xl85"/>
    <w:basedOn w:val="Normal"/>
    <w:rsid w:val="009E42C7"/>
    <w:pPr>
      <w:spacing w:before="100" w:beforeAutospacing="1" w:after="100" w:afterAutospacing="1"/>
      <w:jc w:val="center"/>
      <w:textAlignment w:val="center"/>
    </w:pPr>
    <w:rPr>
      <w:sz w:val="24"/>
      <w:lang w:val="es-ES" w:eastAsia="es-ES"/>
    </w:rPr>
  </w:style>
  <w:style w:type="paragraph" w:customStyle="1" w:styleId="xl86">
    <w:name w:val="xl86"/>
    <w:basedOn w:val="Normal"/>
    <w:rsid w:val="009E42C7"/>
    <w:pPr>
      <w:spacing w:before="100" w:beforeAutospacing="1" w:after="100" w:afterAutospacing="1"/>
      <w:jc w:val="center"/>
      <w:textAlignment w:val="center"/>
    </w:pPr>
    <w:rPr>
      <w:color w:val="000000"/>
      <w:sz w:val="24"/>
      <w:lang w:val="es-ES" w:eastAsia="es-ES"/>
    </w:rPr>
  </w:style>
  <w:style w:type="paragraph" w:customStyle="1" w:styleId="xl87">
    <w:name w:val="xl87"/>
    <w:basedOn w:val="Normal"/>
    <w:rsid w:val="009E42C7"/>
    <w:pPr>
      <w:spacing w:before="100" w:beforeAutospacing="1" w:after="100" w:afterAutospacing="1"/>
      <w:jc w:val="left"/>
      <w:textAlignment w:val="center"/>
    </w:pPr>
    <w:rPr>
      <w:b/>
      <w:bCs/>
      <w:sz w:val="24"/>
      <w:lang w:val="es-ES" w:eastAsia="es-ES"/>
    </w:rPr>
  </w:style>
  <w:style w:type="paragraph" w:customStyle="1" w:styleId="xl88">
    <w:name w:val="xl88"/>
    <w:basedOn w:val="Normal"/>
    <w:rsid w:val="009E42C7"/>
    <w:pPr>
      <w:spacing w:before="100" w:beforeAutospacing="1" w:after="100" w:afterAutospacing="1"/>
      <w:jc w:val="center"/>
      <w:textAlignment w:val="center"/>
    </w:pPr>
    <w:rPr>
      <w:sz w:val="24"/>
      <w:lang w:val="es-ES" w:eastAsia="es-ES"/>
    </w:rPr>
  </w:style>
  <w:style w:type="paragraph" w:customStyle="1" w:styleId="xl89">
    <w:name w:val="xl89"/>
    <w:basedOn w:val="Normal"/>
    <w:rsid w:val="009E42C7"/>
    <w:pPr>
      <w:spacing w:before="100" w:beforeAutospacing="1" w:after="100" w:afterAutospacing="1"/>
      <w:jc w:val="center"/>
      <w:textAlignment w:val="center"/>
    </w:pPr>
    <w:rPr>
      <w:sz w:val="24"/>
      <w:lang w:val="es-ES" w:eastAsia="es-ES"/>
    </w:rPr>
  </w:style>
  <w:style w:type="paragraph" w:customStyle="1" w:styleId="xl90">
    <w:name w:val="xl90"/>
    <w:basedOn w:val="Normal"/>
    <w:rsid w:val="009E42C7"/>
    <w:pPr>
      <w:spacing w:before="100" w:beforeAutospacing="1" w:after="100" w:afterAutospacing="1"/>
      <w:jc w:val="center"/>
      <w:textAlignment w:val="center"/>
    </w:pPr>
    <w:rPr>
      <w:sz w:val="24"/>
      <w:lang w:val="es-ES" w:eastAsia="es-ES"/>
    </w:rPr>
  </w:style>
  <w:style w:type="paragraph" w:customStyle="1" w:styleId="xl91">
    <w:name w:val="xl91"/>
    <w:basedOn w:val="Normal"/>
    <w:rsid w:val="009E42C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4"/>
      <w:lang w:val="es-ES" w:eastAsia="es-ES"/>
    </w:rPr>
  </w:style>
  <w:style w:type="paragraph" w:customStyle="1" w:styleId="xl92">
    <w:name w:val="xl92"/>
    <w:basedOn w:val="Normal"/>
    <w:rsid w:val="009E42C7"/>
    <w:pPr>
      <w:spacing w:before="100" w:beforeAutospacing="1" w:after="100" w:afterAutospacing="1"/>
      <w:jc w:val="left"/>
      <w:textAlignment w:val="top"/>
    </w:pPr>
    <w:rPr>
      <w:sz w:val="24"/>
      <w:lang w:val="es-ES" w:eastAsia="es-ES"/>
    </w:rPr>
  </w:style>
  <w:style w:type="paragraph" w:customStyle="1" w:styleId="xl93">
    <w:name w:val="xl93"/>
    <w:basedOn w:val="Normal"/>
    <w:rsid w:val="009E42C7"/>
    <w:pPr>
      <w:spacing w:before="100" w:beforeAutospacing="1" w:after="100" w:afterAutospacing="1"/>
      <w:jc w:val="left"/>
      <w:textAlignment w:val="top"/>
    </w:pPr>
    <w:rPr>
      <w:sz w:val="24"/>
      <w:lang w:val="es-ES" w:eastAsia="es-ES"/>
    </w:rPr>
  </w:style>
  <w:style w:type="paragraph" w:customStyle="1" w:styleId="xl94">
    <w:name w:val="xl94"/>
    <w:basedOn w:val="Normal"/>
    <w:rsid w:val="009E42C7"/>
    <w:pPr>
      <w:spacing w:before="100" w:beforeAutospacing="1" w:after="100" w:afterAutospacing="1"/>
      <w:jc w:val="left"/>
      <w:textAlignment w:val="top"/>
    </w:pPr>
    <w:rPr>
      <w:sz w:val="24"/>
      <w:lang w:val="es-ES" w:eastAsia="es-ES"/>
    </w:rPr>
  </w:style>
  <w:style w:type="paragraph" w:customStyle="1" w:styleId="xl95">
    <w:name w:val="xl95"/>
    <w:basedOn w:val="Normal"/>
    <w:rsid w:val="009E42C7"/>
    <w:pPr>
      <w:spacing w:before="100" w:beforeAutospacing="1" w:after="100" w:afterAutospacing="1"/>
      <w:jc w:val="left"/>
      <w:textAlignment w:val="top"/>
    </w:pPr>
    <w:rPr>
      <w:color w:val="000000"/>
      <w:sz w:val="24"/>
      <w:lang w:val="es-ES" w:eastAsia="es-ES"/>
    </w:rPr>
  </w:style>
  <w:style w:type="paragraph" w:customStyle="1" w:styleId="xl96">
    <w:name w:val="xl96"/>
    <w:basedOn w:val="Normal"/>
    <w:rsid w:val="009E42C7"/>
    <w:pPr>
      <w:spacing w:before="100" w:beforeAutospacing="1" w:after="100" w:afterAutospacing="1"/>
      <w:jc w:val="left"/>
      <w:textAlignment w:val="top"/>
    </w:pPr>
    <w:rPr>
      <w:color w:val="000000"/>
      <w:sz w:val="24"/>
      <w:lang w:val="es-ES" w:eastAsia="es-ES"/>
    </w:rPr>
  </w:style>
  <w:style w:type="paragraph" w:styleId="Revision">
    <w:name w:val="Revision"/>
    <w:hidden/>
    <w:uiPriority w:val="99"/>
    <w:semiHidden/>
    <w:rsid w:val="009E42C7"/>
    <w:rPr>
      <w:rFonts w:ascii="Times New Roman" w:eastAsia="Arial Unicode MS" w:hAnsi="Arial Unicode MS"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undp.org/content/undp/en/home/librarypage/environment-energy/integrating_environmentintodevelopment/monitoring-guidelines-of-capacity-development-in-gef-operations.html" TargetMode="External"/><Relationship Id="rId26" Type="http://schemas.openxmlformats.org/officeDocument/2006/relationships/hyperlink" Target="https://absch.cbd.int/register/VLR/A0722675-FD23-C44C-028B-EB20066EF381/view" TargetMode="External"/><Relationship Id="rId39" Type="http://schemas.openxmlformats.org/officeDocument/2006/relationships/hyperlink" Target="https://absch.cbd.int/database/VLR/ABSCH-VLR-SCBD-238968/1" TargetMode="External"/><Relationship Id="rId21" Type="http://schemas.openxmlformats.org/officeDocument/2006/relationships/hyperlink" Target="https://www.cbd.int/tk/cb/trainingprogramme.shtml" TargetMode="External"/><Relationship Id="rId34" Type="http://schemas.openxmlformats.org/officeDocument/2006/relationships/hyperlink" Target="http://www.brill.com/products/book/drafting-successful-access-and-benefit-sharing-contracts" TargetMode="External"/><Relationship Id="rId42" Type="http://schemas.openxmlformats.org/officeDocument/2006/relationships/hyperlink" Target="http://www.bioversityinternational.org/e-library/publications/detail/mutually-supportive-implementation-of-the-plant-treaty-and-the-nagoya-protocol/" TargetMode="External"/><Relationship Id="rId47" Type="http://schemas.openxmlformats.org/officeDocument/2006/relationships/hyperlink" Target="http://www.cbd.int/abs/awareness-raising/default.shtml" TargetMode="External"/><Relationship Id="rId50" Type="http://schemas.openxmlformats.org/officeDocument/2006/relationships/hyperlink" Target="http://ethicalbiotrade.org/resources/" TargetMode="External"/><Relationship Id="rId55" Type="http://schemas.openxmlformats.org/officeDocument/2006/relationships/hyperlink" Target="http://www.abs-initiative.info/fileadmin/media/ABS_Simply_explained/Nagoya_Protocol/CARICOM_Secretariat_Nagoya_Protocol_Fact_Sheet.pdf" TargetMode="External"/><Relationship Id="rId63"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gci.org/resources/abs_learning/" TargetMode="External"/><Relationship Id="rId29" Type="http://schemas.openxmlformats.org/officeDocument/2006/relationships/hyperlink" Target="https://absch.cbd.int/database/A19A20/ABSCH-A19A20-SCBD-207246" TargetMode="External"/><Relationship Id="rId41" Type="http://schemas.openxmlformats.org/officeDocument/2006/relationships/hyperlink" Target="http://www.bioversityinternational.org/e-library/publications/detail/methodology-for-developing-policies-and-laws-for-access-to-genetic-resources-and-benefit-sharing/" TargetMode="External"/><Relationship Id="rId54" Type="http://schemas.openxmlformats.org/officeDocument/2006/relationships/hyperlink" Target="https://www.bfn.de/fileadmin/ABS/documents/ABS_Dokumente_ab_Septemer_2015/2016-03-31_Flyer_NP.pdf"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treatylearningmodule.bioversityinternational.org/" TargetMode="External"/><Relationship Id="rId32" Type="http://schemas.openxmlformats.org/officeDocument/2006/relationships/hyperlink" Target="http://www.unep.org/delc/Portals/119/publications/Community_Protocols_Guide_Policymakers.pdf" TargetMode="External"/><Relationship Id="rId37" Type="http://schemas.openxmlformats.org/officeDocument/2006/relationships/hyperlink" Target="https://absch.cbd.int/database/MSR/ABSCH-MSR-IN-202163" TargetMode="External"/><Relationship Id="rId40" Type="http://schemas.openxmlformats.org/officeDocument/2006/relationships/hyperlink" Target="http://www.portalces.org/biblioteca/distribucion-equitativa-de-costos-beneficios?keys=Acceso+a+Recursos+Gen%C3%A9ticos+en+Am%C3%A9rica+Latina+y+el+Caribe" TargetMode="External"/><Relationship Id="rId45" Type="http://schemas.openxmlformats.org/officeDocument/2006/relationships/hyperlink" Target="https://absch.cbd.int/database/VLR/ABSCH-VLR-SCBD-239061" TargetMode="External"/><Relationship Id="rId53" Type="http://schemas.openxmlformats.org/officeDocument/2006/relationships/hyperlink" Target="https://www.bfn.de/fileadmin/ABS/documents/ABS_Dokumente_ab_Septemer_2015/Broschuere_zum_Nagoya-Protokoll.pdf" TargetMode="External"/><Relationship Id="rId58" Type="http://schemas.openxmlformats.org/officeDocument/2006/relationships/hyperlink" Target="http://www.cbd.int/abs/information-kit-en/powerpoint.shtml"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plantnetwork.org/wordpress/wp-content/uploads/8573/CBD_for_Botanists_V2.pdf" TargetMode="External"/><Relationship Id="rId28" Type="http://schemas.openxmlformats.org/officeDocument/2006/relationships/hyperlink" Target="http://www.abs-initiative.info/stakeholders-and-topics/private-sector/" TargetMode="External"/><Relationship Id="rId36" Type="http://schemas.openxmlformats.org/officeDocument/2006/relationships/hyperlink" Target="https://www.cbd.int/doc/?meeting=COP-13" TargetMode="External"/><Relationship Id="rId49" Type="http://schemas.openxmlformats.org/officeDocument/2006/relationships/hyperlink" Target="http://ethicalbiotrade.org/resources/" TargetMode="External"/><Relationship Id="rId57" Type="http://schemas.openxmlformats.org/officeDocument/2006/relationships/hyperlink" Target="https://www.cbd.int/abs/policy-brief/default.shtml/" TargetMode="External"/><Relationship Id="rId61" Type="http://schemas.openxmlformats.org/officeDocument/2006/relationships/hyperlink" Target="https://www.youtube.com/watch?v=J2yEgipjcnc" TargetMode="External"/><Relationship Id="rId10" Type="http://schemas.openxmlformats.org/officeDocument/2006/relationships/image" Target="media/image2.emf"/><Relationship Id="rId19" Type="http://schemas.openxmlformats.org/officeDocument/2006/relationships/hyperlink" Target="https://absch.cbd.int/guides" TargetMode="External"/><Relationship Id="rId31" Type="http://schemas.openxmlformats.org/officeDocument/2006/relationships/hyperlink" Target="https://www.cbd.int/abs/bonn/" TargetMode="External"/><Relationship Id="rId44" Type="http://schemas.openxmlformats.org/officeDocument/2006/relationships/hyperlink" Target="http://www.abs-initiative.info/knowledge-center/publications/" TargetMode="External"/><Relationship Id="rId52" Type="http://schemas.openxmlformats.org/officeDocument/2006/relationships/hyperlink" Target="https://absch.cbd.int/database/VLR/ABSCH-VLR-SCBD-238953" TargetMode="External"/><Relationship Id="rId60" Type="http://schemas.openxmlformats.org/officeDocument/2006/relationships/hyperlink" Target="https://www.youtube.com/watch?v=QM0T8KEbUxM&amp;feature=youtu.be" TargetMode="External"/><Relationship Id="rId65"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naturaljustice.org/resources-and-research/e-learning-modules/" TargetMode="External"/><Relationship Id="rId27" Type="http://schemas.openxmlformats.org/officeDocument/2006/relationships/hyperlink" Target="http://www.sib.admin.ch/fileadmin/chm-dateien/ABS-Protokoll/ABS_MT/Updated_ABS_Management_Tool_May_2012.pdf" TargetMode="External"/><Relationship Id="rId30" Type="http://schemas.openxmlformats.org/officeDocument/2006/relationships/hyperlink" Target="http://naturaljustice.org/resources-and-research/community-protocols/" TargetMode="External"/><Relationship Id="rId35" Type="http://schemas.openxmlformats.org/officeDocument/2006/relationships/hyperlink" Target="https://absch.cbd.int/register/VLR/C11DFAD6-9786-DEAC-700A-F73F78374DE2/view" TargetMode="External"/><Relationship Id="rId43" Type="http://schemas.openxmlformats.org/officeDocument/2006/relationships/hyperlink" Target="https://absch.cbd.int/api/v2013/documents/5532F1F7-5C4D-4DA9-414C-C034F22648C5/attachments/BABS%20Guidelines.pdf" TargetMode="External"/><Relationship Id="rId48" Type="http://schemas.openxmlformats.org/officeDocument/2006/relationships/hyperlink" Target="https://absch.cbd.int/register/VLR/08DAF499-1F70-3DA3-9887-4D56521D3D8D/view" TargetMode="External"/><Relationship Id="rId56" Type="http://schemas.openxmlformats.org/officeDocument/2006/relationships/hyperlink" Target="http://abs.aseanbiodiversity.org/index.php?option=com_content&amp;view=article&amp;id=43&amp;Itemid=249&amp;jsmallfib=1&amp;dir=JSROOT/ABS+Fact+Sheets+and+Policy+Briefs/Policy+Briefs"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naturaljustice.org/wp-content/uploads/2013/08/Brief-intro-BCP.pdf"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bd.int/abs/submissions/icnp-3/Ethiopia-Guide-Access-Genetic-Resources.pdf" TargetMode="External"/><Relationship Id="rId33" Type="http://schemas.openxmlformats.org/officeDocument/2006/relationships/hyperlink" Target="http://naturaljustice.org/community-protocols-toolbox/" TargetMode="External"/><Relationship Id="rId38" Type="http://schemas.openxmlformats.org/officeDocument/2006/relationships/hyperlink" Target="http://www.abs-initiative.info/fileadmin/media/Knowledge_Center/Pulications/ABS_AGreement/How_not_to_negotiate_Access_and_Benefit_Agreements_20140711.pdf" TargetMode="External"/><Relationship Id="rId46" Type="http://schemas.openxmlformats.org/officeDocument/2006/relationships/hyperlink" Target="https://naturalsciences.ch/uuid/e575e2b7-4880-5851-9008-2003f05c1567?r=20170706115333_1499298589_6e5f6e91-f43e-5814-b74c-abb04d867d2d" TargetMode="External"/><Relationship Id="rId59" Type="http://schemas.openxmlformats.org/officeDocument/2006/relationships/hyperlink" Target="https://absch.cbd.int/database/VLR/ABSCH-VLR-SCBD-2008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AF6AACDBB9544FE0AD03FE62F9C5D53B"/>
        <w:category>
          <w:name w:val="General"/>
          <w:gallery w:val="placeholder"/>
        </w:category>
        <w:types>
          <w:type w:val="bbPlcHdr"/>
        </w:types>
        <w:behaviors>
          <w:behavior w:val="content"/>
        </w:behaviors>
        <w:guid w:val="{E20F0C33-0A5C-49DE-8887-334507A89FB2}"/>
      </w:docPartPr>
      <w:docPartBody>
        <w:p w:rsidR="00000000" w:rsidRDefault="00EE5C7B" w:rsidP="00EE5C7B">
          <w:pPr>
            <w:pStyle w:val="AF6AACDBB9544FE0AD03FE62F9C5D53B"/>
          </w:pPr>
          <w:r w:rsidRPr="007E02EB">
            <w:rPr>
              <w:rStyle w:val="PlaceholderText"/>
            </w:rPr>
            <w:t>[Subject]</w:t>
          </w:r>
        </w:p>
      </w:docPartBody>
    </w:docPart>
    <w:docPart>
      <w:docPartPr>
        <w:name w:val="25C6DE5235D74AA58B6D9B7A6CCB6798"/>
        <w:category>
          <w:name w:val="General"/>
          <w:gallery w:val="placeholder"/>
        </w:category>
        <w:types>
          <w:type w:val="bbPlcHdr"/>
        </w:types>
        <w:behaviors>
          <w:behavior w:val="content"/>
        </w:behaviors>
        <w:guid w:val="{816C1E34-918B-4A17-A2F4-9CC52C59BB17}"/>
      </w:docPartPr>
      <w:docPartBody>
        <w:p w:rsidR="00000000" w:rsidRDefault="00EE5C7B" w:rsidP="00EE5C7B">
          <w:pPr>
            <w:pStyle w:val="25C6DE5235D74AA58B6D9B7A6CCB6798"/>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0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500A2B"/>
    <w:rsid w:val="0058288D"/>
    <w:rsid w:val="006801B3"/>
    <w:rsid w:val="00810A55"/>
    <w:rsid w:val="008C6619"/>
    <w:rsid w:val="008D420E"/>
    <w:rsid w:val="00EE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E5C7B"/>
    <w:rPr>
      <w:color w:val="808080"/>
    </w:rPr>
  </w:style>
  <w:style w:type="paragraph" w:customStyle="1" w:styleId="AF6AACDBB9544FE0AD03FE62F9C5D53B">
    <w:name w:val="AF6AACDBB9544FE0AD03FE62F9C5D53B"/>
    <w:rsid w:val="00EE5C7B"/>
    <w:pPr>
      <w:spacing w:after="160" w:line="259" w:lineRule="auto"/>
    </w:pPr>
  </w:style>
  <w:style w:type="paragraph" w:customStyle="1" w:styleId="25C6DE5235D74AA58B6D9B7A6CCB6798">
    <w:name w:val="25C6DE5235D74AA58B6D9B7A6CCB6798"/>
    <w:rsid w:val="00EE5C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A1195-3E9E-4ABB-9C83-EE3E5D2D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9414</Words>
  <Characters>53661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OVERVIEW OF ACCESS AND BENEFIT-SHARING CAPACITY-BUILDING TOOLS AND RESOURCES</vt:lpstr>
    </vt:vector>
  </TitlesOfParts>
  <Company>SCBD</Company>
  <LinksUpToDate>false</LinksUpToDate>
  <CharactersWithSpaces>62950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ACCESS AND BENEFIT-SHARING CAPACITY-BUILDING TOOLS AND RESOURCES</dc:title>
  <dc:subject>CBD/ABS/CB-IAC/2018/1/2/Add.2</dc:subject>
  <dc:creator>SCBD</dc:creator>
  <cp:lastModifiedBy>veronique lefebvre</cp:lastModifiedBy>
  <cp:revision>4</cp:revision>
  <dcterms:created xsi:type="dcterms:W3CDTF">2018-03-02T21:02:00Z</dcterms:created>
  <dcterms:modified xsi:type="dcterms:W3CDTF">2018-03-02T21:05:00Z</dcterms:modified>
  <cp:contentStatus>GENERAL</cp:contentStatus>
</cp:coreProperties>
</file>