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D7127" w14:paraId="54509796" w14:textId="77777777" w:rsidTr="008A1499">
        <w:trPr>
          <w:trHeight w:val="850"/>
        </w:trPr>
        <w:tc>
          <w:tcPr>
            <w:tcW w:w="975" w:type="dxa"/>
            <w:vAlign w:val="bottom"/>
          </w:tcPr>
          <w:p w14:paraId="72EA4708" w14:textId="77777777" w:rsidR="008A1499" w:rsidRPr="00F443F6" w:rsidRDefault="008A1499" w:rsidP="008A1499">
            <w:pPr>
              <w:pStyle w:val="AASmallLogo"/>
              <w:rPr>
                <w:lang w:val="fr-FR"/>
              </w:rPr>
            </w:pPr>
            <w:r w:rsidRPr="00F443F6">
              <w:rPr>
                <w:noProof/>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443F6">
              <w:rPr>
                <w:lang w:val="fr-FR"/>
              </w:rPr>
              <w:t xml:space="preserve"> </w:t>
            </w:r>
          </w:p>
          <w:p w14:paraId="20B3E755" w14:textId="77777777" w:rsidR="008A1499" w:rsidRPr="00F443F6" w:rsidRDefault="008A1499" w:rsidP="008A1499">
            <w:pPr>
              <w:pStyle w:val="AASmallLogo"/>
              <w:rPr>
                <w:lang w:val="fr-FR"/>
              </w:rPr>
            </w:pPr>
          </w:p>
        </w:tc>
        <w:tc>
          <w:tcPr>
            <w:tcW w:w="1434" w:type="dxa"/>
            <w:noWrap/>
            <w:vAlign w:val="bottom"/>
          </w:tcPr>
          <w:p w14:paraId="30BE713C" w14:textId="09A44414" w:rsidR="008A1499" w:rsidRPr="00F443F6" w:rsidRDefault="00F443F6" w:rsidP="008A1499">
            <w:pPr>
              <w:pStyle w:val="AASmallLogo"/>
              <w:rPr>
                <w:lang w:val="fr-FR"/>
              </w:rPr>
            </w:pPr>
            <w:r w:rsidRPr="00F443F6">
              <w:rPr>
                <w:noProof/>
                <w:color w:val="000000" w:themeColor="text1"/>
                <w:lang w:val="fr-FR" w:eastAsia="fr-FR"/>
              </w:rPr>
              <w:drawing>
                <wp:inline distT="0" distB="0" distL="0" distR="0" wp14:anchorId="7DD46EE8" wp14:editId="59AFAA9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F443F6">
              <w:rPr>
                <w:lang w:val="fr-FR"/>
              </w:rPr>
              <w:t xml:space="preserve"> </w:t>
            </w:r>
          </w:p>
          <w:p w14:paraId="150ADDF8" w14:textId="77777777" w:rsidR="008A1499" w:rsidRPr="00F443F6" w:rsidRDefault="008A1499" w:rsidP="008A1499">
            <w:pPr>
              <w:pStyle w:val="AASmallLogo"/>
              <w:rPr>
                <w:lang w:val="fr-FR"/>
              </w:rPr>
            </w:pPr>
          </w:p>
        </w:tc>
        <w:tc>
          <w:tcPr>
            <w:tcW w:w="8073" w:type="dxa"/>
            <w:vAlign w:val="bottom"/>
          </w:tcPr>
          <w:p w14:paraId="5CF23E65" w14:textId="70F5ADCA" w:rsidR="008A1499" w:rsidRPr="00F443F6" w:rsidRDefault="00FD7127" w:rsidP="003F1A75">
            <w:pPr>
              <w:pStyle w:val="ABSymbol"/>
              <w:rPr>
                <w:lang w:val="fr-FR"/>
              </w:rPr>
            </w:pPr>
            <w:r w:rsidRPr="00D55BA3">
              <w:rPr>
                <w:sz w:val="40"/>
              </w:rPr>
              <w:t>CBD</w:t>
            </w:r>
            <w:r w:rsidRPr="00D55BA3">
              <w:t>/CP/MOP/12/</w:t>
            </w:r>
            <w:r w:rsidRPr="008E5771">
              <w:t>L.3</w:t>
            </w:r>
          </w:p>
        </w:tc>
      </w:tr>
    </w:tbl>
    <w:p w14:paraId="32D428BD" w14:textId="77777777" w:rsidR="008A1499" w:rsidRPr="00F443F6"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9748D" w14:paraId="68564309" w14:textId="77777777" w:rsidTr="008A1499">
        <w:trPr>
          <w:trHeight w:val="1814"/>
        </w:trPr>
        <w:tc>
          <w:tcPr>
            <w:tcW w:w="7370" w:type="dxa"/>
          </w:tcPr>
          <w:p w14:paraId="102BACEF" w14:textId="0742C08B" w:rsidR="008A1499" w:rsidRPr="00F443F6" w:rsidRDefault="00F443F6" w:rsidP="008A1499">
            <w:pPr>
              <w:pStyle w:val="ACLargeLogo"/>
              <w:rPr>
                <w:lang w:val="fr-FR"/>
              </w:rPr>
            </w:pPr>
            <w:r w:rsidRPr="00F443F6">
              <w:rPr>
                <w:noProof/>
                <w:color w:val="000000" w:themeColor="text1"/>
                <w:lang w:val="fr-FR" w:eastAsia="fr-FR"/>
              </w:rPr>
              <w:drawing>
                <wp:inline distT="0" distB="0" distL="0" distR="0" wp14:anchorId="26E14979" wp14:editId="2BCC6A8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F443F6">
              <w:rPr>
                <w:lang w:val="fr-FR"/>
              </w:rPr>
              <w:t xml:space="preserve"> </w:t>
            </w:r>
          </w:p>
          <w:p w14:paraId="7696113B" w14:textId="77777777" w:rsidR="008A1499" w:rsidRPr="00F443F6" w:rsidRDefault="008A1499" w:rsidP="008A1499">
            <w:pPr>
              <w:pStyle w:val="ACLargeLogo"/>
              <w:rPr>
                <w:lang w:val="fr-FR"/>
              </w:rPr>
            </w:pPr>
          </w:p>
        </w:tc>
        <w:tc>
          <w:tcPr>
            <w:tcW w:w="3112" w:type="dxa"/>
          </w:tcPr>
          <w:p w14:paraId="761FFE6A" w14:textId="0C14A852" w:rsidR="008A1499" w:rsidRPr="00F443F6" w:rsidRDefault="008A1499" w:rsidP="008A1499">
            <w:pPr>
              <w:pStyle w:val="AEDistrNormal"/>
              <w:rPr>
                <w:lang w:val="fr-FR"/>
              </w:rPr>
            </w:pPr>
            <w:r w:rsidRPr="00F443F6">
              <w:rPr>
                <w:lang w:val="fr-FR"/>
              </w:rPr>
              <w:t>Distr.</w:t>
            </w:r>
            <w:r w:rsidR="00F443F6" w:rsidRPr="00F443F6">
              <w:rPr>
                <w:lang w:val="fr-FR"/>
              </w:rPr>
              <w:t xml:space="preserve"> limitée</w:t>
            </w:r>
            <w:r w:rsidRPr="00F443F6">
              <w:rPr>
                <w:lang w:val="fr-FR"/>
              </w:rPr>
              <w:t xml:space="preserve"> </w:t>
            </w:r>
          </w:p>
          <w:p w14:paraId="01BC2DA7" w14:textId="7AA8454C" w:rsidR="00F443F6" w:rsidRDefault="00922A8F" w:rsidP="00F443F6">
            <w:pPr>
              <w:pStyle w:val="AEDistrNormal"/>
              <w:rPr>
                <w:lang w:val="fr-FR"/>
              </w:rPr>
            </w:pPr>
            <w:r w:rsidRPr="00F443F6">
              <w:rPr>
                <w:lang w:val="fr-FR"/>
              </w:rPr>
              <w:t>2</w:t>
            </w:r>
            <w:r w:rsidR="00FD7127">
              <w:rPr>
                <w:lang w:val="fr-FR"/>
              </w:rPr>
              <w:t>2</w:t>
            </w:r>
            <w:r w:rsidR="00E43F1C">
              <w:rPr>
                <w:lang w:val="fr-FR"/>
              </w:rPr>
              <w:t> </w:t>
            </w:r>
            <w:r w:rsidR="00F443F6" w:rsidRPr="00F443F6">
              <w:rPr>
                <w:lang w:val="fr-FR"/>
              </w:rPr>
              <w:t>octobre </w:t>
            </w:r>
            <w:r w:rsidR="008D41D3" w:rsidRPr="00F443F6">
              <w:rPr>
                <w:lang w:val="fr-FR"/>
              </w:rPr>
              <w:t>2026</w:t>
            </w:r>
          </w:p>
          <w:p w14:paraId="578739B0" w14:textId="77777777" w:rsidR="00F443F6" w:rsidRDefault="00F443F6" w:rsidP="00F443F6">
            <w:pPr>
              <w:pStyle w:val="AEDistrNormal"/>
              <w:rPr>
                <w:lang w:val="fr-FR"/>
              </w:rPr>
            </w:pPr>
            <w:r>
              <w:rPr>
                <w:lang w:val="fr-FR"/>
              </w:rPr>
              <w:t>Français</w:t>
            </w:r>
          </w:p>
          <w:p w14:paraId="1C2D3302" w14:textId="5E66C583" w:rsidR="008A1499" w:rsidRPr="00F443F6" w:rsidRDefault="008A1499" w:rsidP="00F443F6">
            <w:pPr>
              <w:pStyle w:val="AEDistrNormal"/>
              <w:rPr>
                <w:lang w:val="fr-FR"/>
              </w:rPr>
            </w:pPr>
            <w:r w:rsidRPr="00F443F6">
              <w:rPr>
                <w:lang w:val="fr-FR"/>
              </w:rPr>
              <w:t>Original</w:t>
            </w:r>
            <w:r w:rsidR="00F443F6">
              <w:rPr>
                <w:lang w:val="fr-FR"/>
              </w:rPr>
              <w:t> </w:t>
            </w:r>
            <w:r w:rsidRPr="00F443F6">
              <w:rPr>
                <w:lang w:val="fr-FR"/>
              </w:rPr>
              <w:t xml:space="preserve">: </w:t>
            </w:r>
            <w:r w:rsidR="00F443F6">
              <w:rPr>
                <w:lang w:val="fr-FR"/>
              </w:rPr>
              <w:t>anglais</w:t>
            </w:r>
            <w:r w:rsidRPr="00F443F6">
              <w:rPr>
                <w:lang w:val="fr-FR"/>
              </w:rPr>
              <w:t xml:space="preserve"> </w:t>
            </w:r>
          </w:p>
          <w:p w14:paraId="0D0A89D4" w14:textId="77777777" w:rsidR="008A1499" w:rsidRPr="00F443F6" w:rsidRDefault="008A1499" w:rsidP="008A1499">
            <w:pPr>
              <w:pStyle w:val="AEDistrNormal6pt"/>
              <w:rPr>
                <w:lang w:val="fr-FR"/>
              </w:rPr>
            </w:pPr>
          </w:p>
        </w:tc>
      </w:tr>
    </w:tbl>
    <w:p w14:paraId="505692E0" w14:textId="77777777" w:rsidR="008A1499" w:rsidRPr="00F443F6"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443F6" w14:paraId="7DD2392B" w14:textId="77777777" w:rsidTr="00F443F6">
        <w:trPr>
          <w:trHeight w:val="2455"/>
        </w:trPr>
        <w:tc>
          <w:tcPr>
            <w:tcW w:w="6094" w:type="dxa"/>
          </w:tcPr>
          <w:p w14:paraId="244D76B7" w14:textId="0906A6F8" w:rsidR="008A1499" w:rsidRPr="00F443F6" w:rsidRDefault="00F84CF1" w:rsidP="008A1499">
            <w:pPr>
              <w:pStyle w:val="AFCorN12Bold"/>
              <w:rPr>
                <w:lang w:val="fr-FR"/>
              </w:rPr>
            </w:pPr>
            <w:r w:rsidRPr="00F84CF1">
              <w:rPr>
                <w:lang w:val="fr-FR"/>
              </w:rPr>
              <w:t>Conférence des Parties à la Convention sur la diversité biologique siégeant en tant que réunion des Parties au Protocole de Cartagena sur la prévention des risques biotechnologique</w:t>
            </w:r>
          </w:p>
          <w:p w14:paraId="4AD00E11" w14:textId="4BD07BEF" w:rsidR="008A1499" w:rsidRPr="00F443F6" w:rsidRDefault="00F84CF1" w:rsidP="008A1499">
            <w:pPr>
              <w:pStyle w:val="AFCorNBold"/>
              <w:rPr>
                <w:lang w:val="fr-FR"/>
              </w:rPr>
            </w:pPr>
            <w:r>
              <w:rPr>
                <w:lang w:val="fr-FR"/>
              </w:rPr>
              <w:t>Douzième réunion</w:t>
            </w:r>
          </w:p>
          <w:p w14:paraId="2AB875DF" w14:textId="29F2B98F" w:rsidR="008A1499" w:rsidRPr="00F443F6" w:rsidRDefault="00F84CF1" w:rsidP="008A1499">
            <w:pPr>
              <w:pStyle w:val="AFCorNNormal"/>
              <w:rPr>
                <w:lang w:val="fr-FR"/>
              </w:rPr>
            </w:pPr>
            <w:r>
              <w:rPr>
                <w:lang w:val="fr-FR"/>
              </w:rPr>
              <w:t>E</w:t>
            </w:r>
            <w:r w:rsidR="00975047" w:rsidRPr="00F443F6">
              <w:rPr>
                <w:lang w:val="fr-FR"/>
              </w:rPr>
              <w:t>revan, 19–30</w:t>
            </w:r>
            <w:r w:rsidR="00E43F1C">
              <w:rPr>
                <w:lang w:val="fr-FR"/>
              </w:rPr>
              <w:t> </w:t>
            </w:r>
            <w:r>
              <w:rPr>
                <w:lang w:val="fr-FR"/>
              </w:rPr>
              <w:t>octobre</w:t>
            </w:r>
            <w:r w:rsidR="00E43F1C">
              <w:rPr>
                <w:lang w:val="fr-FR"/>
              </w:rPr>
              <w:t> </w:t>
            </w:r>
            <w:r w:rsidR="00975047" w:rsidRPr="00F443F6">
              <w:rPr>
                <w:lang w:val="fr-FR"/>
              </w:rPr>
              <w:t>2026</w:t>
            </w:r>
          </w:p>
          <w:p w14:paraId="018EC1BC" w14:textId="08CC086A" w:rsidR="008A1499" w:rsidRPr="00F443F6" w:rsidRDefault="00F84CF1" w:rsidP="008A1499">
            <w:pPr>
              <w:pStyle w:val="AFCorNNormal"/>
              <w:rPr>
                <w:lang w:val="fr-FR"/>
              </w:rPr>
            </w:pPr>
            <w:r>
              <w:rPr>
                <w:lang w:val="fr-FR"/>
              </w:rPr>
              <w:t>Point</w:t>
            </w:r>
            <w:r w:rsidR="00E43F1C">
              <w:rPr>
                <w:lang w:val="fr-FR"/>
              </w:rPr>
              <w:t> </w:t>
            </w:r>
            <w:r>
              <w:rPr>
                <w:lang w:val="fr-FR"/>
              </w:rPr>
              <w:t>17 de l’ordre du jour</w:t>
            </w:r>
          </w:p>
          <w:p w14:paraId="66028684" w14:textId="0C1C46CC" w:rsidR="008A1499" w:rsidRPr="00F443F6" w:rsidRDefault="00F84CF1" w:rsidP="00651D4C">
            <w:pPr>
              <w:pStyle w:val="AFCorNBold"/>
              <w:rPr>
                <w:lang w:val="fr-FR"/>
              </w:rPr>
            </w:pPr>
            <w:r>
              <w:rPr>
                <w:lang w:val="fr-FR"/>
              </w:rPr>
              <w:t>Protocole additionnel de Nagoya-Kuala Lumpur sur la responsabilité et la réparation</w:t>
            </w:r>
          </w:p>
          <w:p w14:paraId="5CAAF4FB" w14:textId="3659AC5F" w:rsidR="0027049E" w:rsidRPr="00F443F6" w:rsidRDefault="00F84CF1" w:rsidP="0027049E">
            <w:pPr>
              <w:pStyle w:val="AFCorNNormal"/>
              <w:rPr>
                <w:lang w:val="fr-FR"/>
              </w:rPr>
            </w:pPr>
            <w:r>
              <w:rPr>
                <w:lang w:val="fr-FR"/>
              </w:rPr>
              <w:t>Groupe de travail</w:t>
            </w:r>
            <w:r w:rsidR="00E43F1C">
              <w:rPr>
                <w:lang w:val="fr-FR"/>
              </w:rPr>
              <w:t> </w:t>
            </w:r>
            <w:r>
              <w:rPr>
                <w:lang w:val="fr-FR"/>
              </w:rPr>
              <w:t>II</w:t>
            </w:r>
          </w:p>
        </w:tc>
        <w:tc>
          <w:tcPr>
            <w:tcW w:w="4388" w:type="dxa"/>
          </w:tcPr>
          <w:p w14:paraId="2585170E" w14:textId="77777777" w:rsidR="008A1499" w:rsidRPr="00F443F6" w:rsidRDefault="008A1499" w:rsidP="008A1499">
            <w:pPr>
              <w:pStyle w:val="CBDNormal"/>
              <w:jc w:val="left"/>
              <w:rPr>
                <w:lang w:val="fr-FR"/>
              </w:rPr>
            </w:pPr>
          </w:p>
        </w:tc>
      </w:tr>
    </w:tbl>
    <w:p w14:paraId="04E81299" w14:textId="3AF827E4" w:rsidR="00C9161D" w:rsidRPr="00F443F6" w:rsidRDefault="00000000" w:rsidP="00A111D1">
      <w:pPr>
        <w:pStyle w:val="CBDTitle"/>
        <w:rPr>
          <w:caps/>
          <w:lang w:val="fr-FR"/>
        </w:rPr>
      </w:pPr>
      <w:sdt>
        <w:sdtPr>
          <w:rPr>
            <w:sz w:val="26"/>
            <w:szCs w:val="26"/>
            <w:lang w:val="fr-FR"/>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32578A" w:rsidRPr="0032578A">
            <w:rPr>
              <w:sz w:val="26"/>
              <w:szCs w:val="26"/>
              <w:lang w:val="fr-FR"/>
            </w:rPr>
            <w:t>Protocole additionnel de Nagoya-Kuala Lumpur sur la responsabilité et la réparation</w:t>
          </w:r>
        </w:sdtContent>
      </w:sdt>
      <w:r w:rsidR="00105372" w:rsidRPr="00F443F6">
        <w:rPr>
          <w:caps/>
          <w:lang w:val="fr-FR"/>
        </w:rPr>
        <w:t xml:space="preserve"> </w:t>
      </w:r>
    </w:p>
    <w:p w14:paraId="561E2151" w14:textId="2E8ACD81" w:rsidR="00F6586C" w:rsidRPr="00F443F6" w:rsidRDefault="0032578A" w:rsidP="00A111D1">
      <w:pPr>
        <w:pStyle w:val="CBDSubTitle"/>
        <w:rPr>
          <w:lang w:val="fr-FR"/>
        </w:rPr>
      </w:pPr>
      <w:r>
        <w:rPr>
          <w:lang w:val="fr-FR"/>
        </w:rPr>
        <w:t>Projet de décision soumis par le Président du Groupe de travail</w:t>
      </w:r>
      <w:r w:rsidR="00E43F1C">
        <w:rPr>
          <w:lang w:val="fr-FR"/>
        </w:rPr>
        <w:t> </w:t>
      </w:r>
      <w:r>
        <w:rPr>
          <w:lang w:val="fr-FR"/>
        </w:rPr>
        <w:t>II</w:t>
      </w:r>
    </w:p>
    <w:p w14:paraId="60760E4C" w14:textId="77777777" w:rsidR="00F443F6" w:rsidRPr="00F443F6" w:rsidRDefault="00F443F6" w:rsidP="00F443F6">
      <w:pPr>
        <w:pStyle w:val="Para10"/>
        <w:tabs>
          <w:tab w:val="clear" w:pos="1134"/>
        </w:tabs>
        <w:ind w:firstLine="567"/>
        <w:rPr>
          <w:rFonts w:asciiTheme="majorBidi" w:eastAsiaTheme="minorEastAsia" w:hAnsiTheme="majorBidi" w:cstheme="majorBidi"/>
          <w:lang w:val="fr-FR"/>
        </w:rPr>
      </w:pPr>
      <w:r w:rsidRPr="00F443F6">
        <w:rPr>
          <w:rFonts w:asciiTheme="majorBidi" w:hAnsiTheme="majorBidi" w:cstheme="majorBidi"/>
          <w:i/>
          <w:iCs/>
          <w:lang w:val="fr-FR"/>
        </w:rPr>
        <w:t>La Conférence des Parties siégeant en tant que réunion des Parties au Protocole de Cartagena et siégeant également en tant que réunion des Parties au Protocole additionnel de Nagoya</w:t>
      </w:r>
      <w:r w:rsidRPr="00F443F6">
        <w:rPr>
          <w:rFonts w:asciiTheme="majorBidi" w:hAnsiTheme="majorBidi" w:cstheme="majorBidi"/>
          <w:lang w:val="fr-FR"/>
        </w:rPr>
        <w:t>-</w:t>
      </w:r>
      <w:r w:rsidRPr="00F443F6">
        <w:rPr>
          <w:rFonts w:asciiTheme="majorBidi" w:hAnsiTheme="majorBidi" w:cstheme="majorBidi"/>
          <w:i/>
          <w:iCs/>
          <w:lang w:val="fr-FR"/>
        </w:rPr>
        <w:t>Kuala Lumpur</w:t>
      </w:r>
      <w:r w:rsidRPr="00F443F6">
        <w:rPr>
          <w:rStyle w:val="FootnoteReference"/>
          <w:rFonts w:asciiTheme="majorBidi" w:hAnsiTheme="majorBidi" w:cstheme="majorBidi"/>
          <w:lang w:val="fr-FR"/>
        </w:rPr>
        <w:footnoteReference w:id="1"/>
      </w:r>
      <w:r w:rsidRPr="00F443F6">
        <w:rPr>
          <w:rFonts w:asciiTheme="majorBidi" w:hAnsiTheme="majorBidi" w:cstheme="majorBidi"/>
          <w:i/>
          <w:iCs/>
          <w:lang w:val="fr-FR"/>
        </w:rPr>
        <w:t>,</w:t>
      </w:r>
    </w:p>
    <w:p w14:paraId="2C0F7684" w14:textId="33CCB864" w:rsidR="00F443F6" w:rsidRPr="00F443F6" w:rsidRDefault="00F443F6" w:rsidP="00F443F6">
      <w:pPr>
        <w:pStyle w:val="Para10"/>
        <w:tabs>
          <w:tab w:val="clear" w:pos="1134"/>
        </w:tabs>
        <w:ind w:firstLine="567"/>
        <w:rPr>
          <w:rFonts w:asciiTheme="majorBidi" w:eastAsiaTheme="minorEastAsia" w:hAnsiTheme="majorBidi" w:cstheme="majorBidi"/>
          <w:lang w:val="fr-FR"/>
        </w:rPr>
      </w:pPr>
      <w:r w:rsidRPr="00F443F6">
        <w:rPr>
          <w:rFonts w:asciiTheme="majorBidi" w:eastAsiaTheme="minorEastAsia" w:hAnsiTheme="majorBidi" w:cstheme="majorBidi"/>
          <w:i/>
          <w:iCs/>
          <w:lang w:val="fr-FR"/>
        </w:rPr>
        <w:t xml:space="preserve">Rappelant </w:t>
      </w:r>
      <w:r w:rsidRPr="00F443F6">
        <w:rPr>
          <w:rFonts w:asciiTheme="majorBidi" w:eastAsiaTheme="minorEastAsia" w:hAnsiTheme="majorBidi" w:cstheme="majorBidi"/>
          <w:lang w:val="fr-FR"/>
        </w:rPr>
        <w:t>l’article</w:t>
      </w:r>
      <w:r w:rsidR="00E43F1C">
        <w:rPr>
          <w:rFonts w:asciiTheme="majorBidi" w:eastAsiaTheme="minorEastAsia" w:hAnsiTheme="majorBidi" w:cstheme="majorBidi"/>
          <w:lang w:val="fr-FR"/>
        </w:rPr>
        <w:t> </w:t>
      </w:r>
      <w:r w:rsidRPr="00F443F6">
        <w:rPr>
          <w:rFonts w:asciiTheme="majorBidi" w:eastAsiaTheme="minorEastAsia" w:hAnsiTheme="majorBidi" w:cstheme="majorBidi"/>
          <w:lang w:val="fr-FR"/>
        </w:rPr>
        <w:t xml:space="preserve">13 du Protocole additionnel de Nagoya-Kuala Lumpur </w:t>
      </w:r>
      <w:r w:rsidRPr="00F443F6">
        <w:rPr>
          <w:rFonts w:asciiTheme="majorBidi" w:hAnsiTheme="majorBidi" w:cstheme="majorBidi"/>
          <w:lang w:val="fr-FR"/>
        </w:rPr>
        <w:t>sur la responsabilité et la réparation relatif au Protocole de Cartagena sur la prévention des risques biotechnologiques</w:t>
      </w:r>
      <w:r w:rsidRPr="00F443F6">
        <w:rPr>
          <w:rStyle w:val="FootnoteReference"/>
          <w:rFonts w:asciiTheme="majorBidi" w:eastAsiaTheme="minorEastAsia" w:hAnsiTheme="majorBidi" w:cstheme="majorBidi"/>
          <w:lang w:val="fr-FR"/>
        </w:rPr>
        <w:footnoteReference w:id="2"/>
      </w:r>
      <w:r w:rsidRPr="00F443F6">
        <w:rPr>
          <w:rFonts w:asciiTheme="majorBidi" w:hAnsiTheme="majorBidi" w:cstheme="majorBidi"/>
          <w:lang w:val="fr-FR"/>
        </w:rPr>
        <w:t>,</w:t>
      </w:r>
      <w:r w:rsidRPr="00F443F6">
        <w:rPr>
          <w:rFonts w:asciiTheme="majorBidi" w:eastAsiaTheme="minorEastAsia" w:hAnsiTheme="majorBidi" w:cstheme="majorBidi"/>
          <w:lang w:val="fr-FR"/>
        </w:rPr>
        <w:t xml:space="preserve"> </w:t>
      </w:r>
    </w:p>
    <w:p w14:paraId="684277EC" w14:textId="6BE2D5ED" w:rsidR="00F443F6" w:rsidRPr="00F443F6" w:rsidRDefault="00F443F6" w:rsidP="00F443F6">
      <w:pPr>
        <w:pStyle w:val="Para10"/>
        <w:tabs>
          <w:tab w:val="clear" w:pos="1134"/>
        </w:tabs>
        <w:ind w:firstLine="567"/>
        <w:rPr>
          <w:rFonts w:asciiTheme="majorBidi" w:eastAsiaTheme="minorEastAsia" w:hAnsiTheme="majorBidi" w:cstheme="majorBidi"/>
          <w:lang w:val="fr-FR"/>
        </w:rPr>
      </w:pPr>
      <w:r w:rsidRPr="00F443F6">
        <w:rPr>
          <w:rFonts w:asciiTheme="majorBidi" w:eastAsiaTheme="minorEastAsia" w:hAnsiTheme="majorBidi" w:cstheme="majorBidi"/>
          <w:i/>
          <w:iCs/>
          <w:lang w:val="fr-FR"/>
        </w:rPr>
        <w:t xml:space="preserve">Rappelant également </w:t>
      </w:r>
      <w:r w:rsidRPr="00F443F6">
        <w:rPr>
          <w:rFonts w:asciiTheme="majorBidi" w:eastAsiaTheme="minorEastAsia" w:hAnsiTheme="majorBidi" w:cstheme="majorBidi"/>
          <w:lang w:val="fr-FR"/>
        </w:rPr>
        <w:t>l’</w:t>
      </w:r>
      <w:r w:rsidRPr="00F443F6">
        <w:rPr>
          <w:rFonts w:asciiTheme="majorBidi" w:hAnsiTheme="majorBidi" w:cstheme="majorBidi"/>
          <w:lang w:val="fr-FR"/>
        </w:rPr>
        <w:t>objectif</w:t>
      </w:r>
      <w:r w:rsidR="00E43F1C">
        <w:rPr>
          <w:rFonts w:asciiTheme="majorBidi" w:hAnsiTheme="majorBidi" w:cstheme="majorBidi"/>
          <w:lang w:val="fr-FR"/>
        </w:rPr>
        <w:t> </w:t>
      </w:r>
      <w:r w:rsidRPr="00F443F6">
        <w:rPr>
          <w:rFonts w:asciiTheme="majorBidi" w:hAnsiTheme="majorBidi" w:cstheme="majorBidi"/>
          <w:lang w:val="fr-FR"/>
        </w:rPr>
        <w:t>A.10 du plan</w:t>
      </w:r>
      <w:r w:rsidRPr="00F443F6">
        <w:rPr>
          <w:rFonts w:asciiTheme="majorBidi" w:eastAsiaTheme="minorEastAsia" w:hAnsiTheme="majorBidi" w:cstheme="majorBidi"/>
          <w:lang w:val="fr-FR"/>
        </w:rPr>
        <w:t xml:space="preserve"> de</w:t>
      </w:r>
      <w:r w:rsidRPr="00F443F6">
        <w:rPr>
          <w:rFonts w:asciiTheme="majorBidi" w:hAnsiTheme="majorBidi" w:cstheme="majorBidi"/>
          <w:lang w:val="fr-FR"/>
        </w:rPr>
        <w:t xml:space="preserve"> mise en œuvre</w:t>
      </w:r>
      <w:r w:rsidRPr="00F443F6">
        <w:rPr>
          <w:rStyle w:val="FootnoteReference"/>
          <w:rFonts w:asciiTheme="majorBidi" w:hAnsiTheme="majorBidi" w:cstheme="majorBidi"/>
          <w:lang w:val="fr-FR"/>
        </w:rPr>
        <w:footnoteReference w:id="3"/>
      </w:r>
      <w:r w:rsidRPr="00F443F6">
        <w:rPr>
          <w:rFonts w:asciiTheme="majorBidi" w:eastAsiaTheme="minorEastAsia" w:hAnsiTheme="majorBidi" w:cstheme="majorBidi"/>
          <w:lang w:val="fr-FR"/>
        </w:rPr>
        <w:t xml:space="preserve"> et le plan d’action pour le renforcement des capacités</w:t>
      </w:r>
      <w:r w:rsidRPr="00F443F6">
        <w:rPr>
          <w:rStyle w:val="FootnoteReference"/>
          <w:rFonts w:asciiTheme="majorBidi" w:eastAsiaTheme="minorEastAsia" w:hAnsiTheme="majorBidi" w:cstheme="majorBidi"/>
          <w:lang w:val="fr-FR"/>
        </w:rPr>
        <w:footnoteReference w:id="4"/>
      </w:r>
      <w:r w:rsidRPr="00F443F6">
        <w:rPr>
          <w:rFonts w:asciiTheme="majorBidi" w:eastAsiaTheme="minorEastAsia" w:hAnsiTheme="majorBidi" w:cstheme="majorBidi"/>
          <w:lang w:val="fr-FR"/>
        </w:rPr>
        <w:t xml:space="preserve"> </w:t>
      </w:r>
      <w:r w:rsidR="00B22EC5">
        <w:rPr>
          <w:rFonts w:asciiTheme="majorBidi" w:eastAsiaTheme="minorEastAsia" w:hAnsiTheme="majorBidi" w:cstheme="majorBidi"/>
          <w:lang w:val="fr-FR"/>
        </w:rPr>
        <w:t xml:space="preserve">au titre </w:t>
      </w:r>
      <w:r w:rsidRPr="00F443F6">
        <w:rPr>
          <w:rFonts w:asciiTheme="majorBidi" w:eastAsiaTheme="minorEastAsia" w:hAnsiTheme="majorBidi" w:cstheme="majorBidi"/>
          <w:lang w:val="fr-FR"/>
        </w:rPr>
        <w:t>du Protocole de Cartagena sur la prévention des risques biotechnologiques</w:t>
      </w:r>
      <w:r w:rsidRPr="00F443F6">
        <w:rPr>
          <w:rStyle w:val="FootnoteReference"/>
          <w:rFonts w:asciiTheme="majorBidi" w:eastAsiaTheme="minorEastAsia" w:hAnsiTheme="majorBidi" w:cstheme="majorBidi"/>
          <w:lang w:val="fr-FR"/>
        </w:rPr>
        <w:footnoteReference w:id="5"/>
      </w:r>
      <w:r w:rsidRPr="00F443F6">
        <w:rPr>
          <w:rFonts w:asciiTheme="majorBidi" w:eastAsiaTheme="minorEastAsia" w:hAnsiTheme="majorBidi" w:cstheme="majorBidi"/>
          <w:lang w:val="fr-FR"/>
        </w:rPr>
        <w:t>,</w:t>
      </w:r>
    </w:p>
    <w:p w14:paraId="58FF8DFF" w14:textId="77777777" w:rsidR="00F443F6" w:rsidRPr="00F443F6" w:rsidRDefault="00F443F6" w:rsidP="00F443F6">
      <w:pPr>
        <w:pStyle w:val="Para10"/>
        <w:tabs>
          <w:tab w:val="clear" w:pos="1134"/>
        </w:tabs>
        <w:ind w:firstLine="567"/>
        <w:rPr>
          <w:rFonts w:asciiTheme="majorBidi" w:eastAsiaTheme="minorEastAsia" w:hAnsiTheme="majorBidi" w:cstheme="majorBidi"/>
          <w:lang w:val="fr-FR"/>
        </w:rPr>
      </w:pPr>
      <w:r w:rsidRPr="00F443F6">
        <w:rPr>
          <w:rFonts w:asciiTheme="majorBidi" w:hAnsiTheme="majorBidi" w:cstheme="majorBidi"/>
          <w:i/>
          <w:iCs/>
          <w:lang w:val="fr-FR"/>
        </w:rPr>
        <w:t>Prenant note</w:t>
      </w:r>
      <w:r w:rsidRPr="00F443F6">
        <w:rPr>
          <w:rFonts w:asciiTheme="majorBidi" w:hAnsiTheme="majorBidi" w:cstheme="majorBidi"/>
          <w:lang w:val="fr-FR"/>
        </w:rPr>
        <w:t xml:space="preserve"> des informations fournies pour le premier exercice d’évaluation et d’examen du Protocole additionnel de Nagoya-Kuala Lumpur,</w:t>
      </w:r>
    </w:p>
    <w:p w14:paraId="5EF753BD" w14:textId="389258FE" w:rsidR="00F443F6" w:rsidRPr="00F443F6" w:rsidRDefault="00F443F6" w:rsidP="00F443F6">
      <w:pPr>
        <w:pStyle w:val="CBDNormalNoNumber"/>
        <w:ind w:firstLine="567"/>
        <w:rPr>
          <w:rFonts w:asciiTheme="majorBidi" w:hAnsiTheme="majorBidi" w:cstheme="majorBidi"/>
          <w:lang w:val="fr-FR"/>
        </w:rPr>
      </w:pPr>
      <w:r w:rsidRPr="00F443F6">
        <w:rPr>
          <w:rFonts w:asciiTheme="majorBidi" w:hAnsiTheme="majorBidi" w:cstheme="majorBidi"/>
          <w:iCs/>
          <w:lang w:val="fr-FR"/>
        </w:rPr>
        <w:t>1.</w:t>
      </w:r>
      <w:r w:rsidRPr="00F443F6">
        <w:rPr>
          <w:rFonts w:asciiTheme="majorBidi" w:hAnsiTheme="majorBidi" w:cstheme="majorBidi"/>
          <w:iCs/>
          <w:lang w:val="fr-FR"/>
        </w:rPr>
        <w:tab/>
      </w:r>
      <w:r w:rsidRPr="00F443F6">
        <w:rPr>
          <w:rFonts w:asciiTheme="majorBidi" w:hAnsiTheme="majorBidi" w:cstheme="majorBidi"/>
          <w:i/>
          <w:lang w:val="fr-FR"/>
        </w:rPr>
        <w:t>Accueille avec satisfaction</w:t>
      </w:r>
      <w:r w:rsidRPr="00F443F6">
        <w:rPr>
          <w:rFonts w:asciiTheme="majorBidi" w:hAnsiTheme="majorBidi" w:cstheme="majorBidi"/>
          <w:lang w:val="fr-FR"/>
        </w:rPr>
        <w:t xml:space="preserve"> </w:t>
      </w:r>
      <w:r w:rsidRPr="00F443F6">
        <w:rPr>
          <w:rFonts w:asciiTheme="majorBidi" w:hAnsiTheme="majorBidi" w:cstheme="majorBidi"/>
          <w:iCs/>
          <w:lang w:val="fr-FR"/>
        </w:rPr>
        <w:t>l’</w:t>
      </w:r>
      <w:r w:rsidRPr="00F443F6">
        <w:rPr>
          <w:rFonts w:asciiTheme="majorBidi" w:hAnsiTheme="majorBidi" w:cstheme="majorBidi"/>
          <w:lang w:val="fr-FR"/>
        </w:rPr>
        <w:t>instrument</w:t>
      </w:r>
      <w:r w:rsidRPr="00F443F6">
        <w:rPr>
          <w:rFonts w:asciiTheme="majorBidi" w:hAnsiTheme="majorBidi" w:cstheme="majorBidi"/>
          <w:iCs/>
          <w:lang w:val="fr-FR"/>
        </w:rPr>
        <w:t xml:space="preserve"> supplémentaire d’</w:t>
      </w:r>
      <w:r w:rsidRPr="00F443F6">
        <w:rPr>
          <w:rFonts w:asciiTheme="majorBidi" w:hAnsiTheme="majorBidi" w:cstheme="majorBidi"/>
          <w:lang w:val="fr-FR"/>
        </w:rPr>
        <w:t>adhésion au Protocole additionnel de Nagoya-Kuala Lumpur sur la responsabilité et la réparation relatif au Protocole de Cartagena sur la prévention des risques biotechnologiques qui a été déposé depuis l’adoption de la décision</w:t>
      </w:r>
      <w:r w:rsidR="00E43F1C">
        <w:rPr>
          <w:rFonts w:asciiTheme="majorBidi" w:hAnsiTheme="majorBidi" w:cstheme="majorBidi"/>
          <w:lang w:val="fr-FR"/>
        </w:rPr>
        <w:t> </w:t>
      </w:r>
      <w:hyperlink r:id="rId15" w:history="1">
        <w:r w:rsidRPr="00F443F6">
          <w:rPr>
            <w:rStyle w:val="Hyperlink"/>
            <w:rFonts w:asciiTheme="majorBidi" w:hAnsiTheme="majorBidi" w:cstheme="majorBidi"/>
            <w:lang w:val="fr-FR"/>
          </w:rPr>
          <w:t>CP-11/10</w:t>
        </w:r>
      </w:hyperlink>
      <w:r w:rsidRPr="00F443F6">
        <w:rPr>
          <w:rFonts w:asciiTheme="majorBidi" w:hAnsiTheme="majorBidi" w:cstheme="majorBidi"/>
          <w:lang w:val="fr-FR"/>
        </w:rPr>
        <w:t xml:space="preserve"> du 25</w:t>
      </w:r>
      <w:r w:rsidR="00E43F1C">
        <w:rPr>
          <w:rFonts w:asciiTheme="majorBidi" w:hAnsiTheme="majorBidi" w:cstheme="majorBidi"/>
          <w:lang w:val="fr-FR"/>
        </w:rPr>
        <w:t> </w:t>
      </w:r>
      <w:r w:rsidRPr="00F443F6">
        <w:rPr>
          <w:rFonts w:asciiTheme="majorBidi" w:hAnsiTheme="majorBidi" w:cstheme="majorBidi"/>
          <w:lang w:val="fr-FR"/>
        </w:rPr>
        <w:t>octobre</w:t>
      </w:r>
      <w:r w:rsidR="00E43F1C">
        <w:rPr>
          <w:rFonts w:asciiTheme="majorBidi" w:hAnsiTheme="majorBidi" w:cstheme="majorBidi"/>
          <w:lang w:val="fr-FR"/>
        </w:rPr>
        <w:t> </w:t>
      </w:r>
      <w:r w:rsidRPr="00F443F6">
        <w:rPr>
          <w:rFonts w:asciiTheme="majorBidi" w:hAnsiTheme="majorBidi" w:cstheme="majorBidi"/>
          <w:lang w:val="fr-FR"/>
        </w:rPr>
        <w:t>2024</w:t>
      </w:r>
      <w:r w:rsidR="00B22EC5">
        <w:rPr>
          <w:rFonts w:asciiTheme="majorBidi" w:hAnsiTheme="majorBidi" w:cstheme="majorBidi"/>
          <w:lang w:val="fr-FR"/>
        </w:rPr>
        <w:t>;</w:t>
      </w:r>
    </w:p>
    <w:p w14:paraId="51546D46" w14:textId="194D5C20" w:rsidR="00F443F6" w:rsidRPr="00F443F6" w:rsidRDefault="00F443F6" w:rsidP="00F443F6">
      <w:pPr>
        <w:pStyle w:val="CBDNormalNoNumber"/>
        <w:ind w:firstLine="567"/>
        <w:rPr>
          <w:rFonts w:asciiTheme="majorBidi" w:hAnsiTheme="majorBidi" w:cstheme="majorBidi"/>
          <w:lang w:val="fr-FR"/>
        </w:rPr>
      </w:pPr>
      <w:r w:rsidRPr="00F443F6">
        <w:rPr>
          <w:rFonts w:asciiTheme="majorBidi" w:hAnsiTheme="majorBidi" w:cstheme="majorBidi"/>
          <w:iCs/>
          <w:lang w:val="fr-FR"/>
        </w:rPr>
        <w:t>2.</w:t>
      </w:r>
      <w:r w:rsidRPr="00F443F6">
        <w:rPr>
          <w:rFonts w:asciiTheme="majorBidi" w:hAnsiTheme="majorBidi" w:cstheme="majorBidi"/>
          <w:iCs/>
          <w:lang w:val="fr-FR"/>
        </w:rPr>
        <w:tab/>
      </w:r>
      <w:r w:rsidRPr="00F443F6">
        <w:rPr>
          <w:rFonts w:asciiTheme="majorBidi" w:hAnsiTheme="majorBidi" w:cstheme="majorBidi"/>
          <w:i/>
          <w:lang w:val="fr-FR"/>
        </w:rPr>
        <w:t xml:space="preserve">Invite </w:t>
      </w:r>
      <w:r w:rsidRPr="00F443F6">
        <w:rPr>
          <w:rFonts w:asciiTheme="majorBidi" w:hAnsiTheme="majorBidi" w:cstheme="majorBidi"/>
          <w:lang w:val="fr-FR"/>
        </w:rPr>
        <w:t>toutes les Parties au Protocole de Cartagena qui ne l’ont pas encore fait à déposer dès que possible un instrument de ratification, d’acceptation, d’approbation ou d’adhésion au Protocole additionnel de Nagoya-Kuala Lumpur</w:t>
      </w:r>
      <w:r w:rsidR="00B22EC5">
        <w:rPr>
          <w:rFonts w:asciiTheme="majorBidi" w:hAnsiTheme="majorBidi" w:cstheme="majorBidi"/>
          <w:lang w:val="fr-FR"/>
        </w:rPr>
        <w:t>;</w:t>
      </w:r>
    </w:p>
    <w:p w14:paraId="2EF0FAAF" w14:textId="2BF147F3" w:rsidR="00F443F6" w:rsidRPr="00F443F6" w:rsidRDefault="00F443F6" w:rsidP="00F443F6">
      <w:pPr>
        <w:pStyle w:val="CBDNormalNoNumber"/>
        <w:ind w:firstLine="567"/>
        <w:rPr>
          <w:rFonts w:asciiTheme="majorBidi" w:hAnsiTheme="majorBidi" w:cstheme="majorBidi"/>
          <w:iCs/>
          <w:lang w:val="fr-FR"/>
        </w:rPr>
      </w:pPr>
      <w:r w:rsidRPr="00F443F6">
        <w:rPr>
          <w:rFonts w:asciiTheme="majorBidi" w:hAnsiTheme="majorBidi" w:cstheme="majorBidi"/>
          <w:lang w:val="fr-FR"/>
        </w:rPr>
        <w:lastRenderedPageBreak/>
        <w:t>3.</w:t>
      </w:r>
      <w:r w:rsidRPr="00F443F6">
        <w:rPr>
          <w:rFonts w:asciiTheme="majorBidi" w:hAnsiTheme="majorBidi" w:cstheme="majorBidi"/>
          <w:lang w:val="fr-FR"/>
        </w:rPr>
        <w:tab/>
      </w:r>
      <w:r w:rsidRPr="00F443F6">
        <w:rPr>
          <w:rFonts w:asciiTheme="majorBidi" w:hAnsiTheme="majorBidi" w:cstheme="majorBidi"/>
          <w:i/>
          <w:iCs/>
          <w:lang w:val="fr-FR"/>
        </w:rPr>
        <w:t xml:space="preserve">Se félicite </w:t>
      </w:r>
      <w:r w:rsidRPr="00F443F6">
        <w:rPr>
          <w:rFonts w:asciiTheme="majorBidi" w:hAnsiTheme="majorBidi" w:cstheme="majorBidi"/>
          <w:lang w:val="fr-FR"/>
        </w:rPr>
        <w:t xml:space="preserve">du fait </w:t>
      </w:r>
      <w:r w:rsidRPr="00F443F6">
        <w:rPr>
          <w:rFonts w:asciiTheme="majorBidi" w:hAnsiTheme="majorBidi" w:cstheme="majorBidi"/>
          <w:iCs/>
          <w:lang w:val="fr-FR"/>
        </w:rPr>
        <w:t xml:space="preserve">que presque toutes les Parties au Protocole additionnel de </w:t>
      </w:r>
      <w:r w:rsidRPr="00F443F6">
        <w:rPr>
          <w:rFonts w:asciiTheme="majorBidi" w:hAnsiTheme="majorBidi" w:cstheme="majorBidi"/>
          <w:lang w:val="fr-FR"/>
        </w:rPr>
        <w:t>Nagoya-Kuala Lumpur</w:t>
      </w:r>
      <w:r w:rsidRPr="00F443F6">
        <w:rPr>
          <w:rFonts w:asciiTheme="majorBidi" w:hAnsiTheme="majorBidi" w:cstheme="majorBidi"/>
          <w:iCs/>
          <w:lang w:val="fr-FR"/>
        </w:rPr>
        <w:t xml:space="preserve"> ont déclaré avoir désigné une autorité compétente </w:t>
      </w:r>
      <w:r w:rsidRPr="00F443F6">
        <w:rPr>
          <w:rFonts w:asciiTheme="majorBidi" w:hAnsiTheme="majorBidi" w:cstheme="majorBidi"/>
          <w:lang w:val="fr-FR"/>
        </w:rPr>
        <w:t>pour exercer les fonctions énoncées à l’article</w:t>
      </w:r>
      <w:r w:rsidR="00E43F1C">
        <w:rPr>
          <w:rFonts w:asciiTheme="majorBidi" w:hAnsiTheme="majorBidi" w:cstheme="majorBidi"/>
          <w:lang w:val="fr-FR"/>
        </w:rPr>
        <w:t> </w:t>
      </w:r>
      <w:r w:rsidRPr="00F443F6">
        <w:rPr>
          <w:rFonts w:asciiTheme="majorBidi" w:hAnsiTheme="majorBidi" w:cstheme="majorBidi"/>
          <w:lang w:val="fr-FR"/>
        </w:rPr>
        <w:t xml:space="preserve">5 du Protocole additionnel, mais constate avec préoccupation que </w:t>
      </w:r>
      <w:r w:rsidRPr="00F443F6">
        <w:rPr>
          <w:rFonts w:asciiTheme="majorBidi" w:hAnsiTheme="majorBidi" w:cstheme="majorBidi"/>
          <w:iCs/>
          <w:lang w:val="fr-FR"/>
        </w:rPr>
        <w:t xml:space="preserve">relativement peu de Parties ont mis à disposition des informations sur ces autorités par l’intermédiaire du Centre d’échange pour la prévention des risques biotechnologiques, </w:t>
      </w:r>
      <w:r w:rsidRPr="00F443F6">
        <w:rPr>
          <w:rFonts w:asciiTheme="majorBidi" w:hAnsiTheme="majorBidi" w:cstheme="majorBidi"/>
          <w:lang w:val="fr-FR"/>
        </w:rPr>
        <w:t>et encourage les Parties à actualiser et à maintenir les informations sur leurs autorités compétentes sur le site du Centre d’échange pour la prévention des risques biotechnologiques</w:t>
      </w:r>
      <w:r w:rsidR="00B22EC5">
        <w:rPr>
          <w:rFonts w:asciiTheme="majorBidi" w:hAnsiTheme="majorBidi" w:cstheme="majorBidi"/>
          <w:lang w:val="fr-FR"/>
        </w:rPr>
        <w:t>;</w:t>
      </w:r>
    </w:p>
    <w:p w14:paraId="6DCDE6C2" w14:textId="64D6FB7E" w:rsidR="00F443F6" w:rsidRPr="00F443F6" w:rsidRDefault="00F443F6" w:rsidP="00F443F6">
      <w:pPr>
        <w:pStyle w:val="CBDNormalNoNumber"/>
        <w:ind w:firstLine="567"/>
        <w:rPr>
          <w:rFonts w:asciiTheme="majorBidi" w:hAnsiTheme="majorBidi" w:cstheme="majorBidi"/>
          <w:iCs/>
          <w:lang w:val="fr-FR"/>
        </w:rPr>
      </w:pPr>
      <w:r w:rsidRPr="00F443F6">
        <w:rPr>
          <w:rFonts w:asciiTheme="majorBidi" w:hAnsiTheme="majorBidi" w:cstheme="majorBidi"/>
          <w:iCs/>
          <w:lang w:val="fr-FR"/>
        </w:rPr>
        <w:t>4.</w:t>
      </w:r>
      <w:r w:rsidRPr="00F443F6">
        <w:rPr>
          <w:rFonts w:asciiTheme="majorBidi" w:hAnsiTheme="majorBidi" w:cstheme="majorBidi"/>
          <w:iCs/>
          <w:lang w:val="fr-FR"/>
        </w:rPr>
        <w:tab/>
      </w:r>
      <w:r w:rsidRPr="00F443F6">
        <w:rPr>
          <w:rFonts w:asciiTheme="majorBidi" w:hAnsiTheme="majorBidi" w:cstheme="majorBidi"/>
          <w:i/>
          <w:lang w:val="fr-FR"/>
        </w:rPr>
        <w:t xml:space="preserve">Accueille avec satisfaction </w:t>
      </w:r>
      <w:r w:rsidRPr="00F443F6">
        <w:rPr>
          <w:rFonts w:asciiTheme="majorBidi" w:hAnsiTheme="majorBidi" w:cstheme="majorBidi"/>
          <w:iCs/>
          <w:lang w:val="fr-FR"/>
        </w:rPr>
        <w:t xml:space="preserve">les informations relatives à l’application du Protocole additionnel de </w:t>
      </w:r>
      <w:r w:rsidRPr="00F443F6">
        <w:rPr>
          <w:rFonts w:asciiTheme="majorBidi" w:hAnsiTheme="majorBidi" w:cstheme="majorBidi"/>
          <w:lang w:val="fr-FR"/>
        </w:rPr>
        <w:t>Nagoya-Kuala Lumpur</w:t>
      </w:r>
      <w:r w:rsidRPr="00F443F6">
        <w:rPr>
          <w:rFonts w:asciiTheme="majorBidi" w:hAnsiTheme="majorBidi" w:cstheme="majorBidi"/>
          <w:iCs/>
          <w:lang w:val="fr-FR"/>
        </w:rPr>
        <w:t xml:space="preserve"> fournies par les Parties et par d’autres gouvernements dans leur cinquième rapport national établi au titre du Protocole de </w:t>
      </w:r>
      <w:r w:rsidRPr="00F443F6">
        <w:rPr>
          <w:rFonts w:asciiTheme="majorBidi" w:eastAsiaTheme="minorEastAsia" w:hAnsiTheme="majorBidi" w:cstheme="majorBidi"/>
          <w:lang w:val="fr-FR"/>
        </w:rPr>
        <w:t>Cartagena</w:t>
      </w:r>
      <w:r w:rsidRPr="00F443F6">
        <w:rPr>
          <w:rFonts w:asciiTheme="majorBidi" w:hAnsiTheme="majorBidi" w:cstheme="majorBidi"/>
          <w:iCs/>
          <w:lang w:val="fr-FR"/>
        </w:rPr>
        <w:t>, qui a servi de base au premier exercice d’évaluation et d’examen de l’efficacité du Protocole additionnel</w:t>
      </w:r>
      <w:r w:rsidR="00B22EC5">
        <w:rPr>
          <w:rFonts w:asciiTheme="majorBidi" w:hAnsiTheme="majorBidi" w:cstheme="majorBidi"/>
          <w:iCs/>
          <w:lang w:val="fr-FR"/>
        </w:rPr>
        <w:t>;</w:t>
      </w:r>
    </w:p>
    <w:p w14:paraId="0F1AA2DB" w14:textId="597B01AC" w:rsidR="00F443F6" w:rsidRPr="00F443F6" w:rsidRDefault="00F443F6" w:rsidP="00F443F6">
      <w:pPr>
        <w:pStyle w:val="CBDNormalNoNumber"/>
        <w:ind w:firstLine="567"/>
        <w:rPr>
          <w:rFonts w:asciiTheme="majorBidi" w:hAnsiTheme="majorBidi" w:cstheme="majorBidi"/>
          <w:lang w:val="fr-FR"/>
        </w:rPr>
      </w:pPr>
      <w:r w:rsidRPr="00F443F6">
        <w:rPr>
          <w:rFonts w:asciiTheme="majorBidi" w:hAnsiTheme="majorBidi" w:cstheme="majorBidi"/>
          <w:iCs/>
          <w:lang w:val="fr-FR"/>
        </w:rPr>
        <w:t>5.</w:t>
      </w:r>
      <w:r w:rsidRPr="00F443F6">
        <w:rPr>
          <w:rFonts w:asciiTheme="majorBidi" w:hAnsiTheme="majorBidi" w:cstheme="majorBidi"/>
          <w:iCs/>
          <w:lang w:val="fr-FR"/>
        </w:rPr>
        <w:tab/>
      </w:r>
      <w:r w:rsidRPr="00F443F6">
        <w:rPr>
          <w:rFonts w:asciiTheme="majorBidi" w:hAnsiTheme="majorBidi" w:cstheme="majorBidi"/>
          <w:i/>
          <w:lang w:val="fr-FR"/>
        </w:rPr>
        <w:t xml:space="preserve">Se </w:t>
      </w:r>
      <w:r w:rsidRPr="00F443F6">
        <w:rPr>
          <w:rFonts w:asciiTheme="majorBidi" w:hAnsiTheme="majorBidi" w:cstheme="majorBidi"/>
          <w:i/>
          <w:iCs/>
          <w:lang w:val="fr-FR"/>
        </w:rPr>
        <w:t>félicite</w:t>
      </w:r>
      <w:r w:rsidRPr="00F443F6">
        <w:rPr>
          <w:rFonts w:asciiTheme="majorBidi" w:hAnsiTheme="majorBidi" w:cstheme="majorBidi"/>
          <w:i/>
          <w:lang w:val="fr-FR"/>
        </w:rPr>
        <w:t xml:space="preserve"> également </w:t>
      </w:r>
      <w:r w:rsidRPr="00F443F6">
        <w:rPr>
          <w:rFonts w:asciiTheme="majorBidi" w:hAnsiTheme="majorBidi" w:cstheme="majorBidi"/>
          <w:lang w:val="fr-FR"/>
        </w:rPr>
        <w:t>des mesures prises par les Parties au Protocole additionnel de Nagoya-Kuala Lumpur en vue de sa mise en œuvre, tout en sachant qu’il subsiste des domaines dans lesquels la mise en œuvre doit être renforcée</w:t>
      </w:r>
      <w:r w:rsidR="00B22EC5">
        <w:rPr>
          <w:rFonts w:asciiTheme="majorBidi" w:hAnsiTheme="majorBidi" w:cstheme="majorBidi"/>
          <w:lang w:val="fr-FR"/>
        </w:rPr>
        <w:t>;</w:t>
      </w:r>
    </w:p>
    <w:p w14:paraId="0BE66123" w14:textId="07BBA217" w:rsidR="00F443F6" w:rsidRPr="00F443F6" w:rsidRDefault="00F443F6" w:rsidP="00F443F6">
      <w:pPr>
        <w:pStyle w:val="CBDNormalNoNumber"/>
        <w:ind w:firstLine="567"/>
        <w:rPr>
          <w:rFonts w:asciiTheme="majorBidi" w:hAnsiTheme="majorBidi" w:cstheme="majorBidi"/>
          <w:iCs/>
          <w:lang w:val="fr-FR"/>
        </w:rPr>
      </w:pPr>
      <w:r w:rsidRPr="00F443F6">
        <w:rPr>
          <w:rFonts w:asciiTheme="majorBidi" w:hAnsiTheme="majorBidi" w:cstheme="majorBidi"/>
          <w:iCs/>
          <w:lang w:val="fr-FR"/>
        </w:rPr>
        <w:t>6.</w:t>
      </w:r>
      <w:r w:rsidRPr="00F443F6">
        <w:rPr>
          <w:rFonts w:asciiTheme="majorBidi" w:hAnsiTheme="majorBidi" w:cstheme="majorBidi"/>
          <w:iCs/>
          <w:lang w:val="fr-FR"/>
        </w:rPr>
        <w:tab/>
      </w:r>
      <w:r w:rsidRPr="00F443F6">
        <w:rPr>
          <w:rFonts w:asciiTheme="majorBidi" w:hAnsiTheme="majorBidi" w:cstheme="majorBidi"/>
          <w:i/>
          <w:lang w:val="fr-FR"/>
        </w:rPr>
        <w:t>Constate</w:t>
      </w:r>
      <w:r w:rsidRPr="00F443F6">
        <w:rPr>
          <w:rFonts w:asciiTheme="majorBidi" w:hAnsiTheme="majorBidi" w:cstheme="majorBidi"/>
          <w:iCs/>
          <w:lang w:val="fr-FR"/>
        </w:rPr>
        <w:t xml:space="preserve"> que les mesures de garantie financière relatives aux dommages, telles que définies dans le Protocole additionnel de </w:t>
      </w:r>
      <w:r w:rsidRPr="00F443F6">
        <w:rPr>
          <w:rFonts w:asciiTheme="majorBidi" w:hAnsiTheme="majorBidi" w:cstheme="majorBidi"/>
          <w:lang w:val="fr-FR"/>
        </w:rPr>
        <w:t>Nagoya-Kuala Lumpur</w:t>
      </w:r>
      <w:r w:rsidRPr="00F443F6">
        <w:rPr>
          <w:rFonts w:asciiTheme="majorBidi" w:hAnsiTheme="majorBidi" w:cstheme="majorBidi"/>
          <w:iCs/>
          <w:lang w:val="fr-FR"/>
        </w:rPr>
        <w:t>, restent limitées au sein des Parties à ce Protocole</w:t>
      </w:r>
      <w:r w:rsidR="00B22EC5">
        <w:rPr>
          <w:rFonts w:asciiTheme="majorBidi" w:hAnsiTheme="majorBidi" w:cstheme="majorBidi"/>
          <w:iCs/>
          <w:lang w:val="fr-FR"/>
        </w:rPr>
        <w:t>;</w:t>
      </w:r>
    </w:p>
    <w:p w14:paraId="20292A53" w14:textId="4D51B618" w:rsidR="00F443F6" w:rsidRPr="00F443F6" w:rsidRDefault="00F443F6" w:rsidP="00F443F6">
      <w:pPr>
        <w:pStyle w:val="CBDNormalNoNumber"/>
        <w:ind w:firstLine="567"/>
        <w:rPr>
          <w:rFonts w:asciiTheme="majorBidi" w:hAnsiTheme="majorBidi" w:cstheme="majorBidi"/>
          <w:lang w:val="fr-FR"/>
        </w:rPr>
      </w:pPr>
      <w:r w:rsidRPr="00F443F6">
        <w:rPr>
          <w:rFonts w:asciiTheme="majorBidi" w:hAnsiTheme="majorBidi" w:cstheme="majorBidi"/>
          <w:iCs/>
          <w:lang w:val="fr-FR"/>
        </w:rPr>
        <w:t>7</w:t>
      </w:r>
      <w:r w:rsidRPr="00F443F6">
        <w:rPr>
          <w:rFonts w:asciiTheme="majorBidi" w:hAnsiTheme="majorBidi" w:cstheme="majorBidi"/>
          <w:lang w:val="fr-FR"/>
        </w:rPr>
        <w:t>.</w:t>
      </w:r>
      <w:r w:rsidRPr="00F443F6">
        <w:rPr>
          <w:rFonts w:asciiTheme="majorBidi" w:hAnsiTheme="majorBidi" w:cstheme="majorBidi"/>
          <w:lang w:val="fr-FR"/>
        </w:rPr>
        <w:tab/>
      </w:r>
      <w:r w:rsidRPr="00F443F6">
        <w:rPr>
          <w:rFonts w:asciiTheme="majorBidi" w:hAnsiTheme="majorBidi" w:cstheme="majorBidi"/>
          <w:i/>
          <w:iCs/>
          <w:lang w:val="fr-FR"/>
        </w:rPr>
        <w:t xml:space="preserve">Est consciente </w:t>
      </w:r>
      <w:r w:rsidRPr="00F443F6">
        <w:rPr>
          <w:rFonts w:asciiTheme="majorBidi" w:hAnsiTheme="majorBidi" w:cstheme="majorBidi"/>
          <w:iCs/>
          <w:lang w:val="fr-FR"/>
        </w:rPr>
        <w:t xml:space="preserve">que de nombreuses Parties au Protocole additionnel de </w:t>
      </w:r>
      <w:r w:rsidRPr="00F443F6">
        <w:rPr>
          <w:rFonts w:asciiTheme="majorBidi" w:hAnsiTheme="majorBidi" w:cstheme="majorBidi"/>
          <w:lang w:val="fr-FR"/>
        </w:rPr>
        <w:t>Nagoya-Kuala Lumpur</w:t>
      </w:r>
      <w:r w:rsidRPr="00F443F6">
        <w:rPr>
          <w:rFonts w:asciiTheme="majorBidi" w:hAnsiTheme="majorBidi" w:cstheme="majorBidi"/>
          <w:iCs/>
          <w:lang w:val="fr-FR"/>
        </w:rPr>
        <w:t xml:space="preserve"> s’appuient sur des cadres de responsabilité environnementale, administrative ou civile pour aborder la responsabilité pour les dommages résultant d’organismes vivants modifiés</w:t>
      </w:r>
      <w:r w:rsidR="00B22EC5">
        <w:rPr>
          <w:rFonts w:asciiTheme="majorBidi" w:hAnsiTheme="majorBidi" w:cstheme="majorBidi"/>
          <w:iCs/>
          <w:lang w:val="fr-FR"/>
        </w:rPr>
        <w:t>;</w:t>
      </w:r>
    </w:p>
    <w:p w14:paraId="664964E0" w14:textId="01DE9BD5" w:rsidR="00F443F6" w:rsidRPr="00F443F6" w:rsidRDefault="00F443F6" w:rsidP="00F443F6">
      <w:pPr>
        <w:pStyle w:val="CBDNormalNoNumber"/>
        <w:ind w:firstLine="567"/>
        <w:rPr>
          <w:iCs/>
          <w:lang w:val="fr-FR"/>
        </w:rPr>
      </w:pPr>
      <w:r w:rsidRPr="00F443F6">
        <w:rPr>
          <w:rFonts w:asciiTheme="majorBidi" w:hAnsiTheme="majorBidi" w:cstheme="majorBidi"/>
          <w:iCs/>
          <w:lang w:val="fr-FR"/>
        </w:rPr>
        <w:t>8.</w:t>
      </w:r>
      <w:r w:rsidRPr="00F443F6">
        <w:rPr>
          <w:rFonts w:asciiTheme="majorBidi" w:hAnsiTheme="majorBidi" w:cstheme="majorBidi"/>
          <w:iCs/>
          <w:lang w:val="fr-FR"/>
        </w:rPr>
        <w:tab/>
      </w:r>
      <w:r w:rsidRPr="00F443F6">
        <w:rPr>
          <w:rFonts w:asciiTheme="majorBidi" w:hAnsiTheme="majorBidi" w:cstheme="majorBidi"/>
          <w:i/>
          <w:lang w:val="fr-FR"/>
        </w:rPr>
        <w:t xml:space="preserve">Encourage </w:t>
      </w:r>
      <w:r w:rsidRPr="00F443F6">
        <w:rPr>
          <w:rFonts w:asciiTheme="majorBidi" w:hAnsiTheme="majorBidi" w:cstheme="majorBidi"/>
          <w:iCs/>
          <w:lang w:val="fr-FR"/>
        </w:rPr>
        <w:t>les</w:t>
      </w:r>
      <w:r w:rsidRPr="00F443F6">
        <w:rPr>
          <w:rFonts w:asciiTheme="majorBidi" w:hAnsiTheme="majorBidi" w:cstheme="majorBidi"/>
          <w:i/>
          <w:lang w:val="fr-FR"/>
        </w:rPr>
        <w:t xml:space="preserve"> </w:t>
      </w:r>
      <w:r w:rsidRPr="00F443F6">
        <w:rPr>
          <w:rFonts w:asciiTheme="majorBidi" w:hAnsiTheme="majorBidi" w:cstheme="majorBidi"/>
          <w:iCs/>
          <w:lang w:val="fr-FR"/>
        </w:rPr>
        <w:t xml:space="preserve">Parties au Protocole additionnel de </w:t>
      </w:r>
      <w:r w:rsidRPr="00F443F6">
        <w:rPr>
          <w:rFonts w:asciiTheme="majorBidi" w:hAnsiTheme="majorBidi" w:cstheme="majorBidi"/>
          <w:lang w:val="fr-FR"/>
        </w:rPr>
        <w:t>Nagoya-Kuala Lumpur</w:t>
      </w:r>
      <w:r w:rsidRPr="00F443F6">
        <w:rPr>
          <w:rFonts w:asciiTheme="majorBidi" w:hAnsiTheme="majorBidi" w:cstheme="majorBidi"/>
          <w:iCs/>
          <w:lang w:val="fr-FR"/>
        </w:rPr>
        <w:t xml:space="preserve"> à développer ou à faciliter l’accès à</w:t>
      </w:r>
      <w:r w:rsidRPr="00F443F6">
        <w:rPr>
          <w:iCs/>
          <w:lang w:val="fr-FR"/>
        </w:rPr>
        <w:t xml:space="preserve"> la garantie financière, conformément à son article</w:t>
      </w:r>
      <w:r w:rsidR="00E43F1C">
        <w:rPr>
          <w:iCs/>
          <w:lang w:val="fr-FR"/>
        </w:rPr>
        <w:t> </w:t>
      </w:r>
      <w:r w:rsidRPr="00F443F6">
        <w:rPr>
          <w:iCs/>
          <w:lang w:val="fr-FR"/>
        </w:rPr>
        <w:t>10, et à élaborer ou à appliquer des règles et procédures de responsabilité civile en matière de dommages, conformément à l’article 12;</w:t>
      </w:r>
    </w:p>
    <w:p w14:paraId="28AFE475" w14:textId="6547784A" w:rsidR="00F443F6" w:rsidRPr="00F443F6" w:rsidRDefault="00F443F6" w:rsidP="00F443F6">
      <w:pPr>
        <w:pStyle w:val="CBDNormalNoNumber"/>
        <w:ind w:firstLine="567"/>
        <w:rPr>
          <w:iCs/>
          <w:lang w:val="fr-FR"/>
        </w:rPr>
      </w:pPr>
      <w:r w:rsidRPr="00F443F6">
        <w:rPr>
          <w:iCs/>
          <w:lang w:val="fr-FR"/>
        </w:rPr>
        <w:t>9</w:t>
      </w:r>
      <w:r w:rsidRPr="00F443F6">
        <w:rPr>
          <w:i/>
          <w:lang w:val="fr-FR"/>
        </w:rPr>
        <w:t>.</w:t>
      </w:r>
      <w:r w:rsidRPr="00F443F6">
        <w:rPr>
          <w:i/>
          <w:lang w:val="fr-FR"/>
        </w:rPr>
        <w:tab/>
        <w:t>Encourage également</w:t>
      </w:r>
      <w:r w:rsidRPr="00F443F6">
        <w:rPr>
          <w:iCs/>
          <w:lang w:val="fr-FR"/>
        </w:rPr>
        <w:t xml:space="preserve"> les Parties au Protocole additionnel de </w:t>
      </w:r>
      <w:r w:rsidRPr="00F443F6">
        <w:rPr>
          <w:lang w:val="fr-FR"/>
        </w:rPr>
        <w:t>Nagoya-Kuala Lumpur</w:t>
      </w:r>
      <w:r w:rsidRPr="00F443F6">
        <w:rPr>
          <w:iCs/>
          <w:lang w:val="fr-FR"/>
        </w:rPr>
        <w:t xml:space="preserve"> à poursuivre leurs efforts en vue de la mise en œuvre intégrale du Protocole additionnel;</w:t>
      </w:r>
    </w:p>
    <w:p w14:paraId="7EDC1260" w14:textId="02D99BEE" w:rsidR="00F443F6" w:rsidRPr="00F443F6" w:rsidRDefault="00F443F6" w:rsidP="00F443F6">
      <w:pPr>
        <w:pStyle w:val="CBDNormalNoNumber"/>
        <w:ind w:firstLine="567"/>
        <w:rPr>
          <w:iCs/>
          <w:lang w:val="fr-FR"/>
        </w:rPr>
      </w:pPr>
      <w:r w:rsidRPr="00F443F6">
        <w:rPr>
          <w:iCs/>
          <w:lang w:val="fr-FR"/>
        </w:rPr>
        <w:t>10.</w:t>
      </w:r>
      <w:r w:rsidR="00C021C5">
        <w:rPr>
          <w:iCs/>
          <w:lang w:val="fr-FR"/>
        </w:rPr>
        <w:tab/>
      </w:r>
      <w:r w:rsidRPr="00F443F6">
        <w:rPr>
          <w:i/>
          <w:lang w:val="fr-FR"/>
        </w:rPr>
        <w:t>Invite</w:t>
      </w:r>
      <w:r w:rsidRPr="00F443F6">
        <w:rPr>
          <w:iCs/>
          <w:lang w:val="fr-FR"/>
        </w:rPr>
        <w:t xml:space="preserve"> les Parties et les autres gouvernements à publier des informations sur les faits nouveaux concernant la mise en œuvre du Protocole additionnel de </w:t>
      </w:r>
      <w:r w:rsidRPr="00F443F6">
        <w:rPr>
          <w:lang w:val="fr-FR"/>
        </w:rPr>
        <w:t>Nagoya-Kuala Lumpur</w:t>
      </w:r>
      <w:r w:rsidRPr="00F443F6">
        <w:rPr>
          <w:iCs/>
          <w:lang w:val="fr-FR"/>
        </w:rPr>
        <w:t xml:space="preserve"> par l’intermédiaire de la bibliothèque virtuelle du Centre d’échange pour la prévention des risques biotechnologiques, en vue de partager des données d’expérience à cet égard;</w:t>
      </w:r>
    </w:p>
    <w:p w14:paraId="5BB9DDB7" w14:textId="713F9DE0" w:rsidR="00F443F6" w:rsidRDefault="00F443F6" w:rsidP="00F443F6">
      <w:pPr>
        <w:pStyle w:val="CBDNormalNoNumber"/>
        <w:ind w:firstLine="567"/>
        <w:rPr>
          <w:rFonts w:asciiTheme="majorBidi" w:hAnsiTheme="majorBidi" w:cstheme="majorBidi"/>
          <w:iCs/>
          <w:lang w:val="fr-FR"/>
        </w:rPr>
      </w:pPr>
      <w:r w:rsidRPr="00F443F6">
        <w:rPr>
          <w:iCs/>
          <w:lang w:val="fr-FR"/>
        </w:rPr>
        <w:t>11</w:t>
      </w:r>
      <w:r w:rsidR="009C40B2">
        <w:rPr>
          <w:iCs/>
          <w:lang w:val="fr-FR"/>
        </w:rPr>
        <w:t>.</w:t>
      </w:r>
      <w:r w:rsidRPr="00F443F6">
        <w:rPr>
          <w:iCs/>
          <w:lang w:val="fr-FR"/>
        </w:rPr>
        <w:tab/>
      </w:r>
      <w:r w:rsidRPr="00F443F6">
        <w:rPr>
          <w:rFonts w:asciiTheme="majorBidi" w:hAnsiTheme="majorBidi" w:cstheme="majorBidi"/>
          <w:i/>
          <w:lang w:val="fr-FR"/>
        </w:rPr>
        <w:t xml:space="preserve">Invite </w:t>
      </w:r>
      <w:r w:rsidRPr="00F443F6">
        <w:rPr>
          <w:rFonts w:asciiTheme="majorBidi" w:hAnsiTheme="majorBidi" w:cstheme="majorBidi"/>
          <w:iCs/>
          <w:lang w:val="fr-FR"/>
        </w:rPr>
        <w:t xml:space="preserve">les Parties, les autres gouvernements et les organisations compétentes à continuer d’appuyer les activités de renforcement des capacités à l’appui de la mise en œuvre effective du Protocole additionnel de </w:t>
      </w:r>
      <w:r w:rsidRPr="00F443F6">
        <w:rPr>
          <w:rFonts w:asciiTheme="majorBidi" w:hAnsiTheme="majorBidi" w:cstheme="majorBidi"/>
          <w:lang w:val="fr-FR"/>
        </w:rPr>
        <w:t>Nagoya-Kuala Lumpur</w:t>
      </w:r>
      <w:r w:rsidRPr="00F443F6">
        <w:rPr>
          <w:rFonts w:asciiTheme="majorBidi" w:hAnsiTheme="majorBidi" w:cstheme="majorBidi"/>
          <w:iCs/>
          <w:lang w:val="fr-FR"/>
        </w:rPr>
        <w:t>, et encourage les donateurs à fournir les ressources nécessaires à cet égard, en vue de la réalisation de l’objectif</w:t>
      </w:r>
      <w:r w:rsidR="00E43F1C">
        <w:rPr>
          <w:rFonts w:asciiTheme="majorBidi" w:hAnsiTheme="majorBidi" w:cstheme="majorBidi"/>
          <w:iCs/>
          <w:lang w:val="fr-FR"/>
        </w:rPr>
        <w:t> </w:t>
      </w:r>
      <w:r w:rsidRPr="00F443F6">
        <w:rPr>
          <w:rFonts w:asciiTheme="majorBidi" w:hAnsiTheme="majorBidi" w:cstheme="majorBidi"/>
          <w:iCs/>
          <w:lang w:val="fr-FR"/>
        </w:rPr>
        <w:t>A.10 du plan de mise en œuvre et du plan d’action pour le renforcement des capacités du Protocole de Cartagena;</w:t>
      </w:r>
    </w:p>
    <w:p w14:paraId="3848E223" w14:textId="0C3DA140" w:rsidR="009C40B2" w:rsidRPr="009C40B2" w:rsidRDefault="009C40B2" w:rsidP="00F443F6">
      <w:pPr>
        <w:pStyle w:val="CBDNormalNoNumber"/>
        <w:ind w:firstLine="567"/>
        <w:rPr>
          <w:rFonts w:asciiTheme="majorBidi" w:hAnsiTheme="majorBidi" w:cstheme="majorBidi"/>
          <w:lang w:val="fr-FR"/>
        </w:rPr>
      </w:pPr>
      <w:r>
        <w:rPr>
          <w:rFonts w:asciiTheme="majorBidi" w:hAnsiTheme="majorBidi" w:cstheme="majorBidi"/>
          <w:lang w:val="fr-FR"/>
        </w:rPr>
        <w:t>12.</w:t>
      </w:r>
      <w:r>
        <w:rPr>
          <w:rFonts w:asciiTheme="majorBidi" w:hAnsiTheme="majorBidi" w:cstheme="majorBidi"/>
          <w:lang w:val="fr-FR"/>
        </w:rPr>
        <w:tab/>
      </w:r>
      <w:r>
        <w:rPr>
          <w:rFonts w:asciiTheme="majorBidi" w:hAnsiTheme="majorBidi" w:cstheme="majorBidi"/>
          <w:i/>
          <w:iCs/>
          <w:lang w:val="fr-FR"/>
        </w:rPr>
        <w:t>Prie</w:t>
      </w:r>
      <w:r>
        <w:rPr>
          <w:rFonts w:asciiTheme="majorBidi" w:hAnsiTheme="majorBidi" w:cstheme="majorBidi"/>
          <w:lang w:val="fr-FR"/>
        </w:rPr>
        <w:t xml:space="preserve"> la Secrétaire exécutive</w:t>
      </w:r>
      <w:r w:rsidR="00B22EC5">
        <w:rPr>
          <w:rFonts w:asciiTheme="majorBidi" w:hAnsiTheme="majorBidi" w:cstheme="majorBidi"/>
          <w:lang w:val="fr-FR"/>
        </w:rPr>
        <w:t xml:space="preserve">, conformément à la </w:t>
      </w:r>
      <w:r w:rsidR="00B22EC5" w:rsidRPr="00B22EC5">
        <w:rPr>
          <w:iCs/>
          <w:lang w:val="fr-FR"/>
        </w:rPr>
        <w:t>d</w:t>
      </w:r>
      <w:r w:rsidR="00B22EC5">
        <w:rPr>
          <w:iCs/>
          <w:lang w:val="fr-FR"/>
        </w:rPr>
        <w:t>é</w:t>
      </w:r>
      <w:r w:rsidR="00B22EC5" w:rsidRPr="00B22EC5">
        <w:rPr>
          <w:iCs/>
          <w:lang w:val="fr-FR"/>
        </w:rPr>
        <w:t xml:space="preserve">cision </w:t>
      </w:r>
      <w:hyperlink r:id="rId16" w:history="1">
        <w:r w:rsidR="00B22EC5" w:rsidRPr="00B22EC5">
          <w:rPr>
            <w:rStyle w:val="Hyperlink"/>
            <w:iCs/>
            <w:lang w:val="fr-FR"/>
          </w:rPr>
          <w:t>CP-12/</w:t>
        </w:r>
      </w:hyperlink>
      <w:r w:rsidR="00B22EC5" w:rsidRPr="00B22EC5">
        <w:rPr>
          <w:iCs/>
          <w:lang w:val="fr-FR"/>
        </w:rPr>
        <w:t xml:space="preserve">-- sur les questions relatives au </w:t>
      </w:r>
      <w:r w:rsidR="00B22EC5" w:rsidRPr="00B22EC5">
        <w:rPr>
          <w:color w:val="000000"/>
          <w:lang w:val="fr-FR"/>
        </w:rPr>
        <w:t>mécanisme de financement et aux ressources financières</w:t>
      </w:r>
      <w:r w:rsidR="00B22EC5" w:rsidRPr="00B22EC5">
        <w:rPr>
          <w:iCs/>
          <w:lang w:val="fr-FR"/>
        </w:rPr>
        <w:t>, de continuer</w:t>
      </w:r>
      <w:r w:rsidRPr="00B22EC5">
        <w:rPr>
          <w:rFonts w:asciiTheme="majorBidi" w:hAnsiTheme="majorBidi" w:cstheme="majorBidi"/>
          <w:lang w:val="fr-FR"/>
        </w:rPr>
        <w:t xml:space="preserve"> d’appuyer les efforts de mobilisation des ressources pour la mise en œuvre efficace du Protocole additi</w:t>
      </w:r>
      <w:r>
        <w:rPr>
          <w:rFonts w:asciiTheme="majorBidi" w:hAnsiTheme="majorBidi" w:cstheme="majorBidi"/>
          <w:lang w:val="fr-FR"/>
        </w:rPr>
        <w:t>onnel de Nagoya-Kuala Lumpur;</w:t>
      </w:r>
    </w:p>
    <w:p w14:paraId="047BA49A" w14:textId="771A3EB8" w:rsidR="00F443F6" w:rsidRPr="00F443F6" w:rsidRDefault="00F443F6" w:rsidP="00F443F6">
      <w:pPr>
        <w:pStyle w:val="CBDNormalNoNumber"/>
        <w:ind w:firstLine="567"/>
        <w:rPr>
          <w:rFonts w:asciiTheme="majorBidi" w:hAnsiTheme="majorBidi" w:cstheme="majorBidi"/>
          <w:lang w:val="fr-FR"/>
        </w:rPr>
      </w:pPr>
      <w:r w:rsidRPr="00F443F6">
        <w:rPr>
          <w:rFonts w:asciiTheme="majorBidi" w:hAnsiTheme="majorBidi" w:cstheme="majorBidi"/>
          <w:lang w:val="fr-FR"/>
        </w:rPr>
        <w:t>1</w:t>
      </w:r>
      <w:r w:rsidR="00C021C5">
        <w:rPr>
          <w:rFonts w:asciiTheme="majorBidi" w:hAnsiTheme="majorBidi" w:cstheme="majorBidi"/>
          <w:lang w:val="fr-FR"/>
        </w:rPr>
        <w:t>3.</w:t>
      </w:r>
      <w:r w:rsidRPr="00F443F6">
        <w:rPr>
          <w:rFonts w:asciiTheme="majorBidi" w:hAnsiTheme="majorBidi" w:cstheme="majorBidi"/>
          <w:lang w:val="fr-FR"/>
        </w:rPr>
        <w:tab/>
      </w:r>
      <w:r w:rsidRPr="00F443F6">
        <w:rPr>
          <w:rFonts w:asciiTheme="majorBidi" w:hAnsiTheme="majorBidi" w:cstheme="majorBidi"/>
          <w:i/>
          <w:iCs/>
          <w:lang w:val="fr-FR"/>
        </w:rPr>
        <w:t>Prie</w:t>
      </w:r>
      <w:r w:rsidR="009C40B2">
        <w:rPr>
          <w:rFonts w:asciiTheme="majorBidi" w:hAnsiTheme="majorBidi" w:cstheme="majorBidi"/>
          <w:i/>
          <w:iCs/>
          <w:lang w:val="fr-FR"/>
        </w:rPr>
        <w:t xml:space="preserve"> également</w:t>
      </w:r>
      <w:r w:rsidRPr="00F443F6">
        <w:rPr>
          <w:rFonts w:asciiTheme="majorBidi" w:hAnsiTheme="majorBidi" w:cstheme="majorBidi"/>
          <w:i/>
          <w:iCs/>
          <w:lang w:val="fr-FR"/>
        </w:rPr>
        <w:t xml:space="preserve"> </w:t>
      </w:r>
      <w:r w:rsidRPr="00F443F6">
        <w:rPr>
          <w:rFonts w:asciiTheme="majorBidi" w:hAnsiTheme="majorBidi" w:cstheme="majorBidi"/>
          <w:lang w:val="fr-FR"/>
        </w:rPr>
        <w:t xml:space="preserve">la Secrétaire exécutive d’assurer un suivi auprès des Parties </w:t>
      </w:r>
      <w:r w:rsidRPr="00F443F6">
        <w:rPr>
          <w:rFonts w:asciiTheme="majorBidi" w:hAnsiTheme="majorBidi" w:cstheme="majorBidi"/>
          <w:iCs/>
          <w:lang w:val="fr-FR"/>
        </w:rPr>
        <w:t xml:space="preserve">au Protocole additionnel de </w:t>
      </w:r>
      <w:r w:rsidRPr="00F443F6">
        <w:rPr>
          <w:rFonts w:asciiTheme="majorBidi" w:hAnsiTheme="majorBidi" w:cstheme="majorBidi"/>
          <w:lang w:val="fr-FR"/>
        </w:rPr>
        <w:t xml:space="preserve">Nagoya-Kuala Lumpur qui ont </w:t>
      </w:r>
      <w:r w:rsidR="00B22EC5">
        <w:rPr>
          <w:rFonts w:asciiTheme="majorBidi" w:hAnsiTheme="majorBidi" w:cstheme="majorBidi"/>
          <w:lang w:val="fr-FR"/>
        </w:rPr>
        <w:t xml:space="preserve">signalé </w:t>
      </w:r>
      <w:r w:rsidRPr="00F443F6">
        <w:rPr>
          <w:rFonts w:asciiTheme="majorBidi" w:hAnsiTheme="majorBidi" w:cstheme="majorBidi"/>
          <w:lang w:val="fr-FR"/>
        </w:rPr>
        <w:t>la désignation d’une autorité compétente</w:t>
      </w:r>
      <w:r w:rsidR="00E43F1C">
        <w:rPr>
          <w:rFonts w:asciiTheme="majorBidi" w:hAnsiTheme="majorBidi" w:cstheme="majorBidi"/>
          <w:lang w:val="fr-FR"/>
        </w:rPr>
        <w:t>,</w:t>
      </w:r>
      <w:r w:rsidRPr="00F443F6">
        <w:rPr>
          <w:rFonts w:asciiTheme="majorBidi" w:hAnsiTheme="majorBidi" w:cstheme="majorBidi"/>
          <w:lang w:val="fr-FR"/>
        </w:rPr>
        <w:t xml:space="preserve"> mais qui n’ont pas encore publié ses coordonnées </w:t>
      </w:r>
      <w:r w:rsidR="00B22EC5">
        <w:rPr>
          <w:rFonts w:asciiTheme="majorBidi" w:hAnsiTheme="majorBidi" w:cstheme="majorBidi"/>
          <w:lang w:val="fr-FR"/>
        </w:rPr>
        <w:t>par l’intermédiaire du</w:t>
      </w:r>
      <w:r w:rsidRPr="00F443F6">
        <w:rPr>
          <w:rFonts w:asciiTheme="majorBidi" w:hAnsiTheme="majorBidi" w:cstheme="majorBidi"/>
          <w:lang w:val="fr-FR"/>
        </w:rPr>
        <w:t xml:space="preserve"> Centre d’échange pour la prévention des risques biotechnologiques</w:t>
      </w:r>
      <w:r w:rsidR="00B22EC5">
        <w:rPr>
          <w:rFonts w:asciiTheme="majorBidi" w:hAnsiTheme="majorBidi" w:cstheme="majorBidi"/>
          <w:lang w:val="fr-FR"/>
        </w:rPr>
        <w:t>;</w:t>
      </w:r>
    </w:p>
    <w:p w14:paraId="166669BC" w14:textId="2D91734F" w:rsidR="00F443F6" w:rsidRPr="00F443F6" w:rsidRDefault="00F443F6" w:rsidP="00F443F6">
      <w:pPr>
        <w:pStyle w:val="CBDNormalNoNumber"/>
        <w:ind w:firstLine="567"/>
        <w:rPr>
          <w:iCs/>
          <w:lang w:val="fr-FR"/>
        </w:rPr>
      </w:pPr>
      <w:r w:rsidRPr="00F443F6">
        <w:rPr>
          <w:rFonts w:asciiTheme="majorBidi" w:hAnsiTheme="majorBidi" w:cstheme="majorBidi"/>
          <w:iCs/>
          <w:lang w:val="fr-FR"/>
        </w:rPr>
        <w:t>1</w:t>
      </w:r>
      <w:r w:rsidR="00C021C5">
        <w:rPr>
          <w:rFonts w:asciiTheme="majorBidi" w:hAnsiTheme="majorBidi" w:cstheme="majorBidi"/>
          <w:iCs/>
          <w:lang w:val="fr-FR"/>
        </w:rPr>
        <w:t>4.</w:t>
      </w:r>
      <w:r w:rsidRPr="00F443F6">
        <w:rPr>
          <w:rFonts w:asciiTheme="majorBidi" w:hAnsiTheme="majorBidi" w:cstheme="majorBidi"/>
          <w:iCs/>
          <w:lang w:val="fr-FR"/>
        </w:rPr>
        <w:tab/>
      </w:r>
      <w:r w:rsidRPr="00F443F6">
        <w:rPr>
          <w:rFonts w:asciiTheme="majorBidi" w:hAnsiTheme="majorBidi" w:cstheme="majorBidi"/>
          <w:i/>
          <w:lang w:val="fr-FR"/>
        </w:rPr>
        <w:t xml:space="preserve">Prie </w:t>
      </w:r>
      <w:r w:rsidR="009C40B2">
        <w:rPr>
          <w:rFonts w:asciiTheme="majorBidi" w:hAnsiTheme="majorBidi" w:cstheme="majorBidi"/>
          <w:i/>
          <w:lang w:val="fr-FR"/>
        </w:rPr>
        <w:t>en outre</w:t>
      </w:r>
      <w:r w:rsidRPr="00F443F6">
        <w:rPr>
          <w:rFonts w:asciiTheme="majorBidi" w:hAnsiTheme="majorBidi" w:cstheme="majorBidi"/>
          <w:iCs/>
          <w:lang w:val="fr-FR"/>
        </w:rPr>
        <w:t xml:space="preserve"> la Secrétaire exécutive de continuer </w:t>
      </w:r>
      <w:r w:rsidR="00B70FF9">
        <w:rPr>
          <w:rFonts w:asciiTheme="majorBidi" w:hAnsiTheme="majorBidi" w:cstheme="majorBidi"/>
          <w:iCs/>
          <w:lang w:val="fr-FR"/>
        </w:rPr>
        <w:t>de</w:t>
      </w:r>
      <w:r w:rsidRPr="00F443F6">
        <w:rPr>
          <w:rFonts w:asciiTheme="majorBidi" w:hAnsiTheme="majorBidi" w:cstheme="majorBidi"/>
          <w:iCs/>
          <w:lang w:val="fr-FR"/>
        </w:rPr>
        <w:t xml:space="preserve"> promouvoir le Protocole additionnel de </w:t>
      </w:r>
      <w:r w:rsidRPr="00F443F6">
        <w:rPr>
          <w:rFonts w:asciiTheme="majorBidi" w:hAnsiTheme="majorBidi" w:cstheme="majorBidi"/>
          <w:lang w:val="fr-FR"/>
        </w:rPr>
        <w:t>Nagoya-Kuala Lumpur</w:t>
      </w:r>
      <w:r w:rsidRPr="00F443F6">
        <w:rPr>
          <w:iCs/>
          <w:lang w:val="fr-FR"/>
        </w:rPr>
        <w:t>, en vue d’appuyer sa ratification, et, sous réserve que des ressources soient disponibles, d’entreprendre des activités</w:t>
      </w:r>
      <w:r w:rsidR="00F27B7A">
        <w:rPr>
          <w:iCs/>
          <w:lang w:val="fr-FR"/>
        </w:rPr>
        <w:t xml:space="preserve"> de renforcement des capacités,</w:t>
      </w:r>
      <w:r w:rsidRPr="00F443F6">
        <w:rPr>
          <w:iCs/>
          <w:lang w:val="fr-FR"/>
        </w:rPr>
        <w:t xml:space="preserve"> d’information et de sensibilisation concernant le Protocole additionnel.</w:t>
      </w:r>
    </w:p>
    <w:p w14:paraId="4E687CBF" w14:textId="359B5B70" w:rsidR="00A111D1" w:rsidRPr="00F443F6" w:rsidRDefault="00A111D1" w:rsidP="00975047">
      <w:pPr>
        <w:pStyle w:val="Para1"/>
        <w:numPr>
          <w:ilvl w:val="0"/>
          <w:numId w:val="0"/>
        </w:numPr>
        <w:ind w:left="567"/>
        <w:jc w:val="center"/>
        <w:rPr>
          <w:lang w:val="fr-FR"/>
        </w:rPr>
      </w:pPr>
      <w:r w:rsidRPr="00F443F6">
        <w:rPr>
          <w:lang w:val="fr-FR"/>
        </w:rPr>
        <w:lastRenderedPageBreak/>
        <w:t>_______</w:t>
      </w:r>
      <w:r w:rsidR="004B60B3" w:rsidRPr="00F443F6">
        <w:rPr>
          <w:lang w:val="fr-FR"/>
        </w:rPr>
        <w:t>___</w:t>
      </w:r>
    </w:p>
    <w:sectPr w:rsidR="00A111D1" w:rsidRPr="00F443F6" w:rsidSect="00C72AAE">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9AD74" w14:textId="77777777" w:rsidR="00D60214" w:rsidRPr="003F1A75" w:rsidRDefault="00D60214" w:rsidP="00CF1848">
      <w:r w:rsidRPr="003F1A75">
        <w:separator/>
      </w:r>
    </w:p>
  </w:endnote>
  <w:endnote w:type="continuationSeparator" w:id="0">
    <w:p w14:paraId="30A72C22" w14:textId="77777777" w:rsidR="00D60214" w:rsidRPr="003F1A75" w:rsidRDefault="00D6021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E521BD">
              <w:rPr>
                <w:szCs w:val="20"/>
              </w:rPr>
              <w:fldChar w:fldCharType="begin"/>
            </w:r>
            <w:r w:rsidRPr="00E521BD">
              <w:rPr>
                <w:szCs w:val="20"/>
              </w:rPr>
              <w:instrText xml:space="preserve"> PAGE </w:instrText>
            </w:r>
            <w:r w:rsidRPr="00E521BD">
              <w:rPr>
                <w:szCs w:val="20"/>
              </w:rPr>
              <w:fldChar w:fldCharType="separate"/>
            </w:r>
            <w:r w:rsidRPr="00E521BD">
              <w:rPr>
                <w:noProof/>
                <w:szCs w:val="20"/>
              </w:rPr>
              <w:t>2</w:t>
            </w:r>
            <w:r w:rsidRPr="00E521BD">
              <w:rPr>
                <w:szCs w:val="20"/>
              </w:rPr>
              <w:fldChar w:fldCharType="end"/>
            </w:r>
            <w:r w:rsidRPr="00E521BD">
              <w:rPr>
                <w:szCs w:val="20"/>
              </w:rPr>
              <w:t>/</w:t>
            </w:r>
            <w:r w:rsidRPr="00E521BD">
              <w:rPr>
                <w:szCs w:val="20"/>
              </w:rPr>
              <w:fldChar w:fldCharType="begin"/>
            </w:r>
            <w:r w:rsidRPr="00E521BD">
              <w:rPr>
                <w:szCs w:val="20"/>
              </w:rPr>
              <w:instrText xml:space="preserve"> NUMPAGES  </w:instrText>
            </w:r>
            <w:r w:rsidRPr="00E521BD">
              <w:rPr>
                <w:szCs w:val="20"/>
              </w:rPr>
              <w:fldChar w:fldCharType="separate"/>
            </w:r>
            <w:r w:rsidRPr="00E521BD">
              <w:rPr>
                <w:noProof/>
                <w:szCs w:val="20"/>
              </w:rPr>
              <w:t>2</w:t>
            </w:r>
            <w:r w:rsidRPr="00E521B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CBDA7" w14:textId="77777777" w:rsidR="00D60214" w:rsidRPr="003F1A75" w:rsidRDefault="00D60214" w:rsidP="00CF1848">
      <w:r w:rsidRPr="003F1A75">
        <w:separator/>
      </w:r>
    </w:p>
  </w:footnote>
  <w:footnote w:type="continuationSeparator" w:id="0">
    <w:p w14:paraId="65B51DA2" w14:textId="77777777" w:rsidR="00D60214" w:rsidRPr="003F1A75" w:rsidRDefault="00D60214" w:rsidP="00CF1848">
      <w:r w:rsidRPr="003F1A75">
        <w:continuationSeparator/>
      </w:r>
    </w:p>
  </w:footnote>
  <w:footnote w:id="1">
    <w:p w14:paraId="71F31734" w14:textId="2117CBE1" w:rsidR="00F443F6" w:rsidRPr="00F60955" w:rsidRDefault="00F443F6" w:rsidP="00F443F6">
      <w:pPr>
        <w:pStyle w:val="FootnoteText"/>
        <w:rPr>
          <w:rFonts w:asciiTheme="majorBidi" w:hAnsiTheme="majorBidi" w:cstheme="majorBidi"/>
          <w:szCs w:val="18"/>
          <w:lang w:val="fr-FR"/>
        </w:rPr>
      </w:pPr>
      <w:r w:rsidRPr="00B55C49">
        <w:rPr>
          <w:rStyle w:val="FootnoteReference"/>
          <w:szCs w:val="18"/>
        </w:rPr>
        <w:footnoteRef/>
      </w:r>
      <w:r w:rsidRPr="000B6C1B">
        <w:rPr>
          <w:szCs w:val="18"/>
          <w:lang w:val="fr-FR"/>
        </w:rPr>
        <w:t xml:space="preserve"> </w:t>
      </w:r>
      <w:r w:rsidRPr="00F60955">
        <w:rPr>
          <w:rFonts w:asciiTheme="majorBidi" w:hAnsiTheme="majorBidi" w:cstheme="majorBidi"/>
          <w:szCs w:val="18"/>
          <w:lang w:val="fr-FR"/>
        </w:rPr>
        <w:t>Conformément au paragraphe</w:t>
      </w:r>
      <w:r w:rsidR="00E43F1C">
        <w:rPr>
          <w:rFonts w:asciiTheme="majorBidi" w:hAnsiTheme="majorBidi" w:cstheme="majorBidi"/>
          <w:szCs w:val="18"/>
          <w:lang w:val="fr-FR"/>
        </w:rPr>
        <w:t> </w:t>
      </w:r>
      <w:r w:rsidRPr="00F60955">
        <w:rPr>
          <w:rFonts w:asciiTheme="majorBidi" w:hAnsiTheme="majorBidi" w:cstheme="majorBidi"/>
          <w:szCs w:val="18"/>
          <w:lang w:val="fr-FR"/>
        </w:rPr>
        <w:t>1 de l</w:t>
      </w:r>
      <w:r w:rsidR="00E43F1C">
        <w:rPr>
          <w:rFonts w:asciiTheme="majorBidi" w:hAnsiTheme="majorBidi" w:cstheme="majorBidi"/>
          <w:szCs w:val="18"/>
          <w:lang w:val="fr-FR"/>
        </w:rPr>
        <w:t>’</w:t>
      </w:r>
      <w:r w:rsidRPr="00F60955">
        <w:rPr>
          <w:rFonts w:asciiTheme="majorBidi" w:hAnsiTheme="majorBidi" w:cstheme="majorBidi"/>
          <w:szCs w:val="18"/>
          <w:lang w:val="fr-FR"/>
        </w:rPr>
        <w:t>article</w:t>
      </w:r>
      <w:r w:rsidR="00E43F1C">
        <w:rPr>
          <w:rFonts w:asciiTheme="majorBidi" w:hAnsiTheme="majorBidi" w:cstheme="majorBidi"/>
          <w:szCs w:val="18"/>
          <w:lang w:val="fr-FR"/>
        </w:rPr>
        <w:t> </w:t>
      </w:r>
      <w:r w:rsidRPr="00F60955">
        <w:rPr>
          <w:rFonts w:asciiTheme="majorBidi" w:hAnsiTheme="majorBidi" w:cstheme="majorBidi"/>
          <w:szCs w:val="18"/>
          <w:lang w:val="fr-FR"/>
        </w:rPr>
        <w:t>14 du Protocole additionnel, et sous réserve du paragraphe</w:t>
      </w:r>
      <w:r w:rsidR="00E43F1C">
        <w:rPr>
          <w:rFonts w:asciiTheme="majorBidi" w:hAnsiTheme="majorBidi" w:cstheme="majorBidi"/>
          <w:szCs w:val="18"/>
          <w:lang w:val="fr-FR"/>
        </w:rPr>
        <w:t> </w:t>
      </w:r>
      <w:r w:rsidRPr="00F60955">
        <w:rPr>
          <w:rFonts w:asciiTheme="majorBidi" w:hAnsiTheme="majorBidi" w:cstheme="majorBidi"/>
          <w:szCs w:val="18"/>
          <w:lang w:val="fr-FR"/>
        </w:rPr>
        <w:t>2 de l</w:t>
      </w:r>
      <w:r w:rsidR="00E43F1C">
        <w:rPr>
          <w:rFonts w:asciiTheme="majorBidi" w:hAnsiTheme="majorBidi" w:cstheme="majorBidi"/>
          <w:szCs w:val="18"/>
          <w:lang w:val="fr-FR"/>
        </w:rPr>
        <w:t>’</w:t>
      </w:r>
      <w:r w:rsidRPr="00F60955">
        <w:rPr>
          <w:rFonts w:asciiTheme="majorBidi" w:hAnsiTheme="majorBidi" w:cstheme="majorBidi"/>
          <w:szCs w:val="18"/>
          <w:lang w:val="fr-FR"/>
        </w:rPr>
        <w:t>article</w:t>
      </w:r>
      <w:r w:rsidR="00E43F1C">
        <w:rPr>
          <w:rFonts w:asciiTheme="majorBidi" w:hAnsiTheme="majorBidi" w:cstheme="majorBidi"/>
          <w:szCs w:val="18"/>
          <w:lang w:val="fr-FR"/>
        </w:rPr>
        <w:t> </w:t>
      </w:r>
      <w:r w:rsidRPr="00F60955">
        <w:rPr>
          <w:rFonts w:asciiTheme="majorBidi" w:hAnsiTheme="majorBidi" w:cstheme="majorBidi"/>
          <w:szCs w:val="18"/>
          <w:lang w:val="fr-FR"/>
        </w:rPr>
        <w:t>32 de la Convention sur la diversité biologique, la Conférence des Parties siégeant en tant que réunion des Parties au Protocole siège également en tant que réunion des Parties au Protocole additionnel. En conséquence, la présente décision a été adoptée par les Parties au Protocole additionnel.</w:t>
      </w:r>
    </w:p>
  </w:footnote>
  <w:footnote w:id="2">
    <w:p w14:paraId="15CE11CA" w14:textId="0DC56E2E" w:rsidR="00F443F6" w:rsidRPr="00F60955" w:rsidRDefault="00F443F6" w:rsidP="00F443F6">
      <w:pPr>
        <w:pStyle w:val="FootnoteText"/>
        <w:rPr>
          <w:rFonts w:asciiTheme="majorBidi" w:hAnsiTheme="majorBidi" w:cstheme="majorBidi"/>
          <w:lang w:val="fr-FR"/>
        </w:rPr>
      </w:pPr>
      <w:r w:rsidRPr="00F60955">
        <w:rPr>
          <w:rStyle w:val="FootnoteReference"/>
          <w:rFonts w:asciiTheme="majorBidi" w:hAnsiTheme="majorBidi" w:cstheme="majorBidi"/>
        </w:rPr>
        <w:footnoteRef/>
      </w:r>
      <w:r w:rsidRPr="00F60955">
        <w:rPr>
          <w:rFonts w:asciiTheme="majorBidi" w:hAnsiTheme="majorBidi" w:cstheme="majorBidi"/>
          <w:lang w:val="fr-FR"/>
        </w:rPr>
        <w:t xml:space="preserve"> Décision</w:t>
      </w:r>
      <w:r w:rsidR="00E43F1C">
        <w:rPr>
          <w:rFonts w:asciiTheme="majorBidi" w:hAnsiTheme="majorBidi" w:cstheme="majorBidi"/>
          <w:lang w:val="fr-FR"/>
        </w:rPr>
        <w:t> </w:t>
      </w:r>
      <w:hyperlink r:id="rId1" w:history="1">
        <w:r w:rsidRPr="00F60955">
          <w:rPr>
            <w:rStyle w:val="Hyperlink"/>
            <w:rFonts w:asciiTheme="majorBidi" w:hAnsiTheme="majorBidi" w:cstheme="majorBidi"/>
            <w:lang w:val="fr-FR"/>
          </w:rPr>
          <w:t>BS-V/11</w:t>
        </w:r>
      </w:hyperlink>
      <w:r w:rsidRPr="00F60955">
        <w:rPr>
          <w:rFonts w:asciiTheme="majorBidi" w:hAnsiTheme="majorBidi" w:cstheme="majorBidi"/>
          <w:lang w:val="fr-FR"/>
        </w:rPr>
        <w:t>c, annexe.</w:t>
      </w:r>
    </w:p>
  </w:footnote>
  <w:footnote w:id="3">
    <w:p w14:paraId="1D8D3B71" w14:textId="7EDBCF05" w:rsidR="00F443F6" w:rsidRPr="00F60955" w:rsidRDefault="00F443F6" w:rsidP="00F443F6">
      <w:pPr>
        <w:pStyle w:val="FootnoteText"/>
        <w:rPr>
          <w:rFonts w:asciiTheme="majorBidi" w:hAnsiTheme="majorBidi" w:cstheme="majorBidi"/>
          <w:lang w:val="fr-FR"/>
        </w:rPr>
      </w:pPr>
      <w:r w:rsidRPr="00F60955">
        <w:rPr>
          <w:rStyle w:val="FootnoteReference"/>
          <w:rFonts w:asciiTheme="majorBidi" w:hAnsiTheme="majorBidi" w:cstheme="majorBidi"/>
        </w:rPr>
        <w:footnoteRef/>
      </w:r>
      <w:r w:rsidRPr="00F60955">
        <w:rPr>
          <w:rFonts w:asciiTheme="majorBidi" w:hAnsiTheme="majorBidi" w:cstheme="majorBidi"/>
          <w:lang w:val="fr-FR"/>
        </w:rPr>
        <w:t xml:space="preserve"> </w:t>
      </w:r>
      <w:r w:rsidRPr="00F60955">
        <w:rPr>
          <w:rFonts w:asciiTheme="majorBidi" w:eastAsiaTheme="minorEastAsia" w:hAnsiTheme="majorBidi" w:cstheme="majorBidi"/>
          <w:szCs w:val="22"/>
          <w:lang w:val="fr-FR"/>
        </w:rPr>
        <w:t>Décision</w:t>
      </w:r>
      <w:r w:rsidR="00E43F1C">
        <w:rPr>
          <w:rFonts w:asciiTheme="majorBidi" w:eastAsiaTheme="minorEastAsia" w:hAnsiTheme="majorBidi" w:cstheme="majorBidi"/>
          <w:szCs w:val="22"/>
          <w:lang w:val="fr-FR"/>
        </w:rPr>
        <w:t> </w:t>
      </w:r>
      <w:r>
        <w:fldChar w:fldCharType="begin"/>
      </w:r>
      <w:r w:rsidRPr="0039748D">
        <w:rPr>
          <w:lang w:val="fr-CA"/>
        </w:rPr>
        <w:instrText>HYPERLINK "https://www.cbd.int/decisions/mop/?m=cp-mop-10"</w:instrText>
      </w:r>
      <w:r>
        <w:fldChar w:fldCharType="separate"/>
      </w:r>
      <w:r w:rsidRPr="00F60955">
        <w:rPr>
          <w:rStyle w:val="Hyperlink"/>
          <w:rFonts w:asciiTheme="majorBidi" w:eastAsiaTheme="minorEastAsia" w:hAnsiTheme="majorBidi" w:cstheme="majorBidi"/>
          <w:szCs w:val="22"/>
          <w:lang w:val="fr-FR"/>
        </w:rPr>
        <w:t>CP-10/3</w:t>
      </w:r>
      <w:r>
        <w:fldChar w:fldCharType="end"/>
      </w:r>
      <w:r w:rsidRPr="00F60955">
        <w:rPr>
          <w:rFonts w:asciiTheme="majorBidi" w:eastAsiaTheme="minorEastAsia" w:hAnsiTheme="majorBidi" w:cstheme="majorBidi"/>
          <w:szCs w:val="22"/>
          <w:lang w:val="fr-FR"/>
        </w:rPr>
        <w:t>, annexe.</w:t>
      </w:r>
    </w:p>
  </w:footnote>
  <w:footnote w:id="4">
    <w:p w14:paraId="4E2E1559" w14:textId="4AB5F26E" w:rsidR="00F443F6" w:rsidRPr="00F60955" w:rsidRDefault="00F443F6" w:rsidP="00F443F6">
      <w:pPr>
        <w:pStyle w:val="FootnoteText"/>
        <w:rPr>
          <w:rFonts w:asciiTheme="majorBidi" w:hAnsiTheme="majorBidi" w:cstheme="majorBidi"/>
          <w:lang w:val="fr-FR"/>
        </w:rPr>
      </w:pPr>
      <w:r w:rsidRPr="00F60955">
        <w:rPr>
          <w:rStyle w:val="FootnoteReference"/>
          <w:rFonts w:asciiTheme="majorBidi" w:hAnsiTheme="majorBidi" w:cstheme="majorBidi"/>
        </w:rPr>
        <w:footnoteRef/>
      </w:r>
      <w:r w:rsidRPr="00F60955">
        <w:rPr>
          <w:rFonts w:asciiTheme="majorBidi" w:hAnsiTheme="majorBidi" w:cstheme="majorBidi"/>
          <w:lang w:val="fr-FR"/>
        </w:rPr>
        <w:t xml:space="preserve"> </w:t>
      </w:r>
      <w:r w:rsidRPr="00F60955">
        <w:rPr>
          <w:rFonts w:asciiTheme="majorBidi" w:eastAsiaTheme="minorEastAsia" w:hAnsiTheme="majorBidi" w:cstheme="majorBidi"/>
          <w:szCs w:val="22"/>
          <w:lang w:val="fr-FR"/>
        </w:rPr>
        <w:t>Décision</w:t>
      </w:r>
      <w:r w:rsidR="00E43F1C">
        <w:rPr>
          <w:rFonts w:asciiTheme="majorBidi" w:eastAsiaTheme="minorEastAsia" w:hAnsiTheme="majorBidi" w:cstheme="majorBidi"/>
          <w:szCs w:val="22"/>
          <w:lang w:val="fr-FR"/>
        </w:rPr>
        <w:t> </w:t>
      </w:r>
      <w:hyperlink r:id="rId2" w:history="1">
        <w:r w:rsidRPr="00F60955">
          <w:rPr>
            <w:rStyle w:val="Hyperlink"/>
            <w:rFonts w:asciiTheme="majorBidi" w:eastAsiaTheme="minorEastAsia" w:hAnsiTheme="majorBidi" w:cstheme="majorBidi"/>
            <w:szCs w:val="22"/>
            <w:lang w:val="fr-FR"/>
          </w:rPr>
          <w:t>CP-10/4</w:t>
        </w:r>
      </w:hyperlink>
      <w:r w:rsidRPr="00F60955">
        <w:rPr>
          <w:rFonts w:asciiTheme="majorBidi" w:eastAsiaTheme="minorEastAsia" w:hAnsiTheme="majorBidi" w:cstheme="majorBidi"/>
          <w:szCs w:val="22"/>
          <w:lang w:val="fr-FR"/>
        </w:rPr>
        <w:t>, annexe.</w:t>
      </w:r>
    </w:p>
  </w:footnote>
  <w:footnote w:id="5">
    <w:p w14:paraId="58F5D31E" w14:textId="4E26BF40" w:rsidR="00F443F6" w:rsidRPr="00F60955" w:rsidRDefault="00F443F6" w:rsidP="00F443F6">
      <w:pPr>
        <w:pStyle w:val="FootnoteText"/>
        <w:rPr>
          <w:rFonts w:asciiTheme="majorBidi" w:hAnsiTheme="majorBidi" w:cstheme="majorBidi"/>
          <w:lang w:val="fr-FR"/>
        </w:rPr>
      </w:pPr>
      <w:r w:rsidRPr="00F60955">
        <w:rPr>
          <w:rStyle w:val="FootnoteReference"/>
          <w:rFonts w:asciiTheme="majorBidi" w:hAnsiTheme="majorBidi" w:cstheme="majorBidi"/>
        </w:rPr>
        <w:footnoteRef/>
      </w:r>
      <w:r w:rsidRPr="00F60955">
        <w:rPr>
          <w:rFonts w:asciiTheme="majorBidi" w:hAnsiTheme="majorBidi" w:cstheme="majorBidi"/>
          <w:lang w:val="fr-FR"/>
        </w:rPr>
        <w:t xml:space="preserve"> Nations Unies, </w:t>
      </w:r>
      <w:r w:rsidRPr="00F60955">
        <w:rPr>
          <w:rFonts w:asciiTheme="majorBidi" w:hAnsiTheme="majorBidi" w:cstheme="majorBidi"/>
          <w:i/>
          <w:iCs/>
          <w:lang w:val="fr-FR"/>
        </w:rPr>
        <w:t>Recueil des Traités</w:t>
      </w:r>
      <w:r w:rsidRPr="00F60955">
        <w:rPr>
          <w:rFonts w:asciiTheme="majorBidi" w:hAnsiTheme="majorBidi" w:cstheme="majorBidi"/>
          <w:lang w:val="fr-FR"/>
        </w:rPr>
        <w:t>, vol.</w:t>
      </w:r>
      <w:r w:rsidR="00E43F1C">
        <w:rPr>
          <w:rFonts w:asciiTheme="majorBidi" w:hAnsiTheme="majorBidi" w:cstheme="majorBidi"/>
          <w:lang w:val="fr-FR"/>
        </w:rPr>
        <w:t> </w:t>
      </w:r>
      <w:r w:rsidRPr="00F60955">
        <w:rPr>
          <w:rFonts w:asciiTheme="majorBidi" w:hAnsiTheme="majorBidi" w:cstheme="majorBidi"/>
          <w:lang w:val="fr-FR"/>
        </w:rPr>
        <w:t>2226, no</w:t>
      </w:r>
      <w:r w:rsidR="00E43F1C">
        <w:rPr>
          <w:rFonts w:asciiTheme="majorBidi" w:hAnsiTheme="majorBidi" w:cstheme="majorBidi"/>
          <w:lang w:val="fr-FR"/>
        </w:rPr>
        <w:t> </w:t>
      </w:r>
      <w:r w:rsidRPr="00F60955">
        <w:rPr>
          <w:rFonts w:asciiTheme="majorBidi" w:hAnsiTheme="majorBidi" w:cstheme="majorBidi"/>
          <w:lang w:val="fr-FR"/>
        </w:rPr>
        <w:t>30619</w:t>
      </w:r>
      <w:r w:rsidRPr="00F60955">
        <w:rPr>
          <w:rFonts w:asciiTheme="majorBidi" w:eastAsiaTheme="minorEastAsia" w:hAnsiTheme="majorBidi" w:cstheme="majorBidi"/>
          <w:szCs w:val="22"/>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0E444B97" w:rsidR="00534681" w:rsidRPr="003F1A75" w:rsidRDefault="0039748D" w:rsidP="0039748D">
        <w:pPr>
          <w:pStyle w:val="Header"/>
          <w:spacing w:after="240"/>
          <w:rPr>
            <w:szCs w:val="20"/>
          </w:rPr>
        </w:pPr>
        <w:r>
          <w:rPr>
            <w:szCs w:val="20"/>
          </w:rPr>
          <w:t>CBD/CP/MOP/12/</w:t>
        </w:r>
        <w:r w:rsidR="00E70714">
          <w:rPr>
            <w:szCs w:val="20"/>
          </w:rPr>
          <w:t>L.3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3DC63FBC" w:rsidR="009505C9" w:rsidRPr="003F1A75" w:rsidRDefault="00E70714" w:rsidP="007C4951">
        <w:pPr>
          <w:pStyle w:val="Header"/>
          <w:spacing w:after="240"/>
          <w:jc w:val="right"/>
        </w:pPr>
        <w:r>
          <w:t>CBD/CP/MOP/12/L.3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7B8B"/>
    <w:rsid w:val="00013CA9"/>
    <w:rsid w:val="00056811"/>
    <w:rsid w:val="0007171B"/>
    <w:rsid w:val="00082CE2"/>
    <w:rsid w:val="000B680D"/>
    <w:rsid w:val="000D0F68"/>
    <w:rsid w:val="000E28FE"/>
    <w:rsid w:val="000E673A"/>
    <w:rsid w:val="000F1725"/>
    <w:rsid w:val="000F6945"/>
    <w:rsid w:val="000F74F5"/>
    <w:rsid w:val="000F78FC"/>
    <w:rsid w:val="001031DF"/>
    <w:rsid w:val="00105372"/>
    <w:rsid w:val="001054A6"/>
    <w:rsid w:val="001078A1"/>
    <w:rsid w:val="001243C9"/>
    <w:rsid w:val="00130D0E"/>
    <w:rsid w:val="001312AD"/>
    <w:rsid w:val="00131E7A"/>
    <w:rsid w:val="00134846"/>
    <w:rsid w:val="001643E3"/>
    <w:rsid w:val="00172AF6"/>
    <w:rsid w:val="00175727"/>
    <w:rsid w:val="00176CEE"/>
    <w:rsid w:val="00186DD8"/>
    <w:rsid w:val="001939CE"/>
    <w:rsid w:val="001A35EC"/>
    <w:rsid w:val="001A5872"/>
    <w:rsid w:val="001B13FE"/>
    <w:rsid w:val="001C16A0"/>
    <w:rsid w:val="001C6960"/>
    <w:rsid w:val="001F3264"/>
    <w:rsid w:val="00227D0F"/>
    <w:rsid w:val="0023080C"/>
    <w:rsid w:val="00246E6D"/>
    <w:rsid w:val="00254EB5"/>
    <w:rsid w:val="00267AEB"/>
    <w:rsid w:val="0027049E"/>
    <w:rsid w:val="002849A9"/>
    <w:rsid w:val="003008FE"/>
    <w:rsid w:val="0030169D"/>
    <w:rsid w:val="003060EB"/>
    <w:rsid w:val="003153EB"/>
    <w:rsid w:val="0032136E"/>
    <w:rsid w:val="00321985"/>
    <w:rsid w:val="0032558F"/>
    <w:rsid w:val="0032578A"/>
    <w:rsid w:val="003268DD"/>
    <w:rsid w:val="00351205"/>
    <w:rsid w:val="00362434"/>
    <w:rsid w:val="00372F74"/>
    <w:rsid w:val="0039748D"/>
    <w:rsid w:val="003C3801"/>
    <w:rsid w:val="003F1A75"/>
    <w:rsid w:val="003F7224"/>
    <w:rsid w:val="00427D21"/>
    <w:rsid w:val="00443470"/>
    <w:rsid w:val="00446D2A"/>
    <w:rsid w:val="00447F4A"/>
    <w:rsid w:val="00451146"/>
    <w:rsid w:val="00453073"/>
    <w:rsid w:val="0045605A"/>
    <w:rsid w:val="00456F67"/>
    <w:rsid w:val="004644C2"/>
    <w:rsid w:val="00466473"/>
    <w:rsid w:val="00467F9C"/>
    <w:rsid w:val="004A4BF6"/>
    <w:rsid w:val="004B60B3"/>
    <w:rsid w:val="004F01A9"/>
    <w:rsid w:val="004F6AB5"/>
    <w:rsid w:val="0051006C"/>
    <w:rsid w:val="00530313"/>
    <w:rsid w:val="00534681"/>
    <w:rsid w:val="0055499A"/>
    <w:rsid w:val="0056068E"/>
    <w:rsid w:val="00563442"/>
    <w:rsid w:val="0056348E"/>
    <w:rsid w:val="00565B42"/>
    <w:rsid w:val="00565FAB"/>
    <w:rsid w:val="005B35E2"/>
    <w:rsid w:val="005C4CE6"/>
    <w:rsid w:val="006122BA"/>
    <w:rsid w:val="006255CD"/>
    <w:rsid w:val="0064174C"/>
    <w:rsid w:val="00647135"/>
    <w:rsid w:val="006478BF"/>
    <w:rsid w:val="00651D4C"/>
    <w:rsid w:val="006778D4"/>
    <w:rsid w:val="00682D3C"/>
    <w:rsid w:val="006A73C1"/>
    <w:rsid w:val="006B2290"/>
    <w:rsid w:val="006E036E"/>
    <w:rsid w:val="006E70F4"/>
    <w:rsid w:val="00705A88"/>
    <w:rsid w:val="00717D88"/>
    <w:rsid w:val="00720DC3"/>
    <w:rsid w:val="00726A43"/>
    <w:rsid w:val="00726DEC"/>
    <w:rsid w:val="00732DB4"/>
    <w:rsid w:val="00786056"/>
    <w:rsid w:val="00787C9F"/>
    <w:rsid w:val="007942D3"/>
    <w:rsid w:val="007B2099"/>
    <w:rsid w:val="007B5E53"/>
    <w:rsid w:val="007B6C09"/>
    <w:rsid w:val="007B7741"/>
    <w:rsid w:val="007C3C82"/>
    <w:rsid w:val="007C4353"/>
    <w:rsid w:val="007C4951"/>
    <w:rsid w:val="007C7196"/>
    <w:rsid w:val="007D1E1A"/>
    <w:rsid w:val="007E09DA"/>
    <w:rsid w:val="007E0F8A"/>
    <w:rsid w:val="007F4C20"/>
    <w:rsid w:val="007F718D"/>
    <w:rsid w:val="00801FAD"/>
    <w:rsid w:val="008142F0"/>
    <w:rsid w:val="0081746C"/>
    <w:rsid w:val="008178B6"/>
    <w:rsid w:val="00822723"/>
    <w:rsid w:val="00865B74"/>
    <w:rsid w:val="00866063"/>
    <w:rsid w:val="00870B3A"/>
    <w:rsid w:val="00871456"/>
    <w:rsid w:val="00875F4D"/>
    <w:rsid w:val="00894106"/>
    <w:rsid w:val="008974F0"/>
    <w:rsid w:val="008A1499"/>
    <w:rsid w:val="008B012A"/>
    <w:rsid w:val="008C0B65"/>
    <w:rsid w:val="008D41D3"/>
    <w:rsid w:val="008E69BB"/>
    <w:rsid w:val="008F3FFB"/>
    <w:rsid w:val="00906E17"/>
    <w:rsid w:val="0091186C"/>
    <w:rsid w:val="00913699"/>
    <w:rsid w:val="00922A8F"/>
    <w:rsid w:val="00930BA1"/>
    <w:rsid w:val="0093169E"/>
    <w:rsid w:val="00936DF5"/>
    <w:rsid w:val="009505C9"/>
    <w:rsid w:val="00950752"/>
    <w:rsid w:val="00966424"/>
    <w:rsid w:val="00973B04"/>
    <w:rsid w:val="00975047"/>
    <w:rsid w:val="0099214E"/>
    <w:rsid w:val="00995C1D"/>
    <w:rsid w:val="009C2DE6"/>
    <w:rsid w:val="009C40B2"/>
    <w:rsid w:val="00A111D1"/>
    <w:rsid w:val="00A26427"/>
    <w:rsid w:val="00A42F30"/>
    <w:rsid w:val="00AA6F92"/>
    <w:rsid w:val="00AB2B6A"/>
    <w:rsid w:val="00AB6934"/>
    <w:rsid w:val="00AD38EF"/>
    <w:rsid w:val="00AE1597"/>
    <w:rsid w:val="00AF42DE"/>
    <w:rsid w:val="00B22EC5"/>
    <w:rsid w:val="00B3369F"/>
    <w:rsid w:val="00B337BC"/>
    <w:rsid w:val="00B50A42"/>
    <w:rsid w:val="00B51FC6"/>
    <w:rsid w:val="00B573CF"/>
    <w:rsid w:val="00B70FF9"/>
    <w:rsid w:val="00B87964"/>
    <w:rsid w:val="00B94E6C"/>
    <w:rsid w:val="00BB4606"/>
    <w:rsid w:val="00BB632D"/>
    <w:rsid w:val="00BC5BA9"/>
    <w:rsid w:val="00BC7F7F"/>
    <w:rsid w:val="00BE64EE"/>
    <w:rsid w:val="00BF4633"/>
    <w:rsid w:val="00C021C5"/>
    <w:rsid w:val="00C23D2F"/>
    <w:rsid w:val="00C36279"/>
    <w:rsid w:val="00C443BD"/>
    <w:rsid w:val="00C451C5"/>
    <w:rsid w:val="00C72AAE"/>
    <w:rsid w:val="00C76273"/>
    <w:rsid w:val="00C82A15"/>
    <w:rsid w:val="00C9161D"/>
    <w:rsid w:val="00CA0C1D"/>
    <w:rsid w:val="00CB2178"/>
    <w:rsid w:val="00CE386A"/>
    <w:rsid w:val="00CF1848"/>
    <w:rsid w:val="00CF7E93"/>
    <w:rsid w:val="00D12044"/>
    <w:rsid w:val="00D15F34"/>
    <w:rsid w:val="00D170D9"/>
    <w:rsid w:val="00D33EFC"/>
    <w:rsid w:val="00D40DBC"/>
    <w:rsid w:val="00D60214"/>
    <w:rsid w:val="00D61C85"/>
    <w:rsid w:val="00D718CC"/>
    <w:rsid w:val="00D75CA6"/>
    <w:rsid w:val="00D76A18"/>
    <w:rsid w:val="00D80849"/>
    <w:rsid w:val="00D82E8F"/>
    <w:rsid w:val="00DA2343"/>
    <w:rsid w:val="00DB07C7"/>
    <w:rsid w:val="00DB5E0F"/>
    <w:rsid w:val="00DD118C"/>
    <w:rsid w:val="00DD7C84"/>
    <w:rsid w:val="00DE765C"/>
    <w:rsid w:val="00E073BA"/>
    <w:rsid w:val="00E11282"/>
    <w:rsid w:val="00E13E53"/>
    <w:rsid w:val="00E17F1F"/>
    <w:rsid w:val="00E30761"/>
    <w:rsid w:val="00E41F8F"/>
    <w:rsid w:val="00E43F1C"/>
    <w:rsid w:val="00E521BD"/>
    <w:rsid w:val="00E53FD8"/>
    <w:rsid w:val="00E56C3B"/>
    <w:rsid w:val="00E66235"/>
    <w:rsid w:val="00E70714"/>
    <w:rsid w:val="00E7095E"/>
    <w:rsid w:val="00E83C24"/>
    <w:rsid w:val="00E90E66"/>
    <w:rsid w:val="00E9318D"/>
    <w:rsid w:val="00E93F3E"/>
    <w:rsid w:val="00EA71AC"/>
    <w:rsid w:val="00F041E5"/>
    <w:rsid w:val="00F05DE7"/>
    <w:rsid w:val="00F063C2"/>
    <w:rsid w:val="00F27B7A"/>
    <w:rsid w:val="00F32041"/>
    <w:rsid w:val="00F34373"/>
    <w:rsid w:val="00F443F6"/>
    <w:rsid w:val="00F462BB"/>
    <w:rsid w:val="00F53193"/>
    <w:rsid w:val="00F5357E"/>
    <w:rsid w:val="00F6586C"/>
    <w:rsid w:val="00F7514D"/>
    <w:rsid w:val="00F84CF1"/>
    <w:rsid w:val="00F9038B"/>
    <w:rsid w:val="00F94774"/>
    <w:rsid w:val="00FA663B"/>
    <w:rsid w:val="00FB56E2"/>
    <w:rsid w:val="00FC4BBC"/>
    <w:rsid w:val="00FC53DB"/>
    <w:rsid w:val="00FD712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BB62E059-DB15-483E-834C-D16281C74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ara10">
    <w:name w:val="Para 1"/>
    <w:basedOn w:val="Normal"/>
    <w:qFormat/>
    <w:rsid w:val="00647135"/>
    <w:pPr>
      <w:tabs>
        <w:tab w:val="clear" w:pos="567"/>
        <w:tab w:val="clear" w:pos="1701"/>
        <w:tab w:val="clear" w:pos="2268"/>
      </w:tabs>
      <w:spacing w:before="120" w:after="120"/>
      <w:ind w:left="567"/>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mop?m=cp-mop-10" TargetMode="External"/><Relationship Id="rId1" Type="http://schemas.openxmlformats.org/officeDocument/2006/relationships/hyperlink" Target="https://s3.amazonaws.com/km.documents.attachments/0b17/b79a/e7653ab41c735a6d349a3b5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01E0F"/>
    <w:rsid w:val="000554E2"/>
    <w:rsid w:val="000E70A2"/>
    <w:rsid w:val="00117F2B"/>
    <w:rsid w:val="00130D0E"/>
    <w:rsid w:val="001C7BCC"/>
    <w:rsid w:val="0025135C"/>
    <w:rsid w:val="00254EB5"/>
    <w:rsid w:val="00265B6C"/>
    <w:rsid w:val="00267AEB"/>
    <w:rsid w:val="00290366"/>
    <w:rsid w:val="00291C10"/>
    <w:rsid w:val="002F43A6"/>
    <w:rsid w:val="003268DD"/>
    <w:rsid w:val="004A3425"/>
    <w:rsid w:val="00520873"/>
    <w:rsid w:val="00682D3C"/>
    <w:rsid w:val="006B0882"/>
    <w:rsid w:val="00720DC3"/>
    <w:rsid w:val="007525AD"/>
    <w:rsid w:val="007C5884"/>
    <w:rsid w:val="0084239B"/>
    <w:rsid w:val="00922A81"/>
    <w:rsid w:val="009B5918"/>
    <w:rsid w:val="00A94030"/>
    <w:rsid w:val="00AE59BD"/>
    <w:rsid w:val="00BF4633"/>
    <w:rsid w:val="00CB2178"/>
    <w:rsid w:val="00CE386A"/>
    <w:rsid w:val="00DA2343"/>
    <w:rsid w:val="00DC06B3"/>
    <w:rsid w:val="00E30761"/>
    <w:rsid w:val="00E85C2E"/>
    <w:rsid w:val="00F05DE7"/>
    <w:rsid w:val="00F462BB"/>
    <w:rsid w:val="00FE6D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A5BE6660-0C3D-45B7-9BAB-1A08E6895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2</TotalTime>
  <Pages>3</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Protocole additionnel de Nagoya-Kuala Lumpur sur la responsabilité et la réparation</vt:lpstr>
    </vt:vector>
  </TitlesOfParts>
  <Company>SCBD</Company>
  <LinksUpToDate>false</LinksUpToDate>
  <CharactersWithSpaces>5969</CharactersWithSpaces>
  <SharedDoc>false</SharedDoc>
  <HLinks>
    <vt:vector size="24" baseType="variant">
      <vt:variant>
        <vt:i4>7340081</vt:i4>
      </vt:variant>
      <vt:variant>
        <vt:i4>0</vt:i4>
      </vt:variant>
      <vt:variant>
        <vt:i4>0</vt:i4>
      </vt:variant>
      <vt:variant>
        <vt:i4>5</vt:i4>
      </vt:variant>
      <vt:variant>
        <vt:lpwstr>https://www.cbd.int/doc/decisions/cp-mop-10/cp-mop-10-dec-04-en.pdf</vt:lpwstr>
      </vt:variant>
      <vt:variant>
        <vt:lpwstr/>
      </vt:variant>
      <vt:variant>
        <vt:i4>5242958</vt:i4>
      </vt:variant>
      <vt:variant>
        <vt:i4>6</vt:i4>
      </vt:variant>
      <vt:variant>
        <vt:i4>0</vt:i4>
      </vt:variant>
      <vt:variant>
        <vt:i4>5</vt:i4>
      </vt:variant>
      <vt:variant>
        <vt:lpwstr>https://www.cbd.int/decisions/mop?m=cp-mop-10</vt:lpwstr>
      </vt:variant>
      <vt:variant>
        <vt:lpwstr/>
      </vt:variant>
      <vt:variant>
        <vt:i4>7340145</vt:i4>
      </vt:variant>
      <vt:variant>
        <vt:i4>3</vt:i4>
      </vt:variant>
      <vt:variant>
        <vt:i4>0</vt:i4>
      </vt:variant>
      <vt:variant>
        <vt:i4>5</vt:i4>
      </vt:variant>
      <vt:variant>
        <vt:lpwstr>https://www.cbd.int/decisions/mop/?m=cp-mop-10</vt:lpwstr>
      </vt:variant>
      <vt:variant>
        <vt:lpwstr/>
      </vt:variant>
      <vt:variant>
        <vt:i4>3473515</vt:i4>
      </vt:variant>
      <vt:variant>
        <vt:i4>0</vt:i4>
      </vt:variant>
      <vt:variant>
        <vt:i4>0</vt:i4>
      </vt:variant>
      <vt:variant>
        <vt:i4>5</vt:i4>
      </vt:variant>
      <vt:variant>
        <vt:lpwstr>https://www.cbd.int/decisions/?id=12324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Protocole additionnel de Nagoya-Kuala Lumpur sur la responsabilité et la réparation</dc:title>
  <dc:subject>CBD/CP/MOP/12/L.3</dc:subject>
  <dc:creator>Veronique Lefebvre</dc:creator>
  <cp:keywords>Convention on Biological Diversity</cp:keywords>
  <cp:lastModifiedBy>Nikolas Diallo</cp:lastModifiedBy>
  <cp:revision>4</cp:revision>
  <cp:lastPrinted>2020-01-22T04:56:00Z</cp:lastPrinted>
  <dcterms:created xsi:type="dcterms:W3CDTF">2026-10-22T17:21:00Z</dcterms:created>
  <dcterms:modified xsi:type="dcterms:W3CDTF">2026-10-22T17:27:00Z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